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5490C" w14:textId="627475E3" w:rsidR="00920D42" w:rsidRDefault="00B173F0" w:rsidP="00920D42">
      <w:pPr>
        <w:jc w:val="both"/>
        <w:rPr>
          <w:rFonts w:ascii="Arial" w:hAnsi="Arial" w:cs="Arial"/>
        </w:rPr>
      </w:pPr>
      <w:r>
        <w:rPr>
          <w:rFonts w:ascii="Arial" w:hAnsi="Arial" w:cs="Arial"/>
        </w:rPr>
        <w:t xml:space="preserve">                     Role of Corporate Social Responsibility (CSR)</w:t>
      </w:r>
    </w:p>
    <w:p w14:paraId="02A4C7DB" w14:textId="6F4C44CA" w:rsidR="00B173F0" w:rsidRPr="00B173F0" w:rsidRDefault="00B173F0" w:rsidP="00920D42">
      <w:pPr>
        <w:jc w:val="both"/>
        <w:rPr>
          <w:rFonts w:ascii="Arial" w:hAnsi="Arial" w:cs="Arial"/>
        </w:rPr>
      </w:pPr>
    </w:p>
    <w:p w14:paraId="5BABDF8E" w14:textId="2F04FF58" w:rsidR="00920D42" w:rsidRDefault="00920D42" w:rsidP="00920D42">
      <w:pPr>
        <w:jc w:val="both"/>
        <w:rPr>
          <w:rFonts w:ascii="Arial" w:hAnsi="Arial" w:cs="Arial"/>
        </w:rPr>
      </w:pPr>
      <w:r w:rsidRPr="00B173F0">
        <w:rPr>
          <w:rFonts w:ascii="Arial" w:hAnsi="Arial" w:cs="Arial"/>
        </w:rPr>
        <w:t>Student ID:</w:t>
      </w:r>
      <w:r w:rsidR="00B173F0">
        <w:rPr>
          <w:rFonts w:ascii="Arial" w:hAnsi="Arial" w:cs="Arial"/>
        </w:rPr>
        <w:t>2227451</w:t>
      </w:r>
    </w:p>
    <w:p w14:paraId="5FB8D94C" w14:textId="2C07B546" w:rsidR="00920D42" w:rsidRDefault="00B173F0" w:rsidP="00920D42">
      <w:pPr>
        <w:jc w:val="both"/>
        <w:rPr>
          <w:rFonts w:ascii="Arial" w:hAnsi="Arial" w:cs="Arial"/>
        </w:rPr>
      </w:pPr>
      <w:r>
        <w:rPr>
          <w:rFonts w:ascii="Arial" w:hAnsi="Arial" w:cs="Arial"/>
        </w:rPr>
        <w:t>Module Number:BMIH5006</w:t>
      </w:r>
    </w:p>
    <w:p w14:paraId="0A1620D9" w14:textId="3B2184FC" w:rsidR="00B173F0" w:rsidRDefault="00B173F0" w:rsidP="00920D42">
      <w:pPr>
        <w:jc w:val="both"/>
        <w:rPr>
          <w:rFonts w:ascii="Arial" w:hAnsi="Arial" w:cs="Arial"/>
        </w:rPr>
      </w:pPr>
      <w:r>
        <w:rPr>
          <w:rFonts w:ascii="Arial" w:hAnsi="Arial" w:cs="Arial"/>
        </w:rPr>
        <w:t>Module Title:</w:t>
      </w:r>
      <w:r w:rsidRPr="00B173F0">
        <w:rPr>
          <w:rFonts w:ascii="Arial" w:hAnsi="Arial" w:cs="Arial"/>
        </w:rPr>
        <w:t xml:space="preserve"> </w:t>
      </w:r>
      <w:r w:rsidRPr="00B173F0">
        <w:rPr>
          <w:rFonts w:ascii="Arial" w:hAnsi="Arial" w:cs="Arial"/>
        </w:rPr>
        <w:t>Sustainable Hospitality &amp; Tourism Management</w:t>
      </w:r>
    </w:p>
    <w:p w14:paraId="35E19CE9" w14:textId="207CC17A" w:rsidR="00B173F0" w:rsidRDefault="000A080A" w:rsidP="00920D42">
      <w:pPr>
        <w:jc w:val="both"/>
        <w:rPr>
          <w:rFonts w:ascii="Arial" w:hAnsi="Arial" w:cs="Arial"/>
        </w:rPr>
      </w:pPr>
      <w:r>
        <w:rPr>
          <w:rFonts w:ascii="Arial" w:hAnsi="Arial" w:cs="Arial"/>
        </w:rPr>
        <w:t>Lecturer: Lisa Knight</w:t>
      </w:r>
    </w:p>
    <w:p w14:paraId="2CCB3D01" w14:textId="77777777" w:rsidR="000A080A" w:rsidRDefault="000A080A" w:rsidP="00920D42">
      <w:pPr>
        <w:jc w:val="both"/>
        <w:rPr>
          <w:rFonts w:ascii="Arial" w:hAnsi="Arial" w:cs="Arial"/>
        </w:rPr>
      </w:pPr>
    </w:p>
    <w:p w14:paraId="1416A7D9" w14:textId="77777777" w:rsidR="000A080A" w:rsidRDefault="000A080A" w:rsidP="00920D42">
      <w:pPr>
        <w:jc w:val="both"/>
        <w:rPr>
          <w:rFonts w:ascii="Arial" w:hAnsi="Arial" w:cs="Arial"/>
        </w:rPr>
      </w:pPr>
    </w:p>
    <w:p w14:paraId="47ADED99" w14:textId="77777777" w:rsidR="000A080A" w:rsidRDefault="000A080A" w:rsidP="00920D42">
      <w:pPr>
        <w:jc w:val="both"/>
        <w:rPr>
          <w:rFonts w:ascii="Arial" w:hAnsi="Arial" w:cs="Arial"/>
        </w:rPr>
      </w:pPr>
    </w:p>
    <w:p w14:paraId="480EEDD7" w14:textId="77777777" w:rsidR="000A080A" w:rsidRDefault="000A080A" w:rsidP="00920D42">
      <w:pPr>
        <w:jc w:val="both"/>
        <w:rPr>
          <w:rFonts w:ascii="Arial" w:hAnsi="Arial" w:cs="Arial"/>
        </w:rPr>
      </w:pPr>
    </w:p>
    <w:p w14:paraId="1540692D" w14:textId="77777777" w:rsidR="000A080A" w:rsidRDefault="000A080A" w:rsidP="00920D42">
      <w:pPr>
        <w:jc w:val="both"/>
        <w:rPr>
          <w:rFonts w:ascii="Arial" w:hAnsi="Arial" w:cs="Arial"/>
        </w:rPr>
      </w:pPr>
    </w:p>
    <w:p w14:paraId="6B8F467D" w14:textId="77777777" w:rsidR="000A080A" w:rsidRDefault="000A080A" w:rsidP="00920D42">
      <w:pPr>
        <w:jc w:val="both"/>
        <w:rPr>
          <w:rFonts w:ascii="Arial" w:hAnsi="Arial" w:cs="Arial"/>
        </w:rPr>
      </w:pPr>
    </w:p>
    <w:p w14:paraId="1F098440" w14:textId="77777777" w:rsidR="000A080A" w:rsidRDefault="000A080A" w:rsidP="00920D42">
      <w:pPr>
        <w:jc w:val="both"/>
        <w:rPr>
          <w:rFonts w:ascii="Arial" w:hAnsi="Arial" w:cs="Arial"/>
        </w:rPr>
      </w:pPr>
    </w:p>
    <w:p w14:paraId="2549534B" w14:textId="77777777" w:rsidR="000A080A" w:rsidRDefault="000A080A" w:rsidP="00920D42">
      <w:pPr>
        <w:jc w:val="both"/>
        <w:rPr>
          <w:rFonts w:ascii="Arial" w:hAnsi="Arial" w:cs="Arial"/>
        </w:rPr>
      </w:pPr>
    </w:p>
    <w:p w14:paraId="570BDD9A" w14:textId="77777777" w:rsidR="000A080A" w:rsidRDefault="000A080A" w:rsidP="00920D42">
      <w:pPr>
        <w:jc w:val="both"/>
        <w:rPr>
          <w:rFonts w:ascii="Arial" w:hAnsi="Arial" w:cs="Arial"/>
        </w:rPr>
      </w:pPr>
    </w:p>
    <w:p w14:paraId="4A864731" w14:textId="77777777" w:rsidR="000A080A" w:rsidRDefault="000A080A" w:rsidP="00920D42">
      <w:pPr>
        <w:jc w:val="both"/>
        <w:rPr>
          <w:rFonts w:ascii="Arial" w:hAnsi="Arial" w:cs="Arial"/>
        </w:rPr>
      </w:pPr>
    </w:p>
    <w:p w14:paraId="0E35814A" w14:textId="77777777" w:rsidR="000A080A" w:rsidRDefault="000A080A" w:rsidP="00920D42">
      <w:pPr>
        <w:jc w:val="both"/>
        <w:rPr>
          <w:rFonts w:ascii="Arial" w:hAnsi="Arial" w:cs="Arial"/>
        </w:rPr>
      </w:pPr>
    </w:p>
    <w:p w14:paraId="63C071A9" w14:textId="77777777" w:rsidR="000A080A" w:rsidRDefault="000A080A" w:rsidP="00920D42">
      <w:pPr>
        <w:jc w:val="both"/>
        <w:rPr>
          <w:rFonts w:ascii="Arial" w:hAnsi="Arial" w:cs="Arial"/>
        </w:rPr>
      </w:pPr>
    </w:p>
    <w:p w14:paraId="573EE06F" w14:textId="77777777" w:rsidR="000A080A" w:rsidRDefault="000A080A" w:rsidP="00920D42">
      <w:pPr>
        <w:jc w:val="both"/>
        <w:rPr>
          <w:rFonts w:ascii="Arial" w:hAnsi="Arial" w:cs="Arial"/>
        </w:rPr>
      </w:pPr>
    </w:p>
    <w:p w14:paraId="61ACC064" w14:textId="77777777" w:rsidR="000A080A" w:rsidRDefault="000A080A" w:rsidP="00920D42">
      <w:pPr>
        <w:jc w:val="both"/>
        <w:rPr>
          <w:rFonts w:ascii="Arial" w:hAnsi="Arial" w:cs="Arial"/>
        </w:rPr>
      </w:pPr>
    </w:p>
    <w:p w14:paraId="158105CE" w14:textId="77777777" w:rsidR="000A080A" w:rsidRDefault="000A080A" w:rsidP="00920D42">
      <w:pPr>
        <w:jc w:val="both"/>
        <w:rPr>
          <w:rFonts w:ascii="Arial" w:hAnsi="Arial" w:cs="Arial"/>
        </w:rPr>
      </w:pPr>
    </w:p>
    <w:p w14:paraId="52E3DFB6" w14:textId="77777777" w:rsidR="000A080A" w:rsidRDefault="000A080A" w:rsidP="00920D42">
      <w:pPr>
        <w:jc w:val="both"/>
        <w:rPr>
          <w:rFonts w:ascii="Arial" w:hAnsi="Arial" w:cs="Arial"/>
        </w:rPr>
      </w:pPr>
    </w:p>
    <w:p w14:paraId="07952141" w14:textId="77777777" w:rsidR="000A080A" w:rsidRDefault="000A080A" w:rsidP="00920D42">
      <w:pPr>
        <w:jc w:val="both"/>
        <w:rPr>
          <w:rFonts w:ascii="Arial" w:hAnsi="Arial" w:cs="Arial"/>
        </w:rPr>
      </w:pPr>
    </w:p>
    <w:p w14:paraId="2BC55BAB" w14:textId="77777777" w:rsidR="000A080A" w:rsidRDefault="000A080A" w:rsidP="00920D42">
      <w:pPr>
        <w:jc w:val="both"/>
        <w:rPr>
          <w:rFonts w:ascii="Arial" w:hAnsi="Arial" w:cs="Arial"/>
        </w:rPr>
      </w:pPr>
    </w:p>
    <w:p w14:paraId="22203B41" w14:textId="63E4FB70" w:rsidR="000A080A" w:rsidRDefault="000A080A" w:rsidP="00920D42">
      <w:pPr>
        <w:jc w:val="both"/>
        <w:rPr>
          <w:rFonts w:ascii="Arial" w:hAnsi="Arial" w:cs="Arial"/>
        </w:rPr>
      </w:pPr>
      <w:r>
        <w:rPr>
          <w:rFonts w:ascii="Arial" w:hAnsi="Arial" w:cs="Arial"/>
        </w:rPr>
        <w:lastRenderedPageBreak/>
        <w:t>Acknowledgement of use of AI tools</w:t>
      </w:r>
    </w:p>
    <w:p w14:paraId="1E2D8A38" w14:textId="628ED81E" w:rsidR="000A080A" w:rsidRDefault="000A080A" w:rsidP="000A080A">
      <w:r>
        <w:t xml:space="preserve">I confirm that I have not used any AI tools in the research and creation of this assignment. I confirm that </w:t>
      </w:r>
      <w:proofErr w:type="spellStart"/>
      <w:r>
        <w:t>i</w:t>
      </w:r>
      <w:proofErr w:type="spellEnd"/>
      <w:r>
        <w:t xml:space="preserve"> have not presented any AI generated materials as my own work. I confirm I have copies of my drafts, notes and other resources I used, which I may be asked to provide in evidence</w:t>
      </w:r>
      <w:r>
        <w:t>.</w:t>
      </w:r>
    </w:p>
    <w:p w14:paraId="633C5FA1" w14:textId="77777777" w:rsidR="000A080A" w:rsidRPr="00B173F0" w:rsidRDefault="000A080A" w:rsidP="00920D42">
      <w:pPr>
        <w:jc w:val="both"/>
        <w:rPr>
          <w:rFonts w:ascii="Arial" w:hAnsi="Arial" w:cs="Arial"/>
        </w:rPr>
      </w:pPr>
    </w:p>
    <w:p w14:paraId="4A16E8BD" w14:textId="790F6C40" w:rsidR="007E6092" w:rsidRPr="00B173F0" w:rsidRDefault="007E6092" w:rsidP="00920D42">
      <w:pPr>
        <w:jc w:val="both"/>
        <w:rPr>
          <w:rFonts w:ascii="Arial" w:hAnsi="Arial" w:cs="Arial"/>
        </w:rPr>
      </w:pPr>
      <w:r w:rsidRPr="00B173F0">
        <w:rPr>
          <w:rFonts w:ascii="Arial" w:hAnsi="Arial" w:cs="Arial"/>
        </w:rPr>
        <w:br w:type="page"/>
      </w:r>
    </w:p>
    <w:p w14:paraId="06B0FEAA" w14:textId="4B6A94F9" w:rsidR="00FF7AAF" w:rsidRPr="00B173F0" w:rsidRDefault="007E6092" w:rsidP="00920D42">
      <w:pPr>
        <w:jc w:val="both"/>
        <w:rPr>
          <w:rFonts w:ascii="Arial" w:hAnsi="Arial" w:cs="Arial"/>
        </w:rPr>
      </w:pPr>
      <w:bookmarkStart w:id="0" w:name="_Hlk180045189"/>
      <w:r w:rsidRPr="00B173F0">
        <w:rPr>
          <w:rFonts w:ascii="Arial" w:hAnsi="Arial" w:cs="Arial"/>
        </w:rPr>
        <w:lastRenderedPageBreak/>
        <w:t>Corporate social responsibility (CSR) represents one of the fundamental concepts according to which companies must behave in a responsible manner. This implies a responsible behaviour in everyday business decisions in the development of a strategy towards employees but also customers, suppliers and shareholders or even other interested parties. Corporate responsibility implies giving up the intention of "only profit" and thinking about the whole in order to stabilize a much wider system of social relations. Whether the company is socially responsible affects customers' opinions of the company but also their purchasing decisions. Also, it is of major importance that companies inform customers about their CSR activities through appropriate communication tools. Large multinational companies but also small and medium-sized ones offer to the public various more comprehensive reports that are drawn up beyond the usual annual reports (</w:t>
      </w:r>
      <w:proofErr w:type="spellStart"/>
      <w:r w:rsidRPr="00B173F0">
        <w:rPr>
          <w:rFonts w:ascii="Arial" w:hAnsi="Arial" w:cs="Arial"/>
        </w:rPr>
        <w:t>Moravcikova</w:t>
      </w:r>
      <w:proofErr w:type="spellEnd"/>
      <w:r w:rsidRPr="00B173F0">
        <w:rPr>
          <w:rFonts w:ascii="Arial" w:hAnsi="Arial" w:cs="Arial"/>
        </w:rPr>
        <w:t xml:space="preserve"> et al., 2015). </w:t>
      </w:r>
      <w:r w:rsidR="00FF7AAF" w:rsidRPr="00B173F0">
        <w:rPr>
          <w:rFonts w:ascii="Arial" w:hAnsi="Arial" w:cs="Arial"/>
        </w:rPr>
        <w:t>The implementation of CSR practices in hotels is thus determined by a number of factors that will be discussed in more detail in this essay, such as profit motives, ethical considerations of managers, brand positioning, but also social and regulatory pressure and employee relations. (Butler., 2008). The essay will explore the impact of CSR on key areas such as environmental sustainability but also community involvement, employee well-being and economic practices. In addition to that, challenges and opportunities in the implementation of CSR will be evaluated in order to understand the importance of CSR in improving sustainability practices in the hospitality industry.</w:t>
      </w:r>
    </w:p>
    <w:p w14:paraId="1853B613" w14:textId="77777777" w:rsidR="00FB55B4" w:rsidRPr="00B173F0" w:rsidRDefault="00FB55B4" w:rsidP="00920D42">
      <w:pPr>
        <w:spacing w:line="278" w:lineRule="auto"/>
        <w:jc w:val="both"/>
        <w:rPr>
          <w:rFonts w:ascii="Arial" w:hAnsi="Arial" w:cs="Arial"/>
        </w:rPr>
      </w:pPr>
      <w:r w:rsidRPr="00B173F0">
        <w:rPr>
          <w:rFonts w:ascii="Arial" w:hAnsi="Arial" w:cs="Arial"/>
        </w:rPr>
        <w:br w:type="page"/>
      </w:r>
    </w:p>
    <w:p w14:paraId="334EE9EC" w14:textId="0C24FD15" w:rsidR="003143BC" w:rsidRPr="00B173F0" w:rsidRDefault="00977081" w:rsidP="00920D42">
      <w:pPr>
        <w:jc w:val="both"/>
        <w:rPr>
          <w:rFonts w:ascii="Arial" w:hAnsi="Arial" w:cs="Arial"/>
        </w:rPr>
      </w:pPr>
      <w:r w:rsidRPr="00B173F0">
        <w:rPr>
          <w:rFonts w:ascii="Arial" w:hAnsi="Arial" w:cs="Arial"/>
        </w:rPr>
        <w:lastRenderedPageBreak/>
        <w:t>The increased awareness of the hotel industry in the field of CSR has thus induced a very exponential increase in the various CSR initiatives that are taken in this sector. The responsibility of hotels towards the economic, cultural and social natural environment is of major importance since this environment is part of the tourist product, thus determining the quality and satisfaction of the tourist's experience. Destination managers as well as decision makers in the hospitality industries are implementing more and more sustainable ecological practices offering ethical alternatives for tourists to spend their vacations (</w:t>
      </w:r>
      <w:proofErr w:type="spellStart"/>
      <w:r w:rsidRPr="00B173F0">
        <w:rPr>
          <w:rFonts w:ascii="Arial" w:hAnsi="Arial" w:cs="Arial"/>
        </w:rPr>
        <w:t>Dolnicar</w:t>
      </w:r>
      <w:proofErr w:type="spellEnd"/>
      <w:r w:rsidRPr="00B173F0">
        <w:rPr>
          <w:rFonts w:ascii="Arial" w:hAnsi="Arial" w:cs="Arial"/>
        </w:rPr>
        <w:t xml:space="preserve"> and Leisch, 2008). A challenge for hotels and in fact for all companies that want to carry out CSR measures in this way consists in measuring CSR performance consists in measuring CSR performance. This includes the measurement of waste emissions, the use of resources, but also the health and safety of the workplace as well as of customers, anti-competitive behaviour and non-discrimination (</w:t>
      </w:r>
      <w:proofErr w:type="spellStart"/>
      <w:r w:rsidRPr="00B173F0">
        <w:rPr>
          <w:rFonts w:ascii="Arial" w:hAnsi="Arial" w:cs="Arial"/>
        </w:rPr>
        <w:t>Skoloudis</w:t>
      </w:r>
      <w:proofErr w:type="spellEnd"/>
      <w:r w:rsidRPr="00B173F0">
        <w:rPr>
          <w:rFonts w:ascii="Arial" w:hAnsi="Arial" w:cs="Arial"/>
        </w:rPr>
        <w:t xml:space="preserve"> et al., 2009). There are more and more initiatives that seek to help companies in this endeavour and among them are the Global Reporting Initiative and also the Carbon Disclosure Project. CSR communication can be disseminated through various channels including even CSR reports but also corporate websites. Social networks are also suitable for corporate CSR communication and in the tourism and hospitality sector, all social media platforms such as TripAdvisor are highly frequented by all key stakeholders as well as potential and former guests (</w:t>
      </w:r>
      <w:proofErr w:type="spellStart"/>
      <w:r w:rsidRPr="00B173F0">
        <w:rPr>
          <w:rFonts w:ascii="Arial" w:hAnsi="Arial" w:cs="Arial"/>
        </w:rPr>
        <w:t>Mkono</w:t>
      </w:r>
      <w:proofErr w:type="spellEnd"/>
      <w:r w:rsidRPr="00B173F0">
        <w:rPr>
          <w:rFonts w:ascii="Arial" w:hAnsi="Arial" w:cs="Arial"/>
        </w:rPr>
        <w:t xml:space="preserve"> and Tribe, 2016).</w:t>
      </w:r>
    </w:p>
    <w:p w14:paraId="50E6A4AA" w14:textId="71B7B19D" w:rsidR="003143BC" w:rsidRPr="00B173F0" w:rsidRDefault="00732A3B" w:rsidP="00920D42">
      <w:pPr>
        <w:jc w:val="both"/>
        <w:rPr>
          <w:rFonts w:ascii="Arial" w:hAnsi="Arial" w:cs="Arial"/>
        </w:rPr>
      </w:pPr>
      <w:r w:rsidRPr="00B173F0">
        <w:rPr>
          <w:rFonts w:ascii="Arial" w:hAnsi="Arial" w:cs="Arial"/>
        </w:rPr>
        <w:t xml:space="preserve">The current thinking on CSR has evolved a lot from the perspective of the primacy of shareholders to even the perspective of interested parties, where CSR towards interested parties that do not have shareholders (customers, employees, suppliers, community or society in general) is thus seen as an investment that it can be essential in achieving basic financial performance (Jones, 1995). Despite the general favourable impact of ecological practices, Chan (2013) found the effects of "greenwashing" among all consumers. It was also found that the environmental declarations of hotels with more hidden motives thus induce scepticism among consumers, which discourages their participation in linen reuse or repurchasing programs (Rahman et al., 2015). Other studies have also explored ways to improve the effectiveness of CSR messages in order to influence consumer attitudes towards hotels and ecological restaurants. For example, both Hanks et al (2016) and Lee et al (2016) thus suggest </w:t>
      </w:r>
      <w:r w:rsidRPr="00B173F0">
        <w:rPr>
          <w:rFonts w:ascii="Arial" w:hAnsi="Arial" w:cs="Arial"/>
        </w:rPr>
        <w:lastRenderedPageBreak/>
        <w:t>that the lack of awareness of ecological practices in hotels has thus caused inconvenience to customers, suggesting the importance of CSR communication.</w:t>
      </w:r>
    </w:p>
    <w:p w14:paraId="62C2CFAA" w14:textId="2BC02196" w:rsidR="00977081" w:rsidRPr="00B173F0" w:rsidRDefault="00732A3B" w:rsidP="00920D42">
      <w:pPr>
        <w:jc w:val="both"/>
        <w:rPr>
          <w:rFonts w:ascii="Arial" w:hAnsi="Arial" w:cs="Arial"/>
        </w:rPr>
      </w:pPr>
      <w:r w:rsidRPr="00B173F0">
        <w:rPr>
          <w:rFonts w:ascii="Arial" w:hAnsi="Arial" w:cs="Arial"/>
        </w:rPr>
        <w:t xml:space="preserve">CSR towards employees refers to issues related to fair wages and fair employment as well as work practices such as inclusion and diversity. A theory such as the social exchange theory, according to Emerson (1979) cited in </w:t>
      </w:r>
      <w:proofErr w:type="spellStart"/>
      <w:r w:rsidRPr="00B173F0">
        <w:rPr>
          <w:rFonts w:ascii="Arial" w:hAnsi="Arial" w:cs="Arial"/>
        </w:rPr>
        <w:t>Rhou</w:t>
      </w:r>
      <w:proofErr w:type="spellEnd"/>
      <w:r w:rsidRPr="00B173F0">
        <w:rPr>
          <w:rFonts w:ascii="Arial" w:hAnsi="Arial" w:cs="Arial"/>
        </w:rPr>
        <w:t xml:space="preserve"> and Singal (2020) suggests that CSR towards employees is fundamental on the attitudes or even on the mutual behaviours of employees for the benefit of the organization. Other studies have examined CSR towards employees but also the impact on labour markets, and an example can be Wongsi Gao (2014) who discovered that CSR plays an influential role in cultivating a favourable corporate culture, thus increasing the emotional level of employees. </w:t>
      </w:r>
      <w:r w:rsidR="00977081" w:rsidRPr="00B173F0">
        <w:rPr>
          <w:rFonts w:ascii="Arial" w:hAnsi="Arial" w:cs="Arial"/>
        </w:rPr>
        <w:br w:type="page"/>
      </w:r>
    </w:p>
    <w:p w14:paraId="40490DBD" w14:textId="020DB419" w:rsidR="00FF7AAF" w:rsidRPr="00B173F0" w:rsidRDefault="00FB55B4" w:rsidP="00920D42">
      <w:pPr>
        <w:jc w:val="both"/>
        <w:rPr>
          <w:rFonts w:ascii="Arial" w:hAnsi="Arial" w:cs="Arial"/>
        </w:rPr>
      </w:pPr>
      <w:r w:rsidRPr="00B173F0">
        <w:rPr>
          <w:rFonts w:ascii="Arial" w:hAnsi="Arial" w:cs="Arial"/>
        </w:rPr>
        <w:lastRenderedPageBreak/>
        <w:t xml:space="preserve">Hilton London Bankside, part of the Hilton Worldwide brand, serves as an exemplary case of a hotel implementing strong CSR practices. Hilton's 'Travel with Purpose' initiative focuses on creating a sustainable future for hospitality by working to achieve environmental goals, promote social well-being and adhere to strict ethical governance. The hotel chain's commitment to sustainability is evident through its ambitious 2030 environmental goals, which aim to reduce carbon emissions by 61%, significantly reduce water consumption and eliminate food waste (Wentworth, 2018). One of the notable sustainability efforts that Hilton London </w:t>
      </w:r>
      <w:proofErr w:type="spellStart"/>
      <w:r w:rsidRPr="00B173F0">
        <w:rPr>
          <w:rFonts w:ascii="Arial" w:hAnsi="Arial" w:cs="Arial"/>
        </w:rPr>
        <w:t>Banside</w:t>
      </w:r>
      <w:proofErr w:type="spellEnd"/>
      <w:r w:rsidRPr="00B173F0">
        <w:rPr>
          <w:rFonts w:ascii="Arial" w:hAnsi="Arial" w:cs="Arial"/>
        </w:rPr>
        <w:t xml:space="preserve"> has adopted is the meadow garden on the roof of the building that integrates beehives that contribute to local biodiversity by supporting pollination. At the same time, the hotel produces honey from these bees, which is used in the breakfast buffet but also in other types of food, which thus proves their commitment not only to preserving the environment but also to a more sustainable supply of food (Sky Garden, 2024 ) In addition to this, the hotel has a kitchen garden where herbs and also vegetables are grown personally and used in the hotel's bar and restaurant, further reducing the environmental impact of food supply (Campbell, 2021).</w:t>
      </w:r>
      <w:r w:rsidR="00514428" w:rsidRPr="00B173F0">
        <w:rPr>
          <w:rFonts w:ascii="Arial" w:hAnsi="Arial" w:cs="Arial"/>
        </w:rPr>
        <w:t xml:space="preserve"> </w:t>
      </w:r>
      <w:r w:rsidRPr="00B173F0">
        <w:rPr>
          <w:rFonts w:ascii="Arial" w:hAnsi="Arial" w:cs="Arial"/>
        </w:rPr>
        <w:t>According to a report by Hilton (2020) entitled "Travel with Purpose", through a partnership with "Open Kitche</w:t>
      </w:r>
      <w:r w:rsidR="00514428" w:rsidRPr="00B173F0">
        <w:rPr>
          <w:rFonts w:ascii="Arial" w:hAnsi="Arial" w:cs="Arial"/>
        </w:rPr>
        <w:t>n</w:t>
      </w:r>
      <w:r w:rsidRPr="00B173F0">
        <w:rPr>
          <w:rFonts w:ascii="Arial" w:hAnsi="Arial" w:cs="Arial"/>
        </w:rPr>
        <w:t>s UK", the team at the Hilton London Metropole hotel (as example of another hotel that is part of the Hilton hotel chain) offered as follows 30,000 nutritious meals for free to all people in need in London</w:t>
      </w:r>
    </w:p>
    <w:p w14:paraId="30BC4F3C" w14:textId="6CEBFD1D" w:rsidR="00FF7AAF" w:rsidRPr="00B173F0" w:rsidRDefault="00514428" w:rsidP="00920D42">
      <w:pPr>
        <w:jc w:val="both"/>
        <w:rPr>
          <w:rFonts w:ascii="Arial" w:hAnsi="Arial" w:cs="Arial"/>
        </w:rPr>
      </w:pPr>
      <w:r w:rsidRPr="00B173F0">
        <w:rPr>
          <w:rFonts w:ascii="Arial" w:hAnsi="Arial" w:cs="Arial"/>
        </w:rPr>
        <w:t xml:space="preserve">Hilton London Bankside team uses the "Travel with Purpose" strategy and policy to define and thus guide social planning and environmental planning, directing the way in which all this planning is implemented in a successful way. Hilton Bankside is also a champion of Hospitality Action (a charity that provides support to those in the hospitality industry). The team thus currently supports a series of projects on foreign funds with "Invisible Chips" on their menu but also the Hospitality Action Cookbook which is available for purchase at the hotel reception. At the same time, according to the same sources, the hotel participates in "open doors" days as well as fund-raising and mentoring events (Hilton London Bankside, n.d.). Hilton Bankside currently works with local schools offering volunteer time to join career days as well as inviting students to the hotel for a taster day experience. London Bankside is also committed to reducing waste. A clear example is the fact that they recycle coffee grounds into ecological fire </w:t>
      </w:r>
      <w:r w:rsidRPr="00B173F0">
        <w:rPr>
          <w:rFonts w:ascii="Arial" w:hAnsi="Arial" w:cs="Arial"/>
        </w:rPr>
        <w:lastRenderedPageBreak/>
        <w:t>logs and have also implemented programs to reduce waste, such as even recycling oils but also recycling bins in the room (Hilton, 2022).</w:t>
      </w:r>
    </w:p>
    <w:p w14:paraId="40903D76" w14:textId="67D5416A" w:rsidR="00514428" w:rsidRPr="00B173F0" w:rsidRDefault="003143BC" w:rsidP="00920D42">
      <w:pPr>
        <w:jc w:val="both"/>
        <w:rPr>
          <w:rFonts w:ascii="Arial" w:hAnsi="Arial" w:cs="Arial"/>
        </w:rPr>
      </w:pPr>
      <w:r w:rsidRPr="00B173F0">
        <w:rPr>
          <w:rFonts w:ascii="Arial" w:hAnsi="Arial" w:cs="Arial"/>
        </w:rPr>
        <w:t>Environmental sustainability is one of the most important aspects of CSR in the hospitality industry. Hilton London Bankside has adopted many initiatives in minimizing its footprint on the environment. For example, the hotel uses more energy-efficient technologies such as intelligent energy management systems that aim to monitor and reduce energy consumption. Renewable energy represents another fundamental aspect of the sustainability strategy imposed by the Hilton hotel chain and used even by the Hilton London Bankside, which is thus the integration of renewable energy sources, such as the use of solar panels that power part of the hotel's operations. By supplying the hotel with clean energy, it thus contributes to global efforts aimed at reducing dependence on fossil fuels and reducing greenhouse gas emissions.</w:t>
      </w:r>
    </w:p>
    <w:p w14:paraId="306F1E51" w14:textId="79956EF7" w:rsidR="00732A3B" w:rsidRPr="00B173F0" w:rsidRDefault="0001583B" w:rsidP="00920D42">
      <w:pPr>
        <w:jc w:val="both"/>
        <w:rPr>
          <w:rFonts w:ascii="Arial" w:hAnsi="Arial" w:cs="Arial"/>
        </w:rPr>
      </w:pPr>
      <w:r w:rsidRPr="00B173F0">
        <w:rPr>
          <w:rFonts w:ascii="Arial" w:hAnsi="Arial" w:cs="Arial"/>
        </w:rPr>
        <w:t>Hilton London Bankside has been designed to align with modern sustainability standards demonstrating the hotel's commitment to environmental responsibility. One of the most prominent features of this design is the use of a green roof that helps reduce energy consumption by providing natural insulation. This not only reduces energy consumption by ensuring natural insulation. Also, this not only reduces heating and cooling needs, but at the same time promotes urban biodiversity by supporting local wildlife, including even pollinators such as bees. The green space thus has an important role in the reintegration of vegetation in the highly urbanized area of ​​Bankside. The hotel uses energy efficient materials in its construction. The use of sustainable and recyclable materials minimizes the hotel's carbon footprint from the construction phase. An important example can be the urban bicycles that are available for guests, which are made of volcanic rock but also recyclable carbon fibbers. In addition, the design of the hotel incorporates extensive natural lighting, which reduces the need for artificial lighting during the day, thus reducing energy consumption even more. The hotel's heating and air conditioning and ventilation (HVAC) systems are thus optimized for energy efficiency, using advanced technology for temperature management and thus reducing energy consumption at the same time (Mokhtar, 2022)</w:t>
      </w:r>
    </w:p>
    <w:p w14:paraId="4FC84EB7" w14:textId="77777777" w:rsidR="007E6092" w:rsidRPr="00B173F0" w:rsidRDefault="007E6092" w:rsidP="00920D42">
      <w:pPr>
        <w:jc w:val="both"/>
        <w:rPr>
          <w:rFonts w:ascii="Arial" w:hAnsi="Arial" w:cs="Arial"/>
        </w:rPr>
      </w:pPr>
      <w:r w:rsidRPr="00B173F0">
        <w:rPr>
          <w:rFonts w:ascii="Arial" w:hAnsi="Arial" w:cs="Arial"/>
        </w:rPr>
        <w:br w:type="page"/>
      </w:r>
    </w:p>
    <w:p w14:paraId="47047324" w14:textId="7F8609DF" w:rsidR="00546AAC" w:rsidRPr="00920D42" w:rsidRDefault="0001583B" w:rsidP="00920D42">
      <w:pPr>
        <w:jc w:val="both"/>
        <w:rPr>
          <w:rFonts w:ascii="Calibri" w:hAnsi="Calibri" w:cs="Calibri"/>
        </w:rPr>
      </w:pPr>
      <w:r w:rsidRPr="00B173F0">
        <w:rPr>
          <w:rFonts w:ascii="Arial" w:hAnsi="Arial" w:cs="Arial"/>
        </w:rPr>
        <w:lastRenderedPageBreak/>
        <w:t>In conclusion, Corporate Social Responsibility (CSR) plays an essential role in promoting sustainability in the hospitality industry. Hilton London Bankside exemplifies this through its extensive CSR initiatives aimed at environmental conservation but also social commitment and ethical governance. From reducing carbon emissions through very efficient technologies to even promoting biodiversity with beehives on the roof, the efforts that the hotel has put into practice contribute in a very significant way to the environment and the well-being of the community. Hilton London Bankside thus integrates sustainable food supply through its kitchen gardens but also through its waste reduction programs, thus reflecting its commitment to minimizing the impact on the environment. Besides that, the hotel's collaboration with charitable organizations and local schools underlines its dedication to promoting social responsibility and supporting the community. While CSR practices in the hotel industry often face a series of challenges such as balancing financial objectives with sustainability, the long-term profitable opportunities as well as improving brand image are substantial. Hilton London Bankside's "Travel with purpose" strategy is a testament to the way in which CSR initiatives that are very well executed can not only benefit the environment but also society, but can also strengthen the hotel's market position and operational resilience</w:t>
      </w:r>
      <w:bookmarkEnd w:id="0"/>
      <w:r w:rsidRPr="00B173F0">
        <w:rPr>
          <w:rFonts w:ascii="Arial" w:hAnsi="Arial" w:cs="Arial"/>
        </w:rPr>
        <w:t>.</w:t>
      </w:r>
      <w:r w:rsidR="00546AAC" w:rsidRPr="00920D42">
        <w:rPr>
          <w:rFonts w:ascii="Calibri" w:hAnsi="Calibri" w:cs="Calibri"/>
        </w:rPr>
        <w:br w:type="page"/>
      </w:r>
    </w:p>
    <w:p w14:paraId="327F3B45" w14:textId="77777777" w:rsidR="00920D42" w:rsidRPr="00920D42" w:rsidRDefault="00920D42" w:rsidP="00920D42">
      <w:pPr>
        <w:jc w:val="both"/>
        <w:rPr>
          <w:rFonts w:ascii="Calibri" w:hAnsi="Calibri" w:cs="Calibri"/>
        </w:rPr>
      </w:pPr>
      <w:r w:rsidRPr="00920D42">
        <w:rPr>
          <w:rFonts w:ascii="Calibri" w:hAnsi="Calibri" w:cs="Calibri"/>
        </w:rPr>
        <w:lastRenderedPageBreak/>
        <w:t xml:space="preserve">Butler, J. (2008) The compelling “hard case” for “green” hotel development. </w:t>
      </w:r>
      <w:r w:rsidRPr="00920D42">
        <w:rPr>
          <w:rFonts w:ascii="Calibri" w:hAnsi="Calibri" w:cs="Calibri"/>
          <w:i/>
          <w:iCs/>
        </w:rPr>
        <w:t>Cornell hospitality quarterly</w:t>
      </w:r>
      <w:r w:rsidRPr="00920D42">
        <w:rPr>
          <w:rFonts w:ascii="Calibri" w:hAnsi="Calibri" w:cs="Calibri"/>
        </w:rPr>
        <w:t>, 49(3), pp. 234-244.</w:t>
      </w:r>
    </w:p>
    <w:p w14:paraId="561193D7" w14:textId="77777777" w:rsidR="00920D42" w:rsidRPr="00920D42" w:rsidRDefault="00920D42" w:rsidP="00920D42">
      <w:pPr>
        <w:jc w:val="both"/>
        <w:rPr>
          <w:rFonts w:ascii="Calibri" w:hAnsi="Calibri" w:cs="Calibri"/>
        </w:rPr>
      </w:pPr>
      <w:r w:rsidRPr="00920D42">
        <w:rPr>
          <w:rFonts w:ascii="Calibri" w:hAnsi="Calibri" w:cs="Calibri"/>
        </w:rPr>
        <w:t xml:space="preserve">Campbell, J. (2021). Hilton London Bankside launches sustainable kitchen garden - Supper Magazine. [online] Supper Magazine. Available at: </w:t>
      </w:r>
      <w:hyperlink r:id="rId5" w:tgtFrame="_new" w:history="1">
        <w:r w:rsidRPr="00920D42">
          <w:rPr>
            <w:rStyle w:val="Hyperlink"/>
            <w:rFonts w:ascii="Calibri" w:hAnsi="Calibri" w:cs="Calibri"/>
          </w:rPr>
          <w:t>https://www.suppermag.com/stories/projects/hilton-london-bankside-launches-sustainable-kitchen-garden/</w:t>
        </w:r>
      </w:hyperlink>
      <w:r w:rsidRPr="00920D42">
        <w:rPr>
          <w:rFonts w:ascii="Calibri" w:hAnsi="Calibri" w:cs="Calibri"/>
        </w:rPr>
        <w:t xml:space="preserve"> [Accessed 15 Oct. 2024].</w:t>
      </w:r>
    </w:p>
    <w:p w14:paraId="7B618DC5" w14:textId="77777777" w:rsidR="00920D42" w:rsidRPr="00920D42" w:rsidRDefault="00920D42" w:rsidP="00920D42">
      <w:pPr>
        <w:jc w:val="both"/>
        <w:rPr>
          <w:rFonts w:ascii="Calibri" w:hAnsi="Calibri" w:cs="Calibri"/>
        </w:rPr>
      </w:pPr>
      <w:proofErr w:type="spellStart"/>
      <w:r w:rsidRPr="00920D42">
        <w:rPr>
          <w:rFonts w:ascii="Calibri" w:hAnsi="Calibri" w:cs="Calibri"/>
        </w:rPr>
        <w:t>Dolnicar</w:t>
      </w:r>
      <w:proofErr w:type="spellEnd"/>
      <w:r w:rsidRPr="00920D42">
        <w:rPr>
          <w:rFonts w:ascii="Calibri" w:hAnsi="Calibri" w:cs="Calibri"/>
        </w:rPr>
        <w:t xml:space="preserve">, S., &amp; Leisch, F. (2008). Selective marketing for environmentally sustainable tourism. </w:t>
      </w:r>
      <w:r w:rsidRPr="00920D42">
        <w:rPr>
          <w:rFonts w:ascii="Calibri" w:hAnsi="Calibri" w:cs="Calibri"/>
          <w:i/>
          <w:iCs/>
        </w:rPr>
        <w:t>Tourism management</w:t>
      </w:r>
      <w:r w:rsidRPr="00920D42">
        <w:rPr>
          <w:rFonts w:ascii="Calibri" w:hAnsi="Calibri" w:cs="Calibri"/>
        </w:rPr>
        <w:t>, 29(4), pp. 672-680.</w:t>
      </w:r>
    </w:p>
    <w:p w14:paraId="6888C9A2" w14:textId="77777777" w:rsidR="00920D42" w:rsidRPr="00920D42" w:rsidRDefault="00920D42" w:rsidP="00920D42">
      <w:pPr>
        <w:jc w:val="both"/>
        <w:rPr>
          <w:rFonts w:ascii="Calibri" w:hAnsi="Calibri" w:cs="Calibri"/>
        </w:rPr>
      </w:pPr>
      <w:r w:rsidRPr="00920D42">
        <w:rPr>
          <w:rFonts w:ascii="Calibri" w:hAnsi="Calibri" w:cs="Calibri"/>
        </w:rPr>
        <w:t xml:space="preserve">Hilton (2020). HILTON 2020 ENVIRONMENTAL, SOCIAL AND GOVERNANCE (ESG) REPORT CONRAD MALDIVES RANGALI ISLAND. [online] Available at: </w:t>
      </w:r>
      <w:hyperlink r:id="rId6" w:tgtFrame="_new" w:history="1">
        <w:r w:rsidRPr="00920D42">
          <w:rPr>
            <w:rStyle w:val="Hyperlink"/>
            <w:rFonts w:ascii="Calibri" w:hAnsi="Calibri" w:cs="Calibri"/>
          </w:rPr>
          <w:t>https://cr.hilton.com/wp-content/uploads/2021/04/Hilton-2020-ESG-Report.pdf</w:t>
        </w:r>
      </w:hyperlink>
      <w:r w:rsidRPr="00920D42">
        <w:rPr>
          <w:rFonts w:ascii="Calibri" w:hAnsi="Calibri" w:cs="Calibri"/>
        </w:rPr>
        <w:t xml:space="preserve"> [Accessed 15 Oct. 2024].</w:t>
      </w:r>
    </w:p>
    <w:p w14:paraId="62AC2A7C" w14:textId="77777777" w:rsidR="00920D42" w:rsidRPr="00920D42" w:rsidRDefault="00920D42" w:rsidP="00920D42">
      <w:pPr>
        <w:jc w:val="both"/>
        <w:rPr>
          <w:rFonts w:ascii="Calibri" w:hAnsi="Calibri" w:cs="Calibri"/>
        </w:rPr>
      </w:pPr>
      <w:r w:rsidRPr="00920D42">
        <w:rPr>
          <w:rFonts w:ascii="Calibri" w:hAnsi="Calibri" w:cs="Calibri"/>
        </w:rPr>
        <w:t xml:space="preserve">Hilton London Bankside (n.d.) Environmental, Social and Governance (ESG) at Hilton London Bankside. Available at: </w:t>
      </w:r>
      <w:hyperlink r:id="rId7" w:tgtFrame="_new" w:history="1">
        <w:r w:rsidRPr="00920D42">
          <w:rPr>
            <w:rStyle w:val="Hyperlink"/>
            <w:rFonts w:ascii="Calibri" w:hAnsi="Calibri" w:cs="Calibri"/>
          </w:rPr>
          <w:t>https://evessio.s3.amazonaws.com/customer/b4289942-d924-4d3d-9044-2b4131d4ae91/event/797a6717-578c-4546-8273-5ce86edb60f7/media/General_Content/cd0bbdda-node_Hilton_Bankside_ESG_Brochure.pdf</w:t>
        </w:r>
      </w:hyperlink>
      <w:r w:rsidRPr="00920D42">
        <w:rPr>
          <w:rFonts w:ascii="Calibri" w:hAnsi="Calibri" w:cs="Calibri"/>
        </w:rPr>
        <w:t xml:space="preserve"> [Accessed: 15 October 2024].</w:t>
      </w:r>
    </w:p>
    <w:p w14:paraId="01E6C0B3" w14:textId="77777777" w:rsidR="00920D42" w:rsidRPr="00920D42" w:rsidRDefault="00920D42" w:rsidP="00920D42">
      <w:pPr>
        <w:jc w:val="both"/>
        <w:rPr>
          <w:rFonts w:ascii="Calibri" w:hAnsi="Calibri" w:cs="Calibri"/>
        </w:rPr>
      </w:pPr>
      <w:proofErr w:type="spellStart"/>
      <w:r w:rsidRPr="00920D42">
        <w:rPr>
          <w:rFonts w:ascii="Calibri" w:hAnsi="Calibri" w:cs="Calibri"/>
        </w:rPr>
        <w:t>Mkono</w:t>
      </w:r>
      <w:proofErr w:type="spellEnd"/>
      <w:r w:rsidRPr="00920D42">
        <w:rPr>
          <w:rFonts w:ascii="Calibri" w:hAnsi="Calibri" w:cs="Calibri"/>
        </w:rPr>
        <w:t xml:space="preserve">, M., &amp; Tribe, J. (2017). Beyond reviewing: Uncovering the multiple roles of tourism social media users. </w:t>
      </w:r>
      <w:r w:rsidRPr="00920D42">
        <w:rPr>
          <w:rFonts w:ascii="Calibri" w:hAnsi="Calibri" w:cs="Calibri"/>
          <w:i/>
          <w:iCs/>
        </w:rPr>
        <w:t>Journal of travel research</w:t>
      </w:r>
      <w:r w:rsidRPr="00920D42">
        <w:rPr>
          <w:rFonts w:ascii="Calibri" w:hAnsi="Calibri" w:cs="Calibri"/>
        </w:rPr>
        <w:t>, 56(3), pp. 287-298.</w:t>
      </w:r>
    </w:p>
    <w:p w14:paraId="0C7B4ADA" w14:textId="77777777" w:rsidR="00920D42" w:rsidRPr="00920D42" w:rsidRDefault="00920D42" w:rsidP="00920D42">
      <w:pPr>
        <w:jc w:val="both"/>
        <w:rPr>
          <w:rFonts w:ascii="Calibri" w:hAnsi="Calibri" w:cs="Calibri"/>
        </w:rPr>
      </w:pPr>
      <w:r w:rsidRPr="00920D42">
        <w:rPr>
          <w:rFonts w:ascii="Calibri" w:hAnsi="Calibri" w:cs="Calibri"/>
        </w:rPr>
        <w:t xml:space="preserve">Mokhtar, K. (2022). Calculate Hotel’s Energy Saving with </w:t>
      </w:r>
      <w:proofErr w:type="spellStart"/>
      <w:r w:rsidRPr="00920D42">
        <w:rPr>
          <w:rFonts w:ascii="Calibri" w:hAnsi="Calibri" w:cs="Calibri"/>
        </w:rPr>
        <w:t>SensorFlow</w:t>
      </w:r>
      <w:proofErr w:type="spellEnd"/>
      <w:r w:rsidRPr="00920D42">
        <w:rPr>
          <w:rFonts w:ascii="Calibri" w:hAnsi="Calibri" w:cs="Calibri"/>
        </w:rPr>
        <w:t xml:space="preserve">. [online] </w:t>
      </w:r>
      <w:proofErr w:type="spellStart"/>
      <w:r w:rsidRPr="00920D42">
        <w:rPr>
          <w:rFonts w:ascii="Calibri" w:hAnsi="Calibri" w:cs="Calibri"/>
        </w:rPr>
        <w:t>SensorFlow</w:t>
      </w:r>
      <w:proofErr w:type="spellEnd"/>
      <w:r w:rsidRPr="00920D42">
        <w:rPr>
          <w:rFonts w:ascii="Calibri" w:hAnsi="Calibri" w:cs="Calibri"/>
        </w:rPr>
        <w:t xml:space="preserve">. Available at: </w:t>
      </w:r>
      <w:hyperlink r:id="rId8" w:tgtFrame="_new" w:history="1">
        <w:r w:rsidRPr="00920D42">
          <w:rPr>
            <w:rStyle w:val="Hyperlink"/>
            <w:rFonts w:ascii="Calibri" w:hAnsi="Calibri" w:cs="Calibri"/>
          </w:rPr>
          <w:t>https://www.sensorflow.co/the-science-of-hvac-energy-efficiency-understanding-the-key-factors-for-hotel-operations/</w:t>
        </w:r>
      </w:hyperlink>
      <w:r w:rsidRPr="00920D42">
        <w:rPr>
          <w:rFonts w:ascii="Calibri" w:hAnsi="Calibri" w:cs="Calibri"/>
        </w:rPr>
        <w:t xml:space="preserve"> [Accessed 15 Oct. 2024].</w:t>
      </w:r>
    </w:p>
    <w:p w14:paraId="70F34D09" w14:textId="77777777" w:rsidR="00920D42" w:rsidRPr="00920D42" w:rsidRDefault="00920D42" w:rsidP="00920D42">
      <w:pPr>
        <w:jc w:val="both"/>
        <w:rPr>
          <w:rFonts w:ascii="Calibri" w:hAnsi="Calibri" w:cs="Calibri"/>
        </w:rPr>
      </w:pPr>
      <w:proofErr w:type="spellStart"/>
      <w:r w:rsidRPr="00920D42">
        <w:rPr>
          <w:rFonts w:ascii="Calibri" w:hAnsi="Calibri" w:cs="Calibri"/>
        </w:rPr>
        <w:t>Moravcikova</w:t>
      </w:r>
      <w:proofErr w:type="spellEnd"/>
      <w:r w:rsidRPr="00920D42">
        <w:rPr>
          <w:rFonts w:ascii="Calibri" w:hAnsi="Calibri" w:cs="Calibri"/>
        </w:rPr>
        <w:t xml:space="preserve">, K., </w:t>
      </w:r>
      <w:proofErr w:type="spellStart"/>
      <w:r w:rsidRPr="00920D42">
        <w:rPr>
          <w:rFonts w:ascii="Calibri" w:hAnsi="Calibri" w:cs="Calibri"/>
        </w:rPr>
        <w:t>Stefanikova</w:t>
      </w:r>
      <w:proofErr w:type="spellEnd"/>
      <w:r w:rsidRPr="00920D42">
        <w:rPr>
          <w:rFonts w:ascii="Calibri" w:hAnsi="Calibri" w:cs="Calibri"/>
        </w:rPr>
        <w:t xml:space="preserve">, Ľ., &amp; </w:t>
      </w:r>
      <w:proofErr w:type="spellStart"/>
      <w:r w:rsidRPr="00920D42">
        <w:rPr>
          <w:rFonts w:ascii="Calibri" w:hAnsi="Calibri" w:cs="Calibri"/>
        </w:rPr>
        <w:t>Rypakova</w:t>
      </w:r>
      <w:proofErr w:type="spellEnd"/>
      <w:r w:rsidRPr="00920D42">
        <w:rPr>
          <w:rFonts w:ascii="Calibri" w:hAnsi="Calibri" w:cs="Calibri"/>
        </w:rPr>
        <w:t xml:space="preserve">, M. (2015) CSR reporting as an important tool of CSR communication. </w:t>
      </w:r>
      <w:r w:rsidRPr="00920D42">
        <w:rPr>
          <w:rFonts w:ascii="Calibri" w:hAnsi="Calibri" w:cs="Calibri"/>
          <w:i/>
          <w:iCs/>
        </w:rPr>
        <w:t>Procedia Economics and finance</w:t>
      </w:r>
      <w:r w:rsidRPr="00920D42">
        <w:rPr>
          <w:rFonts w:ascii="Calibri" w:hAnsi="Calibri" w:cs="Calibri"/>
        </w:rPr>
        <w:t>, 26, pp. 332-338.</w:t>
      </w:r>
    </w:p>
    <w:p w14:paraId="40DF39D0" w14:textId="77777777" w:rsidR="00920D42" w:rsidRPr="00920D42" w:rsidRDefault="00920D42" w:rsidP="00920D42">
      <w:pPr>
        <w:jc w:val="both"/>
        <w:rPr>
          <w:rFonts w:ascii="Calibri" w:hAnsi="Calibri" w:cs="Calibri"/>
        </w:rPr>
      </w:pPr>
      <w:proofErr w:type="spellStart"/>
      <w:r w:rsidRPr="00920D42">
        <w:rPr>
          <w:rFonts w:ascii="Calibri" w:hAnsi="Calibri" w:cs="Calibri"/>
        </w:rPr>
        <w:t>Rhou</w:t>
      </w:r>
      <w:proofErr w:type="spellEnd"/>
      <w:r w:rsidRPr="00920D42">
        <w:rPr>
          <w:rFonts w:ascii="Calibri" w:hAnsi="Calibri" w:cs="Calibri"/>
        </w:rPr>
        <w:t xml:space="preserve">, Y., &amp; Singal, M. (2020). A review of the business case for CSR in the hospitality industry. </w:t>
      </w:r>
      <w:r w:rsidRPr="00920D42">
        <w:rPr>
          <w:rFonts w:ascii="Calibri" w:hAnsi="Calibri" w:cs="Calibri"/>
          <w:i/>
          <w:iCs/>
        </w:rPr>
        <w:t>International Journal of Hospitality Management</w:t>
      </w:r>
      <w:r w:rsidRPr="00920D42">
        <w:rPr>
          <w:rFonts w:ascii="Calibri" w:hAnsi="Calibri" w:cs="Calibri"/>
        </w:rPr>
        <w:t>, 84, 102330.</w:t>
      </w:r>
    </w:p>
    <w:p w14:paraId="4EB9AC2A" w14:textId="77777777" w:rsidR="00920D42" w:rsidRPr="00920D42" w:rsidRDefault="00920D42" w:rsidP="00920D42">
      <w:pPr>
        <w:jc w:val="both"/>
        <w:rPr>
          <w:rFonts w:ascii="Calibri" w:hAnsi="Calibri" w:cs="Calibri"/>
        </w:rPr>
      </w:pPr>
      <w:proofErr w:type="spellStart"/>
      <w:r w:rsidRPr="00920D42">
        <w:rPr>
          <w:rFonts w:ascii="Calibri" w:hAnsi="Calibri" w:cs="Calibri"/>
        </w:rPr>
        <w:t>Skouloudis</w:t>
      </w:r>
      <w:proofErr w:type="spellEnd"/>
      <w:r w:rsidRPr="00920D42">
        <w:rPr>
          <w:rFonts w:ascii="Calibri" w:hAnsi="Calibri" w:cs="Calibri"/>
        </w:rPr>
        <w:t xml:space="preserve">, A., </w:t>
      </w:r>
      <w:proofErr w:type="spellStart"/>
      <w:r w:rsidRPr="00920D42">
        <w:rPr>
          <w:rFonts w:ascii="Calibri" w:hAnsi="Calibri" w:cs="Calibri"/>
        </w:rPr>
        <w:t>Evangelinos</w:t>
      </w:r>
      <w:proofErr w:type="spellEnd"/>
      <w:r w:rsidRPr="00920D42">
        <w:rPr>
          <w:rFonts w:ascii="Calibri" w:hAnsi="Calibri" w:cs="Calibri"/>
        </w:rPr>
        <w:t xml:space="preserve">, K., &amp; </w:t>
      </w:r>
      <w:proofErr w:type="spellStart"/>
      <w:r w:rsidRPr="00920D42">
        <w:rPr>
          <w:rFonts w:ascii="Calibri" w:hAnsi="Calibri" w:cs="Calibri"/>
        </w:rPr>
        <w:t>Kourmousis</w:t>
      </w:r>
      <w:proofErr w:type="spellEnd"/>
      <w:r w:rsidRPr="00920D42">
        <w:rPr>
          <w:rFonts w:ascii="Calibri" w:hAnsi="Calibri" w:cs="Calibri"/>
        </w:rPr>
        <w:t xml:space="preserve">, F. (2009). Development of an evaluation methodology for triple bottom line reports using international standards on reporting. </w:t>
      </w:r>
      <w:r w:rsidRPr="00920D42">
        <w:rPr>
          <w:rFonts w:ascii="Calibri" w:hAnsi="Calibri" w:cs="Calibri"/>
          <w:i/>
          <w:iCs/>
        </w:rPr>
        <w:t>Environmental Management</w:t>
      </w:r>
      <w:r w:rsidRPr="00920D42">
        <w:rPr>
          <w:rFonts w:ascii="Calibri" w:hAnsi="Calibri" w:cs="Calibri"/>
        </w:rPr>
        <w:t>, 44, pp. 298-311.</w:t>
      </w:r>
    </w:p>
    <w:p w14:paraId="440EABA9" w14:textId="77777777" w:rsidR="00920D42" w:rsidRPr="00920D42" w:rsidRDefault="00920D42" w:rsidP="00920D42">
      <w:pPr>
        <w:jc w:val="both"/>
        <w:rPr>
          <w:rFonts w:ascii="Calibri" w:hAnsi="Calibri" w:cs="Calibri"/>
        </w:rPr>
      </w:pPr>
      <w:r w:rsidRPr="00920D42">
        <w:rPr>
          <w:rFonts w:ascii="Calibri" w:hAnsi="Calibri" w:cs="Calibri"/>
        </w:rPr>
        <w:lastRenderedPageBreak/>
        <w:t xml:space="preserve">Sky Garden. (2024). Wildflower Roofs at Hilton Bankside, London | Sky Garden. [online] Available at: </w:t>
      </w:r>
      <w:hyperlink r:id="rId9" w:tgtFrame="_new" w:history="1">
        <w:r w:rsidRPr="00920D42">
          <w:rPr>
            <w:rStyle w:val="Hyperlink"/>
            <w:rFonts w:ascii="Calibri" w:hAnsi="Calibri" w:cs="Calibri"/>
          </w:rPr>
          <w:t>https://www.sky-garden.co.uk/case-studies/hilton-bankside-london/</w:t>
        </w:r>
      </w:hyperlink>
      <w:r w:rsidRPr="00920D42">
        <w:rPr>
          <w:rFonts w:ascii="Calibri" w:hAnsi="Calibri" w:cs="Calibri"/>
        </w:rPr>
        <w:t xml:space="preserve"> [Accessed 15 Oct. 2024].</w:t>
      </w:r>
    </w:p>
    <w:p w14:paraId="4FB90638" w14:textId="460E1084" w:rsidR="00FB55B4" w:rsidRPr="00920D42" w:rsidRDefault="00920D42" w:rsidP="00920D42">
      <w:pPr>
        <w:jc w:val="both"/>
        <w:rPr>
          <w:rFonts w:ascii="Calibri" w:hAnsi="Calibri" w:cs="Calibri"/>
        </w:rPr>
      </w:pPr>
      <w:r w:rsidRPr="00920D42">
        <w:rPr>
          <w:rFonts w:ascii="Calibri" w:hAnsi="Calibri" w:cs="Calibri"/>
        </w:rPr>
        <w:t xml:space="preserve">Wentworth, A. (2018) Hilton makes new commitment to slash emissions by 61% - Climate Action. [online] Available at: </w:t>
      </w:r>
      <w:hyperlink r:id="rId10" w:anchor=":~:text=It%20now%20has%20a%20goal,with%20the%20Paris%20climate%20agreement" w:tgtFrame="_new" w:history="1">
        <w:r w:rsidRPr="00920D42">
          <w:rPr>
            <w:rStyle w:val="Hyperlink"/>
            <w:rFonts w:ascii="Calibri" w:hAnsi="Calibri" w:cs="Calibri"/>
          </w:rPr>
          <w:t>https://www.climateaction.org/news/hilton-hotels-makes-new-commitment-to-slash-emissions-by-61#:~:text=It%20now%20has%20a%20goal,with%20the%20Paris%20climate%20agreement</w:t>
        </w:r>
      </w:hyperlink>
      <w:r w:rsidRPr="00920D42">
        <w:rPr>
          <w:rFonts w:ascii="Calibri" w:hAnsi="Calibri" w:cs="Calibri"/>
        </w:rPr>
        <w:t>. [Accessed 15 Oct. 2024].</w:t>
      </w:r>
    </w:p>
    <w:p w14:paraId="517510CD" w14:textId="77777777" w:rsidR="00920D42" w:rsidRPr="00920D42" w:rsidRDefault="00920D42">
      <w:pPr>
        <w:jc w:val="both"/>
        <w:rPr>
          <w:rFonts w:ascii="Calibri" w:hAnsi="Calibri" w:cs="Calibri"/>
        </w:rPr>
      </w:pPr>
    </w:p>
    <w:sectPr w:rsidR="00920D42" w:rsidRPr="00920D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D77292"/>
    <w:multiLevelType w:val="multilevel"/>
    <w:tmpl w:val="4AF8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414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092"/>
    <w:rsid w:val="0001583B"/>
    <w:rsid w:val="000A080A"/>
    <w:rsid w:val="002760A3"/>
    <w:rsid w:val="003143BC"/>
    <w:rsid w:val="00514428"/>
    <w:rsid w:val="00546AAC"/>
    <w:rsid w:val="00732A3B"/>
    <w:rsid w:val="00756860"/>
    <w:rsid w:val="007E6092"/>
    <w:rsid w:val="00920D42"/>
    <w:rsid w:val="00977081"/>
    <w:rsid w:val="00B173F0"/>
    <w:rsid w:val="00D86CB7"/>
    <w:rsid w:val="00F37434"/>
    <w:rsid w:val="00FB55B4"/>
    <w:rsid w:val="00FF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BAE7"/>
  <w15:chartTrackingRefBased/>
  <w15:docId w15:val="{1A75DB78-A844-974B-B8C9-415F00B9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AAC"/>
    <w:pPr>
      <w:spacing w:line="360" w:lineRule="auto"/>
    </w:pPr>
  </w:style>
  <w:style w:type="paragraph" w:styleId="Heading1">
    <w:name w:val="heading 1"/>
    <w:basedOn w:val="Normal"/>
    <w:next w:val="Normal"/>
    <w:link w:val="Heading1Char"/>
    <w:uiPriority w:val="9"/>
    <w:qFormat/>
    <w:rsid w:val="007E6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0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0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0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0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092"/>
    <w:rPr>
      <w:rFonts w:eastAsiaTheme="majorEastAsia" w:cstheme="majorBidi"/>
      <w:color w:val="272727" w:themeColor="text1" w:themeTint="D8"/>
    </w:rPr>
  </w:style>
  <w:style w:type="paragraph" w:styleId="Title">
    <w:name w:val="Title"/>
    <w:basedOn w:val="Normal"/>
    <w:next w:val="Normal"/>
    <w:link w:val="TitleChar"/>
    <w:uiPriority w:val="10"/>
    <w:qFormat/>
    <w:rsid w:val="007E60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0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092"/>
    <w:pPr>
      <w:spacing w:before="160"/>
      <w:jc w:val="center"/>
    </w:pPr>
    <w:rPr>
      <w:i/>
      <w:iCs/>
      <w:color w:val="404040" w:themeColor="text1" w:themeTint="BF"/>
    </w:rPr>
  </w:style>
  <w:style w:type="character" w:customStyle="1" w:styleId="QuoteChar">
    <w:name w:val="Quote Char"/>
    <w:basedOn w:val="DefaultParagraphFont"/>
    <w:link w:val="Quote"/>
    <w:uiPriority w:val="29"/>
    <w:rsid w:val="007E6092"/>
    <w:rPr>
      <w:i/>
      <w:iCs/>
      <w:color w:val="404040" w:themeColor="text1" w:themeTint="BF"/>
    </w:rPr>
  </w:style>
  <w:style w:type="paragraph" w:styleId="ListParagraph">
    <w:name w:val="List Paragraph"/>
    <w:basedOn w:val="Normal"/>
    <w:uiPriority w:val="34"/>
    <w:qFormat/>
    <w:rsid w:val="007E6092"/>
    <w:pPr>
      <w:ind w:left="720"/>
      <w:contextualSpacing/>
    </w:pPr>
  </w:style>
  <w:style w:type="character" w:styleId="IntenseEmphasis">
    <w:name w:val="Intense Emphasis"/>
    <w:basedOn w:val="DefaultParagraphFont"/>
    <w:uiPriority w:val="21"/>
    <w:qFormat/>
    <w:rsid w:val="007E6092"/>
    <w:rPr>
      <w:i/>
      <w:iCs/>
      <w:color w:val="0F4761" w:themeColor="accent1" w:themeShade="BF"/>
    </w:rPr>
  </w:style>
  <w:style w:type="paragraph" w:styleId="IntenseQuote">
    <w:name w:val="Intense Quote"/>
    <w:basedOn w:val="Normal"/>
    <w:next w:val="Normal"/>
    <w:link w:val="IntenseQuoteChar"/>
    <w:uiPriority w:val="30"/>
    <w:qFormat/>
    <w:rsid w:val="007E6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092"/>
    <w:rPr>
      <w:i/>
      <w:iCs/>
      <w:color w:val="0F4761" w:themeColor="accent1" w:themeShade="BF"/>
    </w:rPr>
  </w:style>
  <w:style w:type="character" w:styleId="IntenseReference">
    <w:name w:val="Intense Reference"/>
    <w:basedOn w:val="DefaultParagraphFont"/>
    <w:uiPriority w:val="32"/>
    <w:qFormat/>
    <w:rsid w:val="007E6092"/>
    <w:rPr>
      <w:b/>
      <w:bCs/>
      <w:smallCaps/>
      <w:color w:val="0F4761" w:themeColor="accent1" w:themeShade="BF"/>
      <w:spacing w:val="5"/>
    </w:rPr>
  </w:style>
  <w:style w:type="paragraph" w:styleId="NormalWeb">
    <w:name w:val="Normal (Web)"/>
    <w:basedOn w:val="Normal"/>
    <w:uiPriority w:val="99"/>
    <w:unhideWhenUsed/>
    <w:rsid w:val="00FB55B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B55B4"/>
    <w:rPr>
      <w:color w:val="467886" w:themeColor="hyperlink"/>
      <w:u w:val="single"/>
    </w:rPr>
  </w:style>
  <w:style w:type="character" w:styleId="UnresolvedMention">
    <w:name w:val="Unresolved Mention"/>
    <w:basedOn w:val="DefaultParagraphFont"/>
    <w:uiPriority w:val="99"/>
    <w:semiHidden/>
    <w:unhideWhenUsed/>
    <w:rsid w:val="00FB5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0843">
      <w:bodyDiv w:val="1"/>
      <w:marLeft w:val="0"/>
      <w:marRight w:val="0"/>
      <w:marTop w:val="0"/>
      <w:marBottom w:val="0"/>
      <w:divBdr>
        <w:top w:val="none" w:sz="0" w:space="0" w:color="auto"/>
        <w:left w:val="none" w:sz="0" w:space="0" w:color="auto"/>
        <w:bottom w:val="none" w:sz="0" w:space="0" w:color="auto"/>
        <w:right w:val="none" w:sz="0" w:space="0" w:color="auto"/>
      </w:divBdr>
    </w:div>
    <w:div w:id="440342390">
      <w:bodyDiv w:val="1"/>
      <w:marLeft w:val="0"/>
      <w:marRight w:val="0"/>
      <w:marTop w:val="0"/>
      <w:marBottom w:val="0"/>
      <w:divBdr>
        <w:top w:val="none" w:sz="0" w:space="0" w:color="auto"/>
        <w:left w:val="none" w:sz="0" w:space="0" w:color="auto"/>
        <w:bottom w:val="none" w:sz="0" w:space="0" w:color="auto"/>
        <w:right w:val="none" w:sz="0" w:space="0" w:color="auto"/>
      </w:divBdr>
    </w:div>
    <w:div w:id="518279782">
      <w:bodyDiv w:val="1"/>
      <w:marLeft w:val="0"/>
      <w:marRight w:val="0"/>
      <w:marTop w:val="0"/>
      <w:marBottom w:val="0"/>
      <w:divBdr>
        <w:top w:val="none" w:sz="0" w:space="0" w:color="auto"/>
        <w:left w:val="none" w:sz="0" w:space="0" w:color="auto"/>
        <w:bottom w:val="none" w:sz="0" w:space="0" w:color="auto"/>
        <w:right w:val="none" w:sz="0" w:space="0" w:color="auto"/>
      </w:divBdr>
    </w:div>
    <w:div w:id="549340299">
      <w:bodyDiv w:val="1"/>
      <w:marLeft w:val="0"/>
      <w:marRight w:val="0"/>
      <w:marTop w:val="0"/>
      <w:marBottom w:val="0"/>
      <w:divBdr>
        <w:top w:val="none" w:sz="0" w:space="0" w:color="auto"/>
        <w:left w:val="none" w:sz="0" w:space="0" w:color="auto"/>
        <w:bottom w:val="none" w:sz="0" w:space="0" w:color="auto"/>
        <w:right w:val="none" w:sz="0" w:space="0" w:color="auto"/>
      </w:divBdr>
    </w:div>
    <w:div w:id="1467815010">
      <w:bodyDiv w:val="1"/>
      <w:marLeft w:val="0"/>
      <w:marRight w:val="0"/>
      <w:marTop w:val="0"/>
      <w:marBottom w:val="0"/>
      <w:divBdr>
        <w:top w:val="none" w:sz="0" w:space="0" w:color="auto"/>
        <w:left w:val="none" w:sz="0" w:space="0" w:color="auto"/>
        <w:bottom w:val="none" w:sz="0" w:space="0" w:color="auto"/>
        <w:right w:val="none" w:sz="0" w:space="0" w:color="auto"/>
      </w:divBdr>
    </w:div>
    <w:div w:id="1798834950">
      <w:bodyDiv w:val="1"/>
      <w:marLeft w:val="0"/>
      <w:marRight w:val="0"/>
      <w:marTop w:val="0"/>
      <w:marBottom w:val="0"/>
      <w:divBdr>
        <w:top w:val="none" w:sz="0" w:space="0" w:color="auto"/>
        <w:left w:val="none" w:sz="0" w:space="0" w:color="auto"/>
        <w:bottom w:val="none" w:sz="0" w:space="0" w:color="auto"/>
        <w:right w:val="none" w:sz="0" w:space="0" w:color="auto"/>
      </w:divBdr>
      <w:divsChild>
        <w:div w:id="1935091487">
          <w:marLeft w:val="0"/>
          <w:marRight w:val="0"/>
          <w:marTop w:val="0"/>
          <w:marBottom w:val="0"/>
          <w:divBdr>
            <w:top w:val="none" w:sz="0" w:space="0" w:color="auto"/>
            <w:left w:val="none" w:sz="0" w:space="0" w:color="auto"/>
            <w:bottom w:val="none" w:sz="0" w:space="0" w:color="auto"/>
            <w:right w:val="none" w:sz="0" w:space="0" w:color="auto"/>
          </w:divBdr>
          <w:divsChild>
            <w:div w:id="220945137">
              <w:marLeft w:val="0"/>
              <w:marRight w:val="0"/>
              <w:marTop w:val="0"/>
              <w:marBottom w:val="0"/>
              <w:divBdr>
                <w:top w:val="none" w:sz="0" w:space="0" w:color="auto"/>
                <w:left w:val="none" w:sz="0" w:space="0" w:color="auto"/>
                <w:bottom w:val="none" w:sz="0" w:space="0" w:color="auto"/>
                <w:right w:val="none" w:sz="0" w:space="0" w:color="auto"/>
              </w:divBdr>
              <w:divsChild>
                <w:div w:id="533999453">
                  <w:marLeft w:val="0"/>
                  <w:marRight w:val="0"/>
                  <w:marTop w:val="0"/>
                  <w:marBottom w:val="0"/>
                  <w:divBdr>
                    <w:top w:val="none" w:sz="0" w:space="0" w:color="auto"/>
                    <w:left w:val="none" w:sz="0" w:space="0" w:color="auto"/>
                    <w:bottom w:val="none" w:sz="0" w:space="0" w:color="auto"/>
                    <w:right w:val="none" w:sz="0" w:space="0" w:color="auto"/>
                  </w:divBdr>
                  <w:divsChild>
                    <w:div w:id="8650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3968">
          <w:marLeft w:val="0"/>
          <w:marRight w:val="0"/>
          <w:marTop w:val="0"/>
          <w:marBottom w:val="0"/>
          <w:divBdr>
            <w:top w:val="none" w:sz="0" w:space="0" w:color="auto"/>
            <w:left w:val="none" w:sz="0" w:space="0" w:color="auto"/>
            <w:bottom w:val="none" w:sz="0" w:space="0" w:color="auto"/>
            <w:right w:val="none" w:sz="0" w:space="0" w:color="auto"/>
          </w:divBdr>
          <w:divsChild>
            <w:div w:id="1926112733">
              <w:marLeft w:val="0"/>
              <w:marRight w:val="0"/>
              <w:marTop w:val="0"/>
              <w:marBottom w:val="0"/>
              <w:divBdr>
                <w:top w:val="none" w:sz="0" w:space="0" w:color="auto"/>
                <w:left w:val="none" w:sz="0" w:space="0" w:color="auto"/>
                <w:bottom w:val="none" w:sz="0" w:space="0" w:color="auto"/>
                <w:right w:val="none" w:sz="0" w:space="0" w:color="auto"/>
              </w:divBdr>
              <w:divsChild>
                <w:div w:id="323439214">
                  <w:marLeft w:val="0"/>
                  <w:marRight w:val="0"/>
                  <w:marTop w:val="0"/>
                  <w:marBottom w:val="0"/>
                  <w:divBdr>
                    <w:top w:val="none" w:sz="0" w:space="0" w:color="auto"/>
                    <w:left w:val="none" w:sz="0" w:space="0" w:color="auto"/>
                    <w:bottom w:val="none" w:sz="0" w:space="0" w:color="auto"/>
                    <w:right w:val="none" w:sz="0" w:space="0" w:color="auto"/>
                  </w:divBdr>
                  <w:divsChild>
                    <w:div w:id="140525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sorflow.co/the-science-of-hvac-energy-efficiency-understanding-the-key-factors-for-hotel-operations/" TargetMode="External"/><Relationship Id="rId3" Type="http://schemas.openxmlformats.org/officeDocument/2006/relationships/settings" Target="settings.xml"/><Relationship Id="rId7" Type="http://schemas.openxmlformats.org/officeDocument/2006/relationships/hyperlink" Target="https://evessio.s3.amazonaws.com/customer/b4289942-d924-4d3d-9044-2b4131d4ae91/event/797a6717-578c-4546-8273-5ce86edb60f7/media/General_Content/cd0bbdda-node_Hilton_Bankside_ESG_Brochur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hilton.com/wp-content/uploads/2021/04/Hilton-2020-ESG-Report.pdf" TargetMode="External"/><Relationship Id="rId11" Type="http://schemas.openxmlformats.org/officeDocument/2006/relationships/fontTable" Target="fontTable.xml"/><Relationship Id="rId5" Type="http://schemas.openxmlformats.org/officeDocument/2006/relationships/hyperlink" Target="https://www.suppermag.com/stories/projects/hilton-london-bankside-launches-sustainable-kitchen-garden/" TargetMode="External"/><Relationship Id="rId10" Type="http://schemas.openxmlformats.org/officeDocument/2006/relationships/hyperlink" Target="https://www.climateaction.org/news/hilton-hotels-makes-new-commitment-to-slash-emissions-by-61" TargetMode="External"/><Relationship Id="rId4" Type="http://schemas.openxmlformats.org/officeDocument/2006/relationships/webSettings" Target="webSettings.xml"/><Relationship Id="rId9" Type="http://schemas.openxmlformats.org/officeDocument/2006/relationships/hyperlink" Target="https://www.sky-garden.co.uk/case-studies/hilton-bankside-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Dragomir (2227451)</dc:creator>
  <cp:keywords/>
  <dc:description/>
  <cp:lastModifiedBy>Florin Dragomir (2227451)</cp:lastModifiedBy>
  <cp:revision>2</cp:revision>
  <dcterms:created xsi:type="dcterms:W3CDTF">2024-10-17T07:13:00Z</dcterms:created>
  <dcterms:modified xsi:type="dcterms:W3CDTF">2024-10-17T07:13:00Z</dcterms:modified>
  <cp:category/>
</cp:coreProperties>
</file>