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731C4B" w14:textId="77777777" w:rsidR="002A4F31" w:rsidRDefault="002A4F31">
      <w:pPr>
        <w:spacing w:before="240" w:after="240"/>
        <w:jc w:val="center"/>
        <w:rPr>
          <w:b/>
          <w:sz w:val="32"/>
          <w:szCs w:val="32"/>
        </w:rPr>
      </w:pPr>
    </w:p>
    <w:p w14:paraId="18114842" w14:textId="77777777" w:rsidR="002A4F31" w:rsidRDefault="002A4F31">
      <w:pPr>
        <w:spacing w:before="240" w:after="240"/>
        <w:jc w:val="center"/>
        <w:rPr>
          <w:b/>
          <w:sz w:val="32"/>
          <w:szCs w:val="32"/>
        </w:rPr>
      </w:pPr>
    </w:p>
    <w:p w14:paraId="6A0DCBBD" w14:textId="77777777" w:rsidR="002A4F31" w:rsidRDefault="002A4F31">
      <w:pPr>
        <w:spacing w:before="240" w:after="240"/>
        <w:jc w:val="left"/>
        <w:rPr>
          <w:b/>
          <w:sz w:val="32"/>
          <w:szCs w:val="32"/>
        </w:rPr>
      </w:pPr>
    </w:p>
    <w:p w14:paraId="2E4E019B" w14:textId="77777777" w:rsidR="002A4F31" w:rsidRDefault="002A4F31">
      <w:pPr>
        <w:spacing w:before="240" w:after="240"/>
        <w:jc w:val="center"/>
        <w:rPr>
          <w:b/>
          <w:sz w:val="32"/>
          <w:szCs w:val="32"/>
        </w:rPr>
      </w:pPr>
    </w:p>
    <w:p w14:paraId="01A05906" w14:textId="77777777" w:rsidR="002A4F31" w:rsidRDefault="00D05E86">
      <w:pPr>
        <w:jc w:val="center"/>
        <w:rPr>
          <w:b/>
          <w:sz w:val="32"/>
          <w:szCs w:val="32"/>
        </w:rPr>
      </w:pPr>
      <w:r>
        <w:rPr>
          <w:noProof/>
        </w:rPr>
        <w:drawing>
          <wp:inline distT="114300" distB="114300" distL="114300" distR="114300" wp14:anchorId="4A9C8E12" wp14:editId="73032D8A">
            <wp:extent cx="1962150" cy="7429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62150" cy="742950"/>
                    </a:xfrm>
                    <a:prstGeom prst="rect">
                      <a:avLst/>
                    </a:prstGeom>
                    <a:ln/>
                  </pic:spPr>
                </pic:pic>
              </a:graphicData>
            </a:graphic>
          </wp:inline>
        </w:drawing>
      </w:r>
    </w:p>
    <w:p w14:paraId="7F83FA1E" w14:textId="77777777" w:rsidR="002A4F31" w:rsidRDefault="00D05E86">
      <w:pPr>
        <w:spacing w:before="240" w:after="240"/>
        <w:jc w:val="center"/>
        <w:rPr>
          <w:b/>
          <w:sz w:val="40"/>
          <w:szCs w:val="40"/>
        </w:rPr>
      </w:pPr>
      <w:r>
        <w:rPr>
          <w:b/>
          <w:sz w:val="40"/>
          <w:szCs w:val="40"/>
        </w:rPr>
        <w:t>Social Enterprise: Theory and Practise</w:t>
      </w:r>
    </w:p>
    <w:p w14:paraId="051F40EC" w14:textId="77777777" w:rsidR="002A4F31" w:rsidRDefault="00D05E86">
      <w:pPr>
        <w:spacing w:before="240" w:after="240"/>
        <w:jc w:val="center"/>
        <w:rPr>
          <w:b/>
          <w:sz w:val="32"/>
          <w:szCs w:val="32"/>
        </w:rPr>
      </w:pPr>
      <w:r>
        <w:rPr>
          <w:b/>
          <w:sz w:val="32"/>
          <w:szCs w:val="32"/>
        </w:rPr>
        <w:t>Assessment two-Report</w:t>
      </w:r>
    </w:p>
    <w:p w14:paraId="1B0A4BAB" w14:textId="77777777" w:rsidR="002A4F31" w:rsidRDefault="00D05E86">
      <w:pPr>
        <w:spacing w:before="240" w:after="240"/>
        <w:jc w:val="center"/>
        <w:rPr>
          <w:b/>
          <w:sz w:val="28"/>
          <w:szCs w:val="28"/>
        </w:rPr>
      </w:pPr>
      <w:r>
        <w:rPr>
          <w:b/>
          <w:sz w:val="28"/>
          <w:szCs w:val="28"/>
        </w:rPr>
        <w:t>Social Impact Measurement: A Case Study of Divine Chocolate</w:t>
      </w:r>
    </w:p>
    <w:p w14:paraId="75059FDB" w14:textId="69F428AD" w:rsidR="002A4F31" w:rsidRDefault="00D05E86">
      <w:pPr>
        <w:spacing w:before="280" w:after="80"/>
        <w:jc w:val="center"/>
      </w:pPr>
      <w:r>
        <w:t>Student Name:</w:t>
      </w:r>
      <w:r w:rsidR="00D75873">
        <w:t xml:space="preserve"> Monica Filip</w:t>
      </w:r>
    </w:p>
    <w:p w14:paraId="73D2925C" w14:textId="169585FC" w:rsidR="002A4F31" w:rsidRDefault="00D05E86">
      <w:pPr>
        <w:spacing w:before="280" w:after="80"/>
        <w:jc w:val="center"/>
      </w:pPr>
      <w:r>
        <w:t>Student ID:</w:t>
      </w:r>
      <w:r w:rsidR="00D75873">
        <w:t>2322926</w:t>
      </w:r>
      <w:r>
        <w:br w:type="page"/>
      </w:r>
    </w:p>
    <w:p w14:paraId="7045D2B9" w14:textId="77777777" w:rsidR="002A4F31" w:rsidRDefault="00D05E86">
      <w:pPr>
        <w:spacing w:before="280" w:after="80"/>
        <w:jc w:val="center"/>
        <w:rPr>
          <w:b/>
        </w:rPr>
      </w:pPr>
      <w:r>
        <w:rPr>
          <w:b/>
        </w:rPr>
        <w:lastRenderedPageBreak/>
        <w:t>Executive Summary</w:t>
      </w:r>
    </w:p>
    <w:p w14:paraId="41B1F46D" w14:textId="77777777" w:rsidR="002A4F31" w:rsidRDefault="00D05E86">
      <w:r>
        <w:t xml:space="preserve">This report has examined the social effect of Divine Chocolate, an extraordinary social business organisation based in the United Kingdom which is co-owned by </w:t>
      </w:r>
      <w:proofErr w:type="spellStart"/>
      <w:r>
        <w:t>Kuapa</w:t>
      </w:r>
      <w:proofErr w:type="spellEnd"/>
      <w:r>
        <w:t xml:space="preserve"> </w:t>
      </w:r>
      <w:proofErr w:type="spellStart"/>
      <w:proofErr w:type="gramStart"/>
      <w:r>
        <w:t>Kokoo</w:t>
      </w:r>
      <w:proofErr w:type="spellEnd"/>
      <w:r>
        <w:t>;</w:t>
      </w:r>
      <w:proofErr w:type="gramEnd"/>
      <w:r>
        <w:t xml:space="preserve"> a Ghanaian cocoa farmer co-operative society. Consequently, the paper uses the Social Audit Network framework to evaluate the organisation’s economic value, social impact, and environmental footprint. </w:t>
      </w:r>
      <w:proofErr w:type="gramStart"/>
      <w:r>
        <w:t>In light of</w:t>
      </w:r>
      <w:proofErr w:type="gramEnd"/>
      <w:r>
        <w:t xml:space="preserve"> the described and envisioned goals, Divine Chocolate aligns with ethical trading policies due to distributed profit, cooperation with farmers and focus on community growth. Committed to gender, Education and health matters, this shows that FUNAAB is all-rounded when it comes to the social responsibility of an institution. Sustainability involves the farming practices it encourages, and the packaging that it uses, are friendly to the natural environment.</w:t>
      </w:r>
    </w:p>
    <w:p w14:paraId="62FABEC1" w14:textId="77777777" w:rsidR="002A4F31" w:rsidRDefault="00D05E86">
      <w:r>
        <w:t>The study has also revealed that Divine Chocolate has been able to achieve its financial profit objectives with appropriate social and environmental impacts. However, some issues, including high pricing, high supply chain issues, and a lack of effective measurement of the outcomes of interventions were reported. Specific actions include making new channels for co-ownership possible, increasing market audiences with affordable price points, and improving methods of measuring social value. If these issues are tackled, Divine Chocolate will be able to enhance its authority to the best ethical trade and press on continuing to set the standards for social business globally. This report lays down the possibility that social enterprises could play a catalytic role in creating fairness and sustainability within current and future world trading systems.</w:t>
      </w:r>
      <w:r>
        <w:br w:type="page"/>
      </w:r>
    </w:p>
    <w:p w14:paraId="4874E50E" w14:textId="77777777" w:rsidR="002A4F31" w:rsidRDefault="00D05E86">
      <w:pPr>
        <w:rPr>
          <w:b/>
          <w:sz w:val="28"/>
          <w:szCs w:val="28"/>
        </w:rPr>
      </w:pPr>
      <w:r>
        <w:rPr>
          <w:b/>
          <w:sz w:val="28"/>
          <w:szCs w:val="28"/>
        </w:rPr>
        <w:lastRenderedPageBreak/>
        <w:t>Table of Contents</w:t>
      </w:r>
    </w:p>
    <w:sdt>
      <w:sdtPr>
        <w:id w:val="458920701"/>
        <w:docPartObj>
          <w:docPartGallery w:val="Table of Contents"/>
          <w:docPartUnique/>
        </w:docPartObj>
      </w:sdtPr>
      <w:sdtEndPr/>
      <w:sdtContent>
        <w:p w14:paraId="478415FD" w14:textId="77777777" w:rsidR="002A4F31" w:rsidRDefault="00D05E86">
          <w:pPr>
            <w:widowControl w:val="0"/>
            <w:tabs>
              <w:tab w:val="right" w:leader="do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heading=h.dlrgctc1luhq">
            <w:r>
              <w:rPr>
                <w:b/>
                <w:color w:val="000000"/>
              </w:rPr>
              <w:t>Introduction</w:t>
            </w:r>
            <w:r>
              <w:rPr>
                <w:b/>
                <w:color w:val="000000"/>
              </w:rPr>
              <w:tab/>
            </w:r>
          </w:hyperlink>
          <w:r>
            <w:fldChar w:fldCharType="begin"/>
          </w:r>
          <w:r>
            <w:instrText xml:space="preserve"> PAGEREF _heading=h.dlrgctc1luhq \h </w:instrText>
          </w:r>
          <w:r>
            <w:fldChar w:fldCharType="separate"/>
          </w:r>
          <w:r>
            <w:rPr>
              <w:b/>
            </w:rPr>
            <w:t>4</w:t>
          </w:r>
          <w:r>
            <w:fldChar w:fldCharType="end"/>
          </w:r>
        </w:p>
        <w:p w14:paraId="314C64D3" w14:textId="77777777" w:rsidR="002A4F31" w:rsidRDefault="00D05E86">
          <w:pPr>
            <w:widowControl w:val="0"/>
            <w:tabs>
              <w:tab w:val="right" w:leader="dot" w:pos="9025"/>
            </w:tabs>
            <w:spacing w:before="60"/>
            <w:jc w:val="left"/>
            <w:rPr>
              <w:b/>
              <w:color w:val="000000"/>
            </w:rPr>
          </w:pPr>
          <w:hyperlink w:anchor="_heading=h.m7hvpw236u6i">
            <w:r>
              <w:rPr>
                <w:b/>
                <w:color w:val="000000"/>
              </w:rPr>
              <w:t>Main Body</w:t>
            </w:r>
            <w:r>
              <w:rPr>
                <w:b/>
                <w:color w:val="000000"/>
              </w:rPr>
              <w:tab/>
            </w:r>
          </w:hyperlink>
          <w:r>
            <w:fldChar w:fldCharType="begin"/>
          </w:r>
          <w:r>
            <w:instrText xml:space="preserve"> PAGEREF _heading=h.m7hvpw236u6i \h </w:instrText>
          </w:r>
          <w:r>
            <w:fldChar w:fldCharType="separate"/>
          </w:r>
          <w:r>
            <w:rPr>
              <w:b/>
            </w:rPr>
            <w:t>5</w:t>
          </w:r>
          <w:r>
            <w:fldChar w:fldCharType="end"/>
          </w:r>
        </w:p>
        <w:p w14:paraId="5AC4CB4B" w14:textId="77777777" w:rsidR="002A4F31" w:rsidRDefault="00D05E86">
          <w:pPr>
            <w:widowControl w:val="0"/>
            <w:tabs>
              <w:tab w:val="right" w:leader="dot" w:pos="9025"/>
            </w:tabs>
            <w:spacing w:before="60"/>
            <w:ind w:left="360"/>
            <w:jc w:val="left"/>
            <w:rPr>
              <w:color w:val="000000"/>
            </w:rPr>
          </w:pPr>
          <w:hyperlink w:anchor="_heading=h.iobepnef1n0">
            <w:r>
              <w:rPr>
                <w:color w:val="000000"/>
              </w:rPr>
              <w:t>Theoretical Framework</w:t>
            </w:r>
            <w:r>
              <w:rPr>
                <w:color w:val="000000"/>
              </w:rPr>
              <w:tab/>
            </w:r>
          </w:hyperlink>
          <w:r>
            <w:fldChar w:fldCharType="begin"/>
          </w:r>
          <w:r>
            <w:instrText xml:space="preserve"> PAGEREF _heading=h.iobepnef1n0 \h </w:instrText>
          </w:r>
          <w:r>
            <w:fldChar w:fldCharType="separate"/>
          </w:r>
          <w:r>
            <w:t>5</w:t>
          </w:r>
          <w:r>
            <w:fldChar w:fldCharType="end"/>
          </w:r>
        </w:p>
        <w:p w14:paraId="4AB7D184" w14:textId="77777777" w:rsidR="002A4F31" w:rsidRDefault="00D05E86">
          <w:pPr>
            <w:widowControl w:val="0"/>
            <w:tabs>
              <w:tab w:val="right" w:leader="dot" w:pos="9025"/>
            </w:tabs>
            <w:spacing w:before="60"/>
            <w:ind w:left="360"/>
            <w:jc w:val="left"/>
            <w:rPr>
              <w:color w:val="000000"/>
            </w:rPr>
          </w:pPr>
          <w:hyperlink w:anchor="_heading=h.p4aj6c2g9ti6">
            <w:r>
              <w:rPr>
                <w:color w:val="000000"/>
              </w:rPr>
              <w:t>Divine Chocolate’s Social Enterprise Model</w:t>
            </w:r>
            <w:r>
              <w:rPr>
                <w:color w:val="000000"/>
              </w:rPr>
              <w:tab/>
            </w:r>
          </w:hyperlink>
          <w:r>
            <w:fldChar w:fldCharType="begin"/>
          </w:r>
          <w:r>
            <w:instrText xml:space="preserve"> PAGEREF _heading=h.p4aj6c2g9ti6 \h </w:instrText>
          </w:r>
          <w:r>
            <w:fldChar w:fldCharType="separate"/>
          </w:r>
          <w:r>
            <w:t>6</w:t>
          </w:r>
          <w:r>
            <w:fldChar w:fldCharType="end"/>
          </w:r>
        </w:p>
        <w:p w14:paraId="08ED838E" w14:textId="77777777" w:rsidR="002A4F31" w:rsidRDefault="00D05E86">
          <w:pPr>
            <w:widowControl w:val="0"/>
            <w:tabs>
              <w:tab w:val="right" w:leader="dot" w:pos="9025"/>
            </w:tabs>
            <w:spacing w:before="60"/>
            <w:ind w:left="360"/>
            <w:jc w:val="left"/>
            <w:rPr>
              <w:color w:val="000000"/>
            </w:rPr>
          </w:pPr>
          <w:hyperlink w:anchor="_heading=h.atmmhbexo74c">
            <w:r>
              <w:rPr>
                <w:color w:val="000000"/>
              </w:rPr>
              <w:t>Measuring the Social Impact</w:t>
            </w:r>
            <w:r>
              <w:rPr>
                <w:color w:val="000000"/>
              </w:rPr>
              <w:tab/>
            </w:r>
          </w:hyperlink>
          <w:r>
            <w:fldChar w:fldCharType="begin"/>
          </w:r>
          <w:r>
            <w:instrText xml:space="preserve"> PAGEREF _heading=h.atmmhbexo74c \h </w:instrText>
          </w:r>
          <w:r>
            <w:fldChar w:fldCharType="separate"/>
          </w:r>
          <w:r>
            <w:t>7</w:t>
          </w:r>
          <w:r>
            <w:fldChar w:fldCharType="end"/>
          </w:r>
        </w:p>
        <w:p w14:paraId="1ADCA6D2" w14:textId="77777777" w:rsidR="002A4F31" w:rsidRDefault="00D05E86">
          <w:pPr>
            <w:widowControl w:val="0"/>
            <w:tabs>
              <w:tab w:val="right" w:leader="dot" w:pos="9025"/>
            </w:tabs>
            <w:spacing w:before="60"/>
            <w:ind w:left="360"/>
            <w:jc w:val="left"/>
            <w:rPr>
              <w:color w:val="000000"/>
            </w:rPr>
          </w:pPr>
          <w:hyperlink w:anchor="_heading=h.4uyh7ns5g4or">
            <w:r>
              <w:rPr>
                <w:color w:val="000000"/>
              </w:rPr>
              <w:t>Challenges and Limitations</w:t>
            </w:r>
            <w:r>
              <w:rPr>
                <w:color w:val="000000"/>
              </w:rPr>
              <w:tab/>
            </w:r>
          </w:hyperlink>
          <w:r>
            <w:fldChar w:fldCharType="begin"/>
          </w:r>
          <w:r>
            <w:instrText xml:space="preserve"> PAGEREF _heading=h.4uyh7ns5g4or \h </w:instrText>
          </w:r>
          <w:r>
            <w:fldChar w:fldCharType="separate"/>
          </w:r>
          <w:r>
            <w:t>9</w:t>
          </w:r>
          <w:r>
            <w:fldChar w:fldCharType="end"/>
          </w:r>
        </w:p>
        <w:p w14:paraId="1DF87DAA" w14:textId="77777777" w:rsidR="002A4F31" w:rsidRDefault="00D05E86">
          <w:pPr>
            <w:widowControl w:val="0"/>
            <w:tabs>
              <w:tab w:val="right" w:leader="dot" w:pos="9025"/>
            </w:tabs>
            <w:spacing w:before="60"/>
            <w:jc w:val="left"/>
            <w:rPr>
              <w:b/>
              <w:color w:val="000000"/>
            </w:rPr>
          </w:pPr>
          <w:hyperlink w:anchor="_heading=h.34h5qwq47qek">
            <w:r>
              <w:rPr>
                <w:b/>
                <w:color w:val="000000"/>
              </w:rPr>
              <w:t>Conclusion</w:t>
            </w:r>
            <w:r>
              <w:rPr>
                <w:b/>
                <w:color w:val="000000"/>
              </w:rPr>
              <w:tab/>
            </w:r>
          </w:hyperlink>
          <w:r>
            <w:fldChar w:fldCharType="begin"/>
          </w:r>
          <w:r>
            <w:instrText xml:space="preserve"> PAGEREF _heading=h.34h5qwq47qek \h </w:instrText>
          </w:r>
          <w:r>
            <w:fldChar w:fldCharType="separate"/>
          </w:r>
          <w:r>
            <w:rPr>
              <w:b/>
            </w:rPr>
            <w:t>10</w:t>
          </w:r>
          <w:r>
            <w:fldChar w:fldCharType="end"/>
          </w:r>
        </w:p>
        <w:p w14:paraId="60F99F26" w14:textId="77777777" w:rsidR="002A4F31" w:rsidRDefault="00D05E86">
          <w:pPr>
            <w:widowControl w:val="0"/>
            <w:tabs>
              <w:tab w:val="right" w:leader="dot" w:pos="9025"/>
            </w:tabs>
            <w:spacing w:before="60"/>
            <w:jc w:val="left"/>
            <w:rPr>
              <w:b/>
              <w:color w:val="000000"/>
            </w:rPr>
          </w:pPr>
          <w:hyperlink w:anchor="_heading=h.dy6znxoi4840">
            <w:r>
              <w:rPr>
                <w:b/>
                <w:color w:val="000000"/>
              </w:rPr>
              <w:t>Recommendations</w:t>
            </w:r>
            <w:r>
              <w:rPr>
                <w:b/>
                <w:color w:val="000000"/>
              </w:rPr>
              <w:tab/>
            </w:r>
          </w:hyperlink>
          <w:r>
            <w:fldChar w:fldCharType="begin"/>
          </w:r>
          <w:r>
            <w:instrText xml:space="preserve"> PAGEREF _heading=h.dy6znxoi4840 \h </w:instrText>
          </w:r>
          <w:r>
            <w:fldChar w:fldCharType="separate"/>
          </w:r>
          <w:r>
            <w:rPr>
              <w:b/>
            </w:rPr>
            <w:t>11</w:t>
          </w:r>
          <w:r>
            <w:fldChar w:fldCharType="end"/>
          </w:r>
        </w:p>
        <w:p w14:paraId="635B5E14" w14:textId="77777777" w:rsidR="002A4F31" w:rsidRDefault="00D05E86">
          <w:pPr>
            <w:widowControl w:val="0"/>
            <w:tabs>
              <w:tab w:val="right" w:leader="dot" w:pos="9025"/>
            </w:tabs>
            <w:spacing w:before="60"/>
            <w:jc w:val="left"/>
            <w:rPr>
              <w:b/>
              <w:color w:val="000000"/>
            </w:rPr>
          </w:pPr>
          <w:hyperlink w:anchor="_heading=h.6jumnprquxz">
            <w:r>
              <w:rPr>
                <w:b/>
                <w:color w:val="000000"/>
              </w:rPr>
              <w:t>References</w:t>
            </w:r>
            <w:r>
              <w:rPr>
                <w:b/>
                <w:color w:val="000000"/>
              </w:rPr>
              <w:tab/>
            </w:r>
          </w:hyperlink>
          <w:r>
            <w:fldChar w:fldCharType="begin"/>
          </w:r>
          <w:r>
            <w:instrText xml:space="preserve"> PAGEREF _heading=h.6jumnprquxz \h </w:instrText>
          </w:r>
          <w:r>
            <w:fldChar w:fldCharType="separate"/>
          </w:r>
          <w:r>
            <w:rPr>
              <w:b/>
            </w:rPr>
            <w:t>12</w:t>
          </w:r>
          <w:r>
            <w:fldChar w:fldCharType="end"/>
          </w:r>
          <w:r>
            <w:fldChar w:fldCharType="end"/>
          </w:r>
        </w:p>
      </w:sdtContent>
    </w:sdt>
    <w:p w14:paraId="433506F9" w14:textId="77777777" w:rsidR="002A4F31" w:rsidRDefault="002A4F31">
      <w:pPr>
        <w:rPr>
          <w:b/>
          <w:sz w:val="28"/>
          <w:szCs w:val="28"/>
        </w:rPr>
      </w:pPr>
    </w:p>
    <w:p w14:paraId="645952E6" w14:textId="77777777" w:rsidR="002A4F31" w:rsidRDefault="002A4F31"/>
    <w:p w14:paraId="51CE3698" w14:textId="77777777" w:rsidR="002A4F31" w:rsidRDefault="002A4F31"/>
    <w:p w14:paraId="6F11346A" w14:textId="77777777" w:rsidR="002A4F31" w:rsidRDefault="00D05E86">
      <w:pPr>
        <w:spacing w:before="280" w:after="80"/>
      </w:pPr>
      <w:r>
        <w:br w:type="page"/>
      </w:r>
    </w:p>
    <w:p w14:paraId="0214C67D" w14:textId="77777777" w:rsidR="002A4F31" w:rsidRDefault="00D05E86">
      <w:pPr>
        <w:pStyle w:val="Heading1"/>
        <w:keepNext w:val="0"/>
        <w:keepLines w:val="0"/>
        <w:spacing w:before="280" w:after="80"/>
      </w:pPr>
      <w:bookmarkStart w:id="0" w:name="_heading=h.dlrgctc1luhq" w:colFirst="0" w:colLast="0"/>
      <w:bookmarkEnd w:id="0"/>
      <w:r>
        <w:lastRenderedPageBreak/>
        <w:t>Introduction</w:t>
      </w:r>
    </w:p>
    <w:p w14:paraId="720F662D" w14:textId="2BBAC1EE" w:rsidR="002A4F31" w:rsidRDefault="00D05E86">
      <w:r>
        <w:t xml:space="preserve">Divine Chocolate is a UK social business started in </w:t>
      </w:r>
      <w:r w:rsidR="00D75873">
        <w:t>1998,</w:t>
      </w:r>
      <w:r>
        <w:t xml:space="preserve"> and it is co-owned by its suppliers </w:t>
      </w:r>
      <w:proofErr w:type="spellStart"/>
      <w:r>
        <w:t>Kuapa</w:t>
      </w:r>
      <w:proofErr w:type="spellEnd"/>
      <w:r>
        <w:t xml:space="preserve"> </w:t>
      </w:r>
      <w:proofErr w:type="spellStart"/>
      <w:r>
        <w:t>Kokoo</w:t>
      </w:r>
      <w:proofErr w:type="spellEnd"/>
      <w:r>
        <w:t xml:space="preserve"> – the Ghanaian cocoa farmers. Its goal is to bring about ethical sourcing and support farmers by making them responsible for the company and its earnings. When it comes to choices of </w:t>
      </w:r>
      <w:r w:rsidR="00D75873">
        <w:t>fair-trade</w:t>
      </w:r>
      <w:r>
        <w:t xml:space="preserve"> practices, Divine Chocolate enhances income and gender equity, overall governance and community well-being. Organisations such as Divine Chocolate are trading organisations with a social or environmental mission, reporting both profit and social value. These organisations are dedicated to increasing awareness of responsible and sustainable business, and development concerning people and our planet than the profit margin.</w:t>
      </w:r>
    </w:p>
    <w:p w14:paraId="53CFB21A" w14:textId="77777777" w:rsidR="002A4F31" w:rsidRDefault="00D05E86">
      <w:r>
        <w:t>This report uses the Social Audit Network on Divine Chocolate to determine the company’s social impact. It analyses the firm’s economic impact, social impact, and the company’s environmental impact, then reveals opportunities and problems. The report contains sections on executive summary, theoretical foundation, social effects, limitations and recommendations.</w:t>
      </w:r>
    </w:p>
    <w:p w14:paraId="61F0739F" w14:textId="77777777" w:rsidR="002A4F31" w:rsidRDefault="002A4F31"/>
    <w:p w14:paraId="60909558" w14:textId="77777777" w:rsidR="002A4F31" w:rsidRDefault="00D05E86">
      <w:pPr>
        <w:spacing w:before="280" w:after="80"/>
      </w:pPr>
      <w:r>
        <w:br w:type="page"/>
      </w:r>
    </w:p>
    <w:p w14:paraId="25BE311B" w14:textId="77777777" w:rsidR="002A4F31" w:rsidRDefault="00D05E86">
      <w:pPr>
        <w:pStyle w:val="Heading1"/>
        <w:keepNext w:val="0"/>
        <w:keepLines w:val="0"/>
        <w:spacing w:before="280" w:after="80"/>
      </w:pPr>
      <w:bookmarkStart w:id="1" w:name="_heading=h.m7hvpw236u6i" w:colFirst="0" w:colLast="0"/>
      <w:bookmarkEnd w:id="1"/>
      <w:r>
        <w:lastRenderedPageBreak/>
        <w:t>Main Body</w:t>
      </w:r>
    </w:p>
    <w:p w14:paraId="0C6E8E03" w14:textId="77777777" w:rsidR="002A4F31" w:rsidRDefault="00D05E86">
      <w:pPr>
        <w:pStyle w:val="Heading2"/>
        <w:keepNext w:val="0"/>
        <w:keepLines w:val="0"/>
        <w:spacing w:before="240" w:after="40"/>
      </w:pPr>
      <w:bookmarkStart w:id="2" w:name="_heading=h.iobepnef1n0" w:colFirst="0" w:colLast="0"/>
      <w:bookmarkEnd w:id="2"/>
      <w:r>
        <w:t>Theoretical Framework</w:t>
      </w:r>
    </w:p>
    <w:p w14:paraId="084ABB38" w14:textId="61EDD57B" w:rsidR="002A4F31" w:rsidRDefault="00D05E86">
      <w:pPr>
        <w:spacing w:before="240" w:after="240"/>
      </w:pPr>
      <w:r>
        <w:t xml:space="preserve">It refers to organisations with the core mission which focuses on addressing specific social or environmental problems using business solutions. Unlike conventional organisations, their main objective is to achieve positive change and reinvest profits to maintain social purposes. Some of the cardinal principles of social enterprises </w:t>
      </w:r>
      <w:r w:rsidR="00D75873">
        <w:t>include</w:t>
      </w:r>
      <w:r>
        <w:t xml:space="preserve"> ethically sourced products, customers, transparency and sustainable operations. The role of social enterprises in sustainable development is clear because they meet urgent social needs, thus promoting the establishment and economic growth.</w:t>
      </w:r>
    </w:p>
    <w:p w14:paraId="35FD1AAD" w14:textId="77777777" w:rsidR="002A4F31" w:rsidRDefault="00D05E86">
      <w:pPr>
        <w:spacing w:before="240" w:after="240"/>
      </w:pPr>
      <w:r>
        <w:t>According to González, (2022) the SAN framework is set out as a proven technique for conducting the social impact measurement of enterprises. This gives an organised structure that can be used to measure the economic, social and impact of an organisation on the environment. It is highly relevant for social enterprises such as Divine Chocolate because the framework focuses on end-user involvement, clear responsibility of impact and monitoring and reporting on the effectiveness of the activities implemented to mitigate the social issue addressed by the enterprise.</w:t>
      </w:r>
    </w:p>
    <w:p w14:paraId="49F535B0" w14:textId="77777777" w:rsidR="002A4F31" w:rsidRDefault="00D05E86">
      <w:pPr>
        <w:spacing w:before="240" w:after="240"/>
      </w:pPr>
      <w:r>
        <w:t>Ethical trade theories maintain that ethical skills and their applications can be used to provide fair, equal, and equitable supply chains. In the same way, stakeholder engagement theories are established by McCord et al. (2022), all individual-influenced organisational decisions should be incorporated into business processes to maintain the corporation’s sustainability. The above theories are useful in evaluating the operations of Divine Chocolate.</w:t>
      </w:r>
    </w:p>
    <w:p w14:paraId="5F198EC8" w14:textId="77777777" w:rsidR="002A4F31" w:rsidRDefault="00D05E86">
      <w:pPr>
        <w:pStyle w:val="Heading2"/>
        <w:keepNext w:val="0"/>
        <w:keepLines w:val="0"/>
        <w:spacing w:before="240" w:after="40"/>
      </w:pPr>
      <w:bookmarkStart w:id="3" w:name="_heading=h.rareofdblzch" w:colFirst="0" w:colLast="0"/>
      <w:bookmarkEnd w:id="3"/>
      <w:r>
        <w:br w:type="page"/>
      </w:r>
    </w:p>
    <w:p w14:paraId="7287736F" w14:textId="77777777" w:rsidR="002A4F31" w:rsidRDefault="00D05E86">
      <w:pPr>
        <w:pStyle w:val="Heading2"/>
        <w:keepNext w:val="0"/>
        <w:keepLines w:val="0"/>
        <w:spacing w:before="240" w:after="40"/>
      </w:pPr>
      <w:bookmarkStart w:id="4" w:name="_heading=h.p4aj6c2g9ti6" w:colFirst="0" w:colLast="0"/>
      <w:bookmarkEnd w:id="4"/>
      <w:r>
        <w:lastRenderedPageBreak/>
        <w:t>Divine Chocolate’s Social Enterprise Model</w:t>
      </w:r>
    </w:p>
    <w:p w14:paraId="51644EED" w14:textId="77777777" w:rsidR="002A4F31" w:rsidRDefault="00D05E86">
      <w:pPr>
        <w:spacing w:before="240" w:after="240"/>
      </w:pPr>
      <w:proofErr w:type="spellStart"/>
      <w:r>
        <w:t>Kuapa</w:t>
      </w:r>
      <w:proofErr w:type="spellEnd"/>
      <w:r>
        <w:t xml:space="preserve"> </w:t>
      </w:r>
      <w:proofErr w:type="spellStart"/>
      <w:r>
        <w:t>Kokoo</w:t>
      </w:r>
      <w:proofErr w:type="spellEnd"/>
      <w:r>
        <w:t xml:space="preserve"> runs on a system of co-ownership with Ghanaian cocoa farmers who own 44% of the shares of Divine Chocolate. This structure gives the farmers a voting right to be part of the decision-making of the company as well as share the profits of the company hence fostering a social enterprise organisation. Through co-ownership, Divine Chocolate enables farmers to have a voice and economic security to improve their livelihood.</w:t>
      </w:r>
    </w:p>
    <w:p w14:paraId="1034BFA1" w14:textId="77777777" w:rsidR="002A4F31" w:rsidRDefault="00D05E86">
      <w:pPr>
        <w:spacing w:before="240" w:after="240"/>
      </w:pPr>
      <w:r>
        <w:t xml:space="preserve">This means that it is unique from traditional business organisations through the acquisition of fair-trade certification. Divine Chocolate compensates its farmers fairly above the current market price for cocoa and then reinvests in sprucing up the farmers’ areas (Méndez-Picazo </w:t>
      </w:r>
      <w:r>
        <w:rPr>
          <w:i/>
        </w:rPr>
        <w:t>et al.</w:t>
      </w:r>
      <w:r>
        <w:t xml:space="preserve"> 2021). It also advocates for these causes and influences the provision of education, training, and healthcare to the cooperative’s members and their families.</w:t>
      </w:r>
    </w:p>
    <w:p w14:paraId="52A83BAF" w14:textId="77777777" w:rsidR="002A4F31" w:rsidRDefault="00D05E86">
      <w:pPr>
        <w:spacing w:before="240" w:after="240"/>
      </w:pPr>
      <w:r>
        <w:t>As an organisation, Divine Chocolate champions transparency and ethical procurement. The company maintains product traceability in the supply chain and even supports payment for profit-sharing with farmers (Di Domenico, 2020). Such commitment not only creates confidence among stakeholders but also puts the organisation at the vantage point of establishing ethical trade standards for industry competitors.</w:t>
      </w:r>
    </w:p>
    <w:p w14:paraId="1B068B42" w14:textId="77777777" w:rsidR="002A4F31" w:rsidRDefault="00D05E86">
      <w:pPr>
        <w:pStyle w:val="Heading2"/>
        <w:keepNext w:val="0"/>
        <w:keepLines w:val="0"/>
        <w:spacing w:before="240" w:after="40"/>
      </w:pPr>
      <w:bookmarkStart w:id="5" w:name="_heading=h.q2eiedww1t9i" w:colFirst="0" w:colLast="0"/>
      <w:bookmarkEnd w:id="5"/>
      <w:r>
        <w:br w:type="page"/>
      </w:r>
    </w:p>
    <w:p w14:paraId="65191EEB" w14:textId="77777777" w:rsidR="002A4F31" w:rsidRDefault="00D05E86">
      <w:pPr>
        <w:pStyle w:val="Heading2"/>
        <w:keepNext w:val="0"/>
        <w:keepLines w:val="0"/>
        <w:spacing w:before="240" w:after="40"/>
      </w:pPr>
      <w:bookmarkStart w:id="6" w:name="_heading=h.atmmhbexo74c" w:colFirst="0" w:colLast="0"/>
      <w:bookmarkEnd w:id="6"/>
      <w:r>
        <w:lastRenderedPageBreak/>
        <w:t>Measuring the Social Impact</w:t>
      </w:r>
    </w:p>
    <w:p w14:paraId="0FC40334" w14:textId="77777777" w:rsidR="002A4F31" w:rsidRDefault="00D05E86">
      <w:pPr>
        <w:spacing w:before="240" w:after="240"/>
      </w:pPr>
      <w:r>
        <w:t>Using the Social Audit Network (SAN) framework, Divine Chocolate’s social impact can be evaluated across economic, social, and environmental dimensions:</w:t>
      </w:r>
    </w:p>
    <w:p w14:paraId="4E4DE3DD" w14:textId="792CB2C4" w:rsidR="00D75873" w:rsidRDefault="00D75873">
      <w:pPr>
        <w:spacing w:before="240" w:after="240"/>
      </w:pPr>
      <w:r>
        <w:rPr>
          <w:b/>
        </w:rPr>
        <w:t>Economic Impact</w:t>
      </w:r>
    </w:p>
    <w:p w14:paraId="6DBB8F98" w14:textId="390D4CF3" w:rsidR="002A4F31" w:rsidRPr="00D75873" w:rsidRDefault="00D05E86">
      <w:pPr>
        <w:spacing w:before="240" w:after="240"/>
        <w:rPr>
          <w:b/>
        </w:rPr>
      </w:pPr>
      <w:r>
        <w:t xml:space="preserve">Divine Chocolate reinvests back to the </w:t>
      </w:r>
      <w:proofErr w:type="spellStart"/>
      <w:r>
        <w:t>Kuapa</w:t>
      </w:r>
      <w:proofErr w:type="spellEnd"/>
      <w:r>
        <w:t xml:space="preserve"> </w:t>
      </w:r>
      <w:proofErr w:type="spellStart"/>
      <w:r>
        <w:t>Kokoo</w:t>
      </w:r>
      <w:proofErr w:type="spellEnd"/>
      <w:r>
        <w:t xml:space="preserve"> farmers thus improving their financial status over one hundred and twenty thousand farmers. Through fair trade premiums, infrastructure and income diversification within the cocoa-growing communities are promoted by the company. For instance, these premiums have been used to put up school facilities; training centres; and cooperative management structures (Dawson, 2020). Analytically, the farmers have noted improved income of up to 20% as compared to regular cocoa sales.</w:t>
      </w:r>
    </w:p>
    <w:p w14:paraId="4F80B2C7" w14:textId="77777777" w:rsidR="002A4F31" w:rsidRDefault="00D05E86">
      <w:pPr>
        <w:spacing w:before="240" w:after="240"/>
      </w:pPr>
      <w:r>
        <w:rPr>
          <w:b/>
        </w:rPr>
        <w:t>Social Impact</w:t>
      </w:r>
      <w:r>
        <w:t>:</w:t>
      </w:r>
      <w:r>
        <w:br/>
        <w:t>The company’s new initiatives are not only confined to economic gains. Fairtrade product producer Divine Chocolate supports gender equality through programs promoting women's leadership in the cooperatives. Out of total leadership positions, 32% of them are women which is quite an achievement especially when it is situated in areas of riggers in gender balancing (Kiessel, 2022). Furthermore, the company is giving back to society by participating in the health and education project for the people and future farmers.</w:t>
      </w:r>
    </w:p>
    <w:p w14:paraId="14923A56" w14:textId="50B8B2B7" w:rsidR="00D75873" w:rsidRDefault="00D05E86">
      <w:pPr>
        <w:spacing w:before="240" w:after="240"/>
        <w:rPr>
          <w:b/>
        </w:rPr>
      </w:pPr>
      <w:r>
        <w:rPr>
          <w:b/>
        </w:rPr>
        <w:t xml:space="preserve">Environmental </w:t>
      </w:r>
      <w:r w:rsidR="00D75873">
        <w:rPr>
          <w:b/>
        </w:rPr>
        <w:t>Impact:</w:t>
      </w:r>
    </w:p>
    <w:p w14:paraId="1757602D" w14:textId="33FD3976" w:rsidR="002A4F31" w:rsidRDefault="00D05E86">
      <w:pPr>
        <w:spacing w:before="240" w:after="240"/>
      </w:pPr>
      <w:r>
        <w:t>Divine Chocolate is a socially responsible company that focuses on sustainability in all its business endeavours. On farming, the company encourages the reduction in the use of pesticides and the adoption of organic compost to second fertility. Also, its innovative policy of green packaging reduces its pollution levels and complies with internationally set environmental conservation standards.</w:t>
      </w:r>
    </w:p>
    <w:p w14:paraId="0E1156B2" w14:textId="77777777" w:rsidR="002A4F31" w:rsidRDefault="00D05E86">
      <w:pPr>
        <w:spacing w:before="240" w:after="240"/>
      </w:pPr>
      <w:r>
        <w:lastRenderedPageBreak/>
        <w:t>Still, Divine Chocolate performs better than many fair-trade organisations because it applies co-ownership as well as develops community-based initiatives (McMahon and Keane, 2023). Whereas other branded foods are primarily preoccupied with premium pricing, Divine Chocolate manages to engage practically all aspects of the ethical trade, from economic opportunities and social justice to environmental sustainability.</w:t>
      </w:r>
    </w:p>
    <w:p w14:paraId="4A37B4EB" w14:textId="77777777" w:rsidR="002A4F31" w:rsidRDefault="00D05E86">
      <w:pPr>
        <w:pStyle w:val="Heading2"/>
        <w:keepNext w:val="0"/>
        <w:keepLines w:val="0"/>
        <w:spacing w:before="240" w:after="40"/>
      </w:pPr>
      <w:bookmarkStart w:id="7" w:name="_heading=h.wk2kmev1231j" w:colFirst="0" w:colLast="0"/>
      <w:bookmarkEnd w:id="7"/>
      <w:r>
        <w:br w:type="page"/>
      </w:r>
    </w:p>
    <w:p w14:paraId="5624756F" w14:textId="77777777" w:rsidR="002A4F31" w:rsidRDefault="00D05E86">
      <w:pPr>
        <w:pStyle w:val="Heading2"/>
        <w:keepNext w:val="0"/>
        <w:keepLines w:val="0"/>
        <w:spacing w:before="240" w:after="40"/>
      </w:pPr>
      <w:bookmarkStart w:id="8" w:name="_heading=h.4uyh7ns5g4or" w:colFirst="0" w:colLast="0"/>
      <w:bookmarkEnd w:id="8"/>
      <w:r>
        <w:lastRenderedPageBreak/>
        <w:t>Challenges and Limitations</w:t>
      </w:r>
    </w:p>
    <w:p w14:paraId="4FBA09E7" w14:textId="77777777" w:rsidR="002A4F31" w:rsidRDefault="00D05E86">
      <w:pPr>
        <w:spacing w:before="240" w:after="240"/>
      </w:pPr>
      <w:r>
        <w:t xml:space="preserve">Nonetheless, blunt as it may sound, the company that markets Divine Chocolate experiences a few predicaments as it tries to amplify its impact. Its product offering has the most expensive prices in the </w:t>
      </w:r>
      <w:proofErr w:type="gramStart"/>
      <w:r>
        <w:t>market</w:t>
      </w:r>
      <w:proofErr w:type="gramEnd"/>
      <w:r>
        <w:t xml:space="preserve"> and this hampers market access mainly in sensitive markets. Intense competition from other large brands who are also adopting more or less ‘</w:t>
      </w:r>
      <w:proofErr w:type="gramStart"/>
      <w:r>
        <w:t>fair-washing</w:t>
      </w:r>
      <w:proofErr w:type="gramEnd"/>
      <w:r>
        <w:t>’ also raises a concern because consumers may find it difficult to distinguish between genuine ethical brands from fake ones.</w:t>
      </w:r>
    </w:p>
    <w:p w14:paraId="2F1AAFF2" w14:textId="77777777" w:rsidR="002A4F31" w:rsidRDefault="00D05E86">
      <w:pPr>
        <w:spacing w:before="240" w:after="240"/>
      </w:pPr>
      <w:r>
        <w:t>The additional issues that add to the supply chain issues at Divine include volatility of the cocoa price and political risks in the countries where cocoa is grown (Lock and Alexander, 2023). Transparency as well as ethical considerations in such a hostile structure consume considerable resources.</w:t>
      </w:r>
    </w:p>
    <w:p w14:paraId="2DDCA644" w14:textId="77777777" w:rsidR="002A4F31" w:rsidRDefault="00D05E86">
      <w:pPr>
        <w:spacing w:before="240" w:after="240"/>
      </w:pPr>
      <w:r>
        <w:t>Some shortcomings of the Social Audit Network have been described above along with the proposed framework of analysis. A possible limitation of the IBE is that because it is based on qualitative data it may underestimate other socioeconomic effects of the activities of Divine Chocolate (</w:t>
      </w:r>
      <w:proofErr w:type="spellStart"/>
      <w:r>
        <w:t>Tennhardt</w:t>
      </w:r>
      <w:proofErr w:type="spellEnd"/>
      <w:r>
        <w:t>, 2022). Furthermore, comparing long-term environmental results, including the increased density of species, is still quite a problematic issue.</w:t>
      </w:r>
    </w:p>
    <w:p w14:paraId="04E33FE5" w14:textId="77777777" w:rsidR="002A4F31" w:rsidRDefault="00D05E86">
      <w:pPr>
        <w:spacing w:before="240" w:after="240"/>
      </w:pPr>
      <w:r>
        <w:t>Potential areas for improvement include an increased focus on the price so that it is more appealing to a larger number of consumers, increased efforts related to the creation of awareness about the brand to make people understand why this chocolate includes a higher price and better tools for assessing the firm’s impact (Boeckx, 2020). These initiatives would continue to place and build the company for lasting growth and fortify it as the ethical trade powerhouse.</w:t>
      </w:r>
      <w:r>
        <w:br w:type="page"/>
      </w:r>
    </w:p>
    <w:p w14:paraId="1D16E8B8" w14:textId="77777777" w:rsidR="002A4F31" w:rsidRDefault="00D05E86">
      <w:pPr>
        <w:pStyle w:val="Heading1"/>
        <w:keepNext w:val="0"/>
        <w:keepLines w:val="0"/>
        <w:spacing w:before="280" w:after="80"/>
      </w:pPr>
      <w:bookmarkStart w:id="9" w:name="_heading=h.34h5qwq47qek" w:colFirst="0" w:colLast="0"/>
      <w:bookmarkEnd w:id="9"/>
      <w:r>
        <w:lastRenderedPageBreak/>
        <w:t xml:space="preserve">Conclusion </w:t>
      </w:r>
    </w:p>
    <w:p w14:paraId="12EA9AFC" w14:textId="77777777" w:rsidR="002A4F31" w:rsidRDefault="00D05E86">
      <w:r>
        <w:t xml:space="preserve">This report has also reviewed Divine Chocolate’s social audit based on the Social Audit Network and identified various ways through which it has impacted fair trade for the better, the community and the sustainability of the environment favourably. The structure where </w:t>
      </w:r>
      <w:proofErr w:type="spellStart"/>
      <w:r>
        <w:t>Kuapa</w:t>
      </w:r>
      <w:proofErr w:type="spellEnd"/>
      <w:r>
        <w:t xml:space="preserve"> </w:t>
      </w:r>
      <w:proofErr w:type="spellStart"/>
      <w:r>
        <w:t>Kokoo</w:t>
      </w:r>
      <w:proofErr w:type="spellEnd"/>
      <w:r>
        <w:t xml:space="preserve">, who is the co-owner of Divine Chocolate, fairly divides the profit and supports the improvement of the living conditions of the cocoa farmers. The gender equality, education and health programs </w:t>
      </w:r>
      <w:proofErr w:type="gramStart"/>
      <w:r>
        <w:t>in particular testify</w:t>
      </w:r>
      <w:proofErr w:type="gramEnd"/>
      <w:r>
        <w:t xml:space="preserve"> to the organisation’s concern with the advancement of society. On the environmental side, Divine Chocolate has shifted gears in supporting using environment-friendly packaging and advocating for production from sustainable farming. The company’s social enterprise plan shows how organisations can adopt a more efficient business approach that is profitable as well as socially and environmentally responsible. Thus, the company is a great example of responsible business decision-making and a safe pair of hands in global supply chains. With the growing significance of social enterprises, the success of Divine Chocolate can help to understand how equity, sustainability, and transparency can be promoted in international markets and thus can contribute to the further diffusion of ethical business models.</w:t>
      </w:r>
    </w:p>
    <w:p w14:paraId="4D487B9B" w14:textId="77777777" w:rsidR="002A4F31" w:rsidRDefault="002A4F31"/>
    <w:p w14:paraId="70BABCC7" w14:textId="77777777" w:rsidR="002A4F31" w:rsidRDefault="00D05E86">
      <w:pPr>
        <w:spacing w:before="280" w:after="80"/>
      </w:pPr>
      <w:r>
        <w:br w:type="page"/>
      </w:r>
    </w:p>
    <w:p w14:paraId="46E90578" w14:textId="77777777" w:rsidR="002A4F31" w:rsidRDefault="00D05E86">
      <w:pPr>
        <w:pStyle w:val="Heading1"/>
        <w:keepNext w:val="0"/>
        <w:keepLines w:val="0"/>
        <w:spacing w:before="280" w:after="80"/>
      </w:pPr>
      <w:bookmarkStart w:id="10" w:name="_heading=h.dy6znxoi4840" w:colFirst="0" w:colLast="0"/>
      <w:bookmarkEnd w:id="10"/>
      <w:r>
        <w:lastRenderedPageBreak/>
        <w:t>Recommendations</w:t>
      </w:r>
    </w:p>
    <w:p w14:paraId="7483AB13" w14:textId="77777777" w:rsidR="002A4F31" w:rsidRDefault="00D05E86">
      <w:r>
        <w:t>To further enhance its social impact, Divine Chocolate should consider the following actionable steps:</w:t>
      </w:r>
    </w:p>
    <w:p w14:paraId="7A46F9FA" w14:textId="77777777" w:rsidR="002A4F31" w:rsidRDefault="00D05E86">
      <w:r>
        <w:rPr>
          <w:b/>
          <w:i/>
        </w:rPr>
        <w:t>Expand Co-Ownership Opportunities:</w:t>
      </w:r>
      <w:r>
        <w:t xml:space="preserve"> Promoting farmer engagement in the company by providing more volume of shares to cocoa growers to enhance their ownership contribution and voice in the company (</w:t>
      </w:r>
      <w:proofErr w:type="spellStart"/>
      <w:r>
        <w:t>Tennhardt</w:t>
      </w:r>
      <w:proofErr w:type="spellEnd"/>
      <w:r>
        <w:t>, 2022).</w:t>
      </w:r>
    </w:p>
    <w:p w14:paraId="0FF0D240" w14:textId="7C0DFCA8" w:rsidR="002A4F31" w:rsidRDefault="00D05E86">
      <w:r>
        <w:rPr>
          <w:b/>
          <w:i/>
        </w:rPr>
        <w:t>Increase Market Reach:</w:t>
      </w:r>
      <w:r>
        <w:t xml:space="preserve"> Bring forth affordable products to fit the lower-end consumer society in addition to the </w:t>
      </w:r>
      <w:r w:rsidR="00D75873">
        <w:t>fair-trade</w:t>
      </w:r>
      <w:r>
        <w:t xml:space="preserve"> movement. It is also important to expand distribution networks working with ethical retail partners.</w:t>
      </w:r>
    </w:p>
    <w:p w14:paraId="24BEA06B" w14:textId="77777777" w:rsidR="002A4F31" w:rsidRDefault="00D05E86">
      <w:r>
        <w:rPr>
          <w:b/>
          <w:i/>
        </w:rPr>
        <w:t>Enhance Impact Measurement:</w:t>
      </w:r>
      <w:r>
        <w:t xml:space="preserve"> Use enhanced data capture and analysis technologies to deliver richer assessments of social and environmental performance, and improve disclosure and reporting (</w:t>
      </w:r>
      <w:proofErr w:type="spellStart"/>
      <w:r>
        <w:t>Tennhardt</w:t>
      </w:r>
      <w:proofErr w:type="spellEnd"/>
      <w:r>
        <w:t>, 2022).</w:t>
      </w:r>
    </w:p>
    <w:p w14:paraId="401CE111" w14:textId="77777777" w:rsidR="002A4F31" w:rsidRDefault="002A4F31"/>
    <w:p w14:paraId="2EF32BDC" w14:textId="77777777" w:rsidR="002A4F31" w:rsidRDefault="00D05E86">
      <w:pPr>
        <w:spacing w:before="280" w:after="80"/>
      </w:pPr>
      <w:r>
        <w:br w:type="page"/>
      </w:r>
    </w:p>
    <w:p w14:paraId="41E652DD" w14:textId="77777777" w:rsidR="002A4F31" w:rsidRDefault="00D05E86">
      <w:pPr>
        <w:pStyle w:val="Heading1"/>
        <w:keepNext w:val="0"/>
        <w:keepLines w:val="0"/>
        <w:spacing w:before="280" w:after="80"/>
      </w:pPr>
      <w:bookmarkStart w:id="11" w:name="_heading=h.6jumnprquxz" w:colFirst="0" w:colLast="0"/>
      <w:bookmarkEnd w:id="11"/>
      <w:r>
        <w:lastRenderedPageBreak/>
        <w:t>References</w:t>
      </w:r>
    </w:p>
    <w:p w14:paraId="3C05CE1D" w14:textId="77777777" w:rsidR="002A4F31" w:rsidRDefault="00D05E86">
      <w:pPr>
        <w:spacing w:before="240" w:after="240"/>
      </w:pPr>
      <w:r>
        <w:t xml:space="preserve">Boeckx, P., </w:t>
      </w:r>
      <w:proofErr w:type="spellStart"/>
      <w:r>
        <w:t>Bauters</w:t>
      </w:r>
      <w:proofErr w:type="spellEnd"/>
      <w:r>
        <w:t xml:space="preserve">, M. and </w:t>
      </w:r>
      <w:proofErr w:type="spellStart"/>
      <w:r>
        <w:t>Dewettinck</w:t>
      </w:r>
      <w:proofErr w:type="spellEnd"/>
      <w:r>
        <w:t xml:space="preserve">, K., (2020). Poverty and climate change challenges for sustainable intensification of cocoa systems. </w:t>
      </w:r>
      <w:r>
        <w:rPr>
          <w:i/>
        </w:rPr>
        <w:t>Current Opinion in Environmental Sustainability</w:t>
      </w:r>
      <w:r>
        <w:t xml:space="preserve">, </w:t>
      </w:r>
      <w:r>
        <w:rPr>
          <w:i/>
        </w:rPr>
        <w:t>47</w:t>
      </w:r>
      <w:r>
        <w:t>, pp.106-111.</w:t>
      </w:r>
    </w:p>
    <w:p w14:paraId="45C1029B" w14:textId="77777777" w:rsidR="002A4F31" w:rsidRDefault="00D05E86">
      <w:pPr>
        <w:spacing w:before="240" w:after="240"/>
      </w:pPr>
      <w:r>
        <w:t xml:space="preserve">Dawson, M., (2020). Justice and demonstration of Christian principles: why churchgoers support Fair Trade. </w:t>
      </w:r>
      <w:r>
        <w:rPr>
          <w:i/>
        </w:rPr>
        <w:t>The Expository Times</w:t>
      </w:r>
      <w:r>
        <w:t xml:space="preserve">, </w:t>
      </w:r>
      <w:r>
        <w:rPr>
          <w:i/>
        </w:rPr>
        <w:t>131</w:t>
      </w:r>
      <w:r>
        <w:t>(8), pp.348-357.</w:t>
      </w:r>
    </w:p>
    <w:p w14:paraId="188DC682" w14:textId="77777777" w:rsidR="002A4F31" w:rsidRDefault="00D05E86">
      <w:pPr>
        <w:spacing w:before="240" w:after="240"/>
      </w:pPr>
      <w:r>
        <w:t xml:space="preserve">Di Domenico, M., Tracey, P. and Haugh, H., (2020). The dialectic of social exchange: Theorizing corporate-social enterprise collaboration. In </w:t>
      </w:r>
      <w:r>
        <w:rPr>
          <w:i/>
        </w:rPr>
        <w:t>Organizational Collaboration</w:t>
      </w:r>
      <w:r>
        <w:t xml:space="preserve"> (pp. 100-118). Routledge.</w:t>
      </w:r>
    </w:p>
    <w:p w14:paraId="120526AC" w14:textId="77777777" w:rsidR="002A4F31" w:rsidRDefault="00D05E86">
      <w:pPr>
        <w:spacing w:before="240" w:after="240"/>
      </w:pPr>
      <w:r>
        <w:t>González, D.P., (2022). Disaster risk governance as assemblage: the Chilean framework of the 1985 San Antonio earthquake. International Journal of Disaster Risk Science, 13(6), pp.878-889.</w:t>
      </w:r>
    </w:p>
    <w:p w14:paraId="6AA945DC" w14:textId="77777777" w:rsidR="002A4F31" w:rsidRDefault="00D05E86">
      <w:pPr>
        <w:spacing w:before="240" w:after="240"/>
      </w:pPr>
      <w:r>
        <w:t xml:space="preserve">Kiessel, A., (2022). Recentring Fair Trade in the movement for a just, inclusive and regenerative economy. </w:t>
      </w:r>
      <w:r>
        <w:rPr>
          <w:i/>
        </w:rPr>
        <w:t>Journal of Fair Trade</w:t>
      </w:r>
      <w:r>
        <w:t xml:space="preserve">, </w:t>
      </w:r>
      <w:r>
        <w:rPr>
          <w:i/>
        </w:rPr>
        <w:t>3</w:t>
      </w:r>
      <w:r>
        <w:t>(2), pp.28-33.</w:t>
      </w:r>
    </w:p>
    <w:p w14:paraId="7AE9FDA8" w14:textId="77777777" w:rsidR="002A4F31" w:rsidRDefault="00D05E86">
      <w:pPr>
        <w:spacing w:before="240" w:after="240"/>
      </w:pPr>
      <w:r>
        <w:t>Lock, W. and Alexander, A., (2023). Sustainable development frontiers: Is ‘</w:t>
      </w:r>
      <w:proofErr w:type="spellStart"/>
      <w:r>
        <w:t>sustainable’cocoa</w:t>
      </w:r>
      <w:proofErr w:type="spellEnd"/>
      <w:r>
        <w:t xml:space="preserve"> delivering development and reducing </w:t>
      </w:r>
      <w:proofErr w:type="gramStart"/>
      <w:r>
        <w:t>deforestation?.</w:t>
      </w:r>
      <w:proofErr w:type="gramEnd"/>
      <w:r>
        <w:t xml:space="preserve"> </w:t>
      </w:r>
      <w:r>
        <w:rPr>
          <w:i/>
        </w:rPr>
        <w:t>Development and Change</w:t>
      </w:r>
      <w:r>
        <w:t xml:space="preserve">, </w:t>
      </w:r>
      <w:r>
        <w:rPr>
          <w:i/>
        </w:rPr>
        <w:t>54</w:t>
      </w:r>
      <w:r>
        <w:t>(4), pp.691-713.</w:t>
      </w:r>
    </w:p>
    <w:p w14:paraId="7DB51615" w14:textId="77777777" w:rsidR="002A4F31" w:rsidRDefault="00D05E86">
      <w:pPr>
        <w:spacing w:before="240" w:after="240"/>
      </w:pPr>
      <w:r>
        <w:t xml:space="preserve">McCord, G., Hanson, E., </w:t>
      </w:r>
      <w:proofErr w:type="spellStart"/>
      <w:r>
        <w:t>Baxamusa</w:t>
      </w:r>
      <w:proofErr w:type="spellEnd"/>
      <w:r>
        <w:t>, M., Leslie, E. and Victor, D., (2022). San Diego Regional Decarbonization Framework Technical Report.</w:t>
      </w:r>
    </w:p>
    <w:p w14:paraId="271D0DCE" w14:textId="77777777" w:rsidR="002A4F31" w:rsidRDefault="00D05E86">
      <w:pPr>
        <w:spacing w:before="240" w:after="240"/>
      </w:pPr>
      <w:r>
        <w:t xml:space="preserve">McMahon, P. and Keane, P., (2023). </w:t>
      </w:r>
      <w:r>
        <w:rPr>
          <w:i/>
        </w:rPr>
        <w:t>Chocolate and sustainable cocoa farming</w:t>
      </w:r>
      <w:r>
        <w:t>. Cambridge Scholars Publishing.</w:t>
      </w:r>
    </w:p>
    <w:p w14:paraId="20A75A26" w14:textId="77777777" w:rsidR="002A4F31" w:rsidRDefault="00D05E86">
      <w:pPr>
        <w:spacing w:before="240" w:after="240"/>
      </w:pPr>
      <w:r>
        <w:lastRenderedPageBreak/>
        <w:t xml:space="preserve">Méndez-Picazo, M.T., Galindo-Martín, M.A. and Castaño-Martínez, M.S., (2021). Effects of sociocultural and economic factors on social entrepreneurship and sustainable development. </w:t>
      </w:r>
      <w:r>
        <w:rPr>
          <w:i/>
        </w:rPr>
        <w:t>Journal of Innovation &amp; Knowledge</w:t>
      </w:r>
      <w:r>
        <w:t xml:space="preserve">, </w:t>
      </w:r>
      <w:r>
        <w:rPr>
          <w:i/>
        </w:rPr>
        <w:t>6</w:t>
      </w:r>
      <w:r>
        <w:t>(2), pp.69-77.</w:t>
      </w:r>
    </w:p>
    <w:p w14:paraId="4F3A3421" w14:textId="77777777" w:rsidR="002A4F31" w:rsidRDefault="00D05E86">
      <w:pPr>
        <w:spacing w:before="240" w:after="240"/>
        <w:rPr>
          <w:rFonts w:ascii="Arial" w:eastAsia="Arial" w:hAnsi="Arial" w:cs="Arial"/>
          <w:sz w:val="22"/>
          <w:szCs w:val="22"/>
        </w:rPr>
      </w:pPr>
      <w:proofErr w:type="spellStart"/>
      <w:r>
        <w:t>Tennhardt</w:t>
      </w:r>
      <w:proofErr w:type="spellEnd"/>
      <w:r>
        <w:t xml:space="preserve">, L., Lazzarini, G., </w:t>
      </w:r>
      <w:proofErr w:type="spellStart"/>
      <w:r>
        <w:t>Weisshaidinger</w:t>
      </w:r>
      <w:proofErr w:type="spellEnd"/>
      <w:r>
        <w:t>, R. and Schader, C., (2022). Do environmentally-friendly cocoa farms yield social and economic co-</w:t>
      </w:r>
      <w:proofErr w:type="gramStart"/>
      <w:r>
        <w:t>benefits?.</w:t>
      </w:r>
      <w:proofErr w:type="gramEnd"/>
      <w:r>
        <w:t xml:space="preserve"> </w:t>
      </w:r>
      <w:r>
        <w:rPr>
          <w:i/>
        </w:rPr>
        <w:t>Ecological Economics</w:t>
      </w:r>
      <w:r>
        <w:t xml:space="preserve">, </w:t>
      </w:r>
      <w:r>
        <w:rPr>
          <w:i/>
        </w:rPr>
        <w:t>197</w:t>
      </w:r>
      <w:r>
        <w:t>, p.107428.</w:t>
      </w:r>
    </w:p>
    <w:p w14:paraId="06EEA50B" w14:textId="77777777" w:rsidR="002A4F31" w:rsidRDefault="002A4F31">
      <w:pPr>
        <w:widowControl w:val="0"/>
        <w:spacing w:line="276" w:lineRule="auto"/>
        <w:jc w:val="left"/>
        <w:rPr>
          <w:rFonts w:ascii="Arial" w:eastAsia="Arial" w:hAnsi="Arial" w:cs="Arial"/>
          <w:sz w:val="22"/>
          <w:szCs w:val="22"/>
        </w:rPr>
      </w:pPr>
    </w:p>
    <w:p w14:paraId="0C3E3C50" w14:textId="77777777" w:rsidR="002A4F31" w:rsidRDefault="002A4F31">
      <w:pPr>
        <w:spacing w:before="240" w:after="240"/>
      </w:pPr>
    </w:p>
    <w:sectPr w:rsidR="002A4F31">
      <w:headerReference w:type="default" r:id="rId8"/>
      <w:footerReference w:type="default" r:id="rId9"/>
      <w:headerReference w:type="first" r:id="rId10"/>
      <w:footerReference w:type="first" r:id="rId1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29E21A" w14:textId="77777777" w:rsidR="00D05E86" w:rsidRDefault="00D05E86">
      <w:pPr>
        <w:spacing w:line="240" w:lineRule="auto"/>
      </w:pPr>
      <w:r>
        <w:separator/>
      </w:r>
    </w:p>
  </w:endnote>
  <w:endnote w:type="continuationSeparator" w:id="0">
    <w:p w14:paraId="43E4BB76" w14:textId="77777777" w:rsidR="00D05E86" w:rsidRDefault="00D05E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C969E1" w14:textId="77777777" w:rsidR="002A4F31" w:rsidRDefault="00D05E86">
    <w:pPr>
      <w:jc w:val="right"/>
    </w:pPr>
    <w:r>
      <w:fldChar w:fldCharType="begin"/>
    </w:r>
    <w:r>
      <w:instrText>PAGE</w:instrText>
    </w:r>
    <w:r>
      <w:fldChar w:fldCharType="separate"/>
    </w:r>
    <w:r w:rsidR="00D75873">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DE215F" w14:textId="77777777" w:rsidR="002A4F31" w:rsidRDefault="00D05E86">
    <w:pPr>
      <w:jc w:val="right"/>
    </w:pPr>
    <w:r>
      <w:fldChar w:fldCharType="begin"/>
    </w:r>
    <w:r>
      <w:instrText>PAGE</w:instrText>
    </w:r>
    <w:r>
      <w:fldChar w:fldCharType="separate"/>
    </w:r>
    <w:r w:rsidR="00D7587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6C9D2" w14:textId="77777777" w:rsidR="00D05E86" w:rsidRDefault="00D05E86">
      <w:pPr>
        <w:spacing w:line="240" w:lineRule="auto"/>
      </w:pPr>
      <w:r>
        <w:separator/>
      </w:r>
    </w:p>
  </w:footnote>
  <w:footnote w:type="continuationSeparator" w:id="0">
    <w:p w14:paraId="273C2AC3" w14:textId="77777777" w:rsidR="00D05E86" w:rsidRDefault="00D05E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690B35" w14:textId="77777777" w:rsidR="002A4F31" w:rsidRDefault="00D05E86">
    <w:pPr>
      <w:jc w:val="right"/>
    </w:pPr>
    <w:r>
      <w:t>Social Enterprise: Theory and Practise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3F7FD7" w14:textId="77777777" w:rsidR="002A4F31" w:rsidRDefault="002A4F31"/>
  <w:p w14:paraId="1D18242A" w14:textId="77777777" w:rsidR="002A4F31" w:rsidRDefault="002A4F31">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4F31"/>
    <w:rsid w:val="002A4F31"/>
    <w:rsid w:val="00A03AE3"/>
    <w:rsid w:val="00B45479"/>
    <w:rsid w:val="00D05E86"/>
    <w:rsid w:val="00D75873"/>
    <w:rsid w:val="00ED7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6B147"/>
  <w15:docId w15:val="{93417BAE-8EC1-4122-A5C8-CC132BBFB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tabs>
          <w:tab w:val="left" w:pos="0"/>
          <w:tab w:val="left" w:pos="960"/>
          <w:tab w:val="left" w:pos="0"/>
          <w:tab w:val="left" w:pos="960"/>
        </w:tabs>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i/>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475801"/>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47580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75801"/>
    <w:pPr>
      <w:spacing w:after="100"/>
    </w:pPr>
  </w:style>
  <w:style w:type="paragraph" w:styleId="TOC2">
    <w:name w:val="toc 2"/>
    <w:basedOn w:val="Normal"/>
    <w:next w:val="Normal"/>
    <w:autoRedefine/>
    <w:uiPriority w:val="39"/>
    <w:unhideWhenUsed/>
    <w:rsid w:val="00475801"/>
    <w:pPr>
      <w:spacing w:after="100"/>
      <w:ind w:left="240"/>
    </w:pPr>
  </w:style>
  <w:style w:type="character" w:styleId="Hyperlink">
    <w:name w:val="Hyperlink"/>
    <w:basedOn w:val="DefaultParagraphFont"/>
    <w:uiPriority w:val="99"/>
    <w:unhideWhenUsed/>
    <w:rsid w:val="00475801"/>
    <w:rPr>
      <w:color w:val="0000FF" w:themeColor="hyperlink"/>
      <w:u w:val="single"/>
    </w:rPr>
  </w:style>
  <w:style w:type="paragraph" w:styleId="BalloonText">
    <w:name w:val="Balloon Text"/>
    <w:basedOn w:val="Normal"/>
    <w:link w:val="BalloonTextChar"/>
    <w:uiPriority w:val="99"/>
    <w:semiHidden/>
    <w:unhideWhenUsed/>
    <w:rsid w:val="00300F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0F90"/>
    <w:rPr>
      <w:rFonts w:ascii="Tahoma" w:hAnsi="Tahoma" w:cs="Tahoma"/>
      <w:sz w:val="16"/>
      <w:szCs w:val="16"/>
    </w:rPr>
  </w:style>
  <w:style w:type="character" w:styleId="CommentReference">
    <w:name w:val="annotation reference"/>
    <w:basedOn w:val="DefaultParagraphFont"/>
    <w:uiPriority w:val="99"/>
    <w:semiHidden/>
    <w:unhideWhenUsed/>
    <w:rsid w:val="00DF078F"/>
    <w:rPr>
      <w:sz w:val="16"/>
      <w:szCs w:val="16"/>
    </w:rPr>
  </w:style>
  <w:style w:type="paragraph" w:styleId="CommentText">
    <w:name w:val="annotation text"/>
    <w:basedOn w:val="Normal"/>
    <w:link w:val="CommentTextChar"/>
    <w:uiPriority w:val="99"/>
    <w:semiHidden/>
    <w:unhideWhenUsed/>
    <w:rsid w:val="00DF078F"/>
    <w:pPr>
      <w:spacing w:line="240" w:lineRule="auto"/>
    </w:pPr>
    <w:rPr>
      <w:sz w:val="20"/>
      <w:szCs w:val="20"/>
    </w:rPr>
  </w:style>
  <w:style w:type="character" w:customStyle="1" w:styleId="CommentTextChar">
    <w:name w:val="Comment Text Char"/>
    <w:basedOn w:val="DefaultParagraphFont"/>
    <w:link w:val="CommentText"/>
    <w:uiPriority w:val="99"/>
    <w:semiHidden/>
    <w:rsid w:val="00DF078F"/>
    <w:rPr>
      <w:sz w:val="20"/>
      <w:szCs w:val="20"/>
    </w:rPr>
  </w:style>
  <w:style w:type="paragraph" w:styleId="CommentSubject">
    <w:name w:val="annotation subject"/>
    <w:basedOn w:val="CommentText"/>
    <w:next w:val="CommentText"/>
    <w:link w:val="CommentSubjectChar"/>
    <w:uiPriority w:val="99"/>
    <w:semiHidden/>
    <w:unhideWhenUsed/>
    <w:rsid w:val="00DF078F"/>
    <w:rPr>
      <w:b/>
      <w:bCs/>
    </w:rPr>
  </w:style>
  <w:style w:type="character" w:customStyle="1" w:styleId="CommentSubjectChar">
    <w:name w:val="Comment Subject Char"/>
    <w:basedOn w:val="CommentTextChar"/>
    <w:link w:val="CommentSubject"/>
    <w:uiPriority w:val="99"/>
    <w:semiHidden/>
    <w:rsid w:val="00DF078F"/>
    <w:rPr>
      <w:b/>
      <w:bCs/>
      <w:sz w:val="20"/>
      <w:szCs w:val="20"/>
    </w:rPr>
  </w:style>
  <w:style w:type="paragraph" w:styleId="ListParagraph">
    <w:name w:val="List Paragraph"/>
    <w:basedOn w:val="Normal"/>
    <w:uiPriority w:val="34"/>
    <w:qFormat/>
    <w:rsid w:val="00F60D6E"/>
    <w:pPr>
      <w:ind w:left="720"/>
      <w:contextualSpacing/>
    </w:pPr>
  </w:style>
  <w:style w:type="paragraph" w:styleId="Header">
    <w:name w:val="header"/>
    <w:basedOn w:val="Normal"/>
    <w:link w:val="HeaderChar"/>
    <w:uiPriority w:val="99"/>
    <w:unhideWhenUsed/>
    <w:rsid w:val="000770A9"/>
    <w:pPr>
      <w:tabs>
        <w:tab w:val="center" w:pos="4513"/>
        <w:tab w:val="right" w:pos="9026"/>
      </w:tabs>
      <w:spacing w:line="240" w:lineRule="auto"/>
    </w:pPr>
  </w:style>
  <w:style w:type="character" w:customStyle="1" w:styleId="HeaderChar">
    <w:name w:val="Header Char"/>
    <w:basedOn w:val="DefaultParagraphFont"/>
    <w:link w:val="Header"/>
    <w:uiPriority w:val="99"/>
    <w:rsid w:val="000770A9"/>
  </w:style>
  <w:style w:type="paragraph" w:styleId="Footer">
    <w:name w:val="footer"/>
    <w:basedOn w:val="Normal"/>
    <w:link w:val="FooterChar"/>
    <w:uiPriority w:val="99"/>
    <w:unhideWhenUsed/>
    <w:rsid w:val="000770A9"/>
    <w:pPr>
      <w:tabs>
        <w:tab w:val="center" w:pos="4513"/>
        <w:tab w:val="right" w:pos="9026"/>
      </w:tabs>
      <w:spacing w:line="240" w:lineRule="auto"/>
    </w:pPr>
  </w:style>
  <w:style w:type="character" w:customStyle="1" w:styleId="FooterChar">
    <w:name w:val="Footer Char"/>
    <w:basedOn w:val="DefaultParagraphFont"/>
    <w:link w:val="Footer"/>
    <w:uiPriority w:val="99"/>
    <w:rsid w:val="00077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to/T+hZKvQp/HM6VS/BgEvlPXg==">CgMxLjAyDmguZGxyZ2N0YzFsdWhxMg5oLm03aHZwdzIzNnU2aTINaC5pb2JlcG5lZjFuMDIOaC5yYXJlb2ZkYmx6Y2gyDmgucDRhajZjMmc5dGk2Mg5oLnEyZWllZHd3MXQ5aTIOaC5hdG1taGJleG83NGMyDmgud2sya21ldjEyMzFqMg5oLjR1eWg3bnM1ZzRvcjIOaC4zNGg1cXdxNDdxZWsyDmguZHk2em54b2k0ODQwMg1oLjZqdW1ucHJxdXh6OAByITFOVEN1YXJEX1lBTFlfMFNlVTNDXzlQVjlQWjZIVjE5V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2196</Words>
  <Characters>12521</Characters>
  <Application>Microsoft Office Word</Application>
  <DocSecurity>0</DocSecurity>
  <Lines>104</Lines>
  <Paragraphs>29</Paragraphs>
  <ScaleCrop>false</ScaleCrop>
  <Company/>
  <LinksUpToDate>false</LinksUpToDate>
  <CharactersWithSpaces>14688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Ioanaaa 7</cp:lastModifiedBy>
  <cp:revision>2</cp:revision>
  <dcterms:created xsi:type="dcterms:W3CDTF">2024-11-24T14:43:00Z</dcterms:created>
  <dcterms:modified xsi:type="dcterms:W3CDTF">2024-11-24T14:43:00Z</dcterms:modified>
</cp:coreProperties>
</file>