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Pr>
        <w:drawing>
          <wp:inline distB="114300" distT="114300" distL="114300" distR="114300">
            <wp:extent cx="4483100" cy="187960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483100" cy="18796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b w:val="1"/>
        </w:rPr>
      </w:pPr>
      <w:r w:rsidDel="00000000" w:rsidR="00000000" w:rsidRPr="00000000">
        <w:rPr>
          <w:b w:val="1"/>
          <w:rtl w:val="0"/>
        </w:rPr>
        <w:t xml:space="preserve">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Lecturer Name: Faizu Edu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Student Name: Varzari Cristina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Student ID: 211095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line="360" w:lineRule="auto"/>
        <w:rPr>
          <w:rFonts w:ascii="Times New Roman" w:cs="Times New Roman" w:eastAsia="Times New Roman" w:hAnsi="Times New Roman"/>
          <w:b w:val="1"/>
          <w:sz w:val="48"/>
          <w:szCs w:val="48"/>
        </w:rPr>
      </w:pPr>
      <w:r w:rsidDel="00000000" w:rsidR="00000000" w:rsidRPr="00000000">
        <w:rPr>
          <w:rFonts w:ascii="Times New Roman" w:cs="Times New Roman" w:eastAsia="Times New Roman" w:hAnsi="Times New Roman"/>
          <w:b w:val="1"/>
          <w:sz w:val="48"/>
          <w:szCs w:val="48"/>
          <w:rtl w:val="0"/>
        </w:rPr>
        <w:t xml:space="preserve">Module code : LCBB4002</w:t>
      </w:r>
    </w:p>
    <w:p w:rsidR="00000000" w:rsidDel="00000000" w:rsidP="00000000" w:rsidRDefault="00000000" w:rsidRPr="00000000" w14:paraId="00000007">
      <w:pPr>
        <w:spacing w:line="360" w:lineRule="auto"/>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sz w:val="48"/>
          <w:szCs w:val="48"/>
          <w:rtl w:val="0"/>
        </w:rPr>
        <w:t xml:space="preserve">Module Title: Community Engagement</w:t>
      </w: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C">
          <w:pPr>
            <w:tabs>
              <w:tab w:val="right" w:pos="9360"/>
            </w:tabs>
            <w:spacing w:before="8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_heading=h.gjdgxs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of the event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Cooperation of stakeholders in the event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_heading=h.1fob9te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influences multiculturalism and social integration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Further approaches</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_heading=h.2et92p0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360"/>
            </w:tabs>
            <w:spacing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360"/>
            </w:tabs>
            <w:spacing w:after="80" w:before="20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_heading=h.3dy6vkm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3">
      <w:pP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Part A</w:t>
      </w:r>
    </w:p>
    <w:p w:rsidR="00000000" w:rsidDel="00000000" w:rsidP="00000000" w:rsidRDefault="00000000" w:rsidRPr="00000000" w14:paraId="00000015">
      <w:pPr>
        <w:pStyle w:val="Heading1"/>
        <w:rPr>
          <w:b w:val="0"/>
        </w:rPr>
      </w:pPr>
      <w:bookmarkStart w:colFirst="0" w:colLast="0" w:name="_heading=h.gjdgxs" w:id="0"/>
      <w:bookmarkEnd w:id="0"/>
      <w:r w:rsidDel="00000000" w:rsidR="00000000" w:rsidRPr="00000000">
        <w:rPr>
          <w:rtl w:val="0"/>
        </w:rPr>
        <w:t xml:space="preserve">Introduction </w:t>
      </w: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Engagement of the community is the process of working collaboratively with the people group of the community and with the individuals. Community engagement is associated with the presence of geographical areas for the community. Engagement of the community is important to address the problems that affect the changes in the environment and behaviour among the community. Engagement of the community consists of various stages to improve the health of the community members. The different stages of community engagement are plan development of the event, arrangements of the contributors, donors and investors and many more (Ojikutu et al., 2021). The main purpose of the engagement of local people of the community is to engage all the people in the conferences, workshops and events from people of all age groups in the well-being of the patients suffering from Dementia. In society, there are different types of people belonging to different cultures in the community. The engagement of the local people of the community covers various parts of the community such as children's education, social awareness, health checkups, awareness of different diseases and so on. </w:t>
      </w:r>
    </w:p>
    <w:p w:rsidR="00000000" w:rsidDel="00000000" w:rsidP="00000000" w:rsidRDefault="00000000" w:rsidRPr="00000000" w14:paraId="00000017">
      <w:pPr>
        <w:pStyle w:val="Heading1"/>
        <w:rPr>
          <w:b w:val="0"/>
        </w:rPr>
      </w:pPr>
      <w:bookmarkStart w:colFirst="0" w:colLast="0" w:name="_heading=h.30j0zll" w:id="1"/>
      <w:bookmarkEnd w:id="1"/>
      <w:r w:rsidDel="00000000" w:rsidR="00000000" w:rsidRPr="00000000">
        <w:rPr>
          <w:rtl w:val="0"/>
        </w:rPr>
        <w:t xml:space="preserve">Discussion of the event </w:t>
      </w: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Alzheimer’s Society Northern Ireland Conference was held on 21st September 2021 in Northern Ireland. The memory problem and increasing confusion among senior people give an extraordinary view to this project which energises the community to take part in different activities at the conference named Alzheimer’s Society Northern Ireland. Exclusive care units have to be assessed in this conference named Alzheimer’s Society Northern Ireland. The Covid-19 pandemic creates a destructive impact overall in the world (Chen et al., 2021). In the United Kingdom, people are getting affected by dementia and this is the biggest hit to the community and it shattered the system of social care. This is exposed in the conference held in Northern Ireland. Dementia is a disease and it refers to the loss of analytic functioning of the human body such as thinking, reasoning and remembering. This disease Dementia interferes with the activities of the daily lives of people. The personalities of the people who suffer from Dementia may change and they cannot control their emotions because of Dementia. In Northern Ireland, the care units for the people of the community accounted for 51% of all deaths that occurred due to the Covid-19 pandemic, compared to 50% of deaths happened in Scotland, 34% in Wales and 39% in England. NISRA has confirmed that over a third of all deaths happened in Northern Ireland due to the Covid-19 pandemic and people are getting affected by Dementia. This conference was a virtual event hence it is done through virtual meetings and it was free of cost. The speakers of this conference are Robin Swann MLA, Department of Health Minister; Seamus McErlean, Former Social Care Commissioning Lead Health &amp; Social Care Board; Dr Richard Oakley, Head of Research, Alzheimer’s Society and many others. All the adventures of this conference will be given total support and friendliness throughout the management procedure (Christensen et al., 2020). The participants of this conference have an option to provide care to Dementia patients in this conference of Alzheimer’s Society in Northern Ireland. This conference has been arranged with the equipment for the wide range of care and prevention for the older ones. </w:t>
      </w:r>
    </w:p>
    <w:p w:rsidR="00000000" w:rsidDel="00000000" w:rsidP="00000000" w:rsidRDefault="00000000" w:rsidRPr="00000000" w14:paraId="00000019">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this series, a total of 16 conferences were arranged by NISRA. Besides participating in this conference as a practitioner, the people belonging to the community will enjoy the extraordinary outdoor projects regarding Dementia syndromes. The facilities of medical recommendations are organised by the router of this conference (Oh et al., 2020). At the frontline of this conference, the winners will celebrate their winnings. It will be enjoyable for the people belonging to the community to prepare themselves more closely and carefully. The organisers of this conference suggest that smart planning is an important part of this event arranged by the Alzheimer's Society Northern Ireland. The organisers of the conference organised by Alzheimer's Society Northern Ireland introduced some applications with online forums, advanced modules of training and the latest updates of news. On the website and application of Alzheimer's Society, the organisers of this event upload the route map of this event. Dementia can create a bad impact on the individual people of the community and their family members. </w:t>
      </w:r>
    </w:p>
    <w:p w:rsidR="00000000" w:rsidDel="00000000" w:rsidP="00000000" w:rsidRDefault="00000000" w:rsidRPr="00000000" w14:paraId="0000001A">
      <w:pPr>
        <w:pStyle w:val="Heading1"/>
        <w:rPr>
          <w:b w:val="0"/>
        </w:rPr>
      </w:pPr>
      <w:bookmarkStart w:colFirst="0" w:colLast="0" w:name="_heading=h.1fob9te" w:id="2"/>
      <w:bookmarkEnd w:id="2"/>
      <w:r w:rsidDel="00000000" w:rsidR="00000000" w:rsidRPr="00000000">
        <w:rPr>
          <w:rtl w:val="0"/>
        </w:rPr>
        <w:t xml:space="preserve">Cooperation of stakeholders in the event </w:t>
      </w: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this event engagement of stakeholders is becoming a common international area and this conference is considered as best practices of research regarding the disease Dementia to improve the management services of prevention and care. Several organisations have a stake in the prevention and care of Dementia but the proof is based on the involvement of stakeholders in the research of the disease named Dementia. The purpose of this conference is to explore the views of two important groups of stakeholders regarding the prevention and care of Dementia as the priority conference (Rentz et al., 2021). The thinking of public and patient involvement is documented very well. The participation of stakeholders is becoming important on an international basis, but it is still implemented in the research of Dementia. Different participants have a stake in the care and prevention of Dementia, including the older people as the potential future of the system of prevention and care, the service providers are actively involved in the implementation and design of prevention and care of Dementia. An estimation is found that more than 47 million people are suffering from Dementia overall in the world. With the increasing generality of Dementia, the involvement of the public in this conference is imperative to support the improvement and development of management solutions for prevention and care with the higher demands (Baugh et al., 2021). The involvement of the public and patients determines the process of actively engaging the people affected indirectly or directly by Dementia. The organisers of this event on prevention and care of Dementia are way ahead with the equipment while looking forward to the provided services for the team members. The stakeholders are motivated by this type of conference and event. Therefore, the funds gained from the stakeholders and fundraisers for this event will be contributed to the patients suffering from Dementia. </w:t>
      </w:r>
    </w:p>
    <w:p w:rsidR="00000000" w:rsidDel="00000000" w:rsidP="00000000" w:rsidRDefault="00000000" w:rsidRPr="00000000" w14:paraId="0000001C">
      <w:pPr>
        <w:pStyle w:val="Heading1"/>
        <w:rPr>
          <w:b w:val="0"/>
        </w:rPr>
      </w:pPr>
      <w:bookmarkStart w:colFirst="0" w:colLast="0" w:name="_heading=h.3znysh7" w:id="3"/>
      <w:bookmarkEnd w:id="3"/>
      <w:r w:rsidDel="00000000" w:rsidR="00000000" w:rsidRPr="00000000">
        <w:rPr>
          <w:rtl w:val="0"/>
        </w:rPr>
        <w:t xml:space="preserve">Social media influences multiculturalism and social integration </w:t>
      </w: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Due to the high progress in technology, the interest in gathering knowledge is also increasing day by day. People have chosen the internet to be the most important and useful one than encyclopaedias and books.  The internet has helped people with knowledge regarding society, community sports and many other entertainments. Technology has helped people to update themselves with the help of their access (</w:t>
      </w:r>
      <w:r w:rsidDel="00000000" w:rsidR="00000000" w:rsidRPr="00000000">
        <w:rPr>
          <w:rFonts w:ascii="Times New Roman" w:cs="Times New Roman" w:eastAsia="Times New Roman" w:hAnsi="Times New Roman"/>
          <w:color w:val="000000"/>
          <w:sz w:val="24"/>
          <w:szCs w:val="24"/>
          <w:highlight w:val="white"/>
          <w:rtl w:val="0"/>
        </w:rPr>
        <w:t xml:space="preserve">Saldanha et al., 2020)</w:t>
      </w:r>
      <w:r w:rsidDel="00000000" w:rsidR="00000000" w:rsidRPr="00000000">
        <w:rPr>
          <w:rFonts w:ascii="Times New Roman" w:cs="Times New Roman" w:eastAsia="Times New Roman" w:hAnsi="Times New Roman"/>
          <w:color w:val="000000"/>
          <w:sz w:val="24"/>
          <w:szCs w:val="24"/>
          <w:rtl w:val="0"/>
        </w:rPr>
        <w:t xml:space="preserve">. Social media which runs with the help of the internet has also helped people to know more about the happenings all over the world. Social media like Facebook, Twitter, Instagram and LinkedIn have helped to connect people all over the world only through an internet access or web connection. People of different ages starting from child to old person everyone has developed to access the internet connection. Social media also help the students to know about the different projects and seminars that are important to their education. Social media has helped people private information for discussing different topics related to economics, politics, social reform and so on. Social media has become the only medium for exchanging ideas among people all over the world. It has made the world digitalised with its application. Therefore, in the case of multicultural education, </w:t>
      </w:r>
      <w:r w:rsidDel="00000000" w:rsidR="00000000" w:rsidRPr="00000000">
        <w:rPr>
          <w:rFonts w:ascii="Times New Roman" w:cs="Times New Roman" w:eastAsia="Times New Roman" w:hAnsi="Times New Roman"/>
          <w:b w:val="1"/>
          <w:color w:val="000000"/>
          <w:sz w:val="24"/>
          <w:szCs w:val="24"/>
          <w:rtl w:val="0"/>
        </w:rPr>
        <w:t xml:space="preserve">it </w:t>
      </w:r>
      <w:r w:rsidDel="00000000" w:rsidR="00000000" w:rsidRPr="00000000">
        <w:rPr>
          <w:rFonts w:ascii="Times New Roman" w:cs="Times New Roman" w:eastAsia="Times New Roman" w:hAnsi="Times New Roman"/>
          <w:color w:val="000000"/>
          <w:sz w:val="24"/>
          <w:szCs w:val="24"/>
          <w:rtl w:val="0"/>
        </w:rPr>
        <w:t xml:space="preserve">has been seen that this type first started in the United States and afterwards it has then spread into several countries. </w:t>
      </w:r>
    </w:p>
    <w:p w:rsidR="00000000" w:rsidDel="00000000" w:rsidP="00000000" w:rsidRDefault="00000000" w:rsidRPr="00000000" w14:paraId="0000001E">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Multicultural education can be defined as the type of information of education. The five main characteristics of multicultural education are content, construction of knowledge, reduction of prejudice, empowerment of culture of the school, equity and structure of the society. Social integration can be defined as the process by which the minorities part of the society is incorporated into the structural part of the society (</w:t>
      </w:r>
      <w:r w:rsidDel="00000000" w:rsidR="00000000" w:rsidRPr="00000000">
        <w:rPr>
          <w:rFonts w:ascii="Times New Roman" w:cs="Times New Roman" w:eastAsia="Times New Roman" w:hAnsi="Times New Roman"/>
          <w:color w:val="000000"/>
          <w:sz w:val="24"/>
          <w:szCs w:val="24"/>
          <w:highlight w:val="white"/>
          <w:rtl w:val="0"/>
        </w:rPr>
        <w:t xml:space="preserve">Vora et al., 2019)</w:t>
      </w:r>
      <w:r w:rsidDel="00000000" w:rsidR="00000000" w:rsidRPr="00000000">
        <w:rPr>
          <w:rFonts w:ascii="Times New Roman" w:cs="Times New Roman" w:eastAsia="Times New Roman" w:hAnsi="Times New Roman"/>
          <w:color w:val="000000"/>
          <w:sz w:val="24"/>
          <w:szCs w:val="24"/>
          <w:rtl w:val="0"/>
        </w:rPr>
        <w:t xml:space="preserve">. The process deals with the participation of members a maintaining a peaceful relationship among the society. This concept is more focused on a safe conflict of society, disintegration in the society, exclusion in the society, fragmentation in the society and so on. This concept of social integration was first developed in 1921 by two persons named Valle and Burgress. It can be defined as the interpretation process by which people can inhibit the growth of sentiment, attitude to others, and sharing app of experiences to lead a common life. That is social integration the bonding of the individual living in a large society. Social integration can be of four types cultural, normative, communicative and functional. The cultural path is defined as the cultural status (</w:t>
      </w:r>
      <w:r w:rsidDel="00000000" w:rsidR="00000000" w:rsidRPr="00000000">
        <w:rPr>
          <w:rFonts w:ascii="Times New Roman" w:cs="Times New Roman" w:eastAsia="Times New Roman" w:hAnsi="Times New Roman"/>
          <w:color w:val="000000"/>
          <w:sz w:val="24"/>
          <w:szCs w:val="24"/>
          <w:highlight w:val="white"/>
          <w:rtl w:val="0"/>
        </w:rPr>
        <w:t xml:space="preserve">Bano et al., 2019)</w:t>
      </w:r>
      <w:r w:rsidDel="00000000" w:rsidR="00000000" w:rsidRPr="00000000">
        <w:rPr>
          <w:rFonts w:ascii="Times New Roman" w:cs="Times New Roman" w:eastAsia="Times New Roman" w:hAnsi="Times New Roman"/>
          <w:color w:val="000000"/>
          <w:sz w:val="24"/>
          <w:szCs w:val="24"/>
          <w:rtl w:val="0"/>
        </w:rPr>
        <w:t xml:space="preserve">. Normative is the behavioural concept while communicative is the expression exchanged among the groups and functional is the mutual dependence on each other. Social integration helps the people to be a part of economic, social and political life determined by the application of equality in rights, dignity, equity as well as opportunity. Therefore, social integration is the most important part of sharing culture, language, and likings within a large community. Social integration is very much important in connecting people all over the world.</w:t>
      </w:r>
    </w:p>
    <w:p w:rsidR="00000000" w:rsidDel="00000000" w:rsidP="00000000" w:rsidRDefault="00000000" w:rsidRPr="00000000" w14:paraId="0000001F">
      <w:pPr>
        <w:pStyle w:val="Heading1"/>
        <w:rPr>
          <w:b w:val="0"/>
        </w:rPr>
      </w:pPr>
      <w:bookmarkStart w:colFirst="0" w:colLast="0" w:name="_heading=h.2et92p0" w:id="4"/>
      <w:bookmarkEnd w:id="4"/>
      <w:r w:rsidDel="00000000" w:rsidR="00000000" w:rsidRPr="00000000">
        <w:rPr>
          <w:rtl w:val="0"/>
        </w:rPr>
        <w:t xml:space="preserve">Further approaches </w:t>
      </w:r>
      <w:r w:rsidDel="00000000" w:rsidR="00000000" w:rsidRPr="00000000">
        <w:rPr>
          <w:rtl w:val="0"/>
        </w:rPr>
      </w:r>
    </w:p>
    <w:p w:rsidR="00000000" w:rsidDel="00000000" w:rsidP="00000000" w:rsidRDefault="00000000" w:rsidRPr="00000000" w14:paraId="00000020">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With the increase of Technology and digitalised world, social media are also getting more popular day by day. Nearly about 90% of people all over the world use the internet. People are now connecting themselves with their relatives and friends through access to the internet (</w:t>
      </w:r>
      <w:r w:rsidDel="00000000" w:rsidR="00000000" w:rsidRPr="00000000">
        <w:rPr>
          <w:rFonts w:ascii="Times New Roman" w:cs="Times New Roman" w:eastAsia="Times New Roman" w:hAnsi="Times New Roman"/>
          <w:color w:val="000000"/>
          <w:sz w:val="24"/>
          <w:szCs w:val="24"/>
          <w:highlight w:val="white"/>
          <w:rtl w:val="0"/>
        </w:rPr>
        <w:t xml:space="preserve">Tajvidi et al., 2020)</w:t>
      </w:r>
      <w:r w:rsidDel="00000000" w:rsidR="00000000" w:rsidRPr="00000000">
        <w:rPr>
          <w:rFonts w:ascii="Times New Roman" w:cs="Times New Roman" w:eastAsia="Times New Roman" w:hAnsi="Times New Roman"/>
          <w:color w:val="000000"/>
          <w:sz w:val="24"/>
          <w:szCs w:val="24"/>
          <w:rtl w:val="0"/>
        </w:rPr>
        <w:t xml:space="preserve">. It could be said that some future approaches will soon develop with the help of social media. Popular companies have chosen the internet to be the only media to increase their production. Social media has helped the world in certain ways like social networking, mobile devices, new features, visualisation through social media, geographical services, campaigns, recruitment in jobs and so on (</w:t>
      </w:r>
      <w:r w:rsidDel="00000000" w:rsidR="00000000" w:rsidRPr="00000000">
        <w:rPr>
          <w:rFonts w:ascii="Times New Roman" w:cs="Times New Roman" w:eastAsia="Times New Roman" w:hAnsi="Times New Roman"/>
          <w:color w:val="000000"/>
          <w:sz w:val="24"/>
          <w:szCs w:val="24"/>
          <w:highlight w:val="white"/>
          <w:rtl w:val="0"/>
        </w:rPr>
        <w:t xml:space="preserve">Olanrewaju et al., 2020)</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2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Social networking:</w:t>
      </w:r>
      <w:r w:rsidDel="00000000" w:rsidR="00000000" w:rsidRPr="00000000">
        <w:rPr>
          <w:rFonts w:ascii="Times New Roman" w:cs="Times New Roman" w:eastAsia="Times New Roman" w:hAnsi="Times New Roman"/>
          <w:color w:val="000000"/>
          <w:sz w:val="24"/>
          <w:szCs w:val="24"/>
          <w:rtl w:val="0"/>
        </w:rPr>
        <w:t xml:space="preserve"> Social networking can be defined as the mode of selling products of a company with full guidance regarding the properties of the product and therefore people have faith in the social media purchasing of products. </w:t>
      </w:r>
    </w:p>
    <w:p w:rsidR="00000000" w:rsidDel="00000000" w:rsidP="00000000" w:rsidRDefault="00000000" w:rsidRPr="00000000" w14:paraId="00000022">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Mobile devices:</w:t>
      </w:r>
      <w:r w:rsidDel="00000000" w:rsidR="00000000" w:rsidRPr="00000000">
        <w:rPr>
          <w:rFonts w:ascii="Times New Roman" w:cs="Times New Roman" w:eastAsia="Times New Roman" w:hAnsi="Times New Roman"/>
          <w:color w:val="000000"/>
          <w:sz w:val="24"/>
          <w:szCs w:val="24"/>
          <w:rtl w:val="0"/>
        </w:rPr>
        <w:t xml:space="preserve"> Mobile devices also have access to social media and therefore the use of mobile phones has been increased. As a result, the sales of mobile phones have been increased simultaneously.</w:t>
      </w:r>
    </w:p>
    <w:p w:rsidR="00000000" w:rsidDel="00000000" w:rsidP="00000000" w:rsidRDefault="00000000" w:rsidRPr="00000000" w14:paraId="00000023">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Visualisation through social media:</w:t>
      </w:r>
      <w:r w:rsidDel="00000000" w:rsidR="00000000" w:rsidRPr="00000000">
        <w:rPr>
          <w:rFonts w:ascii="Times New Roman" w:cs="Times New Roman" w:eastAsia="Times New Roman" w:hAnsi="Times New Roman"/>
          <w:color w:val="000000"/>
          <w:sz w:val="24"/>
          <w:szCs w:val="24"/>
          <w:rtl w:val="0"/>
        </w:rPr>
        <w:t xml:space="preserve"> Visualisation has become more popular than texting on messaging (</w:t>
      </w:r>
      <w:r w:rsidDel="00000000" w:rsidR="00000000" w:rsidRPr="00000000">
        <w:rPr>
          <w:rFonts w:ascii="Times New Roman" w:cs="Times New Roman" w:eastAsia="Times New Roman" w:hAnsi="Times New Roman"/>
          <w:color w:val="000000"/>
          <w:sz w:val="24"/>
          <w:szCs w:val="24"/>
          <w:highlight w:val="white"/>
          <w:rtl w:val="0"/>
        </w:rPr>
        <w:t xml:space="preserve">Iankova et al., 2019)</w:t>
      </w:r>
      <w:r w:rsidDel="00000000" w:rsidR="00000000" w:rsidRPr="00000000">
        <w:rPr>
          <w:rFonts w:ascii="Times New Roman" w:cs="Times New Roman" w:eastAsia="Times New Roman" w:hAnsi="Times New Roman"/>
          <w:color w:val="000000"/>
          <w:sz w:val="24"/>
          <w:szCs w:val="24"/>
          <w:rtl w:val="0"/>
        </w:rPr>
        <w:t xml:space="preserve">. Content like Instagram and Snapchat have also started getting popular day by day. It can be said that in future the visual content board applicable to every organisation as well.</w:t>
      </w:r>
    </w:p>
    <w:p w:rsidR="00000000" w:rsidDel="00000000" w:rsidP="00000000" w:rsidRDefault="00000000" w:rsidRPr="00000000" w14:paraId="00000024">
      <w:pPr>
        <w:pStyle w:val="Heading1"/>
        <w:rPr>
          <w:b w:val="0"/>
        </w:rPr>
      </w:pPr>
      <w:bookmarkStart w:colFirst="0" w:colLast="0" w:name="_heading=h.tyjcwt" w:id="5"/>
      <w:bookmarkEnd w:id="5"/>
      <w:r w:rsidDel="00000000" w:rsidR="00000000" w:rsidRPr="00000000">
        <w:rPr>
          <w:rtl w:val="0"/>
        </w:rPr>
        <w:t xml:space="preserve">Conclusion </w:t>
      </w:r>
      <w:r w:rsidDel="00000000" w:rsidR="00000000" w:rsidRPr="00000000">
        <w:rPr>
          <w:rtl w:val="0"/>
        </w:rPr>
      </w:r>
    </w:p>
    <w:p w:rsidR="00000000" w:rsidDel="00000000" w:rsidP="00000000" w:rsidRDefault="00000000" w:rsidRPr="00000000" w14:paraId="00000025">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Hence it can be concluded that community engagement is important for the development of society as it does benefit the people. The main focus of community engagement is to serve the people in case of need, arrangement of events or organisation the community of the people to get benefited in their lives. Engagement of the communities is defined as engaging the people issue of developing the society and creating different types of projects that will help the community in many ways. Awareness is the main part of community engagement, that is creating awareness among the community of people is the main objective of community engagement an effective community engagement will give rise to take decisions that are good for society and the people, understanding of the decisions, development of the skill confidence among the community of the people so that they can be responsible for making their own decisions. Engagement leads to community development which says that to become a community effective it would have to run solely. Community engagement is a dynamic process that deals with different kinds of model theories to create with the community regarding the political and economic environment. The concept of community engagement is very much popular in several countries that are more progressive in comparison to others. Community engagement increases the knowledge of a person’s inclusion of different theories. The main function of community engagement is to provide value to activities for the people so that they can contribute their skills to their society. Community engagement also includes the presence of the stakeholders for nurturing that development to the further world. Community engagement with the Social Science and Humanities part where the science is psychology, anthropology, Political Science and sociology. Juventus part deals with the disciplines like the literature of community, cultural influences psychological community and so on.</w:t>
      </w:r>
    </w:p>
    <w:p w:rsidR="00000000" w:rsidDel="00000000" w:rsidP="00000000" w:rsidRDefault="00000000" w:rsidRPr="00000000" w14:paraId="00000026">
      <w:pPr>
        <w:pStyle w:val="Heading1"/>
        <w:rPr/>
      </w:pPr>
      <w:bookmarkStart w:colFirst="0" w:colLast="0" w:name="_heading=h.3dy6vkm" w:id="6"/>
      <w:bookmarkEnd w:id="6"/>
      <w:r w:rsidDel="00000000" w:rsidR="00000000" w:rsidRPr="00000000">
        <w:br w:type="page"/>
      </w:r>
      <w:r w:rsidDel="00000000" w:rsidR="00000000" w:rsidRPr="00000000">
        <w:rPr>
          <w:rtl w:val="0"/>
        </w:rPr>
        <w:t xml:space="preserve">Reference list</w:t>
      </w:r>
    </w:p>
    <w:p w:rsidR="00000000" w:rsidDel="00000000" w:rsidP="00000000" w:rsidRDefault="00000000" w:rsidRPr="00000000" w14:paraId="00000027">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Bano, S., Cisheng, W., Khan, A.N. and Khan, N.A., 2019. WhatsApp use and student's psychological well-being: Role of social capital and social integration. </w:t>
      </w:r>
      <w:r w:rsidDel="00000000" w:rsidR="00000000" w:rsidRPr="00000000">
        <w:rPr>
          <w:rFonts w:ascii="Times New Roman" w:cs="Times New Roman" w:eastAsia="Times New Roman" w:hAnsi="Times New Roman"/>
          <w:i w:val="1"/>
          <w:color w:val="000000"/>
          <w:sz w:val="24"/>
          <w:szCs w:val="24"/>
          <w:highlight w:val="white"/>
          <w:rtl w:val="0"/>
        </w:rPr>
        <w:t xml:space="preserve">Children and youth services review</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103</w:t>
      </w:r>
      <w:r w:rsidDel="00000000" w:rsidR="00000000" w:rsidRPr="00000000">
        <w:rPr>
          <w:rFonts w:ascii="Times New Roman" w:cs="Times New Roman" w:eastAsia="Times New Roman" w:hAnsi="Times New Roman"/>
          <w:color w:val="000000"/>
          <w:sz w:val="24"/>
          <w:szCs w:val="24"/>
          <w:highlight w:val="white"/>
          <w:rtl w:val="0"/>
        </w:rPr>
        <w:t xml:space="preserve">, pp.200-208. Available at: </w:t>
      </w:r>
      <w:hyperlink r:id="rId8">
        <w:r w:rsidDel="00000000" w:rsidR="00000000" w:rsidRPr="00000000">
          <w:rPr>
            <w:rFonts w:ascii="Times New Roman" w:cs="Times New Roman" w:eastAsia="Times New Roman" w:hAnsi="Times New Roman"/>
            <w:color w:val="000000"/>
            <w:sz w:val="24"/>
            <w:szCs w:val="24"/>
            <w:highlight w:val="white"/>
            <w:u w:val="single"/>
            <w:rtl w:val="0"/>
          </w:rPr>
          <w:t xml:space="preserve">http://modir3-3.ir/article-english/isi-t01.pdf</w:t>
        </w:r>
      </w:hyperlink>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Baugh, C.M., Gedlaman, M.A., Daneshvar, D.H. and Kroshus, E., 2021. Factors influencing college football players’ beliefs about incurring football-related dementia. </w:t>
      </w:r>
      <w:r w:rsidDel="00000000" w:rsidR="00000000" w:rsidRPr="00000000">
        <w:rPr>
          <w:rFonts w:ascii="Times New Roman" w:cs="Times New Roman" w:eastAsia="Times New Roman" w:hAnsi="Times New Roman"/>
          <w:i w:val="1"/>
          <w:color w:val="000000"/>
          <w:sz w:val="24"/>
          <w:szCs w:val="24"/>
          <w:highlight w:val="white"/>
          <w:rtl w:val="0"/>
        </w:rPr>
        <w:t xml:space="preserve">Orthopaedic journal of sports medicine</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9</w:t>
      </w:r>
      <w:r w:rsidDel="00000000" w:rsidR="00000000" w:rsidRPr="00000000">
        <w:rPr>
          <w:rFonts w:ascii="Times New Roman" w:cs="Times New Roman" w:eastAsia="Times New Roman" w:hAnsi="Times New Roman"/>
          <w:color w:val="000000"/>
          <w:sz w:val="24"/>
          <w:szCs w:val="24"/>
          <w:highlight w:val="white"/>
          <w:rtl w:val="0"/>
        </w:rPr>
        <w:t xml:space="preserve">(4), p.23259671211001129. Available at: </w:t>
      </w:r>
      <w:hyperlink r:id="rId9">
        <w:r w:rsidDel="00000000" w:rsidR="00000000" w:rsidRPr="00000000">
          <w:rPr>
            <w:rFonts w:ascii="Times New Roman" w:cs="Times New Roman" w:eastAsia="Times New Roman" w:hAnsi="Times New Roman"/>
            <w:color w:val="000000"/>
            <w:sz w:val="24"/>
            <w:szCs w:val="24"/>
            <w:highlight w:val="white"/>
            <w:u w:val="single"/>
            <w:rtl w:val="0"/>
          </w:rPr>
          <w:t xml:space="preserve">https://journals.sagepub.com/doi/pdf/10.1177/23259671211001129</w:t>
        </w:r>
      </w:hyperlink>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Chen, A., Copeli, F., Metzger, E., Cloutier, A. and Osser, D.N., 2021. The Psychopharmacology Algorithm Project at the Harvard South Shore Program: An update on management of behavioral and psychological symptoms in dementia. </w:t>
      </w:r>
      <w:r w:rsidDel="00000000" w:rsidR="00000000" w:rsidRPr="00000000">
        <w:rPr>
          <w:rFonts w:ascii="Times New Roman" w:cs="Times New Roman" w:eastAsia="Times New Roman" w:hAnsi="Times New Roman"/>
          <w:i w:val="1"/>
          <w:color w:val="000000"/>
          <w:sz w:val="24"/>
          <w:szCs w:val="24"/>
          <w:highlight w:val="white"/>
          <w:rtl w:val="0"/>
        </w:rPr>
        <w:t xml:space="preserve">Psychiatry Research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295</w:t>
      </w:r>
      <w:r w:rsidDel="00000000" w:rsidR="00000000" w:rsidRPr="00000000">
        <w:rPr>
          <w:rFonts w:ascii="Times New Roman" w:cs="Times New Roman" w:eastAsia="Times New Roman" w:hAnsi="Times New Roman"/>
          <w:color w:val="000000"/>
          <w:sz w:val="24"/>
          <w:szCs w:val="24"/>
          <w:highlight w:val="white"/>
          <w:rtl w:val="0"/>
        </w:rPr>
        <w:t xml:space="preserve">, p.113641. Available at: </w:t>
      </w:r>
      <w:hyperlink r:id="rId10">
        <w:r w:rsidDel="00000000" w:rsidR="00000000" w:rsidRPr="00000000">
          <w:rPr>
            <w:rFonts w:ascii="Times New Roman" w:cs="Times New Roman" w:eastAsia="Times New Roman" w:hAnsi="Times New Roman"/>
            <w:color w:val="000000"/>
            <w:sz w:val="24"/>
            <w:szCs w:val="24"/>
            <w:highlight w:val="white"/>
            <w:u w:val="single"/>
            <w:rtl w:val="0"/>
          </w:rPr>
          <w:t xml:space="preserve">https://depts.washington.edu/mbwc/content/page-files/1-s2.0-S0165178120333023-main_.pdf</w:t>
        </w:r>
      </w:hyperlink>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Christensen, K.D., Karlawish, J., Roberts, J.S., Uhlmann, W.R., Harkins, K., Wood, E.M., Obisesan, T.O., Le, L.Q., Cupples, L.A., Zoltick, E.S. and Johnson, M.S., 2020. Disclosing genetic risk for Alzheimer's dementia to individuals with mild cognitive impairment. </w:t>
      </w:r>
      <w:r w:rsidDel="00000000" w:rsidR="00000000" w:rsidRPr="00000000">
        <w:rPr>
          <w:rFonts w:ascii="Times New Roman" w:cs="Times New Roman" w:eastAsia="Times New Roman" w:hAnsi="Times New Roman"/>
          <w:i w:val="1"/>
          <w:color w:val="000000"/>
          <w:sz w:val="24"/>
          <w:szCs w:val="24"/>
          <w:highlight w:val="white"/>
          <w:rtl w:val="0"/>
        </w:rPr>
        <w:t xml:space="preserve">Alzheimer's &amp; Dementia: Translational Research &amp; Clinical Interventions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6</w:t>
      </w:r>
      <w:r w:rsidDel="00000000" w:rsidR="00000000" w:rsidRPr="00000000">
        <w:rPr>
          <w:rFonts w:ascii="Times New Roman" w:cs="Times New Roman" w:eastAsia="Times New Roman" w:hAnsi="Times New Roman"/>
          <w:color w:val="000000"/>
          <w:sz w:val="24"/>
          <w:szCs w:val="24"/>
          <w:highlight w:val="white"/>
          <w:rtl w:val="0"/>
        </w:rPr>
        <w:t xml:space="preserve">(1), p.e12002. Available at: </w:t>
      </w:r>
      <w:hyperlink r:id="rId11">
        <w:r w:rsidDel="00000000" w:rsidR="00000000" w:rsidRPr="00000000">
          <w:rPr>
            <w:rFonts w:ascii="Times New Roman" w:cs="Times New Roman" w:eastAsia="Times New Roman" w:hAnsi="Times New Roman"/>
            <w:color w:val="000000"/>
            <w:sz w:val="24"/>
            <w:szCs w:val="24"/>
            <w:highlight w:val="white"/>
            <w:u w:val="single"/>
            <w:rtl w:val="0"/>
          </w:rPr>
          <w:t xml:space="preserve">https://alz-journals.onlinelibrary.wiley.com/doi/pdfdirect/10.1002/trc2.12002</w:t>
        </w:r>
      </w:hyperlink>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Iankova, S., Davies, I., Archer-Brown, C., Marder, B. and Yau, A., 2019. A comparison of social media marketing between B2B, B2C and mixed business models. </w:t>
      </w:r>
      <w:r w:rsidDel="00000000" w:rsidR="00000000" w:rsidRPr="00000000">
        <w:rPr>
          <w:rFonts w:ascii="Times New Roman" w:cs="Times New Roman" w:eastAsia="Times New Roman" w:hAnsi="Times New Roman"/>
          <w:i w:val="1"/>
          <w:color w:val="000000"/>
          <w:sz w:val="24"/>
          <w:szCs w:val="24"/>
          <w:highlight w:val="white"/>
          <w:rtl w:val="0"/>
        </w:rPr>
        <w:t xml:space="preserve">Industrial Marketing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81</w:t>
      </w:r>
      <w:r w:rsidDel="00000000" w:rsidR="00000000" w:rsidRPr="00000000">
        <w:rPr>
          <w:rFonts w:ascii="Times New Roman" w:cs="Times New Roman" w:eastAsia="Times New Roman" w:hAnsi="Times New Roman"/>
          <w:color w:val="000000"/>
          <w:sz w:val="24"/>
          <w:szCs w:val="24"/>
          <w:highlight w:val="white"/>
          <w:rtl w:val="0"/>
        </w:rPr>
        <w:t xml:space="preserve">, pp.169-179. Available at: </w:t>
      </w:r>
      <w:hyperlink r:id="rId12">
        <w:r w:rsidDel="00000000" w:rsidR="00000000" w:rsidRPr="00000000">
          <w:rPr>
            <w:rFonts w:ascii="Times New Roman" w:cs="Times New Roman" w:eastAsia="Times New Roman" w:hAnsi="Times New Roman"/>
            <w:color w:val="000000"/>
            <w:sz w:val="24"/>
            <w:szCs w:val="24"/>
            <w:highlight w:val="white"/>
            <w:u w:val="single"/>
            <w:rtl w:val="0"/>
          </w:rPr>
          <w:t xml:space="preserve">https://strathprints.strath.ac.uk/72249/1/Iankova_etal_IMM_2019_A_comparison_of_social_media_marketing_between_B2B.pdf</w:t>
        </w:r>
      </w:hyperlink>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Oh, E.S., Akeju, O., Avidan, M.S., Cunningham, C., Hayden, K.M., Jones, R.N., Khachaturian, A.S., Khan, B.A., Marcantonio, E.R., Needham, D.M. and Neufeld, K.J., 2020. A roadmap to advance delirium research: recommendations from the NIDUS Scientific Think Tank. </w:t>
      </w:r>
      <w:r w:rsidDel="00000000" w:rsidR="00000000" w:rsidRPr="00000000">
        <w:rPr>
          <w:rFonts w:ascii="Times New Roman" w:cs="Times New Roman" w:eastAsia="Times New Roman" w:hAnsi="Times New Roman"/>
          <w:i w:val="1"/>
          <w:color w:val="000000"/>
          <w:sz w:val="24"/>
          <w:szCs w:val="24"/>
          <w:highlight w:val="white"/>
          <w:rtl w:val="0"/>
        </w:rPr>
        <w:t xml:space="preserve">Alzheimer's &amp; Dementia</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16</w:t>
      </w:r>
      <w:r w:rsidDel="00000000" w:rsidR="00000000" w:rsidRPr="00000000">
        <w:rPr>
          <w:rFonts w:ascii="Times New Roman" w:cs="Times New Roman" w:eastAsia="Times New Roman" w:hAnsi="Times New Roman"/>
          <w:color w:val="000000"/>
          <w:sz w:val="24"/>
          <w:szCs w:val="24"/>
          <w:highlight w:val="white"/>
          <w:rtl w:val="0"/>
        </w:rPr>
        <w:t xml:space="preserve">(5), pp.726-733. Available at: </w:t>
      </w:r>
      <w:hyperlink r:id="rId13">
        <w:r w:rsidDel="00000000" w:rsidR="00000000" w:rsidRPr="00000000">
          <w:rPr>
            <w:rFonts w:ascii="Times New Roman" w:cs="Times New Roman" w:eastAsia="Times New Roman" w:hAnsi="Times New Roman"/>
            <w:color w:val="000000"/>
            <w:sz w:val="24"/>
            <w:szCs w:val="24"/>
            <w:highlight w:val="white"/>
            <w:u w:val="single"/>
            <w:rtl w:val="0"/>
          </w:rPr>
          <w:t xml:space="preserve">https://alz-journals.onlinelibrary.wiley.com/doi/pdfdirect/10.1002/alz.12076</w:t>
        </w:r>
      </w:hyperlink>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Ojikutu, B.O., Stephenson, K.E., Mayer, K.H. and Emmons, K.M., 2021. Building trust in COVID-19 vaccines and beyond through authentic community investment. </w:t>
      </w:r>
      <w:r w:rsidDel="00000000" w:rsidR="00000000" w:rsidRPr="00000000">
        <w:rPr>
          <w:rFonts w:ascii="Times New Roman" w:cs="Times New Roman" w:eastAsia="Times New Roman" w:hAnsi="Times New Roman"/>
          <w:i w:val="1"/>
          <w:color w:val="000000"/>
          <w:sz w:val="24"/>
          <w:szCs w:val="24"/>
          <w:highlight w:val="white"/>
          <w:rtl w:val="0"/>
        </w:rPr>
        <w:t xml:space="preserve">American Journal of Public Health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111</w:t>
      </w:r>
      <w:r w:rsidDel="00000000" w:rsidR="00000000" w:rsidRPr="00000000">
        <w:rPr>
          <w:rFonts w:ascii="Times New Roman" w:cs="Times New Roman" w:eastAsia="Times New Roman" w:hAnsi="Times New Roman"/>
          <w:color w:val="000000"/>
          <w:sz w:val="24"/>
          <w:szCs w:val="24"/>
          <w:highlight w:val="white"/>
          <w:rtl w:val="0"/>
        </w:rPr>
        <w:t xml:space="preserve">(3), pp.366-368. Available at: </w:t>
      </w:r>
      <w:hyperlink r:id="rId14">
        <w:r w:rsidDel="00000000" w:rsidR="00000000" w:rsidRPr="00000000">
          <w:rPr>
            <w:rFonts w:ascii="Times New Roman" w:cs="Times New Roman" w:eastAsia="Times New Roman" w:hAnsi="Times New Roman"/>
            <w:color w:val="000000"/>
            <w:sz w:val="24"/>
            <w:szCs w:val="24"/>
            <w:highlight w:val="white"/>
            <w:u w:val="single"/>
            <w:rtl w:val="0"/>
          </w:rPr>
          <w:t xml:space="preserve">https://ajph.aphapublications.org/doi/pdfplus/10.2105/AJPH.2020.306087</w:t>
        </w:r>
      </w:hyperlink>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Olanrewaju, A.S.T., Hossain, M.A., Whiteside, N. and Mercieca, P., 2020. Social media and entrepreneurship research: A literature review. </w:t>
      </w:r>
      <w:r w:rsidDel="00000000" w:rsidR="00000000" w:rsidRPr="00000000">
        <w:rPr>
          <w:rFonts w:ascii="Times New Roman" w:cs="Times New Roman" w:eastAsia="Times New Roman" w:hAnsi="Times New Roman"/>
          <w:i w:val="1"/>
          <w:color w:val="000000"/>
          <w:sz w:val="24"/>
          <w:szCs w:val="24"/>
          <w:highlight w:val="white"/>
          <w:rtl w:val="0"/>
        </w:rPr>
        <w:t xml:space="preserve">International Journal of Information Management</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50</w:t>
      </w:r>
      <w:r w:rsidDel="00000000" w:rsidR="00000000" w:rsidRPr="00000000">
        <w:rPr>
          <w:rFonts w:ascii="Times New Roman" w:cs="Times New Roman" w:eastAsia="Times New Roman" w:hAnsi="Times New Roman"/>
          <w:color w:val="000000"/>
          <w:sz w:val="24"/>
          <w:szCs w:val="24"/>
          <w:highlight w:val="white"/>
          <w:rtl w:val="0"/>
        </w:rPr>
        <w:t xml:space="preserve">, pp.90-110. Available at: </w:t>
      </w:r>
      <w:hyperlink r:id="rId15">
        <w:r w:rsidDel="00000000" w:rsidR="00000000" w:rsidRPr="00000000">
          <w:rPr>
            <w:rFonts w:ascii="Times New Roman" w:cs="Times New Roman" w:eastAsia="Times New Roman" w:hAnsi="Times New Roman"/>
            <w:color w:val="000000"/>
            <w:sz w:val="24"/>
            <w:szCs w:val="24"/>
            <w:highlight w:val="white"/>
            <w:u w:val="single"/>
            <w:rtl w:val="0"/>
          </w:rPr>
          <w:t xml:space="preserve">https://fardapaper.ir/mohavaha/uploads/2019/11/Fardapaper-Social-media-and-entrepreneurship-research-A-literature-review.pdf</w:t>
        </w:r>
      </w:hyperlink>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Rentz, D.M., Wessels, A.M., Annapragada, A.V., Berger, A.K., Edgar, C.J., Gold, M., Miller, D.S., Randolph, C., Ryan, J.M., Wunderlich, G. and Zoschg, M.C., 2021. Building clinically relevant outcomes across the Alzheimer's disease spectrum. </w:t>
      </w:r>
      <w:r w:rsidDel="00000000" w:rsidR="00000000" w:rsidRPr="00000000">
        <w:rPr>
          <w:rFonts w:ascii="Times New Roman" w:cs="Times New Roman" w:eastAsia="Times New Roman" w:hAnsi="Times New Roman"/>
          <w:i w:val="1"/>
          <w:color w:val="000000"/>
          <w:sz w:val="24"/>
          <w:szCs w:val="24"/>
          <w:highlight w:val="white"/>
          <w:rtl w:val="0"/>
        </w:rPr>
        <w:t xml:space="preserve">Alzheimer's &amp; Dementia: Translational Research &amp; Clinical Interventions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7</w:t>
      </w:r>
      <w:r w:rsidDel="00000000" w:rsidR="00000000" w:rsidRPr="00000000">
        <w:rPr>
          <w:rFonts w:ascii="Times New Roman" w:cs="Times New Roman" w:eastAsia="Times New Roman" w:hAnsi="Times New Roman"/>
          <w:color w:val="000000"/>
          <w:sz w:val="24"/>
          <w:szCs w:val="24"/>
          <w:highlight w:val="white"/>
          <w:rtl w:val="0"/>
        </w:rPr>
        <w:t xml:space="preserve">(1), p.e12181. Available at: </w:t>
      </w:r>
      <w:hyperlink r:id="rId16">
        <w:r w:rsidDel="00000000" w:rsidR="00000000" w:rsidRPr="00000000">
          <w:rPr>
            <w:rFonts w:ascii="Times New Roman" w:cs="Times New Roman" w:eastAsia="Times New Roman" w:hAnsi="Times New Roman"/>
            <w:color w:val="000000"/>
            <w:sz w:val="24"/>
            <w:szCs w:val="24"/>
            <w:highlight w:val="white"/>
            <w:u w:val="single"/>
            <w:rtl w:val="0"/>
          </w:rPr>
          <w:t xml:space="preserve">https://alz-journals.onlinelibrary.wiley.com/doi/pdfdirect/10.1002/trc2.12181</w:t>
        </w:r>
      </w:hyperlink>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Saldanha, T.J., Sahaym, A., Mithas, S., Andrade-Rojas, M.G., Kathuria, A. and Lee, H.H., 2020. Turning liabilities of global operations into assets: IT-enabled social integration capacity and exploratory innovation. </w:t>
      </w:r>
      <w:r w:rsidDel="00000000" w:rsidR="00000000" w:rsidRPr="00000000">
        <w:rPr>
          <w:rFonts w:ascii="Times New Roman" w:cs="Times New Roman" w:eastAsia="Times New Roman" w:hAnsi="Times New Roman"/>
          <w:i w:val="1"/>
          <w:color w:val="000000"/>
          <w:sz w:val="24"/>
          <w:szCs w:val="24"/>
          <w:highlight w:val="white"/>
          <w:rtl w:val="0"/>
        </w:rPr>
        <w:t xml:space="preserve">Information Systems Research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31</w:t>
      </w:r>
      <w:r w:rsidDel="00000000" w:rsidR="00000000" w:rsidRPr="00000000">
        <w:rPr>
          <w:rFonts w:ascii="Times New Roman" w:cs="Times New Roman" w:eastAsia="Times New Roman" w:hAnsi="Times New Roman"/>
          <w:color w:val="000000"/>
          <w:sz w:val="24"/>
          <w:szCs w:val="24"/>
          <w:highlight w:val="white"/>
          <w:rtl w:val="0"/>
        </w:rPr>
        <w:t xml:space="preserve">(2), pp.361-382. Available at: </w:t>
      </w:r>
      <w:hyperlink r:id="rId17">
        <w:r w:rsidDel="00000000" w:rsidR="00000000" w:rsidRPr="00000000">
          <w:rPr>
            <w:rFonts w:ascii="Times New Roman" w:cs="Times New Roman" w:eastAsia="Times New Roman" w:hAnsi="Times New Roman"/>
            <w:color w:val="000000"/>
            <w:sz w:val="24"/>
            <w:szCs w:val="24"/>
            <w:highlight w:val="white"/>
            <w:u w:val="single"/>
            <w:rtl w:val="0"/>
          </w:rPr>
          <w:t xml:space="preserve">https://www.researchgate.net/profile/Abhishek-Kathuria-2/publication/335277108_Turning_Liabilities_of_Global_Operations_into_Assets_IT-Enabled_Social_Integration_Capacity_and_Exploratory_Innovation/links/60267e13a6fdcc37a81df012/Turning-Liabilities-of-Global-Operations-into-Assets-IT-Enabled-Social-Integration-Capacity-and-Exploratory-Innovation.pdf</w:t>
        </w:r>
      </w:hyperlink>
      <w:r w:rsidDel="00000000" w:rsidR="00000000" w:rsidRPr="00000000">
        <w:rPr>
          <w:rtl w:val="0"/>
        </w:rPr>
      </w:r>
    </w:p>
    <w:p w:rsidR="00000000" w:rsidDel="00000000" w:rsidP="00000000" w:rsidRDefault="00000000" w:rsidRPr="00000000" w14:paraId="00000031">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Tajvidi, M., Richard, M.O., Wang, Y. and Hajli, N., 2020. Brand co-creation through social commerce information sharing: The role of social media. </w:t>
      </w:r>
      <w:r w:rsidDel="00000000" w:rsidR="00000000" w:rsidRPr="00000000">
        <w:rPr>
          <w:rFonts w:ascii="Times New Roman" w:cs="Times New Roman" w:eastAsia="Times New Roman" w:hAnsi="Times New Roman"/>
          <w:i w:val="1"/>
          <w:color w:val="000000"/>
          <w:sz w:val="24"/>
          <w:szCs w:val="24"/>
          <w:highlight w:val="white"/>
          <w:rtl w:val="0"/>
        </w:rPr>
        <w:t xml:space="preserve">Journal of Business Research</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121</w:t>
      </w:r>
      <w:r w:rsidDel="00000000" w:rsidR="00000000" w:rsidRPr="00000000">
        <w:rPr>
          <w:rFonts w:ascii="Times New Roman" w:cs="Times New Roman" w:eastAsia="Times New Roman" w:hAnsi="Times New Roman"/>
          <w:color w:val="000000"/>
          <w:sz w:val="24"/>
          <w:szCs w:val="24"/>
          <w:highlight w:val="white"/>
          <w:rtl w:val="0"/>
        </w:rPr>
        <w:t xml:space="preserve">, pp.476-486. Available at: </w:t>
      </w:r>
      <w:hyperlink r:id="rId18">
        <w:r w:rsidDel="00000000" w:rsidR="00000000" w:rsidRPr="00000000">
          <w:rPr>
            <w:rFonts w:ascii="Times New Roman" w:cs="Times New Roman" w:eastAsia="Times New Roman" w:hAnsi="Times New Roman"/>
            <w:color w:val="000000"/>
            <w:sz w:val="24"/>
            <w:szCs w:val="24"/>
            <w:highlight w:val="white"/>
            <w:u w:val="single"/>
            <w:rtl w:val="0"/>
          </w:rPr>
          <w:t xml:space="preserve">https://eprints.ncl.ac.uk/file_store/production/248817/5BE44446-4270-47BF-BE13-8C6543BE5866.pdf</w:t>
        </w:r>
      </w:hyperlink>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Vora, D., Martin, L., Fitzsimmons, S.R., Pekerti, A.A., Lakshman, C. and Raheem, S., 2019. Multiculturalism within individuals: A review, critique, and agenda for future research. </w:t>
      </w:r>
      <w:r w:rsidDel="00000000" w:rsidR="00000000" w:rsidRPr="00000000">
        <w:rPr>
          <w:rFonts w:ascii="Times New Roman" w:cs="Times New Roman" w:eastAsia="Times New Roman" w:hAnsi="Times New Roman"/>
          <w:i w:val="1"/>
          <w:color w:val="000000"/>
          <w:sz w:val="24"/>
          <w:szCs w:val="24"/>
          <w:highlight w:val="white"/>
          <w:rtl w:val="0"/>
        </w:rPr>
        <w:t xml:space="preserve">Journal of International Business Studies</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highlight w:val="white"/>
          <w:rtl w:val="0"/>
        </w:rPr>
        <w:t xml:space="preserve">50</w:t>
      </w:r>
      <w:r w:rsidDel="00000000" w:rsidR="00000000" w:rsidRPr="00000000">
        <w:rPr>
          <w:rFonts w:ascii="Times New Roman" w:cs="Times New Roman" w:eastAsia="Times New Roman" w:hAnsi="Times New Roman"/>
          <w:color w:val="000000"/>
          <w:sz w:val="24"/>
          <w:szCs w:val="24"/>
          <w:highlight w:val="white"/>
          <w:rtl w:val="0"/>
        </w:rPr>
        <w:t xml:space="preserve">(4), pp.499-524. Available at: </w:t>
      </w:r>
      <w:hyperlink r:id="rId19">
        <w:r w:rsidDel="00000000" w:rsidR="00000000" w:rsidRPr="00000000">
          <w:rPr>
            <w:rFonts w:ascii="Times New Roman" w:cs="Times New Roman" w:eastAsia="Times New Roman" w:hAnsi="Times New Roman"/>
            <w:color w:val="000000"/>
            <w:sz w:val="24"/>
            <w:szCs w:val="24"/>
            <w:highlight w:val="white"/>
            <w:u w:val="single"/>
            <w:rtl w:val="0"/>
          </w:rPr>
          <w:t xml:space="preserve">http://eprints.lse.ac.uk/91774/1/Raheem_Multiculturalism-within-individuals.pdf</w:t>
        </w:r>
      </w:hyperlink>
      <w:r w:rsidDel="00000000" w:rsidR="00000000" w:rsidRPr="00000000">
        <w:rPr>
          <w:rtl w:val="0"/>
        </w:rPr>
      </w:r>
    </w:p>
    <w:sectPr>
      <w:footerReference r:id="rId20"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Page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of </w:t>
    </w:r>
    <w:r w:rsidDel="00000000" w:rsidR="00000000" w:rsidRPr="00000000">
      <w:rPr>
        <w:rFonts w:ascii="Arial" w:cs="Arial" w:eastAsia="Arial" w:hAnsi="Arial"/>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rsid w:val="00D53CAD"/>
    <w:pPr>
      <w:keepNext w:val="1"/>
      <w:keepLines w:val="1"/>
      <w:spacing w:after="120" w:before="400" w:line="360" w:lineRule="auto"/>
      <w:jc w:val="both"/>
      <w:outlineLvl w:val="0"/>
    </w:pPr>
    <w:rPr>
      <w:rFonts w:ascii="Times New Roman" w:hAnsi="Times New Roman"/>
      <w:b w:val="1"/>
      <w:color w:val="000000" w:themeColor="text1"/>
      <w:sz w:val="28"/>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Header">
    <w:name w:val="header"/>
    <w:basedOn w:val="Normal"/>
    <w:link w:val="HeaderChar"/>
    <w:uiPriority w:val="99"/>
    <w:unhideWhenUsed w:val="1"/>
    <w:rsid w:val="002E6A92"/>
    <w:pPr>
      <w:tabs>
        <w:tab w:val="center" w:pos="4513"/>
        <w:tab w:val="right" w:pos="9026"/>
      </w:tabs>
      <w:spacing w:line="240" w:lineRule="auto"/>
    </w:pPr>
  </w:style>
  <w:style w:type="character" w:styleId="HeaderChar" w:customStyle="1">
    <w:name w:val="Header Char"/>
    <w:basedOn w:val="DefaultParagraphFont"/>
    <w:link w:val="Header"/>
    <w:uiPriority w:val="99"/>
    <w:rsid w:val="002E6A92"/>
  </w:style>
  <w:style w:type="paragraph" w:styleId="Footer">
    <w:name w:val="footer"/>
    <w:basedOn w:val="Normal"/>
    <w:link w:val="FooterChar"/>
    <w:uiPriority w:val="99"/>
    <w:unhideWhenUsed w:val="1"/>
    <w:rsid w:val="002E6A92"/>
    <w:pPr>
      <w:tabs>
        <w:tab w:val="center" w:pos="4513"/>
        <w:tab w:val="right" w:pos="9026"/>
      </w:tabs>
      <w:spacing w:line="240" w:lineRule="auto"/>
    </w:pPr>
  </w:style>
  <w:style w:type="character" w:styleId="FooterChar" w:customStyle="1">
    <w:name w:val="Footer Char"/>
    <w:basedOn w:val="DefaultParagraphFont"/>
    <w:link w:val="Footer"/>
    <w:uiPriority w:val="99"/>
    <w:rsid w:val="002E6A92"/>
  </w:style>
  <w:style w:type="paragraph" w:styleId="TOCHeading">
    <w:name w:val="TOC Heading"/>
    <w:basedOn w:val="Heading1"/>
    <w:next w:val="Normal"/>
    <w:uiPriority w:val="39"/>
    <w:unhideWhenUsed w:val="1"/>
    <w:qFormat w:val="1"/>
    <w:rsid w:val="002E6A92"/>
    <w:pPr>
      <w:spacing w:after="0" w:before="240" w:line="259" w:lineRule="auto"/>
      <w:outlineLvl w:val="9"/>
    </w:pPr>
    <w:rPr>
      <w:rFonts w:asciiTheme="majorHAnsi" w:cstheme="majorBidi" w:eastAsiaTheme="majorEastAsia" w:hAnsiTheme="majorHAnsi"/>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2E6A92"/>
    <w:pPr>
      <w:spacing w:after="100"/>
    </w:pPr>
  </w:style>
  <w:style w:type="character" w:styleId="Hyperlink">
    <w:name w:val="Hyperlink"/>
    <w:basedOn w:val="DefaultParagraphFont"/>
    <w:uiPriority w:val="99"/>
    <w:unhideWhenUsed w:val="1"/>
    <w:rsid w:val="002E6A92"/>
    <w:rPr>
      <w:color w:val="0000ff" w:themeColor="hyperlink"/>
      <w:u w:val="single"/>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alz-journals.onlinelibrary.wiley.com/doi/pdfdirect/10.1002/trc2.12002" TargetMode="External"/><Relationship Id="rId10" Type="http://schemas.openxmlformats.org/officeDocument/2006/relationships/hyperlink" Target="https://depts.washington.edu/mbwc/content/page-files/1-s2.0-S0165178120333023-main_.pdf" TargetMode="External"/><Relationship Id="rId13" Type="http://schemas.openxmlformats.org/officeDocument/2006/relationships/hyperlink" Target="https://alz-journals.onlinelibrary.wiley.com/doi/pdfdirect/10.1002/alz.12076" TargetMode="External"/><Relationship Id="rId12" Type="http://schemas.openxmlformats.org/officeDocument/2006/relationships/hyperlink" Target="https://strathprints.strath.ac.uk/72249/1/Iankova_etal_IMM_2019_A_comparison_of_social_media_marketing_between_B2B.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journals.sagepub.com/doi/pdf/10.1177/23259671211001129" TargetMode="External"/><Relationship Id="rId15" Type="http://schemas.openxmlformats.org/officeDocument/2006/relationships/hyperlink" Target="https://fardapaper.ir/mohavaha/uploads/2019/11/Fardapaper-Social-media-and-entrepreneurship-research-A-literature-review.pdf" TargetMode="External"/><Relationship Id="rId14" Type="http://schemas.openxmlformats.org/officeDocument/2006/relationships/hyperlink" Target="https://ajph.aphapublications.org/doi/pdfplus/10.2105/AJPH.2020.306087" TargetMode="External"/><Relationship Id="rId17" Type="http://schemas.openxmlformats.org/officeDocument/2006/relationships/hyperlink" Target="https://www.researchgate.net/profile/Abhishek-Kathuria-2/publication/335277108_Turning_Liabilities_of_Global_Operations_into_Assets_IT-Enabled_Social_Integration_Capacity_and_Exploratory_Innovation/links/60267e13a6fdcc37a81df012/Turning-Liabilities-of-Global-Operations-into-Assets-IT-Enabled-Social-Integration-Capacity-and-Exploratory-Innovation.pdf" TargetMode="External"/><Relationship Id="rId16" Type="http://schemas.openxmlformats.org/officeDocument/2006/relationships/hyperlink" Target="https://alz-journals.onlinelibrary.wiley.com/doi/pdfdirect/10.1002/trc2.12181" TargetMode="External"/><Relationship Id="rId5" Type="http://schemas.openxmlformats.org/officeDocument/2006/relationships/styles" Target="styles.xml"/><Relationship Id="rId19" Type="http://schemas.openxmlformats.org/officeDocument/2006/relationships/hyperlink" Target="http://eprints.lse.ac.uk/91774/1/Raheem_Multiculturalism-within-individuals.pdf" TargetMode="External"/><Relationship Id="rId6" Type="http://schemas.openxmlformats.org/officeDocument/2006/relationships/customXml" Target="../customXML/item1.xml"/><Relationship Id="rId18" Type="http://schemas.openxmlformats.org/officeDocument/2006/relationships/hyperlink" Target="https://eprints.ncl.ac.uk/file_store/production/248817/5BE44446-4270-47BF-BE13-8C6543BE5866.pdf" TargetMode="External"/><Relationship Id="rId7" Type="http://schemas.openxmlformats.org/officeDocument/2006/relationships/image" Target="media/image1.png"/><Relationship Id="rId8" Type="http://schemas.openxmlformats.org/officeDocument/2006/relationships/hyperlink" Target="http://modir3-3.ir/article-english/isi-t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hVzveXrMVNwI/gksRcPV2v7HwA==">AMUW2mU9K92RqvrLX7DJ344yZHz4N2fejL+pGYs0PjI8jTH2E3lm8z+tqDCdzLLSTOQw+KTnID8nRqfWtlk7F9kGE0eloafSDpj0KaqXNcuUsTVepl9tjqq+frZK7fD9Wugs55sdTkT56ZCoUZsP6VjGtjQxh4yTq8G7r3h21I4nK70xExzhfhnazkMmHkbArUNXARHE8kFx2Q6ibQF4YlZXIK3NgO8T5A==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2022-04-08T07:51:00Z</dcterms:created>
</cp:coreProperties>
</file>