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352CA" w14:textId="77777777" w:rsidR="00610AF0" w:rsidRDefault="004D497C">
      <w:pPr>
        <w:pStyle w:val="Title"/>
      </w:pPr>
      <w:bookmarkStart w:id="0" w:name="_xgtm81vdo9l" w:colFirst="0" w:colLast="0"/>
      <w:bookmarkEnd w:id="0"/>
      <w:r>
        <w:t xml:space="preserve"> </w:t>
      </w:r>
    </w:p>
    <w:p w14:paraId="5C0BDBCF" w14:textId="77777777" w:rsidR="00610AF0" w:rsidRDefault="00610AF0">
      <w:pPr>
        <w:pStyle w:val="Title"/>
      </w:pPr>
      <w:bookmarkStart w:id="1" w:name="_ushgzu7bxwfb" w:colFirst="0" w:colLast="0"/>
      <w:bookmarkEnd w:id="1"/>
    </w:p>
    <w:p w14:paraId="4DFC7887" w14:textId="77777777" w:rsidR="00610AF0" w:rsidRDefault="00610AF0">
      <w:pPr>
        <w:pStyle w:val="Title"/>
      </w:pPr>
      <w:bookmarkStart w:id="2" w:name="_r0g4nsgid8zm" w:colFirst="0" w:colLast="0"/>
      <w:bookmarkEnd w:id="2"/>
    </w:p>
    <w:p w14:paraId="69A8B532" w14:textId="77777777" w:rsidR="00610AF0" w:rsidRDefault="00610AF0">
      <w:pPr>
        <w:pStyle w:val="Title"/>
      </w:pPr>
      <w:bookmarkStart w:id="3" w:name="_4fctvcez14b2" w:colFirst="0" w:colLast="0"/>
      <w:bookmarkEnd w:id="3"/>
    </w:p>
    <w:p w14:paraId="083C3D6C" w14:textId="77777777" w:rsidR="00610AF0" w:rsidRDefault="00610AF0">
      <w:pPr>
        <w:pStyle w:val="Title"/>
      </w:pPr>
      <w:bookmarkStart w:id="4" w:name="_rpq6y0uvzntc" w:colFirst="0" w:colLast="0"/>
      <w:bookmarkEnd w:id="4"/>
    </w:p>
    <w:p w14:paraId="0A0D0E30" w14:textId="77777777" w:rsidR="00610AF0" w:rsidRDefault="00610AF0">
      <w:pPr>
        <w:pStyle w:val="Title"/>
      </w:pPr>
      <w:bookmarkStart w:id="5" w:name="_795lkx8z3f1s" w:colFirst="0" w:colLast="0"/>
      <w:bookmarkEnd w:id="5"/>
    </w:p>
    <w:p w14:paraId="31E5F286" w14:textId="77777777" w:rsidR="00610AF0" w:rsidRDefault="00610AF0">
      <w:pPr>
        <w:pStyle w:val="Title"/>
      </w:pPr>
      <w:bookmarkStart w:id="6" w:name="_gmgv8ns8cu1f" w:colFirst="0" w:colLast="0"/>
      <w:bookmarkEnd w:id="6"/>
    </w:p>
    <w:p w14:paraId="3275DABF" w14:textId="77777777" w:rsidR="001D48F4" w:rsidRDefault="004D497C">
      <w:pPr>
        <w:pStyle w:val="Title"/>
      </w:pPr>
      <w:bookmarkStart w:id="7" w:name="_a897ywl6tan" w:colFirst="0" w:colLast="0"/>
      <w:bookmarkEnd w:id="7"/>
      <w:r>
        <w:t>Strategic Management &amp; Sustainability (LCBB6004)</w:t>
      </w:r>
    </w:p>
    <w:p w14:paraId="762AD2DF" w14:textId="77777777" w:rsidR="001D48F4" w:rsidRDefault="001D48F4">
      <w:pPr>
        <w:pStyle w:val="Title"/>
      </w:pPr>
      <w:r>
        <w:t xml:space="preserve">STUDENT NAME: Adriana Cornelia Brian </w:t>
      </w:r>
    </w:p>
    <w:p w14:paraId="5D95C32A" w14:textId="6BDF7A6C" w:rsidR="00610AF0" w:rsidRDefault="001D48F4">
      <w:pPr>
        <w:pStyle w:val="Title"/>
      </w:pPr>
      <w:r>
        <w:t>Student ID : 2019150</w:t>
      </w:r>
      <w:r w:rsidR="004D497C">
        <w:br w:type="page"/>
      </w:r>
    </w:p>
    <w:p w14:paraId="556CFCD8" w14:textId="77777777" w:rsidR="00610AF0" w:rsidRDefault="004D497C">
      <w:pPr>
        <w:jc w:val="center"/>
        <w:rPr>
          <w:b/>
          <w:sz w:val="28"/>
          <w:szCs w:val="28"/>
        </w:rPr>
      </w:pPr>
      <w:r>
        <w:rPr>
          <w:b/>
          <w:sz w:val="28"/>
          <w:szCs w:val="28"/>
        </w:rPr>
        <w:lastRenderedPageBreak/>
        <w:t>Table of Contents</w:t>
      </w:r>
    </w:p>
    <w:sdt>
      <w:sdtPr>
        <w:rPr>
          <w:szCs w:val="24"/>
        </w:rPr>
        <w:id w:val="1770884546"/>
        <w:docPartObj>
          <w:docPartGallery w:val="Table of Contents"/>
          <w:docPartUnique/>
        </w:docPartObj>
      </w:sdtPr>
      <w:sdtEndPr/>
      <w:sdtContent>
        <w:p w14:paraId="49595DEC" w14:textId="15C5C26B" w:rsidR="004D497C" w:rsidRDefault="004D497C">
          <w:pPr>
            <w:pStyle w:val="TOC1"/>
            <w:tabs>
              <w:tab w:val="right" w:leader="dot" w:pos="9019"/>
            </w:tabs>
            <w:rPr>
              <w:noProof/>
            </w:rPr>
          </w:pPr>
          <w:r>
            <w:fldChar w:fldCharType="begin"/>
          </w:r>
          <w:r>
            <w:instrText xml:space="preserve"> TOC \h \u \z \t "Heading 1,1,Heading 2,2,Heading 3,3,Heading 4,4,Heading 5,5,Heading 6,6,"</w:instrText>
          </w:r>
          <w:r>
            <w:fldChar w:fldCharType="separate"/>
          </w:r>
          <w:hyperlink w:anchor="_Toc154179062" w:history="1">
            <w:r w:rsidRPr="0009284C">
              <w:rPr>
                <w:rStyle w:val="Hyperlink"/>
                <w:noProof/>
              </w:rPr>
              <w:t>Introduction</w:t>
            </w:r>
            <w:r>
              <w:rPr>
                <w:noProof/>
                <w:webHidden/>
              </w:rPr>
              <w:tab/>
            </w:r>
            <w:r>
              <w:rPr>
                <w:noProof/>
                <w:webHidden/>
              </w:rPr>
              <w:fldChar w:fldCharType="begin"/>
            </w:r>
            <w:r>
              <w:rPr>
                <w:noProof/>
                <w:webHidden/>
              </w:rPr>
              <w:instrText xml:space="preserve"> PAGEREF _Toc154179062 \h </w:instrText>
            </w:r>
            <w:r>
              <w:rPr>
                <w:noProof/>
                <w:webHidden/>
              </w:rPr>
            </w:r>
            <w:r>
              <w:rPr>
                <w:noProof/>
                <w:webHidden/>
              </w:rPr>
              <w:fldChar w:fldCharType="separate"/>
            </w:r>
            <w:r>
              <w:rPr>
                <w:noProof/>
                <w:webHidden/>
              </w:rPr>
              <w:t>3</w:t>
            </w:r>
            <w:r>
              <w:rPr>
                <w:noProof/>
                <w:webHidden/>
              </w:rPr>
              <w:fldChar w:fldCharType="end"/>
            </w:r>
          </w:hyperlink>
        </w:p>
        <w:p w14:paraId="0474FAA8" w14:textId="021B16E8" w:rsidR="004D497C" w:rsidRDefault="006C2F60">
          <w:pPr>
            <w:pStyle w:val="TOC1"/>
            <w:tabs>
              <w:tab w:val="right" w:leader="dot" w:pos="9019"/>
            </w:tabs>
            <w:rPr>
              <w:noProof/>
            </w:rPr>
          </w:pPr>
          <w:hyperlink w:anchor="_Toc154179063" w:history="1">
            <w:r w:rsidR="004D497C" w:rsidRPr="0009284C">
              <w:rPr>
                <w:rStyle w:val="Hyperlink"/>
                <w:noProof/>
              </w:rPr>
              <w:t>Business and Corporate Strategies</w:t>
            </w:r>
            <w:r w:rsidR="004D497C">
              <w:rPr>
                <w:noProof/>
                <w:webHidden/>
              </w:rPr>
              <w:tab/>
            </w:r>
            <w:r w:rsidR="004D497C">
              <w:rPr>
                <w:noProof/>
                <w:webHidden/>
              </w:rPr>
              <w:fldChar w:fldCharType="begin"/>
            </w:r>
            <w:r w:rsidR="004D497C">
              <w:rPr>
                <w:noProof/>
                <w:webHidden/>
              </w:rPr>
              <w:instrText xml:space="preserve"> PAGEREF _Toc154179063 \h </w:instrText>
            </w:r>
            <w:r w:rsidR="004D497C">
              <w:rPr>
                <w:noProof/>
                <w:webHidden/>
              </w:rPr>
            </w:r>
            <w:r w:rsidR="004D497C">
              <w:rPr>
                <w:noProof/>
                <w:webHidden/>
              </w:rPr>
              <w:fldChar w:fldCharType="separate"/>
            </w:r>
            <w:r w:rsidR="004D497C">
              <w:rPr>
                <w:noProof/>
                <w:webHidden/>
              </w:rPr>
              <w:t>3</w:t>
            </w:r>
            <w:r w:rsidR="004D497C">
              <w:rPr>
                <w:noProof/>
                <w:webHidden/>
              </w:rPr>
              <w:fldChar w:fldCharType="end"/>
            </w:r>
          </w:hyperlink>
        </w:p>
        <w:p w14:paraId="16C0C34B" w14:textId="7D72DABA" w:rsidR="004D497C" w:rsidRDefault="006C2F60">
          <w:pPr>
            <w:pStyle w:val="TOC1"/>
            <w:tabs>
              <w:tab w:val="right" w:leader="dot" w:pos="9019"/>
            </w:tabs>
            <w:rPr>
              <w:noProof/>
            </w:rPr>
          </w:pPr>
          <w:hyperlink w:anchor="_Toc154179064" w:history="1">
            <w:r w:rsidR="004D497C" w:rsidRPr="0009284C">
              <w:rPr>
                <w:rStyle w:val="Hyperlink"/>
                <w:noProof/>
              </w:rPr>
              <w:t>Resources and Capabilities Analysis</w:t>
            </w:r>
            <w:r w:rsidR="004D497C">
              <w:rPr>
                <w:noProof/>
                <w:webHidden/>
              </w:rPr>
              <w:tab/>
            </w:r>
            <w:r w:rsidR="004D497C">
              <w:rPr>
                <w:noProof/>
                <w:webHidden/>
              </w:rPr>
              <w:fldChar w:fldCharType="begin"/>
            </w:r>
            <w:r w:rsidR="004D497C">
              <w:rPr>
                <w:noProof/>
                <w:webHidden/>
              </w:rPr>
              <w:instrText xml:space="preserve"> PAGEREF _Toc154179064 \h </w:instrText>
            </w:r>
            <w:r w:rsidR="004D497C">
              <w:rPr>
                <w:noProof/>
                <w:webHidden/>
              </w:rPr>
            </w:r>
            <w:r w:rsidR="004D497C">
              <w:rPr>
                <w:noProof/>
                <w:webHidden/>
              </w:rPr>
              <w:fldChar w:fldCharType="separate"/>
            </w:r>
            <w:r w:rsidR="004D497C">
              <w:rPr>
                <w:noProof/>
                <w:webHidden/>
              </w:rPr>
              <w:t>4</w:t>
            </w:r>
            <w:r w:rsidR="004D497C">
              <w:rPr>
                <w:noProof/>
                <w:webHidden/>
              </w:rPr>
              <w:fldChar w:fldCharType="end"/>
            </w:r>
          </w:hyperlink>
        </w:p>
        <w:p w14:paraId="7C10D9ED" w14:textId="025AEBC6" w:rsidR="004D497C" w:rsidRDefault="006C2F60">
          <w:pPr>
            <w:pStyle w:val="TOC1"/>
            <w:tabs>
              <w:tab w:val="right" w:leader="dot" w:pos="9019"/>
            </w:tabs>
            <w:rPr>
              <w:noProof/>
            </w:rPr>
          </w:pPr>
          <w:hyperlink w:anchor="_Toc154179065" w:history="1">
            <w:r w:rsidR="004D497C" w:rsidRPr="0009284C">
              <w:rPr>
                <w:rStyle w:val="Hyperlink"/>
                <w:noProof/>
              </w:rPr>
              <w:t>Strategy in Action: Implementation Evaluation</w:t>
            </w:r>
            <w:r w:rsidR="004D497C">
              <w:rPr>
                <w:noProof/>
                <w:webHidden/>
              </w:rPr>
              <w:tab/>
            </w:r>
            <w:r w:rsidR="004D497C">
              <w:rPr>
                <w:noProof/>
                <w:webHidden/>
              </w:rPr>
              <w:fldChar w:fldCharType="begin"/>
            </w:r>
            <w:r w:rsidR="004D497C">
              <w:rPr>
                <w:noProof/>
                <w:webHidden/>
              </w:rPr>
              <w:instrText xml:space="preserve"> PAGEREF _Toc154179065 \h </w:instrText>
            </w:r>
            <w:r w:rsidR="004D497C">
              <w:rPr>
                <w:noProof/>
                <w:webHidden/>
              </w:rPr>
            </w:r>
            <w:r w:rsidR="004D497C">
              <w:rPr>
                <w:noProof/>
                <w:webHidden/>
              </w:rPr>
              <w:fldChar w:fldCharType="separate"/>
            </w:r>
            <w:r w:rsidR="004D497C">
              <w:rPr>
                <w:noProof/>
                <w:webHidden/>
              </w:rPr>
              <w:t>5</w:t>
            </w:r>
            <w:r w:rsidR="004D497C">
              <w:rPr>
                <w:noProof/>
                <w:webHidden/>
              </w:rPr>
              <w:fldChar w:fldCharType="end"/>
            </w:r>
          </w:hyperlink>
        </w:p>
        <w:p w14:paraId="2D855674" w14:textId="028DBB6D" w:rsidR="004D497C" w:rsidRDefault="006C2F60">
          <w:pPr>
            <w:pStyle w:val="TOC1"/>
            <w:tabs>
              <w:tab w:val="right" w:leader="dot" w:pos="9019"/>
            </w:tabs>
            <w:rPr>
              <w:noProof/>
            </w:rPr>
          </w:pPr>
          <w:hyperlink w:anchor="_Toc154179066" w:history="1">
            <w:r w:rsidR="004D497C" w:rsidRPr="0009284C">
              <w:rPr>
                <w:rStyle w:val="Hyperlink"/>
                <w:noProof/>
              </w:rPr>
              <w:t>Concerns for the Environment and Long-Term Sustainability</w:t>
            </w:r>
            <w:r w:rsidR="004D497C">
              <w:rPr>
                <w:noProof/>
                <w:webHidden/>
              </w:rPr>
              <w:tab/>
            </w:r>
            <w:r w:rsidR="004D497C">
              <w:rPr>
                <w:noProof/>
                <w:webHidden/>
              </w:rPr>
              <w:fldChar w:fldCharType="begin"/>
            </w:r>
            <w:r w:rsidR="004D497C">
              <w:rPr>
                <w:noProof/>
                <w:webHidden/>
              </w:rPr>
              <w:instrText xml:space="preserve"> PAGEREF _Toc154179066 \h </w:instrText>
            </w:r>
            <w:r w:rsidR="004D497C">
              <w:rPr>
                <w:noProof/>
                <w:webHidden/>
              </w:rPr>
            </w:r>
            <w:r w:rsidR="004D497C">
              <w:rPr>
                <w:noProof/>
                <w:webHidden/>
              </w:rPr>
              <w:fldChar w:fldCharType="separate"/>
            </w:r>
            <w:r w:rsidR="004D497C">
              <w:rPr>
                <w:noProof/>
                <w:webHidden/>
              </w:rPr>
              <w:t>6</w:t>
            </w:r>
            <w:r w:rsidR="004D497C">
              <w:rPr>
                <w:noProof/>
                <w:webHidden/>
              </w:rPr>
              <w:fldChar w:fldCharType="end"/>
            </w:r>
          </w:hyperlink>
        </w:p>
        <w:p w14:paraId="6F5275A2" w14:textId="773FBFB1" w:rsidR="004D497C" w:rsidRDefault="006C2F60">
          <w:pPr>
            <w:pStyle w:val="TOC1"/>
            <w:tabs>
              <w:tab w:val="right" w:leader="dot" w:pos="9019"/>
            </w:tabs>
            <w:rPr>
              <w:noProof/>
            </w:rPr>
          </w:pPr>
          <w:hyperlink w:anchor="_Toc154179067" w:history="1">
            <w:r w:rsidR="004D497C" w:rsidRPr="0009284C">
              <w:rPr>
                <w:rStyle w:val="Hyperlink"/>
                <w:noProof/>
              </w:rPr>
              <w:t>Competitive Advantages and Future Strategic Direction</w:t>
            </w:r>
            <w:r w:rsidR="004D497C">
              <w:rPr>
                <w:noProof/>
                <w:webHidden/>
              </w:rPr>
              <w:tab/>
            </w:r>
            <w:r w:rsidR="004D497C">
              <w:rPr>
                <w:noProof/>
                <w:webHidden/>
              </w:rPr>
              <w:fldChar w:fldCharType="begin"/>
            </w:r>
            <w:r w:rsidR="004D497C">
              <w:rPr>
                <w:noProof/>
                <w:webHidden/>
              </w:rPr>
              <w:instrText xml:space="preserve"> PAGEREF _Toc154179067 \h </w:instrText>
            </w:r>
            <w:r w:rsidR="004D497C">
              <w:rPr>
                <w:noProof/>
                <w:webHidden/>
              </w:rPr>
            </w:r>
            <w:r w:rsidR="004D497C">
              <w:rPr>
                <w:noProof/>
                <w:webHidden/>
              </w:rPr>
              <w:fldChar w:fldCharType="separate"/>
            </w:r>
            <w:r w:rsidR="004D497C">
              <w:rPr>
                <w:noProof/>
                <w:webHidden/>
              </w:rPr>
              <w:t>6</w:t>
            </w:r>
            <w:r w:rsidR="004D497C">
              <w:rPr>
                <w:noProof/>
                <w:webHidden/>
              </w:rPr>
              <w:fldChar w:fldCharType="end"/>
            </w:r>
          </w:hyperlink>
        </w:p>
        <w:p w14:paraId="4977AB5B" w14:textId="283BE51D" w:rsidR="004D497C" w:rsidRDefault="006C2F60">
          <w:pPr>
            <w:pStyle w:val="TOC1"/>
            <w:tabs>
              <w:tab w:val="right" w:leader="dot" w:pos="9019"/>
            </w:tabs>
            <w:rPr>
              <w:noProof/>
            </w:rPr>
          </w:pPr>
          <w:hyperlink w:anchor="_Toc154179068" w:history="1">
            <w:r w:rsidR="004D497C" w:rsidRPr="0009284C">
              <w:rPr>
                <w:rStyle w:val="Hyperlink"/>
                <w:noProof/>
              </w:rPr>
              <w:t>Recommendations</w:t>
            </w:r>
            <w:r w:rsidR="004D497C">
              <w:rPr>
                <w:noProof/>
                <w:webHidden/>
              </w:rPr>
              <w:tab/>
            </w:r>
            <w:r w:rsidR="004D497C">
              <w:rPr>
                <w:noProof/>
                <w:webHidden/>
              </w:rPr>
              <w:fldChar w:fldCharType="begin"/>
            </w:r>
            <w:r w:rsidR="004D497C">
              <w:rPr>
                <w:noProof/>
                <w:webHidden/>
              </w:rPr>
              <w:instrText xml:space="preserve"> PAGEREF _Toc154179068 \h </w:instrText>
            </w:r>
            <w:r w:rsidR="004D497C">
              <w:rPr>
                <w:noProof/>
                <w:webHidden/>
              </w:rPr>
            </w:r>
            <w:r w:rsidR="004D497C">
              <w:rPr>
                <w:noProof/>
                <w:webHidden/>
              </w:rPr>
              <w:fldChar w:fldCharType="separate"/>
            </w:r>
            <w:r w:rsidR="004D497C">
              <w:rPr>
                <w:noProof/>
                <w:webHidden/>
              </w:rPr>
              <w:t>7</w:t>
            </w:r>
            <w:r w:rsidR="004D497C">
              <w:rPr>
                <w:noProof/>
                <w:webHidden/>
              </w:rPr>
              <w:fldChar w:fldCharType="end"/>
            </w:r>
          </w:hyperlink>
        </w:p>
        <w:p w14:paraId="0EF5A44B" w14:textId="3EA7442E" w:rsidR="004D497C" w:rsidRDefault="006C2F60">
          <w:pPr>
            <w:pStyle w:val="TOC1"/>
            <w:tabs>
              <w:tab w:val="right" w:leader="dot" w:pos="9019"/>
            </w:tabs>
            <w:rPr>
              <w:noProof/>
            </w:rPr>
          </w:pPr>
          <w:hyperlink w:anchor="_Toc154179069" w:history="1">
            <w:r w:rsidR="004D497C" w:rsidRPr="0009284C">
              <w:rPr>
                <w:rStyle w:val="Hyperlink"/>
                <w:noProof/>
              </w:rPr>
              <w:t>Conclusion</w:t>
            </w:r>
            <w:r w:rsidR="004D497C">
              <w:rPr>
                <w:noProof/>
                <w:webHidden/>
              </w:rPr>
              <w:tab/>
            </w:r>
            <w:r w:rsidR="004D497C">
              <w:rPr>
                <w:noProof/>
                <w:webHidden/>
              </w:rPr>
              <w:fldChar w:fldCharType="begin"/>
            </w:r>
            <w:r w:rsidR="004D497C">
              <w:rPr>
                <w:noProof/>
                <w:webHidden/>
              </w:rPr>
              <w:instrText xml:space="preserve"> PAGEREF _Toc154179069 \h </w:instrText>
            </w:r>
            <w:r w:rsidR="004D497C">
              <w:rPr>
                <w:noProof/>
                <w:webHidden/>
              </w:rPr>
            </w:r>
            <w:r w:rsidR="004D497C">
              <w:rPr>
                <w:noProof/>
                <w:webHidden/>
              </w:rPr>
              <w:fldChar w:fldCharType="separate"/>
            </w:r>
            <w:r w:rsidR="004D497C">
              <w:rPr>
                <w:noProof/>
                <w:webHidden/>
              </w:rPr>
              <w:t>8</w:t>
            </w:r>
            <w:r w:rsidR="004D497C">
              <w:rPr>
                <w:noProof/>
                <w:webHidden/>
              </w:rPr>
              <w:fldChar w:fldCharType="end"/>
            </w:r>
          </w:hyperlink>
        </w:p>
        <w:p w14:paraId="00AC89BF" w14:textId="7A81E326" w:rsidR="004D497C" w:rsidRDefault="006C2F60">
          <w:pPr>
            <w:pStyle w:val="TOC1"/>
            <w:tabs>
              <w:tab w:val="right" w:leader="dot" w:pos="9019"/>
            </w:tabs>
            <w:rPr>
              <w:noProof/>
            </w:rPr>
          </w:pPr>
          <w:hyperlink w:anchor="_Toc154179070" w:history="1">
            <w:r w:rsidR="004D497C" w:rsidRPr="0009284C">
              <w:rPr>
                <w:rStyle w:val="Hyperlink"/>
                <w:noProof/>
              </w:rPr>
              <w:t>References</w:t>
            </w:r>
            <w:r w:rsidR="004D497C">
              <w:rPr>
                <w:noProof/>
                <w:webHidden/>
              </w:rPr>
              <w:tab/>
            </w:r>
            <w:r w:rsidR="004D497C">
              <w:rPr>
                <w:noProof/>
                <w:webHidden/>
              </w:rPr>
              <w:fldChar w:fldCharType="begin"/>
            </w:r>
            <w:r w:rsidR="004D497C">
              <w:rPr>
                <w:noProof/>
                <w:webHidden/>
              </w:rPr>
              <w:instrText xml:space="preserve"> PAGEREF _Toc154179070 \h </w:instrText>
            </w:r>
            <w:r w:rsidR="004D497C">
              <w:rPr>
                <w:noProof/>
                <w:webHidden/>
              </w:rPr>
            </w:r>
            <w:r w:rsidR="004D497C">
              <w:rPr>
                <w:noProof/>
                <w:webHidden/>
              </w:rPr>
              <w:fldChar w:fldCharType="separate"/>
            </w:r>
            <w:r w:rsidR="004D497C">
              <w:rPr>
                <w:noProof/>
                <w:webHidden/>
              </w:rPr>
              <w:t>9</w:t>
            </w:r>
            <w:r w:rsidR="004D497C">
              <w:rPr>
                <w:noProof/>
                <w:webHidden/>
              </w:rPr>
              <w:fldChar w:fldCharType="end"/>
            </w:r>
          </w:hyperlink>
        </w:p>
        <w:p w14:paraId="762D1636" w14:textId="0875D10D" w:rsidR="004D497C" w:rsidRDefault="006C2F60">
          <w:pPr>
            <w:pStyle w:val="TOC1"/>
            <w:tabs>
              <w:tab w:val="right" w:leader="dot" w:pos="9019"/>
            </w:tabs>
            <w:rPr>
              <w:noProof/>
            </w:rPr>
          </w:pPr>
          <w:hyperlink w:anchor="_Toc154179071" w:history="1">
            <w:r w:rsidR="004D497C" w:rsidRPr="0009284C">
              <w:rPr>
                <w:rStyle w:val="Hyperlink"/>
                <w:noProof/>
              </w:rPr>
              <w:t>Appendices</w:t>
            </w:r>
            <w:r w:rsidR="004D497C">
              <w:rPr>
                <w:noProof/>
                <w:webHidden/>
              </w:rPr>
              <w:tab/>
            </w:r>
            <w:r w:rsidR="004D497C">
              <w:rPr>
                <w:noProof/>
                <w:webHidden/>
              </w:rPr>
              <w:fldChar w:fldCharType="begin"/>
            </w:r>
            <w:r w:rsidR="004D497C">
              <w:rPr>
                <w:noProof/>
                <w:webHidden/>
              </w:rPr>
              <w:instrText xml:space="preserve"> PAGEREF _Toc154179071 \h </w:instrText>
            </w:r>
            <w:r w:rsidR="004D497C">
              <w:rPr>
                <w:noProof/>
                <w:webHidden/>
              </w:rPr>
            </w:r>
            <w:r w:rsidR="004D497C">
              <w:rPr>
                <w:noProof/>
                <w:webHidden/>
              </w:rPr>
              <w:fldChar w:fldCharType="separate"/>
            </w:r>
            <w:r w:rsidR="004D497C">
              <w:rPr>
                <w:noProof/>
                <w:webHidden/>
              </w:rPr>
              <w:t>11</w:t>
            </w:r>
            <w:r w:rsidR="004D497C">
              <w:rPr>
                <w:noProof/>
                <w:webHidden/>
              </w:rPr>
              <w:fldChar w:fldCharType="end"/>
            </w:r>
          </w:hyperlink>
        </w:p>
        <w:p w14:paraId="3ABA0DCE" w14:textId="3FBBE4A8" w:rsidR="004D497C" w:rsidRDefault="006C2F60">
          <w:pPr>
            <w:pStyle w:val="TOC2"/>
            <w:tabs>
              <w:tab w:val="right" w:leader="dot" w:pos="9019"/>
            </w:tabs>
            <w:rPr>
              <w:noProof/>
            </w:rPr>
          </w:pPr>
          <w:hyperlink w:anchor="_Toc154179072" w:history="1">
            <w:r w:rsidR="004D497C" w:rsidRPr="0009284C">
              <w:rPr>
                <w:rStyle w:val="Hyperlink"/>
                <w:noProof/>
              </w:rPr>
              <w:t>SWOT Analysis</w:t>
            </w:r>
            <w:r w:rsidR="004D497C">
              <w:rPr>
                <w:noProof/>
                <w:webHidden/>
              </w:rPr>
              <w:tab/>
            </w:r>
            <w:r w:rsidR="004D497C">
              <w:rPr>
                <w:noProof/>
                <w:webHidden/>
              </w:rPr>
              <w:fldChar w:fldCharType="begin"/>
            </w:r>
            <w:r w:rsidR="004D497C">
              <w:rPr>
                <w:noProof/>
                <w:webHidden/>
              </w:rPr>
              <w:instrText xml:space="preserve"> PAGEREF _Toc154179072 \h </w:instrText>
            </w:r>
            <w:r w:rsidR="004D497C">
              <w:rPr>
                <w:noProof/>
                <w:webHidden/>
              </w:rPr>
            </w:r>
            <w:r w:rsidR="004D497C">
              <w:rPr>
                <w:noProof/>
                <w:webHidden/>
              </w:rPr>
              <w:fldChar w:fldCharType="separate"/>
            </w:r>
            <w:r w:rsidR="004D497C">
              <w:rPr>
                <w:noProof/>
                <w:webHidden/>
              </w:rPr>
              <w:t>11</w:t>
            </w:r>
            <w:r w:rsidR="004D497C">
              <w:rPr>
                <w:noProof/>
                <w:webHidden/>
              </w:rPr>
              <w:fldChar w:fldCharType="end"/>
            </w:r>
          </w:hyperlink>
        </w:p>
        <w:p w14:paraId="0EB06457" w14:textId="166309C3" w:rsidR="004D497C" w:rsidRDefault="006C2F60">
          <w:pPr>
            <w:pStyle w:val="TOC2"/>
            <w:tabs>
              <w:tab w:val="right" w:leader="dot" w:pos="9019"/>
            </w:tabs>
            <w:rPr>
              <w:noProof/>
            </w:rPr>
          </w:pPr>
          <w:hyperlink w:anchor="_Toc154179073" w:history="1">
            <w:r w:rsidR="004D497C" w:rsidRPr="0009284C">
              <w:rPr>
                <w:rStyle w:val="Hyperlink"/>
                <w:noProof/>
              </w:rPr>
              <w:t>PESTLE Analysis</w:t>
            </w:r>
            <w:r w:rsidR="004D497C">
              <w:rPr>
                <w:noProof/>
                <w:webHidden/>
              </w:rPr>
              <w:tab/>
            </w:r>
            <w:r w:rsidR="004D497C">
              <w:rPr>
                <w:noProof/>
                <w:webHidden/>
              </w:rPr>
              <w:fldChar w:fldCharType="begin"/>
            </w:r>
            <w:r w:rsidR="004D497C">
              <w:rPr>
                <w:noProof/>
                <w:webHidden/>
              </w:rPr>
              <w:instrText xml:space="preserve"> PAGEREF _Toc154179073 \h </w:instrText>
            </w:r>
            <w:r w:rsidR="004D497C">
              <w:rPr>
                <w:noProof/>
                <w:webHidden/>
              </w:rPr>
            </w:r>
            <w:r w:rsidR="004D497C">
              <w:rPr>
                <w:noProof/>
                <w:webHidden/>
              </w:rPr>
              <w:fldChar w:fldCharType="separate"/>
            </w:r>
            <w:r w:rsidR="004D497C">
              <w:rPr>
                <w:noProof/>
                <w:webHidden/>
              </w:rPr>
              <w:t>12</w:t>
            </w:r>
            <w:r w:rsidR="004D497C">
              <w:rPr>
                <w:noProof/>
                <w:webHidden/>
              </w:rPr>
              <w:fldChar w:fldCharType="end"/>
            </w:r>
          </w:hyperlink>
        </w:p>
        <w:p w14:paraId="2006228B" w14:textId="2CA3F877" w:rsidR="004D497C" w:rsidRDefault="006C2F60">
          <w:pPr>
            <w:pStyle w:val="TOC2"/>
            <w:tabs>
              <w:tab w:val="right" w:leader="dot" w:pos="9019"/>
            </w:tabs>
            <w:rPr>
              <w:noProof/>
            </w:rPr>
          </w:pPr>
          <w:hyperlink w:anchor="_Toc154179074" w:history="1">
            <w:r w:rsidR="004D497C" w:rsidRPr="0009284C">
              <w:rPr>
                <w:rStyle w:val="Hyperlink"/>
                <w:noProof/>
              </w:rPr>
              <w:t>Porter’s 5 Forces</w:t>
            </w:r>
            <w:r w:rsidR="004D497C">
              <w:rPr>
                <w:noProof/>
                <w:webHidden/>
              </w:rPr>
              <w:tab/>
            </w:r>
            <w:r w:rsidR="004D497C">
              <w:rPr>
                <w:noProof/>
                <w:webHidden/>
              </w:rPr>
              <w:fldChar w:fldCharType="begin"/>
            </w:r>
            <w:r w:rsidR="004D497C">
              <w:rPr>
                <w:noProof/>
                <w:webHidden/>
              </w:rPr>
              <w:instrText xml:space="preserve"> PAGEREF _Toc154179074 \h </w:instrText>
            </w:r>
            <w:r w:rsidR="004D497C">
              <w:rPr>
                <w:noProof/>
                <w:webHidden/>
              </w:rPr>
            </w:r>
            <w:r w:rsidR="004D497C">
              <w:rPr>
                <w:noProof/>
                <w:webHidden/>
              </w:rPr>
              <w:fldChar w:fldCharType="separate"/>
            </w:r>
            <w:r w:rsidR="004D497C">
              <w:rPr>
                <w:noProof/>
                <w:webHidden/>
              </w:rPr>
              <w:t>14</w:t>
            </w:r>
            <w:r w:rsidR="004D497C">
              <w:rPr>
                <w:noProof/>
                <w:webHidden/>
              </w:rPr>
              <w:fldChar w:fldCharType="end"/>
            </w:r>
          </w:hyperlink>
        </w:p>
        <w:p w14:paraId="2667E62B" w14:textId="14DEF9B9" w:rsidR="004D497C" w:rsidRDefault="006C2F60">
          <w:pPr>
            <w:pStyle w:val="TOC1"/>
            <w:tabs>
              <w:tab w:val="right" w:leader="dot" w:pos="9019"/>
            </w:tabs>
            <w:rPr>
              <w:noProof/>
            </w:rPr>
          </w:pPr>
          <w:hyperlink w:anchor="_Toc154179075" w:history="1">
            <w:r w:rsidR="004D497C" w:rsidRPr="0009284C">
              <w:rPr>
                <w:rStyle w:val="Hyperlink"/>
                <w:noProof/>
              </w:rPr>
              <w:t>Reference</w:t>
            </w:r>
            <w:r w:rsidR="004D497C">
              <w:rPr>
                <w:noProof/>
                <w:webHidden/>
              </w:rPr>
              <w:tab/>
            </w:r>
            <w:r w:rsidR="004D497C">
              <w:rPr>
                <w:noProof/>
                <w:webHidden/>
              </w:rPr>
              <w:fldChar w:fldCharType="begin"/>
            </w:r>
            <w:r w:rsidR="004D497C">
              <w:rPr>
                <w:noProof/>
                <w:webHidden/>
              </w:rPr>
              <w:instrText xml:space="preserve"> PAGEREF _Toc154179075 \h </w:instrText>
            </w:r>
            <w:r w:rsidR="004D497C">
              <w:rPr>
                <w:noProof/>
                <w:webHidden/>
              </w:rPr>
            </w:r>
            <w:r w:rsidR="004D497C">
              <w:rPr>
                <w:noProof/>
                <w:webHidden/>
              </w:rPr>
              <w:fldChar w:fldCharType="separate"/>
            </w:r>
            <w:r w:rsidR="004D497C">
              <w:rPr>
                <w:noProof/>
                <w:webHidden/>
              </w:rPr>
              <w:t>15</w:t>
            </w:r>
            <w:r w:rsidR="004D497C">
              <w:rPr>
                <w:noProof/>
                <w:webHidden/>
              </w:rPr>
              <w:fldChar w:fldCharType="end"/>
            </w:r>
          </w:hyperlink>
        </w:p>
        <w:p w14:paraId="78D575C2" w14:textId="7AF5D7E2" w:rsidR="00610AF0" w:rsidRDefault="004D497C">
          <w:pPr>
            <w:widowControl w:val="0"/>
            <w:tabs>
              <w:tab w:val="right" w:leader="dot" w:pos="9025"/>
            </w:tabs>
            <w:spacing w:before="60" w:line="240" w:lineRule="auto"/>
            <w:ind w:left="360"/>
            <w:jc w:val="left"/>
            <w:rPr>
              <w:color w:val="000000"/>
            </w:rPr>
          </w:pPr>
          <w:r>
            <w:fldChar w:fldCharType="end"/>
          </w:r>
        </w:p>
      </w:sdtContent>
    </w:sdt>
    <w:p w14:paraId="30137E07" w14:textId="77777777" w:rsidR="00610AF0" w:rsidRDefault="004D497C">
      <w:pPr>
        <w:jc w:val="center"/>
      </w:pPr>
      <w:r>
        <w:br w:type="page"/>
      </w:r>
    </w:p>
    <w:p w14:paraId="76D69168" w14:textId="77777777" w:rsidR="00610AF0" w:rsidRDefault="004D497C">
      <w:pPr>
        <w:pStyle w:val="Heading1"/>
      </w:pPr>
      <w:bookmarkStart w:id="8" w:name="_Toc154179062"/>
      <w:r>
        <w:lastRenderedPageBreak/>
        <w:t>Introduction</w:t>
      </w:r>
      <w:bookmarkEnd w:id="8"/>
    </w:p>
    <w:p w14:paraId="20952BD5" w14:textId="77777777" w:rsidR="00610AF0" w:rsidRDefault="004D497C">
      <w:r>
        <w:t>The introduction serves as a solid foundation for the subsequent method evaluation. Barclays PLC is a pioneer in the field of financial institutions. To achieve this goal, the evaluation will conduct a comprehensive study of the company's current business and corporate strategies. Achieving the organization's goals, staying ahead of the competition, and adapting to market changes all need regular examination of these strategies. This is because it is crucial to review these tactics. After all, the economic climate is always changing. Utilising this evaluation, a crucial organisational tool, Barclays can conquer challenges, seize opportunities, and preserve its position as a leader in the ever-changing global banking market.</w:t>
      </w:r>
    </w:p>
    <w:p w14:paraId="15BF5755" w14:textId="77777777" w:rsidR="00610AF0" w:rsidRDefault="004D497C">
      <w:pPr>
        <w:pStyle w:val="Heading1"/>
      </w:pPr>
      <w:bookmarkStart w:id="9" w:name="_Toc154179063"/>
      <w:r>
        <w:t>Business and Corporate Strategies</w:t>
      </w:r>
      <w:bookmarkEnd w:id="9"/>
    </w:p>
    <w:p w14:paraId="68862042" w14:textId="77777777" w:rsidR="00610AF0" w:rsidRDefault="004D497C">
      <w:r>
        <w:t>As the economy has changed over the years, Barclays PLC has taken the lead in several important business and organisational initiatives. The business strategy of the company is centred on the business plan's emphasis on diversification, and it primarily involves using a wide variety of banking services, including retail and commercial banking, investment banking, and wealth management. An outstanding experience for clients is the goal of the company's worldwide presence and technical innovation, which are essential parts of the business strategy (PwC, 2020). The rationale behind these choices can be better understood with the use of strategic models such as PESTEL and SWOT. Beginning a SWOT analysis with an inventory of the company's strengths, weaknesses, opportunities, and threats is essential. Barclays is well-positioned to take advantage of its economic success thanks to its vast worldwide network and strong brand recognition. Still, the most pressing matter is finding solutions to problems like the difficulties of conforming to regulatory requirements and the unpredictability of market conditions. It is important to weigh the benefits of new technology against the risks, such as increased competition and economic uncertainty. To conduct a PESTEL analysis, one must take into account a great deal of information, including that which pertains to the following: politics, economy, society, technology, environment, and law (</w:t>
      </w:r>
      <w:r>
        <w:rPr>
          <w:color w:val="222222"/>
          <w:highlight w:val="white"/>
        </w:rPr>
        <w:t>Pan, Chen, and Zhan, 2019</w:t>
      </w:r>
      <w:r>
        <w:t xml:space="preserve">). For instance, to satisfy society's ever-increasing demands, it is becoming increasingly vital to establish and uphold environmental standards. To achieve its vision of being the "Go-To Bank," Barclays has launched several programmes that prioritise the satisfaction of its customers, the promotion of new ideas, and the preservation of natural resources. To realise its full potential, Barclays has initiated several initiatives. The above-mentioned initiatives are consistent with the organization's objectives, as is evident from the major emphasis on technology-driven solutions to enhance user accessibility and experience. </w:t>
      </w:r>
      <w:r>
        <w:lastRenderedPageBreak/>
        <w:t>If people want to become financially secure and inventive leaders, they need to find new markets in different countries all over the world. In light of the findings from the SWOT and PESTEL assessments, Barclays PLC has devised strategies that emphasise the significance of a worldwide presence, technical innovation, and a diverse business model (Barclays PLC, 2023). Their goal is to establish a financial institution that is customer-focused, innovative, and competitive on a worldwide scale. Their strategy should reflect this. The team will be able to accomplish their mission with this. By coming together in this way can approach the process more effectively.</w:t>
      </w:r>
    </w:p>
    <w:p w14:paraId="7C906FA5" w14:textId="77777777" w:rsidR="00610AF0" w:rsidRDefault="004D497C">
      <w:pPr>
        <w:pStyle w:val="Heading1"/>
      </w:pPr>
      <w:bookmarkStart w:id="10" w:name="_Toc154179064"/>
      <w:r>
        <w:t>Resources and Capabilities Analysis</w:t>
      </w:r>
      <w:bookmarkEnd w:id="10"/>
    </w:p>
    <w:p w14:paraId="4C180DD1" w14:textId="77777777" w:rsidR="00610AF0" w:rsidRDefault="004D497C">
      <w:r>
        <w:t>The depth and breadth of Barclays PLC's access to critical resources and knowledge is a critical component of the company's competitive advantage in the financial services industry. Global in scope, Barclays PLC offers a variety of financial services. A variety of highly esteemed resources are at their disposal, among their numerous priceless things. A combination of a strong financial base, a worldwide network of branches, a professional workforce, and a stellar reputation for the brand has contributed to this success (</w:t>
      </w:r>
      <w:r>
        <w:rPr>
          <w:color w:val="222222"/>
          <w:highlight w:val="white"/>
        </w:rPr>
        <w:t>Stalmachova, Chinoracky, and Strenitzerova, 2021</w:t>
      </w:r>
      <w:r>
        <w:t xml:space="preserve">). The bank is competent in areas such as risk management and the handling of customer relations. Additionally, the bank might benefit from advancements in technology. One of the many factors that will determine Barclays' fate is how well the firm can coordinate its assets with its stated objectives. Thanks to the prudent allocation of funds, the organisation has enhanced the capabilities of its online and mobile banking systems through investments in cutting-edge technology. This allows the company to deliver first-rate support to its clients. Because of its extensive branch network and well-trained staff, the bank can assist many individuals by meeting their individual needs. The bank is in a unique position to provide some services due to this particular circumstance (Kitema, 2021). To determine which skills and resources are most crucial from a strategic perspective, the VRIO framework seems to be an excellent tool. To keep ahead of the competition and swiftly conduct complicated financial transactions, a good financial infrastructure is essential. Having a global network gives people a distinct advantage over their competitors, but it is incredibly rare. Digital financial systems are an example of technological innovation that has contributed to the sector's value and helped it stand out. For the simple reason that they are both byproducts of highly developed products. Competitors have a hard time trying to imitate Barclays's success since the corporation has built a culture of innovation and continuous development. As a result, competing companies are facing increasing difficulty in imitating the company's success (NI Business, 2023). At </w:t>
      </w:r>
      <w:r>
        <w:lastRenderedPageBreak/>
        <w:t>every step, the procedures for organising these resources are crucial. Barclays has focused its resources on providing customer-centric services, managing risk, and expanding internationally through careful strategic planning. The organisation has been able to connect its strengths with its objectives as a result of this. It created this to connect the capabilities to the emphasis. Given the depth and breadth of Barclays' resources and competencies, competing with the corporation will be challenging. This is because the knowledge is highly valuable and the company's strategies are highly effective, making it difficult for rivals to replicate.</w:t>
      </w:r>
    </w:p>
    <w:p w14:paraId="51D6F4F3" w14:textId="77777777" w:rsidR="00610AF0" w:rsidRDefault="004D497C">
      <w:pPr>
        <w:pStyle w:val="Heading1"/>
      </w:pPr>
      <w:bookmarkStart w:id="11" w:name="_Toc154179065"/>
      <w:r>
        <w:t>Strategy in Action: Implementation Evaluation</w:t>
      </w:r>
      <w:bookmarkEnd w:id="11"/>
    </w:p>
    <w:p w14:paraId="3E7FE8F1" w14:textId="77777777" w:rsidR="00610AF0" w:rsidRDefault="004D497C">
      <w:r>
        <w:t xml:space="preserve">In the cutthroat world of financial services, Barclays PLC has proven to be a strategic nimblefoot, leading to outstanding results. One probable explanation for the organization's success could be its adaptability, given that it can execute a wide range of commercial and corporate strategies. The firm has proven its ability to anticipate and take advantage of emerging trends in the industry and to respond quickly to shifting market conditions by effectively implementing its strategy (Li </w:t>
      </w:r>
      <w:r>
        <w:rPr>
          <w:i/>
        </w:rPr>
        <w:t>et al</w:t>
      </w:r>
      <w:r>
        <w:t xml:space="preserve">., 2021). It appears from the available data that Barclays has been able to implement its plan. Indicators that fulfil these criteria include the firm's financial performance, market share, and expansion. The company has grown into a provider of comprehensive financial services as a result of its strategy of diversification, which involved investment banking, retail banking, wealth management, and commercial banking simultaneously. This allowed the company to expand into full-service banking, which is a major accomplishment. In doing so, the association was able to fulfil its objective of offering comprehensive financial services. Increases in both market share and customer loyalty demonstrate the efficacy of the selected techniques. Additional benefits include increased client loyalty. Furthermore, the firm has been able to maintain its competitive advantage throughout the years by strategically investing in technology (Afraz </w:t>
      </w:r>
      <w:r>
        <w:rPr>
          <w:i/>
        </w:rPr>
        <w:t>et al</w:t>
      </w:r>
      <w:r>
        <w:t xml:space="preserve">., 2021). Due to their significant investment in digital transformation, Barclays has created banking products that are easy to use on mobile and the web. This tactic aids businesses in keeping up with the ever-changing demands of their consumers and being competitive in the market. In this way, the business demonstrates that it values its customers' thoughts and desires. The marketing industry is quite competitive, so Barclays has developed a unique selling proposition (USP) to differentiate itself. The key to the company's success has been its inventive use of technology in all of its financial products. Financial performance indicators and evaluations provide more evidence that Barclays' efforts were successful. There are a lot of encouraging indicators that this company can generate and retain profits. Some examples of metrics that fall under this category </w:t>
      </w:r>
      <w:r>
        <w:lastRenderedPageBreak/>
        <w:t xml:space="preserve">include profit growth, market value, and return on investment (ROI) (Bendle </w:t>
      </w:r>
      <w:r>
        <w:rPr>
          <w:i/>
        </w:rPr>
        <w:t>et al</w:t>
      </w:r>
      <w:r>
        <w:t xml:space="preserve">., 2020). Consider the market capitalization of the company as an additional critical metric. The fact that Barclays has routinely outperformed its competitors is proof that the systems can make money. Measures of how successfully projects have met client expectations include the net promoter score and the degree of customer happiness. </w:t>
      </w:r>
    </w:p>
    <w:p w14:paraId="4C183726" w14:textId="77777777" w:rsidR="00610AF0" w:rsidRDefault="004D497C">
      <w:pPr>
        <w:pStyle w:val="Heading1"/>
      </w:pPr>
      <w:bookmarkStart w:id="12" w:name="_Toc154179066"/>
      <w:r>
        <w:t>Concerns for the Environment and Long-Term Sustainability</w:t>
      </w:r>
      <w:bookmarkEnd w:id="12"/>
    </w:p>
    <w:p w14:paraId="58087F3A" w14:textId="77777777" w:rsidR="00610AF0" w:rsidRDefault="004D497C">
      <w:r>
        <w:t xml:space="preserve">By incorporating eco-friendly methods into its operations, Barclays PLC has demonstrated its commitment to corporate citizenship and environmental responsibility. The company's dedication to these two areas is evident from this. As ESG considerations became more important to the economy, the bank adapted its practices to conform to global sustainability targets (PwC, 2021). Carbon neutrality is one of Barclays' sustainability goals. This bank hopes to become carbon neutral with vendor and partner help. Barclays is using more renewable energy, energy-efficient technologies, and environmentally responsible business practices to lessen its environmental effects. The bank's major consideration when lending is the borrower's safety and ability to repay. Barclays is adding ESG elements to its investing and lending strategy as financial sector insiders believe that social issues and climate change are crucial. Barclays may use this method to show corporate social responsibility and support for international environmental norms. Corporations have an "environmental duty" only to themselves (Edwards </w:t>
      </w:r>
      <w:r>
        <w:rPr>
          <w:i/>
        </w:rPr>
        <w:t>et al</w:t>
      </w:r>
      <w:r>
        <w:t>., 2021). Barclays remains committed to renewable energy and environmental protection. The bank may invest in environmentally conscious companies to meet its sustainability goals and show its corporate responsibility. The bank may show its environmental commitment by taking this opportunity. These green initiatives may impact Barclays' competitiveness in several ways. The bank's reputation among environmentally conscious clients and investors will increase greatly. Secondly, Barclays' proactive strategy helps it succeed in the dynamic banking industry (Barclays, 2021). This is because regulators and investors are paying more attention to ESG criteria, which encompass things like social responsibility, good governance, and environmental impact. Thirdly, by pledging to global sustainability goals, Barclays may better facilitate the banking needs of its environmentally conscious clients. The reason behind this is the length of time these clients have been associated with Barclays.</w:t>
      </w:r>
    </w:p>
    <w:p w14:paraId="5905A66A" w14:textId="77777777" w:rsidR="00610AF0" w:rsidRDefault="004D497C">
      <w:pPr>
        <w:pStyle w:val="Heading1"/>
      </w:pPr>
      <w:bookmarkStart w:id="13" w:name="_Toc154179067"/>
      <w:r>
        <w:t>Competitive Advantages and Future Strategic Direction</w:t>
      </w:r>
      <w:bookmarkEnd w:id="13"/>
    </w:p>
    <w:p w14:paraId="48CE2240" w14:textId="77777777" w:rsidR="00610AF0" w:rsidRDefault="004D497C">
      <w:r>
        <w:t xml:space="preserve">Currently, Barclays PLC has all the necessary qualities to be a strong competitor in the financial services industry. The main rationale for this is the numerous benefits it presently has in </w:t>
      </w:r>
      <w:r>
        <w:lastRenderedPageBreak/>
        <w:t xml:space="preserve">comparison to its rivals. The company has diversified its business approach to encompass wealth management, investment banking, retail and commercial banking, and more, which is why this is the case. In the end, the company's extensive service offerings allow it to serve a vast customer base. Diversity not only guarantees a steady flow of funds but also increases customer loyalty through cross-selling opportunities (Boustani </w:t>
      </w:r>
      <w:r>
        <w:rPr>
          <w:i/>
        </w:rPr>
        <w:t>et al</w:t>
      </w:r>
      <w:r>
        <w:t xml:space="preserve">., 2023). Among Barclays' many competitive advantages, its capacity to innovate in technology stands out. Thanks to its commitment to digital transformation, the bank has developed cutting-edge online and mobile banking services. Clients benefit from these platforms' streamlined and user-friendly experiences thanks to the bank's focus. Not only does this technical edge allow the business to meet the dynamic needs of its customers, but it also makes it harder for rivals to enter the market by mimicking the company's strategies. In the future, Barclays may launch new efforts to improve sustainability practices and increase the use of technology for innovation. would contend categorically that both options are viable strategic decisions. Innovations in technology such as blockchain, AI, and ML may cause a sea change in business processes and customer service (Wang </w:t>
      </w:r>
      <w:r>
        <w:rPr>
          <w:i/>
        </w:rPr>
        <w:t>et al</w:t>
      </w:r>
      <w:r>
        <w:t>., 2022). Green financing and investing in renewable energy projects are examples of sustainable finance techniques that might help it stand out in a market that prioritises sustainability and environmental care. Barclays has to weigh the pros and cons of strategy creation in light of present and future global economic norms and trends. For success, it is essential to be updated on global events and follow the standards of the financial sector. Companies seeking global expansion have the intriguing option of forming strategic alliances with or acquiring clients in other nations. If it wants to maintain its competitive advantage, Barclays must prioritise sustainability in its business strategy (Aido, and Owusu-Manu, 2021). The business gains a competitive advantage as a result of this. Sustainable practice projects, carbon footprint reduction, and ESG financial decision advocacy are just a few examples of what this group is working on. Barclays may be able to increase its customer base and market share by engaging stakeholders, being transparent about environmental initiatives, and practising ethical business practices.</w:t>
      </w:r>
    </w:p>
    <w:p w14:paraId="2704C0C0" w14:textId="77777777" w:rsidR="00610AF0" w:rsidRDefault="004D497C">
      <w:pPr>
        <w:pStyle w:val="Heading1"/>
      </w:pPr>
      <w:bookmarkStart w:id="14" w:name="_Toc154179068"/>
      <w:r>
        <w:t>Recommendations</w:t>
      </w:r>
      <w:bookmarkEnd w:id="14"/>
    </w:p>
    <w:p w14:paraId="7C6354DF" w14:textId="77777777" w:rsidR="00610AF0" w:rsidRDefault="004D497C">
      <w:r>
        <w:t xml:space="preserve">Increased expenditures in renewable energy and company-wide use of energy-efficient technologies would demonstrate Barclays' commitment to lowering its environmental impact. This would allow the business to refine its sustainability practices. The bank could also consider setting quantifiable targets to reduce its environmental effect across its supply chain, use less single-use plastics, and support a circular economy. On top of that, the business should </w:t>
      </w:r>
      <w:r>
        <w:lastRenderedPageBreak/>
        <w:t>consider how doable it is to establish these objectives. Working with partners from both the business and non-governmental organisation (NGO) sectors can help promote the sharing of information and expertise in sustainable financing (Hassan, Lee, and Mokhtar, 2019). In order to change the current processes, it is crucial to keep an eye on technological innovation at all times. Barclays would be wise to look into blockchain technology, an up-and-coming innovation with the ability to enhance cybersecurity, guarantee the honesty and openness of financial transactions, and integrate analytics powered by artificial intelligence to create tailored customer experiences. The company stands to gain from this. Improving the bank's strategies for managing changing regulatory landscapes, particularly in the area of ESG reporting, might demonstrate its adherence to responsible business practices and make compliance easier. This would be a huge improvement (PwC, 2021). Future research and development opportunities should focus on understanding how consumer expectations are evolving in the digital space. Data analytics and avenues for consumer feedback will help us succeed. Researching possible opportunities in emerging economies and assessing the impact of geopolitical issues will be vital to attain the objective of making informed choices. To maintain its position as a frontrunner in ethical and sustainable banking practices, Barclays must remain engaged in industry discussions and vigilant in monitoring global sustainability trends.</w:t>
      </w:r>
    </w:p>
    <w:p w14:paraId="09BBE806" w14:textId="77777777" w:rsidR="00610AF0" w:rsidRDefault="004D497C">
      <w:pPr>
        <w:pStyle w:val="Heading1"/>
      </w:pPr>
      <w:bookmarkStart w:id="15" w:name="_Toc154179069"/>
      <w:r>
        <w:t>Conclusion</w:t>
      </w:r>
      <w:bookmarkEnd w:id="15"/>
    </w:p>
    <w:p w14:paraId="08C0EF25" w14:textId="77777777" w:rsidR="00610AF0" w:rsidRDefault="004D497C">
      <w:r>
        <w:t>At the end of the strategic analysis of Barclays PLC, the focus is on the company's commitment to sustainability, technological proficiency, and diversification. The assessment is thus complete. The most crucial results indicate that the bank is ahead of the competition in terms of technical innovation and service diversity. More sustainability efforts, better technical innovation methods, and adaptability to shifting norms are all instances of strategic advice. These strategies, when put into action, will make Barclays more competitive and secure the company's future in the ever-changing financial sector.</w:t>
      </w:r>
      <w:r>
        <w:br w:type="page"/>
      </w:r>
    </w:p>
    <w:p w14:paraId="6CA3246C" w14:textId="77777777" w:rsidR="00610AF0" w:rsidRDefault="004D497C">
      <w:pPr>
        <w:pStyle w:val="Heading1"/>
      </w:pPr>
      <w:bookmarkStart w:id="16" w:name="_Toc154179070"/>
      <w:r>
        <w:lastRenderedPageBreak/>
        <w:t>References</w:t>
      </w:r>
      <w:bookmarkEnd w:id="16"/>
    </w:p>
    <w:p w14:paraId="19B35209" w14:textId="77777777" w:rsidR="004D497C" w:rsidRDefault="004D497C">
      <w:pPr>
        <w:rPr>
          <w:color w:val="222222"/>
          <w:highlight w:val="white"/>
        </w:rPr>
      </w:pPr>
      <w:r>
        <w:rPr>
          <w:color w:val="222222"/>
          <w:highlight w:val="white"/>
        </w:rPr>
        <w:t xml:space="preserve">Afraz, M.F., Bhatti, S.H., Ferraris, A. and Couturier, J., 2021. The impact of supply chain innovation on competitive advantage in the construction industry: Evidence from a moderated multi-mediation model. </w:t>
      </w:r>
      <w:r>
        <w:rPr>
          <w:i/>
          <w:color w:val="222222"/>
          <w:highlight w:val="white"/>
        </w:rPr>
        <w:t>Technological Forecasting and Social Change</w:t>
      </w:r>
      <w:r>
        <w:rPr>
          <w:color w:val="222222"/>
          <w:highlight w:val="white"/>
        </w:rPr>
        <w:t xml:space="preserve">, </w:t>
      </w:r>
      <w:r>
        <w:rPr>
          <w:i/>
          <w:color w:val="222222"/>
          <w:highlight w:val="white"/>
        </w:rPr>
        <w:t>162</w:t>
      </w:r>
      <w:r>
        <w:rPr>
          <w:color w:val="222222"/>
          <w:highlight w:val="white"/>
        </w:rPr>
        <w:t>, p.120370.</w:t>
      </w:r>
    </w:p>
    <w:p w14:paraId="0F5EF3D2" w14:textId="77777777" w:rsidR="004D497C" w:rsidRDefault="004D497C">
      <w:pPr>
        <w:rPr>
          <w:color w:val="222222"/>
          <w:highlight w:val="white"/>
        </w:rPr>
      </w:pPr>
      <w:r>
        <w:rPr>
          <w:color w:val="222222"/>
          <w:highlight w:val="white"/>
        </w:rPr>
        <w:t xml:space="preserve">Aidoo, H.A.N. and Owusu-Manu, D.G., 2021. </w:t>
      </w:r>
      <w:r>
        <w:rPr>
          <w:i/>
          <w:color w:val="222222"/>
          <w:highlight w:val="white"/>
        </w:rPr>
        <w:t>Analyzing the effect of credit risk on construction project implementation success in Barclays Bank Ghana Limited Head office Accra</w:t>
      </w:r>
      <w:r>
        <w:rPr>
          <w:color w:val="222222"/>
          <w:highlight w:val="white"/>
        </w:rPr>
        <w:t xml:space="preserve"> (Doctoral dissertation).</w:t>
      </w:r>
    </w:p>
    <w:p w14:paraId="48BC7CE1" w14:textId="77777777" w:rsidR="004D497C" w:rsidRDefault="004D497C">
      <w:pPr>
        <w:rPr>
          <w:color w:val="222222"/>
          <w:highlight w:val="white"/>
        </w:rPr>
      </w:pPr>
      <w:r>
        <w:rPr>
          <w:color w:val="222222"/>
          <w:highlight w:val="white"/>
        </w:rPr>
        <w:t>Barclays PLC, 2023, “</w:t>
      </w:r>
      <w:r>
        <w:rPr>
          <w:i/>
          <w:color w:val="222222"/>
          <w:highlight w:val="white"/>
        </w:rPr>
        <w:t>Who we are</w:t>
      </w:r>
      <w:r>
        <w:rPr>
          <w:color w:val="222222"/>
          <w:highlight w:val="white"/>
        </w:rPr>
        <w:t xml:space="preserve">”, Available at: </w:t>
      </w:r>
      <w:hyperlink r:id="rId5">
        <w:r>
          <w:rPr>
            <w:color w:val="1155CC"/>
            <w:highlight w:val="white"/>
            <w:u w:val="single"/>
          </w:rPr>
          <w:t>https://home.barclays/who-we-are/</w:t>
        </w:r>
      </w:hyperlink>
      <w:r>
        <w:rPr>
          <w:color w:val="222222"/>
          <w:highlight w:val="white"/>
        </w:rPr>
        <w:t xml:space="preserve"> [Accessed on 20th December 2023]</w:t>
      </w:r>
    </w:p>
    <w:p w14:paraId="020FA96C" w14:textId="77777777" w:rsidR="004D497C" w:rsidRDefault="004D497C">
      <w:pPr>
        <w:rPr>
          <w:color w:val="222222"/>
          <w:highlight w:val="white"/>
        </w:rPr>
      </w:pPr>
      <w:r>
        <w:rPr>
          <w:color w:val="222222"/>
          <w:highlight w:val="white"/>
        </w:rPr>
        <w:t>Barclays, 2021, “</w:t>
      </w:r>
      <w:r>
        <w:rPr>
          <w:i/>
          <w:color w:val="222222"/>
          <w:highlight w:val="white"/>
        </w:rPr>
        <w:t>Barclays Full Year 2021 Results</w:t>
      </w:r>
      <w:r>
        <w:rPr>
          <w:color w:val="222222"/>
          <w:highlight w:val="white"/>
        </w:rPr>
        <w:t xml:space="preserve">”, Available at: </w:t>
      </w:r>
      <w:hyperlink r:id="rId6">
        <w:r>
          <w:rPr>
            <w:color w:val="1155CC"/>
            <w:highlight w:val="white"/>
            <w:u w:val="single"/>
          </w:rPr>
          <w:t>https://home.barclays/investor-relations/reports-and-events/results/barclays-full-year-2021-results/</w:t>
        </w:r>
      </w:hyperlink>
      <w:r>
        <w:rPr>
          <w:color w:val="222222"/>
          <w:highlight w:val="white"/>
        </w:rPr>
        <w:t xml:space="preserve"> [Accessed on 20th December 2023]</w:t>
      </w:r>
    </w:p>
    <w:p w14:paraId="2DE33401" w14:textId="77777777" w:rsidR="004D497C" w:rsidRDefault="004D497C">
      <w:pPr>
        <w:rPr>
          <w:color w:val="222222"/>
          <w:highlight w:val="white"/>
        </w:rPr>
      </w:pPr>
      <w:r>
        <w:rPr>
          <w:color w:val="222222"/>
          <w:highlight w:val="white"/>
        </w:rPr>
        <w:t xml:space="preserve">Bendle, N., Farris, P.W., Pfeifer, P. and Reibstein, D., 2020. </w:t>
      </w:r>
      <w:r>
        <w:rPr>
          <w:i/>
          <w:color w:val="222222"/>
          <w:highlight w:val="white"/>
        </w:rPr>
        <w:t>Marketing metrics</w:t>
      </w:r>
      <w:r>
        <w:rPr>
          <w:color w:val="222222"/>
          <w:highlight w:val="white"/>
        </w:rPr>
        <w:t>. FT press.</w:t>
      </w:r>
    </w:p>
    <w:p w14:paraId="004EE4CF" w14:textId="77777777" w:rsidR="004D497C" w:rsidRDefault="004D497C">
      <w:pPr>
        <w:rPr>
          <w:color w:val="222222"/>
          <w:highlight w:val="white"/>
        </w:rPr>
      </w:pPr>
      <w:r>
        <w:rPr>
          <w:color w:val="222222"/>
          <w:highlight w:val="white"/>
        </w:rPr>
        <w:t xml:space="preserve">Boustani, N., Emrouznejad, A., Gholami, R., Despic, O. and Ioannou, A., 2023. Improving the predictive accuracy of the cross-selling of consumer loans using deep learning networks. </w:t>
      </w:r>
      <w:r>
        <w:rPr>
          <w:i/>
          <w:color w:val="222222"/>
          <w:highlight w:val="white"/>
        </w:rPr>
        <w:t>Annals of Operations Research</w:t>
      </w:r>
      <w:r>
        <w:rPr>
          <w:color w:val="222222"/>
          <w:highlight w:val="white"/>
        </w:rPr>
        <w:t>, pp.1-18.</w:t>
      </w:r>
    </w:p>
    <w:p w14:paraId="6DAC8687" w14:textId="77777777" w:rsidR="004D497C" w:rsidRDefault="004D497C">
      <w:pPr>
        <w:rPr>
          <w:color w:val="222222"/>
          <w:highlight w:val="white"/>
        </w:rPr>
      </w:pPr>
      <w:r>
        <w:rPr>
          <w:color w:val="222222"/>
          <w:highlight w:val="white"/>
        </w:rPr>
        <w:t xml:space="preserve">Edwards, J., Windholz, E., Faulkner, N. and Werbeloff, L., 2021. Implementing general environmental duties: Challenges and opportunities. </w:t>
      </w:r>
      <w:r>
        <w:rPr>
          <w:i/>
          <w:color w:val="222222"/>
          <w:highlight w:val="white"/>
        </w:rPr>
        <w:t>Australian Journal of Public Administration</w:t>
      </w:r>
      <w:r>
        <w:rPr>
          <w:color w:val="222222"/>
          <w:highlight w:val="white"/>
        </w:rPr>
        <w:t xml:space="preserve">, </w:t>
      </w:r>
      <w:r>
        <w:rPr>
          <w:i/>
          <w:color w:val="222222"/>
          <w:highlight w:val="white"/>
        </w:rPr>
        <w:t>80</w:t>
      </w:r>
      <w:r>
        <w:rPr>
          <w:color w:val="222222"/>
          <w:highlight w:val="white"/>
        </w:rPr>
        <w:t>(3), pp.474-492.</w:t>
      </w:r>
    </w:p>
    <w:p w14:paraId="0EB1E521" w14:textId="77777777" w:rsidR="004D497C" w:rsidRDefault="004D497C">
      <w:pPr>
        <w:rPr>
          <w:color w:val="222222"/>
          <w:highlight w:val="white"/>
        </w:rPr>
      </w:pPr>
      <w:r>
        <w:rPr>
          <w:color w:val="222222"/>
          <w:highlight w:val="white"/>
        </w:rPr>
        <w:t xml:space="preserve">Hassan, M.M., Lee, K.E. and Mokhtar, M., 2019. Streamlining non‐governmental organizations' programs towards achieving the sustainable development goals: A conceptual framework. </w:t>
      </w:r>
      <w:r>
        <w:rPr>
          <w:i/>
          <w:color w:val="222222"/>
          <w:highlight w:val="white"/>
        </w:rPr>
        <w:t>Sustainable Development</w:t>
      </w:r>
      <w:r>
        <w:rPr>
          <w:color w:val="222222"/>
          <w:highlight w:val="white"/>
        </w:rPr>
        <w:t xml:space="preserve">, </w:t>
      </w:r>
      <w:r>
        <w:rPr>
          <w:i/>
          <w:color w:val="222222"/>
          <w:highlight w:val="white"/>
        </w:rPr>
        <w:t>27</w:t>
      </w:r>
      <w:r>
        <w:rPr>
          <w:color w:val="222222"/>
          <w:highlight w:val="white"/>
        </w:rPr>
        <w:t>(3), pp.401-408.</w:t>
      </w:r>
    </w:p>
    <w:p w14:paraId="59AFDD0E" w14:textId="77777777" w:rsidR="004D497C" w:rsidRDefault="004D497C">
      <w:pPr>
        <w:rPr>
          <w:color w:val="222222"/>
          <w:highlight w:val="white"/>
        </w:rPr>
      </w:pPr>
      <w:r>
        <w:rPr>
          <w:color w:val="222222"/>
          <w:highlight w:val="white"/>
        </w:rPr>
        <w:t xml:space="preserve">Kitema, C., 2021. </w:t>
      </w:r>
      <w:r>
        <w:rPr>
          <w:i/>
          <w:color w:val="222222"/>
          <w:highlight w:val="white"/>
        </w:rPr>
        <w:t>Separation as a Corporate Strategy: the Case Study of Barclays Bank Plc and Absa Bank PLC</w:t>
      </w:r>
      <w:r>
        <w:rPr>
          <w:color w:val="222222"/>
          <w:highlight w:val="white"/>
        </w:rPr>
        <w:t xml:space="preserve"> (Doctoral dissertation, University of Nairobi).</w:t>
      </w:r>
    </w:p>
    <w:p w14:paraId="4AC05985" w14:textId="77777777" w:rsidR="004D497C" w:rsidRDefault="004D497C">
      <w:pPr>
        <w:rPr>
          <w:color w:val="222222"/>
          <w:highlight w:val="white"/>
        </w:rPr>
      </w:pPr>
      <w:r>
        <w:rPr>
          <w:color w:val="222222"/>
          <w:highlight w:val="white"/>
        </w:rPr>
        <w:t xml:space="preserve">Li, H., Wu, Y., Cao, D. and Wang, Y., 2021. Organizational mindfulness towards digital transformation as a prerequisite of information processing capability to achieve market agility. </w:t>
      </w:r>
      <w:r>
        <w:rPr>
          <w:i/>
          <w:color w:val="222222"/>
          <w:highlight w:val="white"/>
        </w:rPr>
        <w:t>Journal of Business research</w:t>
      </w:r>
      <w:r>
        <w:rPr>
          <w:color w:val="222222"/>
          <w:highlight w:val="white"/>
        </w:rPr>
        <w:t xml:space="preserve">, </w:t>
      </w:r>
      <w:r>
        <w:rPr>
          <w:i/>
          <w:color w:val="222222"/>
          <w:highlight w:val="white"/>
        </w:rPr>
        <w:t>122</w:t>
      </w:r>
      <w:r>
        <w:rPr>
          <w:color w:val="222222"/>
          <w:highlight w:val="white"/>
        </w:rPr>
        <w:t>, pp.700-712.</w:t>
      </w:r>
    </w:p>
    <w:p w14:paraId="503731AF" w14:textId="77777777" w:rsidR="004D497C" w:rsidRDefault="004D497C">
      <w:pPr>
        <w:rPr>
          <w:color w:val="222222"/>
          <w:highlight w:val="white"/>
        </w:rPr>
      </w:pPr>
      <w:r>
        <w:rPr>
          <w:color w:val="222222"/>
          <w:highlight w:val="white"/>
        </w:rPr>
        <w:t>NI Business, 2023, “</w:t>
      </w:r>
      <w:r>
        <w:rPr>
          <w:i/>
          <w:color w:val="222222"/>
          <w:highlight w:val="white"/>
        </w:rPr>
        <w:t>How to turn around a struggling business</w:t>
      </w:r>
      <w:r>
        <w:rPr>
          <w:color w:val="222222"/>
          <w:highlight w:val="white"/>
        </w:rPr>
        <w:t xml:space="preserve">”, Available at: </w:t>
      </w:r>
      <w:hyperlink r:id="rId7">
        <w:r>
          <w:rPr>
            <w:color w:val="1155CC"/>
            <w:highlight w:val="white"/>
            <w:u w:val="single"/>
          </w:rPr>
          <w:t>https://www.nibusinessinfo.co.uk/content/how-respond-changes-your-business-market</w:t>
        </w:r>
      </w:hyperlink>
      <w:r>
        <w:rPr>
          <w:color w:val="222222"/>
          <w:highlight w:val="white"/>
        </w:rPr>
        <w:t xml:space="preserve"> [Accessed on 20th December 2023]</w:t>
      </w:r>
    </w:p>
    <w:p w14:paraId="7079F5C4" w14:textId="77777777" w:rsidR="004D497C" w:rsidRDefault="004D497C">
      <w:pPr>
        <w:rPr>
          <w:color w:val="222222"/>
          <w:highlight w:val="white"/>
        </w:rPr>
      </w:pPr>
      <w:r>
        <w:rPr>
          <w:color w:val="222222"/>
          <w:highlight w:val="white"/>
        </w:rPr>
        <w:t xml:space="preserve">Pan, W., Chen, L. and Zhan, W., 2019. PESTEL analysis of construction productivity enhancement strategies: A case study of three economies. </w:t>
      </w:r>
      <w:r>
        <w:rPr>
          <w:i/>
          <w:color w:val="222222"/>
        </w:rPr>
        <w:t>Journal of Management in Engineering</w:t>
      </w:r>
      <w:r>
        <w:rPr>
          <w:color w:val="222222"/>
          <w:highlight w:val="white"/>
        </w:rPr>
        <w:t xml:space="preserve">, </w:t>
      </w:r>
      <w:r>
        <w:rPr>
          <w:i/>
          <w:color w:val="222222"/>
        </w:rPr>
        <w:t>35</w:t>
      </w:r>
      <w:r>
        <w:rPr>
          <w:color w:val="222222"/>
          <w:highlight w:val="white"/>
        </w:rPr>
        <w:t>(1), p.05018013.</w:t>
      </w:r>
    </w:p>
    <w:p w14:paraId="11D64F53" w14:textId="77777777" w:rsidR="004D497C" w:rsidRDefault="004D497C">
      <w:r>
        <w:lastRenderedPageBreak/>
        <w:t>PwC, 2020, “</w:t>
      </w:r>
      <w:r>
        <w:rPr>
          <w:i/>
        </w:rPr>
        <w:t>Experience is everything. Get it right.</w:t>
      </w:r>
      <w:r>
        <w:t xml:space="preserve">”, Available at: </w:t>
      </w:r>
      <w:hyperlink r:id="rId8">
        <w:r>
          <w:rPr>
            <w:color w:val="1155CC"/>
            <w:u w:val="single"/>
          </w:rPr>
          <w:t>https://www.pwc.com/us/en/services/consulting/library/consumer-intelligence-series/future-of-customer-experience.html</w:t>
        </w:r>
      </w:hyperlink>
      <w:r>
        <w:t xml:space="preserve"> </w:t>
      </w:r>
      <w:r>
        <w:rPr>
          <w:color w:val="222222"/>
          <w:highlight w:val="white"/>
        </w:rPr>
        <w:t>[Accessed on 20th December 2023]</w:t>
      </w:r>
    </w:p>
    <w:p w14:paraId="65ADE503" w14:textId="77777777" w:rsidR="004D497C" w:rsidRDefault="004D497C">
      <w:pPr>
        <w:rPr>
          <w:color w:val="222222"/>
          <w:highlight w:val="white"/>
        </w:rPr>
      </w:pPr>
      <w:r>
        <w:rPr>
          <w:color w:val="222222"/>
          <w:highlight w:val="white"/>
        </w:rPr>
        <w:t>PwC, 2021, “</w:t>
      </w:r>
      <w:r>
        <w:rPr>
          <w:i/>
          <w:color w:val="222222"/>
          <w:highlight w:val="white"/>
        </w:rPr>
        <w:t>Why banks can no longer ignore ESG</w:t>
      </w:r>
      <w:r>
        <w:rPr>
          <w:color w:val="222222"/>
          <w:highlight w:val="white"/>
        </w:rPr>
        <w:t xml:space="preserve">”, Available at: </w:t>
      </w:r>
      <w:hyperlink r:id="rId9">
        <w:r>
          <w:rPr>
            <w:color w:val="1155CC"/>
            <w:highlight w:val="white"/>
            <w:u w:val="single"/>
          </w:rPr>
          <w:t>https://www.strategyand.pwc.com/de/en/industries/financial-services/transforming-eu-banks/esg.html</w:t>
        </w:r>
      </w:hyperlink>
      <w:r>
        <w:rPr>
          <w:color w:val="222222"/>
          <w:highlight w:val="white"/>
        </w:rPr>
        <w:t xml:space="preserve"> [Accessed on 20th December 2023]</w:t>
      </w:r>
    </w:p>
    <w:p w14:paraId="5B379754" w14:textId="77777777" w:rsidR="004D497C" w:rsidRDefault="004D497C">
      <w:pPr>
        <w:rPr>
          <w:color w:val="222222"/>
          <w:highlight w:val="white"/>
        </w:rPr>
      </w:pPr>
      <w:r>
        <w:rPr>
          <w:color w:val="222222"/>
          <w:highlight w:val="white"/>
        </w:rPr>
        <w:t xml:space="preserve">Stalmachova, K., Chinoracky, R. and Strenitzerova, M., 2021. Changes in business models caused by digital transformation and the COVID-19 pandemic and possibilities of their measurement—case study. </w:t>
      </w:r>
      <w:r>
        <w:rPr>
          <w:i/>
          <w:color w:val="222222"/>
          <w:highlight w:val="white"/>
        </w:rPr>
        <w:t>Sustainability</w:t>
      </w:r>
      <w:r>
        <w:rPr>
          <w:color w:val="222222"/>
          <w:highlight w:val="white"/>
        </w:rPr>
        <w:t xml:space="preserve">, </w:t>
      </w:r>
      <w:r>
        <w:rPr>
          <w:i/>
          <w:color w:val="222222"/>
          <w:highlight w:val="white"/>
        </w:rPr>
        <w:t>14</w:t>
      </w:r>
      <w:r>
        <w:rPr>
          <w:color w:val="222222"/>
          <w:highlight w:val="white"/>
        </w:rPr>
        <w:t>(1), p.127.</w:t>
      </w:r>
    </w:p>
    <w:p w14:paraId="7EB5594A" w14:textId="77777777" w:rsidR="004D497C" w:rsidRDefault="004D497C">
      <w:pPr>
        <w:rPr>
          <w:color w:val="222222"/>
          <w:highlight w:val="white"/>
        </w:rPr>
      </w:pPr>
      <w:r>
        <w:rPr>
          <w:color w:val="222222"/>
          <w:highlight w:val="white"/>
        </w:rPr>
        <w:t xml:space="preserve">Wang, Z., Li, M., Lu, J. and Cheng, X., 2022. Business Innovation based on artificial intelligence and Blockchain technology. </w:t>
      </w:r>
      <w:r>
        <w:rPr>
          <w:i/>
          <w:color w:val="222222"/>
          <w:highlight w:val="white"/>
        </w:rPr>
        <w:t>Information Processing &amp; Management</w:t>
      </w:r>
      <w:r>
        <w:rPr>
          <w:color w:val="222222"/>
          <w:highlight w:val="white"/>
        </w:rPr>
        <w:t xml:space="preserve">, </w:t>
      </w:r>
      <w:r>
        <w:rPr>
          <w:i/>
          <w:color w:val="222222"/>
          <w:highlight w:val="white"/>
        </w:rPr>
        <w:t>59</w:t>
      </w:r>
      <w:r>
        <w:rPr>
          <w:color w:val="222222"/>
          <w:highlight w:val="white"/>
        </w:rPr>
        <w:t>(1), p.102759.</w:t>
      </w:r>
    </w:p>
    <w:p w14:paraId="01E8735F" w14:textId="77777777" w:rsidR="00610AF0" w:rsidRDefault="00610AF0"/>
    <w:p w14:paraId="4D9EC5E6" w14:textId="77777777" w:rsidR="00610AF0" w:rsidRDefault="004D497C">
      <w:pPr>
        <w:pStyle w:val="Heading1"/>
      </w:pPr>
      <w:bookmarkStart w:id="17" w:name="_5wvkvzjn24l7" w:colFirst="0" w:colLast="0"/>
      <w:bookmarkEnd w:id="17"/>
      <w:r>
        <w:br w:type="page"/>
      </w:r>
    </w:p>
    <w:p w14:paraId="5F1ADFD9" w14:textId="77777777" w:rsidR="00610AF0" w:rsidRDefault="004D497C">
      <w:pPr>
        <w:pStyle w:val="Heading1"/>
      </w:pPr>
      <w:bookmarkStart w:id="18" w:name="_Toc154179071"/>
      <w:r>
        <w:lastRenderedPageBreak/>
        <w:t>Appendices</w:t>
      </w:r>
      <w:bookmarkEnd w:id="18"/>
    </w:p>
    <w:p w14:paraId="250A69C4" w14:textId="77777777" w:rsidR="00610AF0" w:rsidRDefault="004D497C">
      <w:pPr>
        <w:pStyle w:val="Heading2"/>
      </w:pPr>
      <w:bookmarkStart w:id="19" w:name="_Toc154179072"/>
      <w:r>
        <w:t>SWOT Analysis</w:t>
      </w:r>
      <w:bookmarkEnd w:id="19"/>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10AF0" w14:paraId="20A559DC" w14:textId="77777777">
        <w:tc>
          <w:tcPr>
            <w:tcW w:w="4514" w:type="dxa"/>
            <w:shd w:val="clear" w:color="auto" w:fill="auto"/>
            <w:tcMar>
              <w:top w:w="100" w:type="dxa"/>
              <w:left w:w="100" w:type="dxa"/>
              <w:bottom w:w="100" w:type="dxa"/>
              <w:right w:w="100" w:type="dxa"/>
            </w:tcMar>
          </w:tcPr>
          <w:p w14:paraId="1B884731" w14:textId="77777777" w:rsidR="00610AF0" w:rsidRDefault="004D497C">
            <w:pPr>
              <w:jc w:val="center"/>
            </w:pPr>
            <w:r>
              <w:rPr>
                <w:b/>
              </w:rPr>
              <w:t>Strengths</w:t>
            </w:r>
          </w:p>
        </w:tc>
        <w:tc>
          <w:tcPr>
            <w:tcW w:w="4514" w:type="dxa"/>
            <w:shd w:val="clear" w:color="auto" w:fill="auto"/>
            <w:tcMar>
              <w:top w:w="100" w:type="dxa"/>
              <w:left w:w="100" w:type="dxa"/>
              <w:bottom w:w="100" w:type="dxa"/>
              <w:right w:w="100" w:type="dxa"/>
            </w:tcMar>
          </w:tcPr>
          <w:p w14:paraId="561FE51C" w14:textId="77777777" w:rsidR="00610AF0" w:rsidRDefault="004D497C">
            <w:pPr>
              <w:jc w:val="center"/>
            </w:pPr>
            <w:r>
              <w:rPr>
                <w:b/>
              </w:rPr>
              <w:t>Weaknesses</w:t>
            </w:r>
          </w:p>
        </w:tc>
      </w:tr>
      <w:tr w:rsidR="00610AF0" w14:paraId="0E5FD9F6" w14:textId="77777777">
        <w:tc>
          <w:tcPr>
            <w:tcW w:w="4514" w:type="dxa"/>
            <w:shd w:val="clear" w:color="auto" w:fill="auto"/>
            <w:tcMar>
              <w:top w:w="100" w:type="dxa"/>
              <w:left w:w="100" w:type="dxa"/>
              <w:bottom w:w="100" w:type="dxa"/>
              <w:right w:w="100" w:type="dxa"/>
            </w:tcMar>
          </w:tcPr>
          <w:p w14:paraId="02751BFA" w14:textId="77777777" w:rsidR="00610AF0" w:rsidRDefault="004D497C">
            <w:r>
              <w:t>Establishing a Flexible Organisational Structure Investment banking, retail and commercial banking, and wealth management all contribute to Barclays' comprehensive business strategy. The more options there are, the less likely customers are to be confused, and the higher the chance of cross-selling.</w:t>
            </w:r>
          </w:p>
          <w:p w14:paraId="61BEEB22" w14:textId="77777777" w:rsidR="00610AF0" w:rsidRDefault="004D497C">
            <w:r>
              <w:t>Because of its extensive global network and operations in many countries, Barclays is a genuine global player. The business can increase its customer base, learn about other areas, and lessen the impact of economic volatility in one area by taking advantage of this opportunity.</w:t>
            </w:r>
          </w:p>
          <w:p w14:paraId="744F62B9" w14:textId="77777777" w:rsidR="00610AF0" w:rsidRDefault="004D497C">
            <w:r>
              <w:t>The cutting-edge online and mobile banking services provided by the bank demonstrate its commitment to remaining at the front of technological progress. This degree of technical expertise does double duty: it differentiates people from competitors while simultaneously enhancing their customer service and attracting tech-savvy clientele.</w:t>
            </w:r>
          </w:p>
          <w:p w14:paraId="248B4F37" w14:textId="77777777" w:rsidR="00610AF0" w:rsidRDefault="004D497C">
            <w:r>
              <w:t>The Brand's Reputation Customers, investors, and other business companions have put their faith in Barclays because of its impeccable reputation. All of these things of the brand work together to keep Consumers coming back and bringing in new ones.</w:t>
            </w:r>
          </w:p>
        </w:tc>
        <w:tc>
          <w:tcPr>
            <w:tcW w:w="4514" w:type="dxa"/>
            <w:shd w:val="clear" w:color="auto" w:fill="auto"/>
            <w:tcMar>
              <w:top w:w="100" w:type="dxa"/>
              <w:left w:w="100" w:type="dxa"/>
              <w:bottom w:w="100" w:type="dxa"/>
              <w:right w:w="100" w:type="dxa"/>
            </w:tcMar>
          </w:tcPr>
          <w:p w14:paraId="0F6ABC23" w14:textId="77777777" w:rsidR="00610AF0" w:rsidRDefault="004D497C">
            <w:r>
              <w:t>Difficulty in following rules Regulators in the financial sector are notoriously difficult to keep up with, and Barclays is no exception. Constant vigilance and course corrections are required to meet ever-evolving regulatory requirements, which can be taxing on operations.</w:t>
            </w:r>
          </w:p>
          <w:p w14:paraId="0CC04550" w14:textId="77777777" w:rsidR="00610AF0" w:rsidRDefault="004D497C">
            <w:r>
              <w:t>The bank's exposure to global financial markets makes it susceptible to fluctuations in such markets. The bank is vulnerable to market volatility. It could be difficult to sustain long-term financial performance when investment returns and profitability are susceptible to economic volatility and downturns.</w:t>
            </w:r>
          </w:p>
          <w:p w14:paraId="472FC330" w14:textId="77777777" w:rsidR="00610AF0" w:rsidRDefault="004D497C">
            <w:r>
              <w:t>Barclays is well-known for its excessive dependence on investment banking for income creation, despite the many benefits that the broad business model offers to the organisation. The inherent risks of investment banking could put the bank in a dangerous situation.</w:t>
            </w:r>
          </w:p>
        </w:tc>
      </w:tr>
      <w:tr w:rsidR="00610AF0" w14:paraId="6D42587A" w14:textId="77777777">
        <w:tc>
          <w:tcPr>
            <w:tcW w:w="4514" w:type="dxa"/>
            <w:shd w:val="clear" w:color="auto" w:fill="auto"/>
            <w:tcMar>
              <w:top w:w="100" w:type="dxa"/>
              <w:left w:w="100" w:type="dxa"/>
              <w:bottom w:w="100" w:type="dxa"/>
              <w:right w:w="100" w:type="dxa"/>
            </w:tcMar>
          </w:tcPr>
          <w:p w14:paraId="0E397DD3" w14:textId="77777777" w:rsidR="00610AF0" w:rsidRDefault="004D497C">
            <w:pPr>
              <w:jc w:val="center"/>
            </w:pPr>
            <w:r>
              <w:rPr>
                <w:b/>
              </w:rPr>
              <w:lastRenderedPageBreak/>
              <w:t>Opportunities</w:t>
            </w:r>
          </w:p>
        </w:tc>
        <w:tc>
          <w:tcPr>
            <w:tcW w:w="4514" w:type="dxa"/>
            <w:shd w:val="clear" w:color="auto" w:fill="auto"/>
            <w:tcMar>
              <w:top w:w="100" w:type="dxa"/>
              <w:left w:w="100" w:type="dxa"/>
              <w:bottom w:w="100" w:type="dxa"/>
              <w:right w:w="100" w:type="dxa"/>
            </w:tcMar>
          </w:tcPr>
          <w:p w14:paraId="4E9CB7C1" w14:textId="77777777" w:rsidR="00610AF0" w:rsidRDefault="004D497C">
            <w:pPr>
              <w:jc w:val="center"/>
            </w:pPr>
            <w:r>
              <w:rPr>
                <w:b/>
              </w:rPr>
              <w:t>Threats</w:t>
            </w:r>
          </w:p>
        </w:tc>
      </w:tr>
      <w:tr w:rsidR="00610AF0" w14:paraId="61A4E746" w14:textId="77777777">
        <w:tc>
          <w:tcPr>
            <w:tcW w:w="4514" w:type="dxa"/>
            <w:shd w:val="clear" w:color="auto" w:fill="auto"/>
            <w:tcMar>
              <w:top w:w="100" w:type="dxa"/>
              <w:left w:w="100" w:type="dxa"/>
              <w:bottom w:w="100" w:type="dxa"/>
              <w:right w:w="100" w:type="dxa"/>
            </w:tcMar>
          </w:tcPr>
          <w:p w14:paraId="254939B5" w14:textId="77777777" w:rsidR="00610AF0" w:rsidRDefault="004D497C">
            <w:r>
              <w:t>Barclays is teaming up with fintech experts to enhance its technological offerings, simplify its processes, and boost efficiency in the face of rising competition in the rapidly growing digital banking industry.</w:t>
            </w:r>
          </w:p>
          <w:p w14:paraId="05379220" w14:textId="77777777" w:rsidR="00610AF0" w:rsidRDefault="004D497C">
            <w:r>
              <w:t>Barclays can take advantage of ESG (environmental, social, and governance) considerations to enhance its financial offerings in light of the increasing demand for sustainable practices. Taking this tack might help the corporation win over regulators and eco-conscious customers.</w:t>
            </w:r>
          </w:p>
          <w:p w14:paraId="3FED8009" w14:textId="77777777" w:rsidR="00610AF0" w:rsidRDefault="004D497C">
            <w:r>
              <w:t>Increasing long-term growth and market penetration, diversifying revenue streams, and reaching new, unexplored client groups are all possible outcomes of strategic market penetration.</w:t>
            </w:r>
          </w:p>
        </w:tc>
        <w:tc>
          <w:tcPr>
            <w:tcW w:w="4514" w:type="dxa"/>
            <w:shd w:val="clear" w:color="auto" w:fill="auto"/>
            <w:tcMar>
              <w:top w:w="100" w:type="dxa"/>
              <w:left w:w="100" w:type="dxa"/>
              <w:bottom w:w="100" w:type="dxa"/>
              <w:right w:w="100" w:type="dxa"/>
            </w:tcMar>
          </w:tcPr>
          <w:p w14:paraId="1555ABC5" w14:textId="77777777" w:rsidR="00610AF0" w:rsidRDefault="004D497C">
            <w:r>
              <w:t>In the financial services sector, both well-established companies and new entrants battle it out for clients' hard-earned cash. Very competitive markets can make profit margins slim and push innovation as businesses try to stay ahead of the competition.</w:t>
            </w:r>
          </w:p>
          <w:p w14:paraId="12AB5785" w14:textId="77777777" w:rsidR="00610AF0" w:rsidRDefault="004D497C">
            <w:r>
              <w:t>How Unpredictable the Economy Is One such risk element is the possible effect on Barclays' financial stability of global economic uncertainty like recessions or geopolitical crises. Potentially detrimental to the bank's bottom line are fluctuations in interest rates and currency prices.</w:t>
            </w:r>
          </w:p>
          <w:p w14:paraId="52495093" w14:textId="77777777" w:rsidR="00610AF0" w:rsidRDefault="004D497C">
            <w:r>
              <w:t>Failure to Adhere to Data Security Standards: Barclays' technology-driven business model makes it vulnerable to cybersecurity threats at all times. Banks and other financial organisations can suffer reputational damage in addition to monetary losses as a result of cyberattacks and data breaches.</w:t>
            </w:r>
          </w:p>
        </w:tc>
      </w:tr>
    </w:tbl>
    <w:p w14:paraId="0E495A66" w14:textId="77777777" w:rsidR="00610AF0" w:rsidRDefault="004D497C">
      <w:pPr>
        <w:pStyle w:val="Heading2"/>
      </w:pPr>
      <w:bookmarkStart w:id="20" w:name="_Toc154179073"/>
      <w:r>
        <w:t>PESTLE Analysis</w:t>
      </w:r>
      <w:bookmarkEnd w:id="20"/>
    </w:p>
    <w:tbl>
      <w:tblPr>
        <w:tblStyle w:val="a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0"/>
        <w:gridCol w:w="7020"/>
      </w:tblGrid>
      <w:tr w:rsidR="00610AF0" w14:paraId="5A3D503D" w14:textId="77777777">
        <w:tc>
          <w:tcPr>
            <w:tcW w:w="1980" w:type="dxa"/>
            <w:shd w:val="clear" w:color="auto" w:fill="auto"/>
            <w:tcMar>
              <w:top w:w="100" w:type="dxa"/>
              <w:left w:w="100" w:type="dxa"/>
              <w:bottom w:w="100" w:type="dxa"/>
              <w:right w:w="100" w:type="dxa"/>
            </w:tcMar>
          </w:tcPr>
          <w:p w14:paraId="2F1DB919" w14:textId="77777777" w:rsidR="00610AF0" w:rsidRDefault="004D497C">
            <w:pPr>
              <w:jc w:val="center"/>
              <w:rPr>
                <w:b/>
              </w:rPr>
            </w:pPr>
            <w:r>
              <w:rPr>
                <w:b/>
              </w:rPr>
              <w:t>Factors</w:t>
            </w:r>
          </w:p>
        </w:tc>
        <w:tc>
          <w:tcPr>
            <w:tcW w:w="7020" w:type="dxa"/>
            <w:shd w:val="clear" w:color="auto" w:fill="auto"/>
            <w:tcMar>
              <w:top w:w="100" w:type="dxa"/>
              <w:left w:w="100" w:type="dxa"/>
              <w:bottom w:w="100" w:type="dxa"/>
              <w:right w:w="100" w:type="dxa"/>
            </w:tcMar>
          </w:tcPr>
          <w:p w14:paraId="2252B6D8" w14:textId="77777777" w:rsidR="00610AF0" w:rsidRDefault="004D497C">
            <w:pPr>
              <w:jc w:val="center"/>
              <w:rPr>
                <w:b/>
              </w:rPr>
            </w:pPr>
            <w:r>
              <w:rPr>
                <w:b/>
              </w:rPr>
              <w:t>Descriptions</w:t>
            </w:r>
          </w:p>
        </w:tc>
      </w:tr>
      <w:tr w:rsidR="00610AF0" w14:paraId="50C542B8" w14:textId="77777777">
        <w:tc>
          <w:tcPr>
            <w:tcW w:w="1980" w:type="dxa"/>
            <w:shd w:val="clear" w:color="auto" w:fill="auto"/>
            <w:tcMar>
              <w:top w:w="100" w:type="dxa"/>
              <w:left w:w="100" w:type="dxa"/>
              <w:bottom w:w="100" w:type="dxa"/>
              <w:right w:w="100" w:type="dxa"/>
            </w:tcMar>
          </w:tcPr>
          <w:p w14:paraId="7D3C10D8" w14:textId="77777777" w:rsidR="00610AF0" w:rsidRDefault="004D497C">
            <w:pPr>
              <w:rPr>
                <w:b/>
              </w:rPr>
            </w:pPr>
            <w:r>
              <w:rPr>
                <w:b/>
              </w:rPr>
              <w:t>Political</w:t>
            </w:r>
          </w:p>
        </w:tc>
        <w:tc>
          <w:tcPr>
            <w:tcW w:w="7020" w:type="dxa"/>
            <w:shd w:val="clear" w:color="auto" w:fill="auto"/>
            <w:tcMar>
              <w:top w:w="100" w:type="dxa"/>
              <w:left w:w="100" w:type="dxa"/>
              <w:bottom w:w="100" w:type="dxa"/>
              <w:right w:w="100" w:type="dxa"/>
            </w:tcMar>
          </w:tcPr>
          <w:p w14:paraId="045F22C3" w14:textId="77777777" w:rsidR="00610AF0" w:rsidRDefault="004D497C">
            <w:r>
              <w:t>The banking industry is very regulated, thus any decisions or laws passed by the government have a direct impact on Barclays. Changes to the law, such as those that may emerge as a consequence of Brexit, might affect the bank's operations. Changes to the rules governing global banking might occur as a result of Brexit, which might affect Barclays.</w:t>
            </w:r>
          </w:p>
        </w:tc>
      </w:tr>
      <w:tr w:rsidR="00610AF0" w14:paraId="2B6AD973" w14:textId="77777777">
        <w:tc>
          <w:tcPr>
            <w:tcW w:w="1980" w:type="dxa"/>
            <w:shd w:val="clear" w:color="auto" w:fill="auto"/>
            <w:tcMar>
              <w:top w:w="100" w:type="dxa"/>
              <w:left w:w="100" w:type="dxa"/>
              <w:bottom w:w="100" w:type="dxa"/>
              <w:right w:w="100" w:type="dxa"/>
            </w:tcMar>
          </w:tcPr>
          <w:p w14:paraId="3A9D694E" w14:textId="77777777" w:rsidR="00610AF0" w:rsidRDefault="004D497C">
            <w:pPr>
              <w:rPr>
                <w:b/>
              </w:rPr>
            </w:pPr>
            <w:r>
              <w:rPr>
                <w:b/>
              </w:rPr>
              <w:lastRenderedPageBreak/>
              <w:t>Economic</w:t>
            </w:r>
          </w:p>
        </w:tc>
        <w:tc>
          <w:tcPr>
            <w:tcW w:w="7020" w:type="dxa"/>
            <w:shd w:val="clear" w:color="auto" w:fill="auto"/>
            <w:tcMar>
              <w:top w:w="100" w:type="dxa"/>
              <w:left w:w="100" w:type="dxa"/>
              <w:bottom w:w="100" w:type="dxa"/>
              <w:right w:w="100" w:type="dxa"/>
            </w:tcMar>
          </w:tcPr>
          <w:p w14:paraId="43DDB4B8" w14:textId="77777777" w:rsidR="00610AF0" w:rsidRDefault="004D497C">
            <w:r>
              <w:t>The state of the economy has a significant impact on Barclays' performance. As demonstrated in the Barclays Annual Report 2021, a multitude of financial metrics are susceptible to fluctuations in macroeconomic conditions. Some examples of such factors include changes in interest rates, which affect banks' net interest income, and changes in the pace of gross domestic product growth in important nations, which affect the demand for banks' services. At 5.1% in 2021, when the global pandemic hit, the bank's return on tangible equity was a reflection of the economic problems it faced.</w:t>
            </w:r>
          </w:p>
        </w:tc>
      </w:tr>
      <w:tr w:rsidR="00610AF0" w14:paraId="5869AEBE" w14:textId="77777777">
        <w:tc>
          <w:tcPr>
            <w:tcW w:w="1980" w:type="dxa"/>
            <w:shd w:val="clear" w:color="auto" w:fill="auto"/>
            <w:tcMar>
              <w:top w:w="100" w:type="dxa"/>
              <w:left w:w="100" w:type="dxa"/>
              <w:bottom w:w="100" w:type="dxa"/>
              <w:right w:w="100" w:type="dxa"/>
            </w:tcMar>
          </w:tcPr>
          <w:p w14:paraId="3D24EC1E" w14:textId="77777777" w:rsidR="00610AF0" w:rsidRDefault="004D497C">
            <w:pPr>
              <w:rPr>
                <w:b/>
              </w:rPr>
            </w:pPr>
            <w:r>
              <w:rPr>
                <w:b/>
              </w:rPr>
              <w:t>Sociocultural</w:t>
            </w:r>
          </w:p>
        </w:tc>
        <w:tc>
          <w:tcPr>
            <w:tcW w:w="7020" w:type="dxa"/>
            <w:shd w:val="clear" w:color="auto" w:fill="auto"/>
            <w:tcMar>
              <w:top w:w="100" w:type="dxa"/>
              <w:left w:w="100" w:type="dxa"/>
              <w:bottom w:w="100" w:type="dxa"/>
              <w:right w:w="100" w:type="dxa"/>
            </w:tcMar>
          </w:tcPr>
          <w:p w14:paraId="4C82FE7C" w14:textId="77777777" w:rsidR="00610AF0" w:rsidRDefault="004D497C">
            <w:r>
              <w:t>Many cultural factors impact how customers act and what they anticipate from brands. Diversity and inclusion are important values at Barclays, and they change with the times. According to the bank's sustainability report, they made an effort to increase gender diversity in 2021, when 45.5 per cent of the Board was female. One indicator of social change is the growing number of people who bank digitally through mobile and internet platforms. Experts predict that by 2021, the number of internet users will have increased to 11.7 million.</w:t>
            </w:r>
          </w:p>
        </w:tc>
      </w:tr>
      <w:tr w:rsidR="00610AF0" w14:paraId="52366B68" w14:textId="77777777">
        <w:tc>
          <w:tcPr>
            <w:tcW w:w="1980" w:type="dxa"/>
            <w:shd w:val="clear" w:color="auto" w:fill="auto"/>
            <w:tcMar>
              <w:top w:w="100" w:type="dxa"/>
              <w:left w:w="100" w:type="dxa"/>
              <w:bottom w:w="100" w:type="dxa"/>
              <w:right w:w="100" w:type="dxa"/>
            </w:tcMar>
          </w:tcPr>
          <w:p w14:paraId="696184BD" w14:textId="77777777" w:rsidR="00610AF0" w:rsidRDefault="004D497C">
            <w:pPr>
              <w:rPr>
                <w:b/>
              </w:rPr>
            </w:pPr>
            <w:r>
              <w:rPr>
                <w:b/>
              </w:rPr>
              <w:t>Technological</w:t>
            </w:r>
          </w:p>
        </w:tc>
        <w:tc>
          <w:tcPr>
            <w:tcW w:w="7020" w:type="dxa"/>
            <w:shd w:val="clear" w:color="auto" w:fill="auto"/>
            <w:tcMar>
              <w:top w:w="100" w:type="dxa"/>
              <w:left w:w="100" w:type="dxa"/>
              <w:bottom w:w="100" w:type="dxa"/>
              <w:right w:w="100" w:type="dxa"/>
            </w:tcMar>
          </w:tcPr>
          <w:p w14:paraId="5D2E3F12" w14:textId="77777777" w:rsidR="00610AF0" w:rsidRDefault="004D497C">
            <w:r>
              <w:t>The rapid pace of technological innovation is not without its pros and cons. Customers can now access digital banking services thanks to Barclays' substantial investment in technology. The number of people using the bank's mobile banking services increased by 64% in 2020 and reached 9.5 million in 2021, according to the company's annual report. The bank shows it cares about its customers' wants and needs by being competitive in the tech business.</w:t>
            </w:r>
          </w:p>
        </w:tc>
      </w:tr>
      <w:tr w:rsidR="00610AF0" w14:paraId="226795C0" w14:textId="77777777">
        <w:tc>
          <w:tcPr>
            <w:tcW w:w="1980" w:type="dxa"/>
            <w:shd w:val="clear" w:color="auto" w:fill="auto"/>
            <w:tcMar>
              <w:top w:w="100" w:type="dxa"/>
              <w:left w:w="100" w:type="dxa"/>
              <w:bottom w:w="100" w:type="dxa"/>
              <w:right w:w="100" w:type="dxa"/>
            </w:tcMar>
          </w:tcPr>
          <w:p w14:paraId="0CC354C5" w14:textId="77777777" w:rsidR="00610AF0" w:rsidRDefault="004D497C">
            <w:pPr>
              <w:rPr>
                <w:b/>
              </w:rPr>
            </w:pPr>
            <w:r>
              <w:rPr>
                <w:b/>
              </w:rPr>
              <w:t>Legal</w:t>
            </w:r>
          </w:p>
        </w:tc>
        <w:tc>
          <w:tcPr>
            <w:tcW w:w="7020" w:type="dxa"/>
            <w:shd w:val="clear" w:color="auto" w:fill="auto"/>
            <w:tcMar>
              <w:top w:w="100" w:type="dxa"/>
              <w:left w:w="100" w:type="dxa"/>
              <w:bottom w:w="100" w:type="dxa"/>
              <w:right w:w="100" w:type="dxa"/>
            </w:tcMar>
          </w:tcPr>
          <w:p w14:paraId="3C97B0D4" w14:textId="77777777" w:rsidR="00610AF0" w:rsidRDefault="004D497C">
            <w:r>
              <w:t>Among the legal considerations is the need to make sure that Barclays follows all rules and laws. Data protection laws, anti-money laundering statutes, and related matters are of paramount importance. In 2021, Barclays faced several legal challenges, including settlements about instances of past misconduct. It is crucial to have a solid plan for handling legal risk when dealing with issues like these.</w:t>
            </w:r>
          </w:p>
        </w:tc>
      </w:tr>
      <w:tr w:rsidR="00610AF0" w14:paraId="1BBBF09C" w14:textId="77777777">
        <w:tc>
          <w:tcPr>
            <w:tcW w:w="1980" w:type="dxa"/>
            <w:shd w:val="clear" w:color="auto" w:fill="auto"/>
            <w:tcMar>
              <w:top w:w="100" w:type="dxa"/>
              <w:left w:w="100" w:type="dxa"/>
              <w:bottom w:w="100" w:type="dxa"/>
              <w:right w:w="100" w:type="dxa"/>
            </w:tcMar>
          </w:tcPr>
          <w:p w14:paraId="7AE8AD54" w14:textId="77777777" w:rsidR="00610AF0" w:rsidRDefault="004D497C">
            <w:pPr>
              <w:rPr>
                <w:b/>
              </w:rPr>
            </w:pPr>
            <w:r>
              <w:rPr>
                <w:b/>
              </w:rPr>
              <w:lastRenderedPageBreak/>
              <w:t>Environmental</w:t>
            </w:r>
          </w:p>
        </w:tc>
        <w:tc>
          <w:tcPr>
            <w:tcW w:w="7020" w:type="dxa"/>
            <w:shd w:val="clear" w:color="auto" w:fill="auto"/>
            <w:tcMar>
              <w:top w:w="100" w:type="dxa"/>
              <w:left w:w="100" w:type="dxa"/>
              <w:bottom w:w="100" w:type="dxa"/>
              <w:right w:w="100" w:type="dxa"/>
            </w:tcMar>
          </w:tcPr>
          <w:p w14:paraId="4B4E73C4" w14:textId="77777777" w:rsidR="00610AF0" w:rsidRDefault="004D497C">
            <w:r>
              <w:t>Sustainability, climate change, and other environmental factors are becoming more important to financial institutions. Barclays has set some ambitious sustainability goals, one of which is to eliminate carbon emissions by 2050. Barclays' Sustainable Impact Report states that the bank invested £22.4 billion in green bonds and sustainable finance in 2021, a clear indication of its commitment to environmental responsibility.</w:t>
            </w:r>
          </w:p>
        </w:tc>
      </w:tr>
    </w:tbl>
    <w:p w14:paraId="140A5250" w14:textId="77777777" w:rsidR="00610AF0" w:rsidRDefault="004D497C">
      <w:pPr>
        <w:pStyle w:val="Heading2"/>
      </w:pPr>
      <w:bookmarkStart w:id="21" w:name="_Toc154179074"/>
      <w:r>
        <w:t>Porter’s 5 Forces</w:t>
      </w:r>
      <w:bookmarkEnd w:id="21"/>
    </w:p>
    <w:p w14:paraId="6B047F08" w14:textId="77777777" w:rsidR="00610AF0" w:rsidRDefault="004D497C">
      <w:pPr>
        <w:rPr>
          <w:b/>
        </w:rPr>
      </w:pPr>
      <w:r>
        <w:rPr>
          <w:b/>
        </w:rPr>
        <w:t>Bargaining Power of Buyers:</w:t>
      </w:r>
    </w:p>
    <w:p w14:paraId="268A4A0C" w14:textId="77777777" w:rsidR="00610AF0" w:rsidRDefault="004D497C">
      <w:pPr>
        <w:rPr>
          <w:b/>
        </w:rPr>
      </w:pPr>
      <w:r>
        <w:t>Due to the abundance of alternatives available to consumers of financial services, Barclays has minimal bargaining leverage. Barclays' unique offerings and impeccable reputation lower disposable income.</w:t>
      </w:r>
    </w:p>
    <w:p w14:paraId="224776D1" w14:textId="77777777" w:rsidR="00610AF0" w:rsidRDefault="004D497C">
      <w:pPr>
        <w:rPr>
          <w:b/>
        </w:rPr>
      </w:pPr>
      <w:r>
        <w:rPr>
          <w:b/>
        </w:rPr>
        <w:t>Bargaining Power of Suppliers:</w:t>
      </w:r>
    </w:p>
    <w:p w14:paraId="2AA5FC34" w14:textId="77777777" w:rsidR="00610AF0" w:rsidRDefault="004D497C">
      <w:r>
        <w:t>In the financial sector, regulators and IT firms wield considerable sway. How much leverage Barclays has in negotiations depends on its size, the quality of its partnerships, and the level of competition.</w:t>
      </w:r>
    </w:p>
    <w:p w14:paraId="3CC92D49" w14:textId="77777777" w:rsidR="00610AF0" w:rsidRDefault="004D497C">
      <w:pPr>
        <w:rPr>
          <w:b/>
        </w:rPr>
      </w:pPr>
      <w:r>
        <w:rPr>
          <w:b/>
        </w:rPr>
        <w:t>Threat of New Entrants:</w:t>
      </w:r>
    </w:p>
    <w:p w14:paraId="0CDB0D8F" w14:textId="77777777" w:rsidR="00610AF0" w:rsidRDefault="004D497C">
      <w:r>
        <w:t>Due to hefty initial costs, stringent regulatory standards, and a reputation, breaking into the financial industry is no easy feat. So, fresh entrants are not a big deal.</w:t>
      </w:r>
    </w:p>
    <w:p w14:paraId="4AA3D7BA" w14:textId="77777777" w:rsidR="00610AF0" w:rsidRDefault="004D497C">
      <w:r>
        <w:rPr>
          <w:b/>
        </w:rPr>
        <w:t>Threat of Substitute Products or Services:</w:t>
      </w:r>
    </w:p>
    <w:p w14:paraId="0A97DDEE" w14:textId="77777777" w:rsidR="00610AF0" w:rsidRDefault="004D497C">
      <w:r>
        <w:t>Having other banking options available will not be an issue. As a result of its technological advancements and extensive financial products and services, Barclays makes its rivals look bad.</w:t>
      </w:r>
    </w:p>
    <w:p w14:paraId="7F29A163" w14:textId="77777777" w:rsidR="00610AF0" w:rsidRDefault="004D497C">
      <w:r>
        <w:rPr>
          <w:b/>
        </w:rPr>
        <w:t>Intensity of Competitive Rivalry:</w:t>
      </w:r>
    </w:p>
    <w:p w14:paraId="1F04C734" w14:textId="5FE23C28" w:rsidR="00610AF0" w:rsidRDefault="004D497C" w:rsidP="004D497C">
      <w:r>
        <w:t>The banking industry is notoriously cutthroat. Financial technology businesses, both old and new, compete with Barclays. Barclays maintains its competitive edge through technological innovation, global expansion, and service expansion.</w:t>
      </w:r>
      <w:bookmarkStart w:id="22" w:name="_gt6dmyplh0lq" w:colFirst="0" w:colLast="0"/>
      <w:bookmarkEnd w:id="22"/>
    </w:p>
    <w:sectPr w:rsidR="00610AF0" w:rsidSect="004D497C">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672381"/>
    <w:multiLevelType w:val="multilevel"/>
    <w:tmpl w:val="A2226E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82904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AF0"/>
    <w:rsid w:val="000F2C6C"/>
    <w:rsid w:val="001D48F4"/>
    <w:rsid w:val="002B6C21"/>
    <w:rsid w:val="004D497C"/>
    <w:rsid w:val="00610AF0"/>
    <w:rsid w:val="00E92DF0"/>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41A74"/>
  <w15:docId w15:val="{3F5BACE2-F63E-4465-8AA7-D243618F0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4D497C"/>
    <w:pPr>
      <w:spacing w:after="100"/>
    </w:pPr>
    <w:rPr>
      <w:szCs w:val="30"/>
    </w:rPr>
  </w:style>
  <w:style w:type="paragraph" w:styleId="TOC2">
    <w:name w:val="toc 2"/>
    <w:basedOn w:val="Normal"/>
    <w:next w:val="Normal"/>
    <w:autoRedefine/>
    <w:uiPriority w:val="39"/>
    <w:unhideWhenUsed/>
    <w:rsid w:val="004D497C"/>
    <w:pPr>
      <w:spacing w:after="100"/>
      <w:ind w:left="240"/>
    </w:pPr>
    <w:rPr>
      <w:szCs w:val="30"/>
    </w:rPr>
  </w:style>
  <w:style w:type="character" w:styleId="Hyperlink">
    <w:name w:val="Hyperlink"/>
    <w:basedOn w:val="DefaultParagraphFont"/>
    <w:uiPriority w:val="99"/>
    <w:unhideWhenUsed/>
    <w:rsid w:val="004D49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pwc.com/us/en/services/consulting/library/consumer-intelligence-series/future-of-customer-experience.html" TargetMode="External"/><Relationship Id="rId3" Type="http://schemas.openxmlformats.org/officeDocument/2006/relationships/settings" Target="settings.xml"/><Relationship Id="rId7" Type="http://schemas.openxmlformats.org/officeDocument/2006/relationships/hyperlink" Target="https://www.nibusinessinfo.co.uk/content/how-respond-changes-your-business-mark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ome.barclays/investor-relations/reports-and-events/results/barclays-full-year-2021-results/" TargetMode="External"/><Relationship Id="rId11" Type="http://schemas.openxmlformats.org/officeDocument/2006/relationships/theme" Target="theme/theme1.xml"/><Relationship Id="rId5" Type="http://schemas.openxmlformats.org/officeDocument/2006/relationships/hyperlink" Target="https://home.barclays/who-we-ar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trategyand.pwc.com/de/en/industries/financial-services/transforming-eu-banks/es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14</Pages>
  <Words>4412</Words>
  <Characters>25154</Characters>
  <Application>Microsoft Office Word</Application>
  <DocSecurity>0</DocSecurity>
  <Lines>209</Lines>
  <Paragraphs>59</Paragraphs>
  <ScaleCrop>false</ScaleCrop>
  <Company/>
  <LinksUpToDate>false</LinksUpToDate>
  <CharactersWithSpaces>29507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Adriana</cp:lastModifiedBy>
  <cp:revision>2</cp:revision>
  <dcterms:created xsi:type="dcterms:W3CDTF">2024-01-03T10:39:00Z</dcterms:created>
  <dcterms:modified xsi:type="dcterms:W3CDTF">2024-01-03T10:39:00Z</dcterms:modified>
</cp:coreProperties>
</file>