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C27825" w14:textId="302C13AA" w:rsidR="0097722B" w:rsidRDefault="0097722B" w:rsidP="0097722B">
      <w:pPr>
        <w:jc w:val="center"/>
        <w:rPr>
          <w:rFonts w:cs="Times New Roman"/>
          <w:b/>
          <w:noProof w:val="0"/>
          <w:sz w:val="40"/>
          <w:szCs w:val="20"/>
        </w:rPr>
      </w:pPr>
      <w:r>
        <w:rPr>
          <w:rFonts w:cs="Times New Roman"/>
          <w:b/>
        </w:rPr>
        <w:drawing>
          <wp:inline distT="0" distB="0" distL="0" distR="0" wp14:anchorId="404204E4" wp14:editId="52480672">
            <wp:extent cx="2501900" cy="825500"/>
            <wp:effectExtent l="0" t="0" r="0" b="0"/>
            <wp:docPr id="195279488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1900" cy="825500"/>
                    </a:xfrm>
                    <a:prstGeom prst="rect">
                      <a:avLst/>
                    </a:prstGeom>
                    <a:noFill/>
                    <a:ln>
                      <a:noFill/>
                    </a:ln>
                  </pic:spPr>
                </pic:pic>
              </a:graphicData>
            </a:graphic>
          </wp:inline>
        </w:drawing>
      </w:r>
    </w:p>
    <w:p w14:paraId="2287EAB3" w14:textId="77777777" w:rsidR="0097722B" w:rsidRDefault="0097722B" w:rsidP="0097722B">
      <w:pPr>
        <w:spacing w:after="120"/>
        <w:jc w:val="center"/>
        <w:rPr>
          <w:rFonts w:cs="Arial"/>
          <w:b/>
          <w:bCs/>
          <w:i/>
          <w:iCs/>
          <w:sz w:val="32"/>
          <w:szCs w:val="32"/>
        </w:rPr>
      </w:pPr>
    </w:p>
    <w:p w14:paraId="6519FD85" w14:textId="77777777" w:rsidR="0097722B" w:rsidRDefault="0097722B" w:rsidP="0097722B">
      <w:pPr>
        <w:spacing w:after="120"/>
        <w:jc w:val="center"/>
        <w:rPr>
          <w:rFonts w:cs="Times New Roman"/>
          <w:b/>
          <w:bCs/>
          <w:sz w:val="16"/>
          <w:szCs w:val="14"/>
        </w:rPr>
      </w:pPr>
    </w:p>
    <w:p w14:paraId="311FBBB9" w14:textId="77777777" w:rsidR="0097722B" w:rsidRDefault="0097722B" w:rsidP="0097722B">
      <w:pPr>
        <w:spacing w:after="120"/>
        <w:jc w:val="center"/>
        <w:rPr>
          <w:szCs w:val="24"/>
        </w:rPr>
      </w:pPr>
      <w:r>
        <w:rPr>
          <w:rFonts w:cs="Times New Roman"/>
          <w:b/>
          <w:sz w:val="32"/>
          <w:szCs w:val="10"/>
        </w:rPr>
        <w:t xml:space="preserve">Module Name </w:t>
      </w:r>
    </w:p>
    <w:p w14:paraId="29716AF8" w14:textId="77777777" w:rsidR="0097722B" w:rsidRDefault="0097722B" w:rsidP="0097722B">
      <w:pPr>
        <w:spacing w:after="120"/>
        <w:jc w:val="center"/>
        <w:rPr>
          <w:rFonts w:cs="Times New Roman"/>
          <w:noProof w:val="0"/>
          <w:sz w:val="28"/>
          <w:szCs w:val="28"/>
          <w:lang w:val="en-US"/>
        </w:rPr>
      </w:pPr>
      <w:r>
        <w:rPr>
          <w:rFonts w:cs="Arial"/>
          <w:sz w:val="28"/>
          <w:szCs w:val="28"/>
        </w:rPr>
        <w:t>Sustainable Hospitality &amp; Tourism Management</w:t>
      </w:r>
      <w:r>
        <w:rPr>
          <w:rFonts w:cs="Arial"/>
          <w:i/>
          <w:iCs/>
          <w:sz w:val="28"/>
          <w:szCs w:val="28"/>
        </w:rPr>
        <w:t xml:space="preserve"> (BMIH5006)</w:t>
      </w:r>
    </w:p>
    <w:p w14:paraId="7F217FDC" w14:textId="77777777" w:rsidR="0097722B" w:rsidRDefault="0097722B" w:rsidP="0097722B">
      <w:pPr>
        <w:jc w:val="center"/>
        <w:rPr>
          <w:rFonts w:cs="Times New Roman"/>
          <w:b/>
          <w:bCs/>
          <w:sz w:val="18"/>
          <w:szCs w:val="16"/>
        </w:rPr>
      </w:pPr>
    </w:p>
    <w:p w14:paraId="43331DF9" w14:textId="77777777" w:rsidR="0097722B" w:rsidRDefault="0097722B" w:rsidP="0097722B">
      <w:pPr>
        <w:spacing w:after="120"/>
        <w:jc w:val="center"/>
        <w:rPr>
          <w:rFonts w:cs="Times New Roman"/>
          <w:b/>
          <w:bCs/>
          <w:sz w:val="32"/>
          <w:szCs w:val="30"/>
        </w:rPr>
      </w:pPr>
      <w:r>
        <w:rPr>
          <w:rFonts w:cs="Times New Roman"/>
          <w:b/>
          <w:bCs/>
          <w:sz w:val="32"/>
          <w:szCs w:val="30"/>
        </w:rPr>
        <w:t>Lecturer’s Name</w:t>
      </w:r>
    </w:p>
    <w:p w14:paraId="1B11A776" w14:textId="77777777" w:rsidR="0097722B" w:rsidRDefault="0097722B" w:rsidP="0097722B">
      <w:pPr>
        <w:jc w:val="center"/>
        <w:rPr>
          <w:rFonts w:cs="Arial"/>
          <w:sz w:val="28"/>
          <w:szCs w:val="28"/>
        </w:rPr>
      </w:pPr>
      <w:r>
        <w:rPr>
          <w:rFonts w:cs="Arial"/>
          <w:sz w:val="28"/>
          <w:szCs w:val="28"/>
        </w:rPr>
        <w:t>Scott James</w:t>
      </w:r>
    </w:p>
    <w:p w14:paraId="0F5210B8" w14:textId="77777777" w:rsidR="0097722B" w:rsidRDefault="0097722B" w:rsidP="0097722B">
      <w:pPr>
        <w:jc w:val="center"/>
        <w:rPr>
          <w:rFonts w:cs="Times New Roman"/>
          <w:b/>
          <w:sz w:val="16"/>
          <w:szCs w:val="2"/>
        </w:rPr>
      </w:pPr>
    </w:p>
    <w:p w14:paraId="5A5814D2" w14:textId="77777777" w:rsidR="0097722B" w:rsidRDefault="0097722B" w:rsidP="0097722B">
      <w:pPr>
        <w:spacing w:after="120"/>
        <w:jc w:val="center"/>
        <w:rPr>
          <w:rFonts w:cs="Times New Roman"/>
          <w:b/>
          <w:sz w:val="32"/>
          <w:szCs w:val="10"/>
        </w:rPr>
      </w:pPr>
      <w:r>
        <w:rPr>
          <w:rFonts w:cs="Times New Roman"/>
          <w:b/>
          <w:sz w:val="32"/>
          <w:szCs w:val="10"/>
        </w:rPr>
        <w:t>Prepared by</w:t>
      </w:r>
    </w:p>
    <w:p w14:paraId="00239C0D" w14:textId="77777777" w:rsidR="0097722B" w:rsidRDefault="0097722B" w:rsidP="0097722B">
      <w:pPr>
        <w:spacing w:after="120"/>
        <w:jc w:val="center"/>
        <w:rPr>
          <w:rFonts w:cs="Arial"/>
          <w:sz w:val="28"/>
          <w:szCs w:val="24"/>
          <w:lang w:val="en-US"/>
        </w:rPr>
      </w:pPr>
      <w:r>
        <w:rPr>
          <w:rFonts w:cs="Arial"/>
          <w:sz w:val="28"/>
        </w:rPr>
        <w:t>Abdur Rahman</w:t>
      </w:r>
    </w:p>
    <w:p w14:paraId="71265771" w14:textId="77777777" w:rsidR="0097722B" w:rsidRDefault="0097722B" w:rsidP="0097722B">
      <w:pPr>
        <w:spacing w:after="120"/>
        <w:jc w:val="center"/>
        <w:rPr>
          <w:rFonts w:cs="Arial"/>
          <w:sz w:val="28"/>
        </w:rPr>
      </w:pPr>
      <w:r>
        <w:rPr>
          <w:rFonts w:cs="Arial"/>
          <w:sz w:val="28"/>
        </w:rPr>
        <w:t>Student ID: 2212899</w:t>
      </w:r>
    </w:p>
    <w:p w14:paraId="66F57725" w14:textId="77777777" w:rsidR="0097722B" w:rsidRDefault="0097722B" w:rsidP="0097722B">
      <w:pPr>
        <w:jc w:val="center"/>
        <w:rPr>
          <w:b/>
          <w:bCs/>
          <w:noProof w:val="0"/>
          <w:sz w:val="16"/>
          <w:szCs w:val="14"/>
        </w:rPr>
      </w:pPr>
    </w:p>
    <w:p w14:paraId="71E8C0A6" w14:textId="77777777" w:rsidR="0097722B" w:rsidRDefault="0097722B" w:rsidP="0097722B">
      <w:pPr>
        <w:spacing w:after="0"/>
        <w:jc w:val="center"/>
        <w:rPr>
          <w:b/>
          <w:bCs/>
          <w:sz w:val="32"/>
          <w:szCs w:val="30"/>
        </w:rPr>
      </w:pPr>
      <w:r>
        <w:rPr>
          <w:b/>
          <w:bCs/>
          <w:sz w:val="32"/>
          <w:szCs w:val="30"/>
        </w:rPr>
        <w:t>Word Count</w:t>
      </w:r>
    </w:p>
    <w:p w14:paraId="35D778AB" w14:textId="4451A888" w:rsidR="003F7546" w:rsidRPr="003E4B1F" w:rsidRDefault="0097722B" w:rsidP="0097722B">
      <w:pPr>
        <w:jc w:val="center"/>
        <w:rPr>
          <w:rFonts w:cs="Arial"/>
          <w:b/>
          <w:bCs/>
          <w:sz w:val="36"/>
          <w:szCs w:val="32"/>
        </w:rPr>
      </w:pPr>
      <w:r>
        <w:rPr>
          <w:sz w:val="28"/>
          <w:szCs w:val="26"/>
        </w:rPr>
        <w:t>21</w:t>
      </w:r>
      <w:r>
        <w:rPr>
          <w:sz w:val="28"/>
          <w:szCs w:val="26"/>
        </w:rPr>
        <w:t>9</w:t>
      </w:r>
      <w:r>
        <w:rPr>
          <w:sz w:val="28"/>
          <w:szCs w:val="26"/>
        </w:rPr>
        <w:t>1 words</w:t>
      </w:r>
    </w:p>
    <w:p w14:paraId="0D4ED9EB" w14:textId="77777777" w:rsidR="003F7546" w:rsidRPr="003E4B1F" w:rsidRDefault="003F7546" w:rsidP="00892553">
      <w:pPr>
        <w:jc w:val="center"/>
        <w:rPr>
          <w:rFonts w:cs="Arial"/>
          <w:b/>
          <w:bCs/>
          <w:sz w:val="36"/>
          <w:szCs w:val="32"/>
        </w:rPr>
      </w:pPr>
    </w:p>
    <w:p w14:paraId="274C6691" w14:textId="77777777" w:rsidR="003F7546" w:rsidRPr="003E4B1F" w:rsidRDefault="003F7546" w:rsidP="00892553">
      <w:pPr>
        <w:jc w:val="center"/>
        <w:rPr>
          <w:rFonts w:cs="Arial"/>
          <w:b/>
          <w:bCs/>
          <w:sz w:val="36"/>
          <w:szCs w:val="32"/>
        </w:rPr>
      </w:pPr>
    </w:p>
    <w:p w14:paraId="7403DE5B" w14:textId="77777777" w:rsidR="003F7546" w:rsidRPr="003E4B1F" w:rsidRDefault="003F7546" w:rsidP="00892553">
      <w:pPr>
        <w:jc w:val="center"/>
        <w:rPr>
          <w:rFonts w:cs="Arial"/>
          <w:b/>
          <w:bCs/>
          <w:sz w:val="36"/>
          <w:szCs w:val="32"/>
        </w:rPr>
      </w:pPr>
    </w:p>
    <w:p w14:paraId="7B58877F" w14:textId="77777777" w:rsidR="003F7546" w:rsidRPr="003E4B1F" w:rsidRDefault="003F7546" w:rsidP="00892553">
      <w:pPr>
        <w:jc w:val="center"/>
        <w:rPr>
          <w:rFonts w:cs="Arial"/>
          <w:b/>
          <w:bCs/>
          <w:sz w:val="36"/>
          <w:szCs w:val="32"/>
        </w:rPr>
      </w:pPr>
    </w:p>
    <w:p w14:paraId="35FD1717" w14:textId="5966FDE2" w:rsidR="00AE3429" w:rsidRPr="003E4B1F" w:rsidRDefault="00864C36" w:rsidP="00892553">
      <w:pPr>
        <w:pStyle w:val="Heading1"/>
        <w:rPr>
          <w:rFonts w:cs="Arial"/>
        </w:rPr>
      </w:pPr>
      <w:bookmarkStart w:id="0" w:name="_Toc168254279"/>
      <w:r w:rsidRPr="003E4B1F">
        <w:rPr>
          <w:rFonts w:cs="Arial"/>
        </w:rPr>
        <w:lastRenderedPageBreak/>
        <w:t>Executive Summary</w:t>
      </w:r>
      <w:bookmarkEnd w:id="0"/>
    </w:p>
    <w:p w14:paraId="6A99B0F5" w14:textId="693FE964" w:rsidR="00864C36" w:rsidRPr="003E4B1F" w:rsidRDefault="00864C36" w:rsidP="00892553">
      <w:pPr>
        <w:rPr>
          <w:rFonts w:cs="Arial"/>
        </w:rPr>
      </w:pPr>
      <w:r w:rsidRPr="003E4B1F">
        <w:rPr>
          <w:rFonts w:cs="Arial"/>
        </w:rPr>
        <w:t>Being eco-friendly is becoming more and more important in the hotel and hospitality industry to keep up with changing customer tastes and global trends. Green Key certification is a key mark for eco-friendly actions that focus on trash, water, and energy management. Using standards like LEED and EarthCheck to compare Green Key's approach to sustainability makes its point clear. There are pros and cons to sustainable practices. Some pros are that it saves resources, cuts down on pollution, and raises brand value. Cons: It costs a lot to get started and there are a lot of rules to follow. A programme called "Serve 360" at Marriott shows how to fix these issues. Renewable energy, eco-friendly architecture, and sustainable sourcing will be big parts of the industry in the future because of what customers want and because of international rules. Investing in eco-architecture, smart systems, and green energy are some strategic ideas. Another is to promote a culture of sustainability by involving stakeholders and making thorough CSR frameworks. The business will still need to be sustainable if it wants to grow and stay competitive in the long term.</w:t>
      </w:r>
    </w:p>
    <w:p w14:paraId="1CD4B536" w14:textId="77777777" w:rsidR="001212F5" w:rsidRPr="003E4B1F" w:rsidRDefault="001212F5" w:rsidP="00892553">
      <w:pPr>
        <w:jc w:val="left"/>
        <w:rPr>
          <w:rFonts w:cs="Arial"/>
          <w:b/>
          <w:bCs/>
        </w:rPr>
      </w:pPr>
    </w:p>
    <w:p w14:paraId="25AD5061" w14:textId="04F15FE6" w:rsidR="001212F5" w:rsidRPr="003E4B1F" w:rsidRDefault="00515400" w:rsidP="00892553">
      <w:pPr>
        <w:jc w:val="left"/>
        <w:rPr>
          <w:rFonts w:cs="Arial"/>
          <w:b/>
          <w:bCs/>
        </w:rPr>
      </w:pPr>
      <w:r w:rsidRPr="003E4B1F">
        <w:rPr>
          <w:rFonts w:cs="Arial"/>
          <w:b/>
          <w:bCs/>
        </w:rPr>
        <w:br w:type="page"/>
      </w:r>
    </w:p>
    <w:sdt>
      <w:sdtPr>
        <w:rPr>
          <w:rFonts w:ascii="Arial" w:eastAsiaTheme="minorHAnsi" w:hAnsi="Arial" w:cs="Arial"/>
          <w:color w:val="auto"/>
          <w:kern w:val="2"/>
          <w:sz w:val="24"/>
          <w:szCs w:val="22"/>
          <w14:ligatures w14:val="standardContextual"/>
        </w:rPr>
        <w:id w:val="31312829"/>
        <w:docPartObj>
          <w:docPartGallery w:val="Table of Contents"/>
          <w:docPartUnique/>
        </w:docPartObj>
      </w:sdtPr>
      <w:sdtEndPr>
        <w:rPr>
          <w:b/>
          <w:bCs/>
        </w:rPr>
      </w:sdtEndPr>
      <w:sdtContent>
        <w:p w14:paraId="6C532874" w14:textId="79991606" w:rsidR="001212F5" w:rsidRPr="003E4B1F" w:rsidRDefault="001212F5" w:rsidP="00892553">
          <w:pPr>
            <w:pStyle w:val="TOCHeading"/>
            <w:spacing w:line="360" w:lineRule="auto"/>
            <w:jc w:val="center"/>
            <w:rPr>
              <w:rFonts w:ascii="Arial" w:hAnsi="Arial" w:cs="Arial"/>
              <w:b/>
              <w:bCs/>
            </w:rPr>
          </w:pPr>
          <w:r w:rsidRPr="003E4B1F">
            <w:rPr>
              <w:rFonts w:ascii="Arial" w:hAnsi="Arial" w:cs="Arial"/>
              <w:b/>
              <w:bCs/>
            </w:rPr>
            <w:t>Table of Contents</w:t>
          </w:r>
        </w:p>
        <w:p w14:paraId="6CD0D894" w14:textId="46EBB084" w:rsidR="00F52577" w:rsidRPr="003E4B1F" w:rsidRDefault="001212F5" w:rsidP="00892553">
          <w:pPr>
            <w:pStyle w:val="TOC1"/>
            <w:tabs>
              <w:tab w:val="right" w:leader="dot" w:pos="9016"/>
            </w:tabs>
            <w:rPr>
              <w:rFonts w:eastAsiaTheme="minorEastAsia" w:cs="Arial"/>
              <w:szCs w:val="24"/>
              <w:lang w:eastAsia="en-GB"/>
            </w:rPr>
          </w:pPr>
          <w:r w:rsidRPr="003E4B1F">
            <w:rPr>
              <w:rFonts w:cs="Arial"/>
            </w:rPr>
            <w:fldChar w:fldCharType="begin"/>
          </w:r>
          <w:r w:rsidRPr="003E4B1F">
            <w:rPr>
              <w:rFonts w:cs="Arial"/>
            </w:rPr>
            <w:instrText xml:space="preserve"> TOC \o "1-3" \h \z \u </w:instrText>
          </w:r>
          <w:r w:rsidRPr="003E4B1F">
            <w:rPr>
              <w:rFonts w:cs="Arial"/>
            </w:rPr>
            <w:fldChar w:fldCharType="separate"/>
          </w:r>
          <w:hyperlink w:anchor="_Toc168254279" w:history="1">
            <w:r w:rsidR="00F52577" w:rsidRPr="003E4B1F">
              <w:rPr>
                <w:rStyle w:val="Hyperlink"/>
                <w:rFonts w:cs="Arial"/>
              </w:rPr>
              <w:t>Executive Summary</w:t>
            </w:r>
            <w:r w:rsidR="00F52577" w:rsidRPr="003E4B1F">
              <w:rPr>
                <w:rFonts w:cs="Arial"/>
                <w:webHidden/>
              </w:rPr>
              <w:tab/>
            </w:r>
            <w:r w:rsidR="00F52577" w:rsidRPr="003E4B1F">
              <w:rPr>
                <w:rFonts w:cs="Arial"/>
                <w:webHidden/>
              </w:rPr>
              <w:fldChar w:fldCharType="begin"/>
            </w:r>
            <w:r w:rsidR="00F52577" w:rsidRPr="003E4B1F">
              <w:rPr>
                <w:rFonts w:cs="Arial"/>
                <w:webHidden/>
              </w:rPr>
              <w:instrText xml:space="preserve"> PAGEREF _Toc168254279 \h </w:instrText>
            </w:r>
            <w:r w:rsidR="00F52577" w:rsidRPr="003E4B1F">
              <w:rPr>
                <w:rFonts w:cs="Arial"/>
                <w:webHidden/>
              </w:rPr>
            </w:r>
            <w:r w:rsidR="00F52577" w:rsidRPr="003E4B1F">
              <w:rPr>
                <w:rFonts w:cs="Arial"/>
                <w:webHidden/>
              </w:rPr>
              <w:fldChar w:fldCharType="separate"/>
            </w:r>
            <w:r w:rsidR="00F52577" w:rsidRPr="003E4B1F">
              <w:rPr>
                <w:rFonts w:cs="Arial"/>
                <w:webHidden/>
              </w:rPr>
              <w:t>2</w:t>
            </w:r>
            <w:r w:rsidR="00F52577" w:rsidRPr="003E4B1F">
              <w:rPr>
                <w:rFonts w:cs="Arial"/>
                <w:webHidden/>
              </w:rPr>
              <w:fldChar w:fldCharType="end"/>
            </w:r>
          </w:hyperlink>
        </w:p>
        <w:p w14:paraId="231187C6" w14:textId="45EE9A4C" w:rsidR="00F52577" w:rsidRPr="003E4B1F" w:rsidRDefault="00000000" w:rsidP="00892553">
          <w:pPr>
            <w:pStyle w:val="TOC1"/>
            <w:tabs>
              <w:tab w:val="right" w:leader="dot" w:pos="9016"/>
            </w:tabs>
            <w:rPr>
              <w:rFonts w:eastAsiaTheme="minorEastAsia" w:cs="Arial"/>
              <w:szCs w:val="24"/>
              <w:lang w:eastAsia="en-GB"/>
            </w:rPr>
          </w:pPr>
          <w:hyperlink w:anchor="_Toc168254280" w:history="1">
            <w:r w:rsidR="00F52577" w:rsidRPr="003E4B1F">
              <w:rPr>
                <w:rStyle w:val="Hyperlink"/>
                <w:rFonts w:cs="Arial"/>
              </w:rPr>
              <w:t>1. Introduction</w:t>
            </w:r>
            <w:r w:rsidR="00F52577" w:rsidRPr="003E4B1F">
              <w:rPr>
                <w:rFonts w:cs="Arial"/>
                <w:webHidden/>
              </w:rPr>
              <w:tab/>
            </w:r>
            <w:r w:rsidR="00F52577" w:rsidRPr="003E4B1F">
              <w:rPr>
                <w:rFonts w:cs="Arial"/>
                <w:webHidden/>
              </w:rPr>
              <w:fldChar w:fldCharType="begin"/>
            </w:r>
            <w:r w:rsidR="00F52577" w:rsidRPr="003E4B1F">
              <w:rPr>
                <w:rFonts w:cs="Arial"/>
                <w:webHidden/>
              </w:rPr>
              <w:instrText xml:space="preserve"> PAGEREF _Toc168254280 \h </w:instrText>
            </w:r>
            <w:r w:rsidR="00F52577" w:rsidRPr="003E4B1F">
              <w:rPr>
                <w:rFonts w:cs="Arial"/>
                <w:webHidden/>
              </w:rPr>
            </w:r>
            <w:r w:rsidR="00F52577" w:rsidRPr="003E4B1F">
              <w:rPr>
                <w:rFonts w:cs="Arial"/>
                <w:webHidden/>
              </w:rPr>
              <w:fldChar w:fldCharType="separate"/>
            </w:r>
            <w:r w:rsidR="00F52577" w:rsidRPr="003E4B1F">
              <w:rPr>
                <w:rFonts w:cs="Arial"/>
                <w:webHidden/>
              </w:rPr>
              <w:t>4</w:t>
            </w:r>
            <w:r w:rsidR="00F52577" w:rsidRPr="003E4B1F">
              <w:rPr>
                <w:rFonts w:cs="Arial"/>
                <w:webHidden/>
              </w:rPr>
              <w:fldChar w:fldCharType="end"/>
            </w:r>
          </w:hyperlink>
        </w:p>
        <w:p w14:paraId="729280E2" w14:textId="40BD911C" w:rsidR="00F52577" w:rsidRPr="003E4B1F" w:rsidRDefault="00000000" w:rsidP="00892553">
          <w:pPr>
            <w:pStyle w:val="TOC1"/>
            <w:tabs>
              <w:tab w:val="right" w:leader="dot" w:pos="9016"/>
            </w:tabs>
            <w:rPr>
              <w:rFonts w:eastAsiaTheme="minorEastAsia" w:cs="Arial"/>
              <w:szCs w:val="24"/>
              <w:lang w:eastAsia="en-GB"/>
            </w:rPr>
          </w:pPr>
          <w:hyperlink w:anchor="_Toc168254281" w:history="1">
            <w:r w:rsidR="00F52577" w:rsidRPr="003E4B1F">
              <w:rPr>
                <w:rStyle w:val="Hyperlink"/>
                <w:rFonts w:cs="Arial"/>
              </w:rPr>
              <w:t>2. Main Body</w:t>
            </w:r>
            <w:r w:rsidR="00F52577" w:rsidRPr="003E4B1F">
              <w:rPr>
                <w:rFonts w:cs="Arial"/>
                <w:webHidden/>
              </w:rPr>
              <w:tab/>
            </w:r>
            <w:r w:rsidR="00F52577" w:rsidRPr="003E4B1F">
              <w:rPr>
                <w:rFonts w:cs="Arial"/>
                <w:webHidden/>
              </w:rPr>
              <w:fldChar w:fldCharType="begin"/>
            </w:r>
            <w:r w:rsidR="00F52577" w:rsidRPr="003E4B1F">
              <w:rPr>
                <w:rFonts w:cs="Arial"/>
                <w:webHidden/>
              </w:rPr>
              <w:instrText xml:space="preserve"> PAGEREF _Toc168254281 \h </w:instrText>
            </w:r>
            <w:r w:rsidR="00F52577" w:rsidRPr="003E4B1F">
              <w:rPr>
                <w:rFonts w:cs="Arial"/>
                <w:webHidden/>
              </w:rPr>
            </w:r>
            <w:r w:rsidR="00F52577" w:rsidRPr="003E4B1F">
              <w:rPr>
                <w:rFonts w:cs="Arial"/>
                <w:webHidden/>
              </w:rPr>
              <w:fldChar w:fldCharType="separate"/>
            </w:r>
            <w:r w:rsidR="00F52577" w:rsidRPr="003E4B1F">
              <w:rPr>
                <w:rFonts w:cs="Arial"/>
                <w:webHidden/>
              </w:rPr>
              <w:t>4</w:t>
            </w:r>
            <w:r w:rsidR="00F52577" w:rsidRPr="003E4B1F">
              <w:rPr>
                <w:rFonts w:cs="Arial"/>
                <w:webHidden/>
              </w:rPr>
              <w:fldChar w:fldCharType="end"/>
            </w:r>
          </w:hyperlink>
        </w:p>
        <w:p w14:paraId="796742A7" w14:textId="05491D51" w:rsidR="00F52577" w:rsidRPr="003E4B1F" w:rsidRDefault="00000000" w:rsidP="00892553">
          <w:pPr>
            <w:pStyle w:val="TOC1"/>
            <w:tabs>
              <w:tab w:val="right" w:leader="dot" w:pos="9016"/>
            </w:tabs>
            <w:rPr>
              <w:rFonts w:eastAsiaTheme="minorEastAsia" w:cs="Arial"/>
              <w:szCs w:val="24"/>
              <w:lang w:eastAsia="en-GB"/>
            </w:rPr>
          </w:pPr>
          <w:hyperlink w:anchor="_Toc168254282" w:history="1">
            <w:r w:rsidR="00F52577" w:rsidRPr="003E4B1F">
              <w:rPr>
                <w:rStyle w:val="Hyperlink"/>
                <w:rFonts w:cs="Arial"/>
              </w:rPr>
              <w:t>2.1 Sustainable Accreditation Standards and Implementation Requirements</w:t>
            </w:r>
            <w:r w:rsidR="00F52577" w:rsidRPr="003E4B1F">
              <w:rPr>
                <w:rFonts w:cs="Arial"/>
                <w:webHidden/>
              </w:rPr>
              <w:tab/>
            </w:r>
            <w:r w:rsidR="00F52577" w:rsidRPr="003E4B1F">
              <w:rPr>
                <w:rFonts w:cs="Arial"/>
                <w:webHidden/>
              </w:rPr>
              <w:fldChar w:fldCharType="begin"/>
            </w:r>
            <w:r w:rsidR="00F52577" w:rsidRPr="003E4B1F">
              <w:rPr>
                <w:rFonts w:cs="Arial"/>
                <w:webHidden/>
              </w:rPr>
              <w:instrText xml:space="preserve"> PAGEREF _Toc168254282 \h </w:instrText>
            </w:r>
            <w:r w:rsidR="00F52577" w:rsidRPr="003E4B1F">
              <w:rPr>
                <w:rFonts w:cs="Arial"/>
                <w:webHidden/>
              </w:rPr>
            </w:r>
            <w:r w:rsidR="00F52577" w:rsidRPr="003E4B1F">
              <w:rPr>
                <w:rFonts w:cs="Arial"/>
                <w:webHidden/>
              </w:rPr>
              <w:fldChar w:fldCharType="separate"/>
            </w:r>
            <w:r w:rsidR="00F52577" w:rsidRPr="003E4B1F">
              <w:rPr>
                <w:rFonts w:cs="Arial"/>
                <w:webHidden/>
              </w:rPr>
              <w:t>4</w:t>
            </w:r>
            <w:r w:rsidR="00F52577" w:rsidRPr="003E4B1F">
              <w:rPr>
                <w:rFonts w:cs="Arial"/>
                <w:webHidden/>
              </w:rPr>
              <w:fldChar w:fldCharType="end"/>
            </w:r>
          </w:hyperlink>
        </w:p>
        <w:p w14:paraId="0974F7E2" w14:textId="3B6AC15E" w:rsidR="00F52577" w:rsidRPr="003E4B1F" w:rsidRDefault="00000000" w:rsidP="00892553">
          <w:pPr>
            <w:pStyle w:val="TOC1"/>
            <w:tabs>
              <w:tab w:val="right" w:leader="dot" w:pos="9016"/>
            </w:tabs>
            <w:rPr>
              <w:rFonts w:eastAsiaTheme="minorEastAsia" w:cs="Arial"/>
              <w:szCs w:val="24"/>
              <w:lang w:eastAsia="en-GB"/>
            </w:rPr>
          </w:pPr>
          <w:hyperlink w:anchor="_Toc168254283" w:history="1">
            <w:r w:rsidR="00F52577" w:rsidRPr="003E4B1F">
              <w:rPr>
                <w:rStyle w:val="Hyperlink"/>
                <w:rFonts w:cs="Arial"/>
              </w:rPr>
              <w:t>2.2 Benefits and Challenges of Integrating Sustainability</w:t>
            </w:r>
            <w:r w:rsidR="00F52577" w:rsidRPr="003E4B1F">
              <w:rPr>
                <w:rFonts w:cs="Arial"/>
                <w:webHidden/>
              </w:rPr>
              <w:tab/>
            </w:r>
            <w:r w:rsidR="00F52577" w:rsidRPr="003E4B1F">
              <w:rPr>
                <w:rFonts w:cs="Arial"/>
                <w:webHidden/>
              </w:rPr>
              <w:fldChar w:fldCharType="begin"/>
            </w:r>
            <w:r w:rsidR="00F52577" w:rsidRPr="003E4B1F">
              <w:rPr>
                <w:rFonts w:cs="Arial"/>
                <w:webHidden/>
              </w:rPr>
              <w:instrText xml:space="preserve"> PAGEREF _Toc168254283 \h </w:instrText>
            </w:r>
            <w:r w:rsidR="00F52577" w:rsidRPr="003E4B1F">
              <w:rPr>
                <w:rFonts w:cs="Arial"/>
                <w:webHidden/>
              </w:rPr>
            </w:r>
            <w:r w:rsidR="00F52577" w:rsidRPr="003E4B1F">
              <w:rPr>
                <w:rFonts w:cs="Arial"/>
                <w:webHidden/>
              </w:rPr>
              <w:fldChar w:fldCharType="separate"/>
            </w:r>
            <w:r w:rsidR="00F52577" w:rsidRPr="003E4B1F">
              <w:rPr>
                <w:rFonts w:cs="Arial"/>
                <w:webHidden/>
              </w:rPr>
              <w:t>6</w:t>
            </w:r>
            <w:r w:rsidR="00F52577" w:rsidRPr="003E4B1F">
              <w:rPr>
                <w:rFonts w:cs="Arial"/>
                <w:webHidden/>
              </w:rPr>
              <w:fldChar w:fldCharType="end"/>
            </w:r>
          </w:hyperlink>
        </w:p>
        <w:p w14:paraId="67564C47" w14:textId="75F30516" w:rsidR="00F52577" w:rsidRPr="003E4B1F" w:rsidRDefault="00000000" w:rsidP="00892553">
          <w:pPr>
            <w:pStyle w:val="TOC1"/>
            <w:tabs>
              <w:tab w:val="right" w:leader="dot" w:pos="9016"/>
            </w:tabs>
            <w:rPr>
              <w:rFonts w:eastAsiaTheme="minorEastAsia" w:cs="Arial"/>
              <w:szCs w:val="24"/>
              <w:lang w:eastAsia="en-GB"/>
            </w:rPr>
          </w:pPr>
          <w:hyperlink w:anchor="_Toc168254284" w:history="1">
            <w:r w:rsidR="00F52577" w:rsidRPr="003E4B1F">
              <w:rPr>
                <w:rStyle w:val="Hyperlink"/>
                <w:rFonts w:cs="Arial"/>
              </w:rPr>
              <w:t>2.3 Corporate Social Responsibility and the Green Key Initiative</w:t>
            </w:r>
            <w:r w:rsidR="00F52577" w:rsidRPr="003E4B1F">
              <w:rPr>
                <w:rFonts w:cs="Arial"/>
                <w:webHidden/>
              </w:rPr>
              <w:tab/>
            </w:r>
            <w:r w:rsidR="00F52577" w:rsidRPr="003E4B1F">
              <w:rPr>
                <w:rFonts w:cs="Arial"/>
                <w:webHidden/>
              </w:rPr>
              <w:fldChar w:fldCharType="begin"/>
            </w:r>
            <w:r w:rsidR="00F52577" w:rsidRPr="003E4B1F">
              <w:rPr>
                <w:rFonts w:cs="Arial"/>
                <w:webHidden/>
              </w:rPr>
              <w:instrText xml:space="preserve"> PAGEREF _Toc168254284 \h </w:instrText>
            </w:r>
            <w:r w:rsidR="00F52577" w:rsidRPr="003E4B1F">
              <w:rPr>
                <w:rFonts w:cs="Arial"/>
                <w:webHidden/>
              </w:rPr>
            </w:r>
            <w:r w:rsidR="00F52577" w:rsidRPr="003E4B1F">
              <w:rPr>
                <w:rFonts w:cs="Arial"/>
                <w:webHidden/>
              </w:rPr>
              <w:fldChar w:fldCharType="separate"/>
            </w:r>
            <w:r w:rsidR="00F52577" w:rsidRPr="003E4B1F">
              <w:rPr>
                <w:rFonts w:cs="Arial"/>
                <w:webHidden/>
              </w:rPr>
              <w:t>7</w:t>
            </w:r>
            <w:r w:rsidR="00F52577" w:rsidRPr="003E4B1F">
              <w:rPr>
                <w:rFonts w:cs="Arial"/>
                <w:webHidden/>
              </w:rPr>
              <w:fldChar w:fldCharType="end"/>
            </w:r>
          </w:hyperlink>
        </w:p>
        <w:p w14:paraId="74B91BF4" w14:textId="2EAE24D6" w:rsidR="00F52577" w:rsidRPr="003E4B1F" w:rsidRDefault="00000000" w:rsidP="00892553">
          <w:pPr>
            <w:pStyle w:val="TOC1"/>
            <w:tabs>
              <w:tab w:val="right" w:leader="dot" w:pos="9016"/>
            </w:tabs>
            <w:rPr>
              <w:rFonts w:eastAsiaTheme="minorEastAsia" w:cs="Arial"/>
              <w:szCs w:val="24"/>
              <w:lang w:eastAsia="en-GB"/>
            </w:rPr>
          </w:pPr>
          <w:hyperlink w:anchor="_Toc168254285" w:history="1">
            <w:r w:rsidR="00F52577" w:rsidRPr="003E4B1F">
              <w:rPr>
                <w:rStyle w:val="Hyperlink"/>
                <w:rFonts w:cs="Arial"/>
              </w:rPr>
              <w:t>2.4 Future of Sustainable Practices in the Hotel and Hospitality Industry</w:t>
            </w:r>
            <w:r w:rsidR="00F52577" w:rsidRPr="003E4B1F">
              <w:rPr>
                <w:rFonts w:cs="Arial"/>
                <w:webHidden/>
              </w:rPr>
              <w:tab/>
            </w:r>
            <w:r w:rsidR="00F52577" w:rsidRPr="003E4B1F">
              <w:rPr>
                <w:rFonts w:cs="Arial"/>
                <w:webHidden/>
              </w:rPr>
              <w:fldChar w:fldCharType="begin"/>
            </w:r>
            <w:r w:rsidR="00F52577" w:rsidRPr="003E4B1F">
              <w:rPr>
                <w:rFonts w:cs="Arial"/>
                <w:webHidden/>
              </w:rPr>
              <w:instrText xml:space="preserve"> PAGEREF _Toc168254285 \h </w:instrText>
            </w:r>
            <w:r w:rsidR="00F52577" w:rsidRPr="003E4B1F">
              <w:rPr>
                <w:rFonts w:cs="Arial"/>
                <w:webHidden/>
              </w:rPr>
            </w:r>
            <w:r w:rsidR="00F52577" w:rsidRPr="003E4B1F">
              <w:rPr>
                <w:rFonts w:cs="Arial"/>
                <w:webHidden/>
              </w:rPr>
              <w:fldChar w:fldCharType="separate"/>
            </w:r>
            <w:r w:rsidR="00F52577" w:rsidRPr="003E4B1F">
              <w:rPr>
                <w:rFonts w:cs="Arial"/>
                <w:webHidden/>
              </w:rPr>
              <w:t>9</w:t>
            </w:r>
            <w:r w:rsidR="00F52577" w:rsidRPr="003E4B1F">
              <w:rPr>
                <w:rFonts w:cs="Arial"/>
                <w:webHidden/>
              </w:rPr>
              <w:fldChar w:fldCharType="end"/>
            </w:r>
          </w:hyperlink>
        </w:p>
        <w:p w14:paraId="7C724983" w14:textId="1D991E09" w:rsidR="00F52577" w:rsidRPr="003E4B1F" w:rsidRDefault="00000000" w:rsidP="00892553">
          <w:pPr>
            <w:pStyle w:val="TOC1"/>
            <w:tabs>
              <w:tab w:val="right" w:leader="dot" w:pos="9016"/>
            </w:tabs>
            <w:rPr>
              <w:rFonts w:eastAsiaTheme="minorEastAsia" w:cs="Arial"/>
              <w:szCs w:val="24"/>
              <w:lang w:eastAsia="en-GB"/>
            </w:rPr>
          </w:pPr>
          <w:hyperlink w:anchor="_Toc168254286" w:history="1">
            <w:r w:rsidR="00F52577" w:rsidRPr="003E4B1F">
              <w:rPr>
                <w:rStyle w:val="Hyperlink"/>
                <w:rFonts w:cs="Arial"/>
              </w:rPr>
              <w:t>3. Conclusion</w:t>
            </w:r>
            <w:r w:rsidR="00F52577" w:rsidRPr="003E4B1F">
              <w:rPr>
                <w:rFonts w:cs="Arial"/>
                <w:webHidden/>
              </w:rPr>
              <w:tab/>
            </w:r>
            <w:r w:rsidR="00F52577" w:rsidRPr="003E4B1F">
              <w:rPr>
                <w:rFonts w:cs="Arial"/>
                <w:webHidden/>
              </w:rPr>
              <w:fldChar w:fldCharType="begin"/>
            </w:r>
            <w:r w:rsidR="00F52577" w:rsidRPr="003E4B1F">
              <w:rPr>
                <w:rFonts w:cs="Arial"/>
                <w:webHidden/>
              </w:rPr>
              <w:instrText xml:space="preserve"> PAGEREF _Toc168254286 \h </w:instrText>
            </w:r>
            <w:r w:rsidR="00F52577" w:rsidRPr="003E4B1F">
              <w:rPr>
                <w:rFonts w:cs="Arial"/>
                <w:webHidden/>
              </w:rPr>
            </w:r>
            <w:r w:rsidR="00F52577" w:rsidRPr="003E4B1F">
              <w:rPr>
                <w:rFonts w:cs="Arial"/>
                <w:webHidden/>
              </w:rPr>
              <w:fldChar w:fldCharType="separate"/>
            </w:r>
            <w:r w:rsidR="00F52577" w:rsidRPr="003E4B1F">
              <w:rPr>
                <w:rFonts w:cs="Arial"/>
                <w:webHidden/>
              </w:rPr>
              <w:t>11</w:t>
            </w:r>
            <w:r w:rsidR="00F52577" w:rsidRPr="003E4B1F">
              <w:rPr>
                <w:rFonts w:cs="Arial"/>
                <w:webHidden/>
              </w:rPr>
              <w:fldChar w:fldCharType="end"/>
            </w:r>
          </w:hyperlink>
        </w:p>
        <w:p w14:paraId="477B19C1" w14:textId="761967BE" w:rsidR="00F52577" w:rsidRPr="003E4B1F" w:rsidRDefault="00000000" w:rsidP="00892553">
          <w:pPr>
            <w:pStyle w:val="TOC1"/>
            <w:tabs>
              <w:tab w:val="right" w:leader="dot" w:pos="9016"/>
            </w:tabs>
            <w:rPr>
              <w:rFonts w:eastAsiaTheme="minorEastAsia" w:cs="Arial"/>
              <w:szCs w:val="24"/>
              <w:lang w:eastAsia="en-GB"/>
            </w:rPr>
          </w:pPr>
          <w:hyperlink w:anchor="_Toc168254287" w:history="1">
            <w:r w:rsidR="00F52577" w:rsidRPr="003E4B1F">
              <w:rPr>
                <w:rStyle w:val="Hyperlink"/>
                <w:rFonts w:cs="Arial"/>
              </w:rPr>
              <w:t>4. Recommendations</w:t>
            </w:r>
            <w:r w:rsidR="00F52577" w:rsidRPr="003E4B1F">
              <w:rPr>
                <w:rFonts w:cs="Arial"/>
                <w:webHidden/>
              </w:rPr>
              <w:tab/>
            </w:r>
            <w:r w:rsidR="00F52577" w:rsidRPr="003E4B1F">
              <w:rPr>
                <w:rFonts w:cs="Arial"/>
                <w:webHidden/>
              </w:rPr>
              <w:fldChar w:fldCharType="begin"/>
            </w:r>
            <w:r w:rsidR="00F52577" w:rsidRPr="003E4B1F">
              <w:rPr>
                <w:rFonts w:cs="Arial"/>
                <w:webHidden/>
              </w:rPr>
              <w:instrText xml:space="preserve"> PAGEREF _Toc168254287 \h </w:instrText>
            </w:r>
            <w:r w:rsidR="00F52577" w:rsidRPr="003E4B1F">
              <w:rPr>
                <w:rFonts w:cs="Arial"/>
                <w:webHidden/>
              </w:rPr>
            </w:r>
            <w:r w:rsidR="00F52577" w:rsidRPr="003E4B1F">
              <w:rPr>
                <w:rFonts w:cs="Arial"/>
                <w:webHidden/>
              </w:rPr>
              <w:fldChar w:fldCharType="separate"/>
            </w:r>
            <w:r w:rsidR="00F52577" w:rsidRPr="003E4B1F">
              <w:rPr>
                <w:rFonts w:cs="Arial"/>
                <w:webHidden/>
              </w:rPr>
              <w:t>11</w:t>
            </w:r>
            <w:r w:rsidR="00F52577" w:rsidRPr="003E4B1F">
              <w:rPr>
                <w:rFonts w:cs="Arial"/>
                <w:webHidden/>
              </w:rPr>
              <w:fldChar w:fldCharType="end"/>
            </w:r>
          </w:hyperlink>
        </w:p>
        <w:p w14:paraId="5897E1FF" w14:textId="27AD72AE" w:rsidR="00F52577" w:rsidRPr="003E4B1F" w:rsidRDefault="00000000" w:rsidP="00892553">
          <w:pPr>
            <w:pStyle w:val="TOC1"/>
            <w:tabs>
              <w:tab w:val="right" w:leader="dot" w:pos="9016"/>
            </w:tabs>
            <w:rPr>
              <w:rFonts w:eastAsiaTheme="minorEastAsia" w:cs="Arial"/>
              <w:szCs w:val="24"/>
              <w:lang w:eastAsia="en-GB"/>
            </w:rPr>
          </w:pPr>
          <w:hyperlink w:anchor="_Toc168254288" w:history="1">
            <w:r w:rsidR="00F52577" w:rsidRPr="003E4B1F">
              <w:rPr>
                <w:rStyle w:val="Hyperlink"/>
                <w:rFonts w:cs="Arial"/>
              </w:rPr>
              <w:t>Reference List</w:t>
            </w:r>
            <w:r w:rsidR="00F52577" w:rsidRPr="003E4B1F">
              <w:rPr>
                <w:rFonts w:cs="Arial"/>
                <w:webHidden/>
              </w:rPr>
              <w:tab/>
            </w:r>
            <w:r w:rsidR="00F52577" w:rsidRPr="003E4B1F">
              <w:rPr>
                <w:rFonts w:cs="Arial"/>
                <w:webHidden/>
              </w:rPr>
              <w:fldChar w:fldCharType="begin"/>
            </w:r>
            <w:r w:rsidR="00F52577" w:rsidRPr="003E4B1F">
              <w:rPr>
                <w:rFonts w:cs="Arial"/>
                <w:webHidden/>
              </w:rPr>
              <w:instrText xml:space="preserve"> PAGEREF _Toc168254288 \h </w:instrText>
            </w:r>
            <w:r w:rsidR="00F52577" w:rsidRPr="003E4B1F">
              <w:rPr>
                <w:rFonts w:cs="Arial"/>
                <w:webHidden/>
              </w:rPr>
            </w:r>
            <w:r w:rsidR="00F52577" w:rsidRPr="003E4B1F">
              <w:rPr>
                <w:rFonts w:cs="Arial"/>
                <w:webHidden/>
              </w:rPr>
              <w:fldChar w:fldCharType="separate"/>
            </w:r>
            <w:r w:rsidR="00F52577" w:rsidRPr="003E4B1F">
              <w:rPr>
                <w:rFonts w:cs="Arial"/>
                <w:webHidden/>
              </w:rPr>
              <w:t>12</w:t>
            </w:r>
            <w:r w:rsidR="00F52577" w:rsidRPr="003E4B1F">
              <w:rPr>
                <w:rFonts w:cs="Arial"/>
                <w:webHidden/>
              </w:rPr>
              <w:fldChar w:fldCharType="end"/>
            </w:r>
          </w:hyperlink>
        </w:p>
        <w:p w14:paraId="4D43E147" w14:textId="55C5C828" w:rsidR="001212F5" w:rsidRPr="003E4B1F" w:rsidRDefault="001212F5" w:rsidP="00892553">
          <w:pPr>
            <w:rPr>
              <w:rFonts w:cs="Arial"/>
            </w:rPr>
          </w:pPr>
          <w:r w:rsidRPr="003E4B1F">
            <w:rPr>
              <w:rFonts w:cs="Arial"/>
              <w:b/>
              <w:bCs/>
            </w:rPr>
            <w:fldChar w:fldCharType="end"/>
          </w:r>
        </w:p>
      </w:sdtContent>
    </w:sdt>
    <w:p w14:paraId="5569B1BA" w14:textId="77777777" w:rsidR="001212F5" w:rsidRPr="003E4B1F" w:rsidRDefault="001212F5" w:rsidP="00892553">
      <w:pPr>
        <w:jc w:val="left"/>
        <w:rPr>
          <w:rFonts w:cs="Arial"/>
          <w:b/>
          <w:bCs/>
        </w:rPr>
      </w:pPr>
    </w:p>
    <w:p w14:paraId="148BE6C0" w14:textId="561FFD2F" w:rsidR="00AE3429" w:rsidRPr="003E4B1F" w:rsidRDefault="001212F5" w:rsidP="00892553">
      <w:pPr>
        <w:jc w:val="left"/>
        <w:rPr>
          <w:rFonts w:cs="Arial"/>
          <w:b/>
          <w:bCs/>
        </w:rPr>
      </w:pPr>
      <w:r w:rsidRPr="003E4B1F">
        <w:rPr>
          <w:rFonts w:cs="Arial"/>
          <w:b/>
          <w:bCs/>
        </w:rPr>
        <w:br w:type="page"/>
      </w:r>
    </w:p>
    <w:p w14:paraId="53327149" w14:textId="6D105749" w:rsidR="004205D7" w:rsidRPr="003E4B1F" w:rsidRDefault="00864C36" w:rsidP="00892553">
      <w:pPr>
        <w:pStyle w:val="Heading1"/>
        <w:rPr>
          <w:rFonts w:cs="Arial"/>
        </w:rPr>
      </w:pPr>
      <w:bookmarkStart w:id="1" w:name="_Toc168254280"/>
      <w:r w:rsidRPr="003E4B1F">
        <w:rPr>
          <w:rFonts w:cs="Arial"/>
        </w:rPr>
        <w:lastRenderedPageBreak/>
        <w:t xml:space="preserve">1. </w:t>
      </w:r>
      <w:r w:rsidR="004205D7" w:rsidRPr="003E4B1F">
        <w:rPr>
          <w:rFonts w:cs="Arial"/>
        </w:rPr>
        <w:t>Introduction</w:t>
      </w:r>
      <w:bookmarkEnd w:id="1"/>
    </w:p>
    <w:p w14:paraId="42EA37C2" w14:textId="2B444FCB" w:rsidR="002E567A" w:rsidRPr="003E4B1F" w:rsidRDefault="00866FE1" w:rsidP="00892553">
      <w:pPr>
        <w:rPr>
          <w:rFonts w:cs="Arial"/>
        </w:rPr>
      </w:pPr>
      <w:r w:rsidRPr="003E4B1F">
        <w:rPr>
          <w:rFonts w:cs="Arial"/>
        </w:rPr>
        <w:t>The hotel and hospitality industry has recently increased its focus on going green, with consumer expectations changing and global trends in sustainability putting eco-friendly practices in the limelight, and thus most hotels are embracing environmentally responsible standards in their functionality</w:t>
      </w:r>
      <w:r w:rsidR="001212F5" w:rsidRPr="003E4B1F">
        <w:rPr>
          <w:rFonts w:cs="Arial"/>
        </w:rPr>
        <w:t xml:space="preserve"> </w:t>
      </w:r>
      <w:r w:rsidR="001212F5" w:rsidRPr="003E4B1F">
        <w:rPr>
          <w:rFonts w:cs="Arial"/>
          <w:kern w:val="0"/>
          <w14:ligatures w14:val="none"/>
        </w:rPr>
        <w:t>(University of Central Florida, 2020)</w:t>
      </w:r>
      <w:r w:rsidRPr="003E4B1F">
        <w:rPr>
          <w:rFonts w:cs="Arial"/>
        </w:rPr>
        <w:t>. Certifications have become important benchmarks over time by which hotels show their commitment to sustainability. Green Key certification also comprises very stringent criteria related to energy, waste, and water consumption</w:t>
      </w:r>
      <w:r w:rsidR="00D76374" w:rsidRPr="003E4B1F">
        <w:rPr>
          <w:rFonts w:cs="Arial"/>
        </w:rPr>
        <w:t xml:space="preserve"> (Jauhari, 2021)</w:t>
      </w:r>
      <w:r w:rsidRPr="003E4B1F">
        <w:rPr>
          <w:rFonts w:cs="Arial"/>
        </w:rPr>
        <w:t>. The certification is still vital proof that the hotel does everything within its power to minimize any negative impact on the environment.</w:t>
      </w:r>
      <w:r w:rsidR="008140E3" w:rsidRPr="003E4B1F">
        <w:rPr>
          <w:rFonts w:cs="Arial"/>
        </w:rPr>
        <w:t xml:space="preserve"> </w:t>
      </w:r>
      <w:r w:rsidRPr="003E4B1F">
        <w:rPr>
          <w:rFonts w:cs="Arial"/>
          <w:shd w:val="clear" w:color="auto" w:fill="FFFFFF"/>
        </w:rPr>
        <w:t>That is to say, such certifications mean more than mere compliance; it means being competitive and building consumer trust. Meeting such standards might go a long way in standing out for a growing population of trave</w:t>
      </w:r>
      <w:r w:rsidR="00AA22E9" w:rsidRPr="003E4B1F">
        <w:rPr>
          <w:rFonts w:cs="Arial"/>
          <w:shd w:val="clear" w:color="auto" w:fill="FFFFFF"/>
        </w:rPr>
        <w:t>l</w:t>
      </w:r>
      <w:r w:rsidRPr="003E4B1F">
        <w:rPr>
          <w:rFonts w:cs="Arial"/>
          <w:shd w:val="clear" w:color="auto" w:fill="FFFFFF"/>
        </w:rPr>
        <w:t>lers who, in essence, are environmentally conscious</w:t>
      </w:r>
      <w:r w:rsidR="00D76374" w:rsidRPr="003E4B1F">
        <w:rPr>
          <w:rFonts w:cs="Arial"/>
          <w:shd w:val="clear" w:color="auto" w:fill="FFFFFF"/>
        </w:rPr>
        <w:t xml:space="preserve"> (</w:t>
      </w:r>
      <w:r w:rsidR="00D76374" w:rsidRPr="003E4B1F">
        <w:rPr>
          <w:rFonts w:cs="Arial"/>
        </w:rPr>
        <w:t>Korstanje</w:t>
      </w:r>
      <w:r w:rsidR="00D76374" w:rsidRPr="003E4B1F">
        <w:rPr>
          <w:rFonts w:cs="Arial"/>
          <w:shd w:val="clear" w:color="auto" w:fill="FFFFFF"/>
        </w:rPr>
        <w:t xml:space="preserve"> et al., 2020)</w:t>
      </w:r>
      <w:r w:rsidRPr="003E4B1F">
        <w:rPr>
          <w:rFonts w:cs="Arial"/>
          <w:shd w:val="clear" w:color="auto" w:fill="FFFFFF"/>
        </w:rPr>
        <w:t>. The reports present an in-depth observation related to the requirements and strategies on how the hotels can introduce and achieve implementation o</w:t>
      </w:r>
      <w:r w:rsidR="00AA22E9" w:rsidRPr="003E4B1F">
        <w:rPr>
          <w:rFonts w:cs="Arial"/>
          <w:shd w:val="clear" w:color="auto" w:fill="FFFFFF"/>
        </w:rPr>
        <w:t>f</w:t>
      </w:r>
      <w:r w:rsidRPr="003E4B1F">
        <w:rPr>
          <w:rFonts w:cs="Arial"/>
          <w:shd w:val="clear" w:color="auto" w:fill="FFFFFF"/>
        </w:rPr>
        <w:t xml:space="preserve"> sustainable accreditation. This report will give valuable insights on how hotels can embrace sustainability practices effectively that will ensure growth in the long run while making meaningful contributions to efforts geared at conserving the environment.</w:t>
      </w:r>
    </w:p>
    <w:p w14:paraId="0CEDBCEB" w14:textId="7DB7EB17" w:rsidR="00864C36" w:rsidRPr="003E4B1F" w:rsidRDefault="00864C36" w:rsidP="00892553">
      <w:pPr>
        <w:pStyle w:val="Heading1"/>
        <w:rPr>
          <w:rFonts w:cs="Arial"/>
        </w:rPr>
      </w:pPr>
      <w:bookmarkStart w:id="2" w:name="_Toc168254281"/>
      <w:r w:rsidRPr="003E4B1F">
        <w:rPr>
          <w:rFonts w:cs="Arial"/>
        </w:rPr>
        <w:t>2. Main Body</w:t>
      </w:r>
      <w:bookmarkEnd w:id="2"/>
    </w:p>
    <w:p w14:paraId="68168B6D" w14:textId="1555B8C9" w:rsidR="004205D7" w:rsidRPr="003E4B1F" w:rsidRDefault="00864C36" w:rsidP="00892553">
      <w:pPr>
        <w:pStyle w:val="Heading1"/>
        <w:rPr>
          <w:rFonts w:cs="Arial"/>
        </w:rPr>
      </w:pPr>
      <w:bookmarkStart w:id="3" w:name="_Toc168254282"/>
      <w:r w:rsidRPr="003E4B1F">
        <w:rPr>
          <w:rFonts w:cs="Arial"/>
        </w:rPr>
        <w:t>2.1</w:t>
      </w:r>
      <w:r w:rsidR="007757D3" w:rsidRPr="003E4B1F">
        <w:rPr>
          <w:rFonts w:cs="Arial"/>
        </w:rPr>
        <w:t xml:space="preserve"> </w:t>
      </w:r>
      <w:r w:rsidR="004205D7" w:rsidRPr="003E4B1F">
        <w:rPr>
          <w:rFonts w:cs="Arial"/>
        </w:rPr>
        <w:t>Sustainable Accreditation Standards and Implementation Requirements</w:t>
      </w:r>
      <w:bookmarkEnd w:id="3"/>
    </w:p>
    <w:p w14:paraId="551D2EEF" w14:textId="09493152" w:rsidR="00866FE1" w:rsidRPr="003E4B1F" w:rsidRDefault="00866FE1" w:rsidP="00892553">
      <w:pPr>
        <w:rPr>
          <w:rFonts w:cs="Arial"/>
        </w:rPr>
      </w:pPr>
      <w:r w:rsidRPr="003E4B1F">
        <w:rPr>
          <w:rFonts w:cs="Arial"/>
        </w:rPr>
        <w:t>That way, an ecological liability can now get some solid proof and be part of the key developments in the hotel and hospitality sectors with the launch of the eco-certification schemes</w:t>
      </w:r>
      <w:r w:rsidR="001212F5" w:rsidRPr="003E4B1F">
        <w:rPr>
          <w:rFonts w:cs="Arial"/>
        </w:rPr>
        <w:t xml:space="preserve"> (Sloan</w:t>
      </w:r>
      <w:r w:rsidR="0076741C" w:rsidRPr="003E4B1F">
        <w:rPr>
          <w:rFonts w:cs="Arial"/>
        </w:rPr>
        <w:t xml:space="preserve"> et al., </w:t>
      </w:r>
      <w:r w:rsidR="001212F5" w:rsidRPr="003E4B1F">
        <w:rPr>
          <w:rFonts w:cs="Arial"/>
        </w:rPr>
        <w:t>2017)</w:t>
      </w:r>
      <w:r w:rsidRPr="003E4B1F">
        <w:rPr>
          <w:rFonts w:cs="Arial"/>
        </w:rPr>
        <w:t>. The Green Key belongs to these certificatory systems: a dual responsibility to put under clear and transparent criteria for sustained hotel operations and a signal to the public that the hotel in question is trying to keep on with eco-friendly practices</w:t>
      </w:r>
      <w:r w:rsidR="001212F5" w:rsidRPr="003E4B1F">
        <w:rPr>
          <w:rFonts w:cs="Arial"/>
        </w:rPr>
        <w:t xml:space="preserve"> </w:t>
      </w:r>
      <w:r w:rsidR="00D76374" w:rsidRPr="003E4B1F">
        <w:rPr>
          <w:rFonts w:cs="Arial"/>
        </w:rPr>
        <w:t xml:space="preserve">(VDA TELKONET, 2024). </w:t>
      </w:r>
      <w:r w:rsidRPr="003E4B1F">
        <w:rPr>
          <w:rFonts w:cs="Arial"/>
        </w:rPr>
        <w:t>Green Key delivers a certification of an acceptable global standard that will give hospitality providers value and prestige</w:t>
      </w:r>
      <w:r w:rsidR="00026666" w:rsidRPr="003E4B1F">
        <w:rPr>
          <w:rFonts w:cs="Arial"/>
        </w:rPr>
        <w:t xml:space="preserve">. </w:t>
      </w:r>
    </w:p>
    <w:p w14:paraId="4B6040FC" w14:textId="4B90DCC3" w:rsidR="004205D7" w:rsidRPr="003E4B1F" w:rsidRDefault="004205D7" w:rsidP="00892553">
      <w:pPr>
        <w:rPr>
          <w:rFonts w:cs="Arial"/>
          <w:b/>
          <w:bCs/>
          <w:color w:val="00B0F0"/>
        </w:rPr>
      </w:pPr>
      <w:r w:rsidRPr="003E4B1F">
        <w:rPr>
          <w:rFonts w:cs="Arial"/>
          <w:b/>
          <w:bCs/>
          <w:color w:val="00B0F0"/>
        </w:rPr>
        <w:t>Key Criteria and Standards for Certification</w:t>
      </w:r>
    </w:p>
    <w:p w14:paraId="1327DE56" w14:textId="48DCC5B3" w:rsidR="00866FE1" w:rsidRPr="003E4B1F" w:rsidRDefault="004205D7" w:rsidP="00892553">
      <w:pPr>
        <w:rPr>
          <w:rFonts w:cs="Arial"/>
        </w:rPr>
      </w:pPr>
      <w:r w:rsidRPr="003E4B1F">
        <w:rPr>
          <w:rFonts w:cs="Arial"/>
          <w:i/>
          <w:iCs/>
        </w:rPr>
        <w:lastRenderedPageBreak/>
        <w:t>Energy Efficiency</w:t>
      </w:r>
      <w:r w:rsidR="00866FE1" w:rsidRPr="003E4B1F">
        <w:rPr>
          <w:rFonts w:cs="Arial"/>
        </w:rPr>
        <w:t>: The hotel facilities are equipped with lighting only from LEDs and an intelligent heating and cooling system</w:t>
      </w:r>
      <w:r w:rsidR="00A04613" w:rsidRPr="003E4B1F">
        <w:rPr>
          <w:rFonts w:cs="Arial"/>
        </w:rPr>
        <w:t xml:space="preserve"> </w:t>
      </w:r>
      <w:r w:rsidR="008777E1" w:rsidRPr="003E4B1F">
        <w:rPr>
          <w:rFonts w:cs="Arial"/>
        </w:rPr>
        <w:t xml:space="preserve">(Pan et al., 2018). </w:t>
      </w:r>
      <w:r w:rsidR="00866FE1" w:rsidRPr="003E4B1F">
        <w:rPr>
          <w:rFonts w:cs="Arial"/>
        </w:rPr>
        <w:t>They also use renewable energy sources where possible.</w:t>
      </w:r>
    </w:p>
    <w:p w14:paraId="7E09644E" w14:textId="3588D7FE" w:rsidR="00866FE1" w:rsidRPr="003E4B1F" w:rsidRDefault="004205D7" w:rsidP="00892553">
      <w:pPr>
        <w:rPr>
          <w:rFonts w:cs="Arial"/>
          <w:b/>
          <w:bCs/>
          <w:i/>
          <w:iCs/>
        </w:rPr>
      </w:pPr>
      <w:r w:rsidRPr="003E4B1F">
        <w:rPr>
          <w:rFonts w:cs="Arial"/>
          <w:i/>
          <w:iCs/>
        </w:rPr>
        <w:t>Waste Management</w:t>
      </w:r>
      <w:r w:rsidR="00690551" w:rsidRPr="003E4B1F">
        <w:rPr>
          <w:rFonts w:cs="Arial"/>
        </w:rPr>
        <w:t>:</w:t>
      </w:r>
      <w:r w:rsidR="00690551" w:rsidRPr="003E4B1F">
        <w:rPr>
          <w:rFonts w:cs="Arial"/>
          <w:b/>
          <w:bCs/>
          <w:i/>
          <w:iCs/>
        </w:rPr>
        <w:t xml:space="preserve"> </w:t>
      </w:r>
      <w:r w:rsidR="00CB29F3" w:rsidRPr="003E4B1F">
        <w:rPr>
          <w:rFonts w:cs="Arial"/>
          <w:shd w:val="clear" w:color="auto" w:fill="FFFFFF"/>
        </w:rPr>
        <w:t>E</w:t>
      </w:r>
      <w:r w:rsidR="00866FE1" w:rsidRPr="003E4B1F">
        <w:rPr>
          <w:rFonts w:cs="Arial"/>
          <w:shd w:val="clear" w:color="auto" w:fill="FFFFFF"/>
        </w:rPr>
        <w:t>nvironmental management include</w:t>
      </w:r>
      <w:r w:rsidR="00AA22E9" w:rsidRPr="003E4B1F">
        <w:rPr>
          <w:rFonts w:cs="Arial"/>
          <w:shd w:val="clear" w:color="auto" w:fill="FFFFFF"/>
        </w:rPr>
        <w:t>s</w:t>
      </w:r>
      <w:r w:rsidR="00866FE1" w:rsidRPr="003E4B1F">
        <w:rPr>
          <w:rFonts w:cs="Arial"/>
          <w:shd w:val="clear" w:color="auto" w:fill="FFFFFF"/>
        </w:rPr>
        <w:t xml:space="preserve"> intensive and serious waste management, both systematic recycling and composting</w:t>
      </w:r>
      <w:r w:rsidR="0076741C" w:rsidRPr="003E4B1F">
        <w:rPr>
          <w:rFonts w:cs="Arial"/>
          <w:shd w:val="clear" w:color="auto" w:fill="FFFFFF"/>
        </w:rPr>
        <w:t xml:space="preserve"> (</w:t>
      </w:r>
      <w:r w:rsidR="0076741C" w:rsidRPr="003E4B1F">
        <w:rPr>
          <w:rFonts w:cs="Arial"/>
        </w:rPr>
        <w:t>Griffin and DeLacey, 2012)</w:t>
      </w:r>
      <w:r w:rsidR="000A06D2" w:rsidRPr="003E4B1F">
        <w:rPr>
          <w:rFonts w:cs="Arial"/>
          <w:shd w:val="clear" w:color="auto" w:fill="FFFFFF"/>
        </w:rPr>
        <w:t>.</w:t>
      </w:r>
    </w:p>
    <w:p w14:paraId="0B4F05F1" w14:textId="41E296B8" w:rsidR="00866FE1" w:rsidRPr="003E4B1F" w:rsidRDefault="004205D7" w:rsidP="00892553">
      <w:pPr>
        <w:rPr>
          <w:rFonts w:cs="Arial"/>
          <w:shd w:val="clear" w:color="auto" w:fill="FFFFFF"/>
        </w:rPr>
      </w:pPr>
      <w:r w:rsidRPr="003E4B1F">
        <w:rPr>
          <w:rFonts w:cs="Arial"/>
          <w:i/>
          <w:iCs/>
        </w:rPr>
        <w:t>Water Conservation</w:t>
      </w:r>
      <w:r w:rsidR="00690551" w:rsidRPr="003E4B1F">
        <w:rPr>
          <w:rFonts w:cs="Arial"/>
        </w:rPr>
        <w:t xml:space="preserve">: </w:t>
      </w:r>
      <w:r w:rsidR="00690551" w:rsidRPr="003E4B1F">
        <w:rPr>
          <w:rFonts w:cs="Arial"/>
          <w:shd w:val="clear" w:color="auto" w:fill="FFFFFF"/>
        </w:rPr>
        <w:t>There should be the installation of water-saving facilities in all commercial establishments. The facilities should include low-flow fixtures, water-efficient landscaping, and reuse of wastewater</w:t>
      </w:r>
      <w:r w:rsidR="0076741C" w:rsidRPr="003E4B1F">
        <w:rPr>
          <w:rFonts w:cs="Arial"/>
          <w:shd w:val="clear" w:color="auto" w:fill="FFFFFF"/>
        </w:rPr>
        <w:t xml:space="preserve"> </w:t>
      </w:r>
      <w:r w:rsidR="0076741C" w:rsidRPr="003E4B1F">
        <w:rPr>
          <w:rFonts w:cs="Arial"/>
        </w:rPr>
        <w:t>(GSTC, 2021)</w:t>
      </w:r>
      <w:r w:rsidR="00690551" w:rsidRPr="003E4B1F">
        <w:rPr>
          <w:rFonts w:cs="Arial"/>
          <w:shd w:val="clear" w:color="auto" w:fill="FFFFFF"/>
        </w:rPr>
        <w:t xml:space="preserve">. </w:t>
      </w:r>
    </w:p>
    <w:p w14:paraId="7DF20936" w14:textId="734B68C7" w:rsidR="00995313" w:rsidRPr="003E4B1F" w:rsidRDefault="004205D7" w:rsidP="00892553">
      <w:pPr>
        <w:rPr>
          <w:rFonts w:cs="Arial"/>
          <w:b/>
          <w:bCs/>
          <w:color w:val="00B0F0"/>
        </w:rPr>
      </w:pPr>
      <w:r w:rsidRPr="003E4B1F">
        <w:rPr>
          <w:rFonts w:cs="Arial"/>
          <w:b/>
          <w:bCs/>
          <w:color w:val="00B0F0"/>
        </w:rPr>
        <w:t>Strategies and Practices for Compliance</w:t>
      </w:r>
    </w:p>
    <w:p w14:paraId="0BC4DD5B" w14:textId="54B5567E" w:rsidR="00FE6911" w:rsidRPr="003E4B1F" w:rsidRDefault="00FE6911" w:rsidP="00892553">
      <w:pPr>
        <w:rPr>
          <w:rFonts w:cs="Arial"/>
          <w:b/>
          <w:bCs/>
          <w:color w:val="00B0F0"/>
        </w:rPr>
      </w:pPr>
      <w:r w:rsidRPr="003E4B1F">
        <w:rPr>
          <w:rFonts w:cs="Arial"/>
          <w:b/>
          <w:bCs/>
          <w:color w:val="00B0F0"/>
        </w:rPr>
        <w:drawing>
          <wp:inline distT="0" distB="0" distL="0" distR="0" wp14:anchorId="4BC3FB69" wp14:editId="07CAD0B9">
            <wp:extent cx="5667375" cy="2143125"/>
            <wp:effectExtent l="38100" t="0" r="47625" b="0"/>
            <wp:docPr id="61141906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E13F80D" w14:textId="019AD0AE" w:rsidR="004205D7" w:rsidRPr="003E4B1F" w:rsidRDefault="004205D7" w:rsidP="00892553">
      <w:pPr>
        <w:rPr>
          <w:rFonts w:cs="Arial"/>
          <w:b/>
          <w:bCs/>
          <w:color w:val="00B0F0"/>
        </w:rPr>
      </w:pPr>
      <w:r w:rsidRPr="003E4B1F">
        <w:rPr>
          <w:rFonts w:cs="Arial"/>
          <w:b/>
          <w:bCs/>
          <w:color w:val="00B0F0"/>
        </w:rPr>
        <w:t xml:space="preserve">Comparative Analysis with </w:t>
      </w:r>
      <w:r w:rsidR="00AA22E9" w:rsidRPr="003E4B1F">
        <w:rPr>
          <w:rFonts w:cs="Arial"/>
          <w:b/>
          <w:bCs/>
          <w:color w:val="00B0F0"/>
        </w:rPr>
        <w:t>Green C</w:t>
      </w:r>
      <w:r w:rsidR="003733CF" w:rsidRPr="003E4B1F">
        <w:rPr>
          <w:rFonts w:cs="Arial"/>
          <w:b/>
          <w:bCs/>
          <w:color w:val="00B0F0"/>
        </w:rPr>
        <w:t>ertifications</w:t>
      </w:r>
    </w:p>
    <w:p w14:paraId="65666ADA" w14:textId="6AB1A956" w:rsidR="00464D94" w:rsidRPr="003E4B1F" w:rsidRDefault="00464D94" w:rsidP="00892553">
      <w:pPr>
        <w:rPr>
          <w:rFonts w:cs="Arial"/>
        </w:rPr>
      </w:pPr>
      <w:r w:rsidRPr="003E4B1F">
        <w:rPr>
          <w:rFonts w:cs="Arial"/>
          <w:shd w:val="clear" w:color="auto" w:fill="FFFFFF"/>
        </w:rPr>
        <w:t>Green Key is a wide-scope system for determining sustainability in hospitality, besides other worldwide programs such as LEED and EarthCheck. EarthCheck Certified is the science-based highest environmental certification and benchmarking program for the travel and tourism business worldwide</w:t>
      </w:r>
      <w:r w:rsidR="001212F5" w:rsidRPr="003E4B1F">
        <w:rPr>
          <w:rFonts w:cs="Arial"/>
          <w:shd w:val="clear" w:color="auto" w:fill="FFFFFF"/>
        </w:rPr>
        <w:t xml:space="preserve"> </w:t>
      </w:r>
      <w:r w:rsidR="001212F5" w:rsidRPr="003E4B1F">
        <w:rPr>
          <w:rFonts w:cs="Arial"/>
        </w:rPr>
        <w:t>(Kubba, 2019)</w:t>
      </w:r>
      <w:r w:rsidRPr="003E4B1F">
        <w:rPr>
          <w:rFonts w:cs="Arial"/>
          <w:shd w:val="clear" w:color="auto" w:fill="FFFFFF"/>
        </w:rPr>
        <w:t>. EarthCheck is supported by USGBC and stands out as one of the few standards recognized globally, certified in 175 countries. Green Key counts with over 3,200 certified establishments in 65 countries, concentrating at its highest level in Europe, followed by Scandinavia, and in the sequence, North America, and Asia</w:t>
      </w:r>
      <w:r w:rsidR="00400E78" w:rsidRPr="003E4B1F">
        <w:rPr>
          <w:rFonts w:cs="Arial"/>
          <w:shd w:val="clear" w:color="auto" w:fill="FFFFFF"/>
        </w:rPr>
        <w:t xml:space="preserve">n </w:t>
      </w:r>
      <w:r w:rsidR="00400E78" w:rsidRPr="003E4B1F">
        <w:rPr>
          <w:rFonts w:cs="Arial"/>
        </w:rPr>
        <w:t>(Andzenge, 2016)</w:t>
      </w:r>
      <w:r w:rsidRPr="003E4B1F">
        <w:rPr>
          <w:rFonts w:cs="Arial"/>
          <w:shd w:val="clear" w:color="auto" w:fill="FFFFFF"/>
        </w:rPr>
        <w:t>. More than 100,000 projects in 175 countries and more than 1,300 organi</w:t>
      </w:r>
      <w:r w:rsidR="00B12D44" w:rsidRPr="003E4B1F">
        <w:rPr>
          <w:rFonts w:cs="Arial"/>
          <w:shd w:val="clear" w:color="auto" w:fill="FFFFFF"/>
        </w:rPr>
        <w:t>s</w:t>
      </w:r>
      <w:r w:rsidRPr="003E4B1F">
        <w:rPr>
          <w:rFonts w:cs="Arial"/>
          <w:shd w:val="clear" w:color="auto" w:fill="FFFFFF"/>
        </w:rPr>
        <w:t>ations around the globe in over 70 countries have accredited their projects with either LEED or EarthCheck</w:t>
      </w:r>
      <w:r w:rsidR="001212F5" w:rsidRPr="003E4B1F">
        <w:rPr>
          <w:rFonts w:cs="Arial"/>
          <w:shd w:val="clear" w:color="auto" w:fill="FFFFFF"/>
        </w:rPr>
        <w:t xml:space="preserve"> </w:t>
      </w:r>
      <w:r w:rsidR="00400E78" w:rsidRPr="003E4B1F">
        <w:rPr>
          <w:rFonts w:cs="Arial"/>
        </w:rPr>
        <w:t>(verdinez, 2023).</w:t>
      </w:r>
    </w:p>
    <w:p w14:paraId="2C96B116" w14:textId="77777777" w:rsidR="001212F5" w:rsidRPr="003E4B1F" w:rsidRDefault="00F3474D" w:rsidP="00892553">
      <w:pPr>
        <w:keepNext/>
        <w:jc w:val="center"/>
        <w:rPr>
          <w:rFonts w:cs="Arial"/>
        </w:rPr>
      </w:pPr>
      <w:r w:rsidRPr="003E4B1F">
        <w:rPr>
          <w:rFonts w:cs="Arial"/>
        </w:rPr>
        <w:lastRenderedPageBreak/>
        <w:drawing>
          <wp:inline distT="0" distB="0" distL="0" distR="0" wp14:anchorId="5640F83E" wp14:editId="3780ADA7">
            <wp:extent cx="4662170" cy="1914525"/>
            <wp:effectExtent l="0" t="0" r="5080" b="9525"/>
            <wp:docPr id="688388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388961" name="Picture 68838896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674420" cy="1919555"/>
                    </a:xfrm>
                    <a:prstGeom prst="rect">
                      <a:avLst/>
                    </a:prstGeom>
                  </pic:spPr>
                </pic:pic>
              </a:graphicData>
            </a:graphic>
          </wp:inline>
        </w:drawing>
      </w:r>
    </w:p>
    <w:p w14:paraId="03BC5409" w14:textId="2299CFDD" w:rsidR="00F3474D" w:rsidRPr="003E4B1F" w:rsidRDefault="001212F5" w:rsidP="00892553">
      <w:pPr>
        <w:jc w:val="center"/>
        <w:rPr>
          <w:rFonts w:cs="Arial"/>
          <w:i/>
          <w:iCs/>
        </w:rPr>
      </w:pPr>
      <w:r w:rsidRPr="003E4B1F">
        <w:rPr>
          <w:rFonts w:cs="Arial"/>
          <w:i/>
          <w:iCs/>
        </w:rPr>
        <w:t xml:space="preserve">Figure </w:t>
      </w:r>
      <w:r w:rsidRPr="003E4B1F">
        <w:rPr>
          <w:rFonts w:cs="Arial"/>
          <w:i/>
          <w:iCs/>
        </w:rPr>
        <w:fldChar w:fldCharType="begin"/>
      </w:r>
      <w:r w:rsidRPr="003E4B1F">
        <w:rPr>
          <w:rFonts w:cs="Arial"/>
          <w:i/>
          <w:iCs/>
        </w:rPr>
        <w:instrText xml:space="preserve"> SEQ Figure \* ARABIC </w:instrText>
      </w:r>
      <w:r w:rsidRPr="003E4B1F">
        <w:rPr>
          <w:rFonts w:cs="Arial"/>
          <w:i/>
          <w:iCs/>
        </w:rPr>
        <w:fldChar w:fldCharType="separate"/>
      </w:r>
      <w:r w:rsidRPr="003E4B1F">
        <w:rPr>
          <w:rFonts w:cs="Arial"/>
          <w:i/>
          <w:iCs/>
        </w:rPr>
        <w:t>1</w:t>
      </w:r>
      <w:r w:rsidRPr="003E4B1F">
        <w:rPr>
          <w:rFonts w:cs="Arial"/>
          <w:i/>
          <w:iCs/>
        </w:rPr>
        <w:fldChar w:fldCharType="end"/>
      </w:r>
      <w:r w:rsidRPr="003E4B1F">
        <w:rPr>
          <w:rFonts w:cs="Arial"/>
          <w:i/>
          <w:iCs/>
        </w:rPr>
        <w:t xml:space="preserve"> Global Sustainable Certifications / Sources: </w:t>
      </w:r>
      <w:r w:rsidR="00400E78" w:rsidRPr="003E4B1F">
        <w:rPr>
          <w:rFonts w:cs="Arial"/>
          <w:i/>
          <w:iCs/>
        </w:rPr>
        <w:t>(verdinez, 2023)</w:t>
      </w:r>
    </w:p>
    <w:p w14:paraId="53EA804D" w14:textId="07EFAD87" w:rsidR="0020513C" w:rsidRPr="003E4B1F" w:rsidRDefault="0020513C" w:rsidP="00892553">
      <w:pPr>
        <w:rPr>
          <w:rFonts w:cs="Arial"/>
        </w:rPr>
      </w:pPr>
      <w:r w:rsidRPr="003E4B1F">
        <w:rPr>
          <w:rFonts w:cs="Arial"/>
        </w:rPr>
        <w:t>LEED and EarthCheck both focus on the sustainable design of building premises and energy saving. Both aim at high standards in hotel architecture. EarthCheck comes with higher focus-driven data precision on its assessment and continuous improvement. It offers accurate monitoring tools</w:t>
      </w:r>
      <w:r w:rsidR="001212F5" w:rsidRPr="003E4B1F">
        <w:rPr>
          <w:rFonts w:cs="Arial"/>
        </w:rPr>
        <w:t xml:space="preserve"> (Mzembe et al., 2020)</w:t>
      </w:r>
      <w:r w:rsidRPr="003E4B1F">
        <w:rPr>
          <w:rFonts w:cs="Arial"/>
        </w:rPr>
        <w:t>. Green Key thus stands out with a holistic approach that comprises operational efficiency, social responsibility, and guest engagement. In this way, the certification programs differ in priorities, and the hotels can thus take into consideration the program that reflects best on their strategic sustainability objectives</w:t>
      </w:r>
      <w:r w:rsidR="001212F5" w:rsidRPr="003E4B1F">
        <w:rPr>
          <w:rFonts w:cs="Arial"/>
        </w:rPr>
        <w:t xml:space="preserve"> (</w:t>
      </w:r>
      <w:r w:rsidR="00D76374" w:rsidRPr="003E4B1F">
        <w:rPr>
          <w:rFonts w:cs="Arial"/>
        </w:rPr>
        <w:t>Inkson and Minnaert</w:t>
      </w:r>
      <w:r w:rsidR="001212F5" w:rsidRPr="003E4B1F">
        <w:rPr>
          <w:rFonts w:cs="Arial"/>
        </w:rPr>
        <w:t xml:space="preserve">, </w:t>
      </w:r>
      <w:r w:rsidR="00D76374" w:rsidRPr="003E4B1F">
        <w:rPr>
          <w:rFonts w:cs="Arial"/>
        </w:rPr>
        <w:t>2018</w:t>
      </w:r>
      <w:r w:rsidR="001212F5" w:rsidRPr="003E4B1F">
        <w:rPr>
          <w:rFonts w:cs="Arial"/>
        </w:rPr>
        <w:t>)</w:t>
      </w:r>
      <w:r w:rsidRPr="003E4B1F">
        <w:rPr>
          <w:rFonts w:cs="Arial"/>
        </w:rPr>
        <w:t>. As the only hotel meeting the Green Key or other International Certification requirements, we distinguish ourselves as leaders in sustainable tourism and an effect that impacts quite positively both the environment and their bottom line.</w:t>
      </w:r>
    </w:p>
    <w:p w14:paraId="73ADCEBE" w14:textId="1E41CDDD" w:rsidR="00082FDD" w:rsidRPr="003E4B1F" w:rsidRDefault="007757D3" w:rsidP="00892553">
      <w:pPr>
        <w:pStyle w:val="Heading1"/>
        <w:rPr>
          <w:rFonts w:cs="Arial"/>
        </w:rPr>
      </w:pPr>
      <w:bookmarkStart w:id="4" w:name="_Toc168254283"/>
      <w:r w:rsidRPr="003E4B1F">
        <w:rPr>
          <w:rFonts w:cs="Arial"/>
        </w:rPr>
        <w:t xml:space="preserve">2.2 </w:t>
      </w:r>
      <w:r w:rsidR="00082FDD" w:rsidRPr="003E4B1F">
        <w:rPr>
          <w:rFonts w:cs="Arial"/>
        </w:rPr>
        <w:t>Benefits and Challenges of Integrating Sustainability</w:t>
      </w:r>
      <w:bookmarkEnd w:id="4"/>
    </w:p>
    <w:p w14:paraId="00423226" w14:textId="4E861119" w:rsidR="000921F5" w:rsidRPr="003E4B1F" w:rsidRDefault="000921F5" w:rsidP="00892553">
      <w:pPr>
        <w:rPr>
          <w:rFonts w:cs="Arial"/>
        </w:rPr>
      </w:pPr>
      <w:r w:rsidRPr="003E4B1F">
        <w:rPr>
          <w:rFonts w:cs="Arial"/>
        </w:rPr>
        <w:t>Integration of sustainability in hospitality involves several benefits that transform environmental stewardship into a strategic business benefit. Resource and operational efficiency are critical, with a reduced record on water and energy use</w:t>
      </w:r>
      <w:r w:rsidR="001212F5" w:rsidRPr="003E4B1F">
        <w:rPr>
          <w:rFonts w:cs="Arial"/>
        </w:rPr>
        <w:t xml:space="preserve"> (Mzembe et al., 2020)</w:t>
      </w:r>
      <w:r w:rsidRPr="003E4B1F">
        <w:rPr>
          <w:rFonts w:cs="Arial"/>
        </w:rPr>
        <w:t>. The UN World Tourism Organi</w:t>
      </w:r>
      <w:r w:rsidR="00B12D44" w:rsidRPr="003E4B1F">
        <w:rPr>
          <w:rFonts w:cs="Arial"/>
        </w:rPr>
        <w:t>s</w:t>
      </w:r>
      <w:r w:rsidRPr="003E4B1F">
        <w:rPr>
          <w:rFonts w:cs="Arial"/>
        </w:rPr>
        <w:t>ation says responsible water management can cut water use by 50% in hospitality business enterprises. On average, energy consumption can be saved at around 30% using energy-efficient technologies such as LED lights, smart thermostats, offering huge costs saved from bills</w:t>
      </w:r>
      <w:r w:rsidR="001212F5" w:rsidRPr="003E4B1F">
        <w:rPr>
          <w:rFonts w:cs="Arial"/>
        </w:rPr>
        <w:t xml:space="preserve"> (Malheiro et al., 2020)</w:t>
      </w:r>
      <w:r w:rsidRPr="003E4B1F">
        <w:rPr>
          <w:rFonts w:cs="Arial"/>
        </w:rPr>
        <w:t>.</w:t>
      </w:r>
    </w:p>
    <w:p w14:paraId="6C672C43" w14:textId="76B5FB81" w:rsidR="00FC6EDD" w:rsidRPr="003E4B1F" w:rsidRDefault="000921F5" w:rsidP="00892553">
      <w:pPr>
        <w:rPr>
          <w:rFonts w:cs="Arial"/>
        </w:rPr>
      </w:pPr>
      <w:r w:rsidRPr="003E4B1F">
        <w:rPr>
          <w:rFonts w:cs="Arial"/>
        </w:rPr>
        <w:t xml:space="preserve">Further, better waste management and low-level emissions have a very big role in the reduction of pollution to improve the level of improvement in the environment. Hotels, minimizing single-use plastics and encouraging recycling from different parts of the </w:t>
      </w:r>
      <w:r w:rsidRPr="003E4B1F">
        <w:rPr>
          <w:rFonts w:cs="Arial"/>
        </w:rPr>
        <w:lastRenderedPageBreak/>
        <w:t>world, could avoid over 275 million tons of plastic waste finding its way into the environment on a yearly basis</w:t>
      </w:r>
      <w:r w:rsidR="001212F5" w:rsidRPr="003E4B1F">
        <w:rPr>
          <w:rFonts w:cs="Arial"/>
        </w:rPr>
        <w:t xml:space="preserve"> </w:t>
      </w:r>
      <w:r w:rsidR="00605DF8" w:rsidRPr="003E4B1F">
        <w:rPr>
          <w:rFonts w:cs="Arial"/>
        </w:rPr>
        <w:t>(Hospitality Insights' Editor, 2018)</w:t>
      </w:r>
      <w:r w:rsidRPr="003E4B1F">
        <w:rPr>
          <w:rFonts w:cs="Arial"/>
        </w:rPr>
        <w:t xml:space="preserve">. </w:t>
      </w:r>
      <w:r w:rsidR="00605DF8" w:rsidRPr="003E4B1F">
        <w:rPr>
          <w:rFonts w:cs="Arial"/>
        </w:rPr>
        <w:t xml:space="preserve">Bogensperger’s (2023) </w:t>
      </w:r>
      <w:r w:rsidRPr="003E4B1F">
        <w:rPr>
          <w:rFonts w:cs="Arial"/>
        </w:rPr>
        <w:t>survey had indicated that with increasing demand, higher and higher percentages of global trave</w:t>
      </w:r>
      <w:r w:rsidR="00AA22E9" w:rsidRPr="003E4B1F">
        <w:rPr>
          <w:rFonts w:cs="Arial"/>
        </w:rPr>
        <w:t>l</w:t>
      </w:r>
      <w:r w:rsidRPr="003E4B1F">
        <w:rPr>
          <w:rFonts w:cs="Arial"/>
        </w:rPr>
        <w:t>lers—up to 81%, in some cases—might be attracted to accommodation that had the green band, opening up a lucrative market for those hotels with sustainability certification</w:t>
      </w:r>
      <w:r w:rsidR="00605DF8" w:rsidRPr="003E4B1F">
        <w:rPr>
          <w:rFonts w:cs="Arial"/>
        </w:rPr>
        <w:t>.</w:t>
      </w:r>
      <w:r w:rsidRPr="003E4B1F">
        <w:rPr>
          <w:rFonts w:cs="Arial"/>
        </w:rPr>
        <w:t xml:space="preserve"> </w:t>
      </w:r>
    </w:p>
    <w:p w14:paraId="410A710C" w14:textId="220591F1" w:rsidR="00FC6EDD" w:rsidRPr="003E4B1F" w:rsidRDefault="00FC6EDD" w:rsidP="00892553">
      <w:pPr>
        <w:rPr>
          <w:rFonts w:cs="Arial"/>
        </w:rPr>
      </w:pPr>
      <w:r w:rsidRPr="003E4B1F">
        <w:rPr>
          <w:rFonts w:cs="Arial"/>
        </w:rPr>
        <w:t xml:space="preserve">However, there are </w:t>
      </w:r>
      <w:r w:rsidR="008B1658" w:rsidRPr="003E4B1F">
        <w:rPr>
          <w:rFonts w:cs="Arial"/>
        </w:rPr>
        <w:t xml:space="preserve">many </w:t>
      </w:r>
      <w:r w:rsidRPr="003E4B1F">
        <w:rPr>
          <w:rFonts w:cs="Arial"/>
        </w:rPr>
        <w:t>challenges. Most small hotels tend to be unwilling to make investments in sustainable infrastructure. This can involve things like installing solar panels or updating HVAC systems, all considered high-capital expenses that can blow a hole in any budget. Reporting and compliance requirements are also quite complex, requiring meticulous attention to data collection and observation</w:t>
      </w:r>
      <w:r w:rsidR="001212F5" w:rsidRPr="003E4B1F">
        <w:rPr>
          <w:rFonts w:cs="Arial"/>
        </w:rPr>
        <w:t xml:space="preserve"> (Korstanje</w:t>
      </w:r>
      <w:r w:rsidR="0076741C" w:rsidRPr="003E4B1F">
        <w:rPr>
          <w:rFonts w:cs="Arial"/>
        </w:rPr>
        <w:t xml:space="preserve"> et al.</w:t>
      </w:r>
      <w:r w:rsidR="001212F5" w:rsidRPr="003E4B1F">
        <w:rPr>
          <w:rFonts w:cs="Arial"/>
        </w:rPr>
        <w:t>, 2020)</w:t>
      </w:r>
      <w:r w:rsidRPr="003E4B1F">
        <w:rPr>
          <w:rFonts w:cs="Arial"/>
        </w:rPr>
        <w:t xml:space="preserve">. The other challenge is that it has to balance its sustainability goals with profitability and guest expectations. The service and comfort standards required by the customers, in many instances, are in contradiction with other eco-practices. </w:t>
      </w:r>
    </w:p>
    <w:p w14:paraId="489FBE5D" w14:textId="3E7E8A9F" w:rsidR="00FC6EDD" w:rsidRPr="003E4B1F" w:rsidRDefault="00FC6EDD" w:rsidP="00892553">
      <w:pPr>
        <w:rPr>
          <w:rFonts w:cs="Arial"/>
        </w:rPr>
      </w:pPr>
      <w:r w:rsidRPr="003E4B1F">
        <w:rPr>
          <w:rFonts w:cs="Arial"/>
        </w:rPr>
        <w:t>More precious insights are in the critique of the Marriott International toward the overcoming of some of these challenges. "Serve 360" is Marriott's sustainability strategy with aggressive goals, such as a 30% cut in carbon emissions and a 50% slice in food waste by the year 2025</w:t>
      </w:r>
      <w:r w:rsidR="001212F5" w:rsidRPr="003E4B1F">
        <w:rPr>
          <w:rFonts w:cs="Arial"/>
        </w:rPr>
        <w:t xml:space="preserve"> </w:t>
      </w:r>
      <w:r w:rsidR="0076741C" w:rsidRPr="003E4B1F">
        <w:rPr>
          <w:rFonts w:cs="Arial"/>
        </w:rPr>
        <w:t xml:space="preserve">(Marriott, 2024). </w:t>
      </w:r>
      <w:r w:rsidRPr="003E4B1F">
        <w:rPr>
          <w:rFonts w:cs="Arial"/>
        </w:rPr>
        <w:t>Some of the energy-saving goals include energy-efficient lighting and smart thermostats, having already been instituted with the aim of 20% energy savings. In addition, the linen reuse program at the hotel saves an estimated 17% of water per room per night</w:t>
      </w:r>
      <w:r w:rsidR="0076741C" w:rsidRPr="003E4B1F">
        <w:rPr>
          <w:rFonts w:cs="Arial"/>
        </w:rPr>
        <w:t xml:space="preserve"> (ecolab, 2024)</w:t>
      </w:r>
      <w:r w:rsidRPr="003E4B1F">
        <w:rPr>
          <w:rFonts w:cs="Arial"/>
        </w:rPr>
        <w:t xml:space="preserve">. On its part, Marriott simplifies reporting with clear metrics, transparent disclosure and establishes comprehensive frameworks by which to measure </w:t>
      </w:r>
      <w:r w:rsidR="001212F5" w:rsidRPr="003E4B1F">
        <w:rPr>
          <w:rFonts w:cs="Arial"/>
        </w:rPr>
        <w:t>progres</w:t>
      </w:r>
      <w:r w:rsidRPr="003E4B1F">
        <w:rPr>
          <w:rFonts w:cs="Arial"/>
        </w:rPr>
        <w:t>s</w:t>
      </w:r>
      <w:r w:rsidR="0076741C" w:rsidRPr="003E4B1F">
        <w:rPr>
          <w:rFonts w:cs="Arial"/>
        </w:rPr>
        <w:t xml:space="preserve">. </w:t>
      </w:r>
    </w:p>
    <w:p w14:paraId="18201C7C" w14:textId="4E21EA1C" w:rsidR="00082FDD" w:rsidRPr="003E4B1F" w:rsidRDefault="007757D3" w:rsidP="00892553">
      <w:pPr>
        <w:pStyle w:val="Heading1"/>
        <w:rPr>
          <w:rFonts w:cs="Arial"/>
        </w:rPr>
      </w:pPr>
      <w:bookmarkStart w:id="5" w:name="_Toc168254284"/>
      <w:r w:rsidRPr="003E4B1F">
        <w:rPr>
          <w:rFonts w:cs="Arial"/>
        </w:rPr>
        <w:t xml:space="preserve">2.3 </w:t>
      </w:r>
      <w:r w:rsidR="00082FDD" w:rsidRPr="003E4B1F">
        <w:rPr>
          <w:rFonts w:cs="Arial"/>
        </w:rPr>
        <w:t>Corporate Social Responsibility and the Green Key Initiative</w:t>
      </w:r>
      <w:bookmarkEnd w:id="5"/>
    </w:p>
    <w:p w14:paraId="07BBB490" w14:textId="0BC88132" w:rsidR="000921F5" w:rsidRPr="003E4B1F" w:rsidRDefault="00AE3429" w:rsidP="00892553">
      <w:pPr>
        <w:rPr>
          <w:rFonts w:cs="Arial"/>
        </w:rPr>
      </w:pPr>
      <w:r w:rsidRPr="003E4B1F">
        <w:rPr>
          <w:rFonts w:cs="Arial"/>
        </w:rPr>
        <w:t>Corporate Social Responsibility (CSR) in the hospitality industry has evolved into a strategic mandate that looks beyond business objectives to also include the values of ethics, society, and environment</w:t>
      </w:r>
      <w:r w:rsidR="001212F5" w:rsidRPr="003E4B1F">
        <w:rPr>
          <w:rFonts w:cs="Arial"/>
        </w:rPr>
        <w:t xml:space="preserve"> (Blinova et al., 2018)</w:t>
      </w:r>
      <w:r w:rsidRPr="003E4B1F">
        <w:rPr>
          <w:rFonts w:cs="Arial"/>
        </w:rPr>
        <w:t xml:space="preserve">. CSR is the all-inclusive approach whereby hotels try to ensure that their operations remain in tandem with what society expects from them. </w:t>
      </w:r>
      <w:r w:rsidR="000921F5" w:rsidRPr="003E4B1F">
        <w:rPr>
          <w:rFonts w:cs="Arial"/>
        </w:rPr>
        <w:t xml:space="preserve">This includes social alignment aimed at minimizing the environmental impact, supporting the development of communities, and ensuring </w:t>
      </w:r>
      <w:r w:rsidR="000921F5" w:rsidRPr="003E4B1F">
        <w:rPr>
          <w:rFonts w:cs="Arial"/>
        </w:rPr>
        <w:lastRenderedPageBreak/>
        <w:t>welfare to employees in a major aim of maintaining profitability</w:t>
      </w:r>
      <w:r w:rsidR="001665BA" w:rsidRPr="003E4B1F">
        <w:rPr>
          <w:rFonts w:cs="Arial"/>
        </w:rPr>
        <w:t xml:space="preserve"> (</w:t>
      </w:r>
      <w:r w:rsidR="001665BA" w:rsidRPr="003E4B1F">
        <w:rPr>
          <w:rFonts w:cs="Arial"/>
          <w:shd w:val="clear" w:color="auto" w:fill="FFFFFF"/>
        </w:rPr>
        <w:t>Haski-Leventhal, 2018)</w:t>
      </w:r>
      <w:r w:rsidR="000921F5" w:rsidRPr="003E4B1F">
        <w:rPr>
          <w:rFonts w:cs="Arial"/>
        </w:rPr>
        <w:t xml:space="preserve">. </w:t>
      </w:r>
    </w:p>
    <w:p w14:paraId="00205039" w14:textId="1798D6A6" w:rsidR="00A6500C" w:rsidRPr="003E4B1F" w:rsidRDefault="000921F5" w:rsidP="00892553">
      <w:pPr>
        <w:rPr>
          <w:rFonts w:cs="Arial"/>
        </w:rPr>
      </w:pPr>
      <w:r w:rsidRPr="003E4B1F">
        <w:rPr>
          <w:rFonts w:cs="Arial"/>
        </w:rPr>
        <w:t>Sustainable tourism reflects one of the key areas in CSR activities that concentrate on the cause of trave</w:t>
      </w:r>
      <w:r w:rsidR="00AA22E9" w:rsidRPr="003E4B1F">
        <w:rPr>
          <w:rFonts w:cs="Arial"/>
        </w:rPr>
        <w:t>l</w:t>
      </w:r>
      <w:r w:rsidRPr="003E4B1F">
        <w:rPr>
          <w:rFonts w:cs="Arial"/>
        </w:rPr>
        <w:t>ling with the least ecological damage at the same time, having a positive effect on the local community</w:t>
      </w:r>
      <w:r w:rsidR="001212F5" w:rsidRPr="003E4B1F">
        <w:rPr>
          <w:rFonts w:cs="Arial"/>
        </w:rPr>
        <w:t xml:space="preserve"> (Camilleri, 2020)</w:t>
      </w:r>
      <w:r w:rsidRPr="003E4B1F">
        <w:rPr>
          <w:rFonts w:cs="Arial"/>
        </w:rPr>
        <w:t xml:space="preserve">. Sourcing sustainability, infrastructure in terms of eco-friendly features, and waste management all have practices regarding CSR initiatives towards sustainable tourism. </w:t>
      </w:r>
      <w:r w:rsidR="00A6500C" w:rsidRPr="003E4B1F">
        <w:rPr>
          <w:rFonts w:cs="Arial"/>
        </w:rPr>
        <w:t>For example, local sourcing of produce reduces not only the carbon footprint from miles it would have been transported but also adds value to the local economy</w:t>
      </w:r>
      <w:r w:rsidR="00B6595A" w:rsidRPr="003E4B1F">
        <w:rPr>
          <w:rFonts w:cs="Arial"/>
        </w:rPr>
        <w:t xml:space="preserve"> (Jauhari, 2021)</w:t>
      </w:r>
      <w:r w:rsidR="00A6500C" w:rsidRPr="003E4B1F">
        <w:rPr>
          <w:rFonts w:cs="Arial"/>
        </w:rPr>
        <w:t xml:space="preserve">. </w:t>
      </w:r>
    </w:p>
    <w:p w14:paraId="72B23C4F" w14:textId="6F1DAF77" w:rsidR="00A6500C" w:rsidRPr="003E4B1F" w:rsidRDefault="00A6500C" w:rsidP="00892553">
      <w:pPr>
        <w:rPr>
          <w:rFonts w:cs="Arial"/>
        </w:rPr>
      </w:pPr>
      <w:r w:rsidRPr="003E4B1F">
        <w:rPr>
          <w:rFonts w:cs="Arial"/>
        </w:rPr>
        <w:t>The Green Key Initiative is one of the great frameworks for the encouragement of responsible practice within tourism. In compliance with the initiative, hotels through Green Key certification commit themselves to rigorous standards of energy efficiency, reduction of waste, and community involvement</w:t>
      </w:r>
      <w:r w:rsidR="001212F5" w:rsidRPr="003E4B1F">
        <w:rPr>
          <w:rFonts w:cs="Arial"/>
        </w:rPr>
        <w:t xml:space="preserve"> (</w:t>
      </w:r>
      <w:r w:rsidR="00F50181" w:rsidRPr="003E4B1F">
        <w:rPr>
          <w:rFonts w:cs="Arial"/>
        </w:rPr>
        <w:t>Pan et al.</w:t>
      </w:r>
      <w:r w:rsidR="001212F5" w:rsidRPr="003E4B1F">
        <w:rPr>
          <w:rFonts w:cs="Arial"/>
        </w:rPr>
        <w:t>, 201</w:t>
      </w:r>
      <w:r w:rsidR="00F50181" w:rsidRPr="003E4B1F">
        <w:rPr>
          <w:rFonts w:cs="Arial"/>
        </w:rPr>
        <w:t>8</w:t>
      </w:r>
      <w:r w:rsidR="001212F5" w:rsidRPr="003E4B1F">
        <w:rPr>
          <w:rFonts w:cs="Arial"/>
        </w:rPr>
        <w:t>)</w:t>
      </w:r>
      <w:r w:rsidRPr="003E4B1F">
        <w:rPr>
          <w:rFonts w:cs="Arial"/>
        </w:rPr>
        <w:t>. The implementation area of good practices embraces water-saving technology, sustainable procurement, and environmental education of guests and employees. Green Key certification allows the hotel to express value-oriented CSR and practice in businesses designed according to the objectives of sustainable tourism</w:t>
      </w:r>
      <w:r w:rsidR="0076741C" w:rsidRPr="003E4B1F">
        <w:rPr>
          <w:rFonts w:cs="Arial"/>
        </w:rPr>
        <w:t xml:space="preserve"> (Sørensen and Grindsted, 2021)</w:t>
      </w:r>
      <w:r w:rsidRPr="003E4B1F">
        <w:rPr>
          <w:rFonts w:cs="Arial"/>
        </w:rPr>
        <w:t>.</w:t>
      </w:r>
    </w:p>
    <w:p w14:paraId="65AB5F90" w14:textId="698416BD" w:rsidR="00A6500C" w:rsidRPr="003E4B1F" w:rsidRDefault="00A6500C" w:rsidP="00892553">
      <w:pPr>
        <w:rPr>
          <w:rFonts w:cs="Arial"/>
        </w:rPr>
      </w:pPr>
      <w:r w:rsidRPr="003E4B1F">
        <w:rPr>
          <w:rFonts w:cs="Arial"/>
        </w:rPr>
        <w:t>CSR frameworks have a very vital influence on operational decisions that are meant for accomplishing the goal of sustainable accreditation</w:t>
      </w:r>
      <w:r w:rsidR="001212F5" w:rsidRPr="003E4B1F">
        <w:rPr>
          <w:rFonts w:cs="Arial"/>
        </w:rPr>
        <w:t xml:space="preserve"> (Font and Lynes, 2018)</w:t>
      </w:r>
      <w:r w:rsidRPr="003E4B1F">
        <w:rPr>
          <w:rFonts w:cs="Arial"/>
        </w:rPr>
        <w:t>. On the other hand, the incorporation of CSR in the corporate strategies of hotels brings clear pathways towards sustainability practice which may be in line with their brand identity. These guide frameworks the decision-makers on investment prioritization, policy formulation, and culture building that puts the environment at the fore, for example, opting to invest in renewable energy in line with CSR goals such as the reduction of carbon emissions while it has great potential for savings in costs in the long run</w:t>
      </w:r>
      <w:r w:rsidR="001212F5" w:rsidRPr="003E4B1F">
        <w:rPr>
          <w:rFonts w:cs="Arial"/>
        </w:rPr>
        <w:t xml:space="preserve"> (</w:t>
      </w:r>
      <w:r w:rsidR="00400E78" w:rsidRPr="003E4B1F">
        <w:rPr>
          <w:rFonts w:cs="Arial"/>
        </w:rPr>
        <w:t>Cooper, 2021</w:t>
      </w:r>
      <w:r w:rsidR="001212F5" w:rsidRPr="003E4B1F">
        <w:rPr>
          <w:rFonts w:cs="Arial"/>
        </w:rPr>
        <w:t>)</w:t>
      </w:r>
      <w:r w:rsidRPr="003E4B1F">
        <w:rPr>
          <w:rFonts w:cs="Arial"/>
        </w:rPr>
        <w:t xml:space="preserve">.  </w:t>
      </w:r>
    </w:p>
    <w:p w14:paraId="4B80D07A" w14:textId="31720227" w:rsidR="00D9500A" w:rsidRPr="003E4B1F" w:rsidRDefault="00A6500C" w:rsidP="00892553">
      <w:pPr>
        <w:rPr>
          <w:rFonts w:cs="Arial"/>
        </w:rPr>
      </w:pPr>
      <w:r w:rsidRPr="003E4B1F">
        <w:rPr>
          <w:rFonts w:cs="Arial"/>
        </w:rPr>
        <w:t>Furthermore, the frameworks of CSR promote transparent engagement of the stakeholders, which is very key towards the realization of accreditation standards. Involvement of the employees, guests, and local communities may also be included, and hotels are in a position to outline in what areas to develop and may be able to collect valuable insights</w:t>
      </w:r>
      <w:r w:rsidR="001212F5" w:rsidRPr="003E4B1F">
        <w:rPr>
          <w:rFonts w:cs="Arial"/>
        </w:rPr>
        <w:t xml:space="preserve"> (</w:t>
      </w:r>
      <w:r w:rsidR="006A03F9" w:rsidRPr="003E4B1F">
        <w:rPr>
          <w:rFonts w:cs="Arial"/>
          <w:shd w:val="clear" w:color="auto" w:fill="FFFFFF"/>
        </w:rPr>
        <w:t>Haski-Leventhal</w:t>
      </w:r>
      <w:r w:rsidR="001212F5" w:rsidRPr="003E4B1F">
        <w:rPr>
          <w:rFonts w:cs="Arial"/>
        </w:rPr>
        <w:t xml:space="preserve">, </w:t>
      </w:r>
      <w:r w:rsidR="006A03F9" w:rsidRPr="003E4B1F">
        <w:rPr>
          <w:rFonts w:cs="Arial"/>
        </w:rPr>
        <w:t>2018</w:t>
      </w:r>
      <w:r w:rsidR="001212F5" w:rsidRPr="003E4B1F">
        <w:rPr>
          <w:rFonts w:cs="Arial"/>
        </w:rPr>
        <w:t>)</w:t>
      </w:r>
      <w:r w:rsidRPr="003E4B1F">
        <w:rPr>
          <w:rFonts w:cs="Arial"/>
        </w:rPr>
        <w:t>. Transparent reporting systems ensure that organi</w:t>
      </w:r>
      <w:r w:rsidR="00B12D44" w:rsidRPr="003E4B1F">
        <w:rPr>
          <w:rFonts w:cs="Arial"/>
        </w:rPr>
        <w:t>s</w:t>
      </w:r>
      <w:r w:rsidRPr="003E4B1F">
        <w:rPr>
          <w:rFonts w:cs="Arial"/>
        </w:rPr>
        <w:t xml:space="preserve">ations are accountable and, at the same time, encourage </w:t>
      </w:r>
      <w:r w:rsidRPr="003E4B1F">
        <w:rPr>
          <w:rFonts w:cs="Arial"/>
        </w:rPr>
        <w:lastRenderedPageBreak/>
        <w:t xml:space="preserve">continuous improvement. </w:t>
      </w:r>
      <w:r w:rsidR="00D9500A" w:rsidRPr="003E4B1F">
        <w:rPr>
          <w:rFonts w:cs="Arial"/>
        </w:rPr>
        <w:t>The changing dimension in the goal of CSR requires organi</w:t>
      </w:r>
      <w:r w:rsidR="00B12D44" w:rsidRPr="003E4B1F">
        <w:rPr>
          <w:rFonts w:cs="Arial"/>
        </w:rPr>
        <w:t>s</w:t>
      </w:r>
      <w:r w:rsidR="00D9500A" w:rsidRPr="003E4B1F">
        <w:rPr>
          <w:rFonts w:cs="Arial"/>
        </w:rPr>
        <w:t>ations to make changes in their strategies.</w:t>
      </w:r>
    </w:p>
    <w:p w14:paraId="64866834" w14:textId="47D339EC" w:rsidR="002E567A" w:rsidRPr="003E4B1F" w:rsidRDefault="00712EBF" w:rsidP="00892553">
      <w:pPr>
        <w:pStyle w:val="Heading1"/>
        <w:rPr>
          <w:rStyle w:val="Strong"/>
          <w:rFonts w:cs="Arial"/>
          <w:color w:val="0D0D0D"/>
          <w:bdr w:val="single" w:sz="2" w:space="0" w:color="E3E3E3" w:frame="1"/>
          <w:shd w:val="clear" w:color="auto" w:fill="FFFFFF"/>
        </w:rPr>
      </w:pPr>
      <w:bookmarkStart w:id="6" w:name="_Toc168254285"/>
      <w:r w:rsidRPr="003E4B1F">
        <w:rPr>
          <w:rFonts w:cs="Arial"/>
        </w:rPr>
        <w:t xml:space="preserve">2.4 </w:t>
      </w:r>
      <w:r w:rsidR="002E567A" w:rsidRPr="003E4B1F">
        <w:rPr>
          <w:rFonts w:cs="Arial"/>
        </w:rPr>
        <w:t xml:space="preserve">Future of Sustainable Practices in the Hotel </w:t>
      </w:r>
      <w:r w:rsidR="00B12D44" w:rsidRPr="003E4B1F">
        <w:rPr>
          <w:rFonts w:cs="Arial"/>
        </w:rPr>
        <w:t>and</w:t>
      </w:r>
      <w:r w:rsidR="002E567A" w:rsidRPr="003E4B1F">
        <w:rPr>
          <w:rFonts w:cs="Arial"/>
        </w:rPr>
        <w:t xml:space="preserve"> Hospitality Industry</w:t>
      </w:r>
      <w:bookmarkEnd w:id="6"/>
    </w:p>
    <w:p w14:paraId="60EC6DB6" w14:textId="11D52083" w:rsidR="00A6500C" w:rsidRPr="003E4B1F" w:rsidRDefault="00A6500C" w:rsidP="00892553">
      <w:pPr>
        <w:rPr>
          <w:rFonts w:cs="Arial"/>
        </w:rPr>
      </w:pPr>
      <w:r w:rsidRPr="003E4B1F">
        <w:rPr>
          <w:rFonts w:cs="Arial"/>
        </w:rPr>
        <w:t>The future, which is now making its presence, involves three basic aspects in this industry: renewable energy, eco-friendly architecture, and sustainability in sourcing</w:t>
      </w:r>
      <w:r w:rsidR="001212F5" w:rsidRPr="003E4B1F">
        <w:rPr>
          <w:rFonts w:cs="Arial"/>
        </w:rPr>
        <w:t xml:space="preserve"> (</w:t>
      </w:r>
      <w:r w:rsidR="0085372F" w:rsidRPr="003E4B1F">
        <w:rPr>
          <w:rFonts w:cs="Arial"/>
        </w:rPr>
        <w:t>Costa and Costa</w:t>
      </w:r>
      <w:r w:rsidR="001212F5" w:rsidRPr="003E4B1F">
        <w:rPr>
          <w:rFonts w:cs="Arial"/>
        </w:rPr>
        <w:t>, 202</w:t>
      </w:r>
      <w:r w:rsidR="0085372F" w:rsidRPr="003E4B1F">
        <w:rPr>
          <w:rFonts w:cs="Arial"/>
        </w:rPr>
        <w:t>2</w:t>
      </w:r>
      <w:r w:rsidR="001212F5" w:rsidRPr="003E4B1F">
        <w:rPr>
          <w:rFonts w:cs="Arial"/>
        </w:rPr>
        <w:t>)</w:t>
      </w:r>
      <w:r w:rsidRPr="003E4B1F">
        <w:rPr>
          <w:rFonts w:cs="Arial"/>
        </w:rPr>
        <w:t xml:space="preserve">. It's not only the prime source but one among many to renew the carbon emissions accompanying traditional ones. Only in the USA, the number of hotels featuring these solar installations has increased by more than 20% in the last decade, so that the seriousness </w:t>
      </w:r>
      <w:r w:rsidR="00AA22E9" w:rsidRPr="003E4B1F">
        <w:rPr>
          <w:rFonts w:cs="Arial"/>
        </w:rPr>
        <w:t>of</w:t>
      </w:r>
      <w:r w:rsidRPr="003E4B1F">
        <w:rPr>
          <w:rFonts w:cs="Arial"/>
        </w:rPr>
        <w:t xml:space="preserve"> this renewable energy can hardly be denied</w:t>
      </w:r>
      <w:r w:rsidR="00590AED" w:rsidRPr="003E4B1F">
        <w:rPr>
          <w:rFonts w:cs="Arial"/>
        </w:rPr>
        <w:t xml:space="preserve"> (Ghimire et al., 2023)</w:t>
      </w:r>
      <w:r w:rsidRPr="003E4B1F">
        <w:rPr>
          <w:rFonts w:cs="Arial"/>
        </w:rPr>
        <w:t>.</w:t>
      </w:r>
    </w:p>
    <w:p w14:paraId="2CC93FF0" w14:textId="42FA3062" w:rsidR="00C70830" w:rsidRPr="003E4B1F" w:rsidRDefault="00C70830" w:rsidP="00892553">
      <w:pPr>
        <w:rPr>
          <w:rFonts w:cs="Arial"/>
        </w:rPr>
      </w:pPr>
      <w:r w:rsidRPr="003E4B1F">
        <w:rPr>
          <w:rFonts w:cs="Arial"/>
        </w:rPr>
        <w:t>Eco-friendly architecture includes green roofing, natural lighting, and energy materials for added environmental sustainability and less expensive operation</w:t>
      </w:r>
      <w:r w:rsidR="001212F5" w:rsidRPr="003E4B1F">
        <w:rPr>
          <w:rFonts w:cs="Arial"/>
        </w:rPr>
        <w:t xml:space="preserve"> (Jauhari, 2021)</w:t>
      </w:r>
      <w:r w:rsidRPr="003E4B1F">
        <w:rPr>
          <w:rFonts w:cs="Arial"/>
        </w:rPr>
        <w:t>. The locally operated sources of sustainability include local and organic produce that hugely reduce the emission of supply chain and further add in building up community economies.</w:t>
      </w:r>
    </w:p>
    <w:p w14:paraId="62389FB9" w14:textId="384D0CAB" w:rsidR="006C18AA" w:rsidRPr="003E4B1F" w:rsidRDefault="00C70830" w:rsidP="00892553">
      <w:pPr>
        <w:rPr>
          <w:rFonts w:cs="Arial"/>
        </w:rPr>
      </w:pPr>
      <w:r w:rsidRPr="003E4B1F">
        <w:rPr>
          <w:rFonts w:cs="Arial"/>
        </w:rPr>
        <w:t>On the other side, there go the trend lines pushing the hospitality sector towards eco-certified accommodation. In one of its studies, Booking.com revealed that 71% of all global trave</w:t>
      </w:r>
      <w:r w:rsidR="00AA22E9" w:rsidRPr="003E4B1F">
        <w:rPr>
          <w:rFonts w:cs="Arial"/>
        </w:rPr>
        <w:t>l</w:t>
      </w:r>
      <w:r w:rsidRPr="003E4B1F">
        <w:rPr>
          <w:rFonts w:cs="Arial"/>
        </w:rPr>
        <w:t>lers would more likely stay in eco-friendly lodging, while almost 50% would pay more for ecologically sensitive accommodation</w:t>
      </w:r>
      <w:r w:rsidR="0076741C" w:rsidRPr="003E4B1F">
        <w:rPr>
          <w:rFonts w:cs="Arial"/>
        </w:rPr>
        <w:t xml:space="preserve"> (Booking.com, 2022)</w:t>
      </w:r>
      <w:r w:rsidRPr="003E4B1F">
        <w:rPr>
          <w:rFonts w:cs="Arial"/>
        </w:rPr>
        <w:t>. This consumer demand really tells of sustainability as the differentiator in a crowded marketplace.</w:t>
      </w:r>
    </w:p>
    <w:p w14:paraId="740E1E93" w14:textId="77777777" w:rsidR="001212F5" w:rsidRPr="003E4B1F" w:rsidRDefault="005E34D9" w:rsidP="00892553">
      <w:pPr>
        <w:keepNext/>
        <w:jc w:val="center"/>
        <w:rPr>
          <w:rFonts w:cs="Arial"/>
        </w:rPr>
      </w:pPr>
      <w:r w:rsidRPr="003E4B1F">
        <w:rPr>
          <w:rFonts w:cs="Arial"/>
        </w:rPr>
        <w:lastRenderedPageBreak/>
        <w:drawing>
          <wp:inline distT="0" distB="0" distL="0" distR="0" wp14:anchorId="15B701F9" wp14:editId="72B78C96">
            <wp:extent cx="4733925" cy="2133600"/>
            <wp:effectExtent l="0" t="0" r="9525" b="0"/>
            <wp:docPr id="1049567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567013" name=""/>
                    <pic:cNvPicPr/>
                  </pic:nvPicPr>
                  <pic:blipFill>
                    <a:blip r:embed="rId15"/>
                    <a:stretch>
                      <a:fillRect/>
                    </a:stretch>
                  </pic:blipFill>
                  <pic:spPr>
                    <a:xfrm>
                      <a:off x="0" y="0"/>
                      <a:ext cx="4733925" cy="2133600"/>
                    </a:xfrm>
                    <a:prstGeom prst="rect">
                      <a:avLst/>
                    </a:prstGeom>
                  </pic:spPr>
                </pic:pic>
              </a:graphicData>
            </a:graphic>
          </wp:inline>
        </w:drawing>
      </w:r>
    </w:p>
    <w:p w14:paraId="6CBC178C" w14:textId="71E146AC" w:rsidR="005E34D9" w:rsidRPr="003E4B1F" w:rsidRDefault="001212F5" w:rsidP="00892553">
      <w:pPr>
        <w:jc w:val="center"/>
        <w:rPr>
          <w:rFonts w:cs="Arial"/>
        </w:rPr>
      </w:pPr>
      <w:r w:rsidRPr="003E4B1F">
        <w:rPr>
          <w:rFonts w:cs="Arial"/>
        </w:rPr>
        <w:t xml:space="preserve">Figure </w:t>
      </w:r>
      <w:r w:rsidRPr="003E4B1F">
        <w:rPr>
          <w:rFonts w:cs="Arial"/>
        </w:rPr>
        <w:fldChar w:fldCharType="begin"/>
      </w:r>
      <w:r w:rsidRPr="003E4B1F">
        <w:rPr>
          <w:rFonts w:cs="Arial"/>
        </w:rPr>
        <w:instrText xml:space="preserve"> SEQ Figure \* ARABIC </w:instrText>
      </w:r>
      <w:r w:rsidRPr="003E4B1F">
        <w:rPr>
          <w:rFonts w:cs="Arial"/>
        </w:rPr>
        <w:fldChar w:fldCharType="separate"/>
      </w:r>
      <w:r w:rsidRPr="003E4B1F">
        <w:rPr>
          <w:rFonts w:cs="Arial"/>
        </w:rPr>
        <w:t>2</w:t>
      </w:r>
      <w:r w:rsidRPr="003E4B1F">
        <w:rPr>
          <w:rFonts w:cs="Arial"/>
        </w:rPr>
        <w:fldChar w:fldCharType="end"/>
      </w:r>
      <w:r w:rsidRPr="003E4B1F">
        <w:rPr>
          <w:rFonts w:cs="Arial"/>
        </w:rPr>
        <w:t xml:space="preserve"> Carbon Emission EU / Sources: </w:t>
      </w:r>
      <w:r w:rsidR="00400E78" w:rsidRPr="003E4B1F">
        <w:rPr>
          <w:rFonts w:cs="Arial"/>
        </w:rPr>
        <w:t>(IRENA, 2023)</w:t>
      </w:r>
    </w:p>
    <w:p w14:paraId="2B3E72B8" w14:textId="3881CFC8" w:rsidR="00225568" w:rsidRPr="003E4B1F" w:rsidRDefault="00225568" w:rsidP="00892553">
      <w:pPr>
        <w:rPr>
          <w:rFonts w:cs="Arial"/>
        </w:rPr>
      </w:pPr>
      <w:r w:rsidRPr="003E4B1F">
        <w:rPr>
          <w:rFonts w:cs="Arial"/>
        </w:rPr>
        <w:t>The future industry development is highly dependent on international sustainability regulations and regional policies. The Green Deal of the European Union and the United Nations Sustainable Development Goals (SDGs) set benchmarks for the hospitality sector</w:t>
      </w:r>
      <w:r w:rsidR="0085372F" w:rsidRPr="003E4B1F">
        <w:rPr>
          <w:rFonts w:cs="Arial"/>
        </w:rPr>
        <w:t xml:space="preserve"> (Jones et al., 2017)</w:t>
      </w:r>
      <w:r w:rsidRPr="003E4B1F">
        <w:rPr>
          <w:rFonts w:cs="Arial"/>
        </w:rPr>
        <w:t>. For instance, the EU outlook to the year 2030 is a reduction of carbon emission</w:t>
      </w:r>
      <w:r w:rsidR="00AA22E9" w:rsidRPr="003E4B1F">
        <w:rPr>
          <w:rFonts w:cs="Arial"/>
        </w:rPr>
        <w:t>s</w:t>
      </w:r>
      <w:r w:rsidRPr="003E4B1F">
        <w:rPr>
          <w:rFonts w:cs="Arial"/>
        </w:rPr>
        <w:t xml:space="preserve"> by not less than 55%, further pushing the industry toward being favo</w:t>
      </w:r>
      <w:r w:rsidR="00AA22E9" w:rsidRPr="003E4B1F">
        <w:rPr>
          <w:rFonts w:cs="Arial"/>
        </w:rPr>
        <w:t>u</w:t>
      </w:r>
      <w:r w:rsidRPr="003E4B1F">
        <w:rPr>
          <w:rFonts w:cs="Arial"/>
        </w:rPr>
        <w:t>rable with energy-efficient technologies</w:t>
      </w:r>
      <w:r w:rsidR="001212F5" w:rsidRPr="003E4B1F">
        <w:rPr>
          <w:rFonts w:cs="Arial"/>
        </w:rPr>
        <w:t xml:space="preserve"> </w:t>
      </w:r>
      <w:r w:rsidR="00400E78" w:rsidRPr="003E4B1F">
        <w:rPr>
          <w:rFonts w:cs="Arial"/>
        </w:rPr>
        <w:t>(IRENA, 2023).</w:t>
      </w:r>
    </w:p>
    <w:p w14:paraId="0CAA85D2" w14:textId="47B95A7B" w:rsidR="00225568" w:rsidRPr="003E4B1F" w:rsidRDefault="00225568" w:rsidP="00892553">
      <w:pPr>
        <w:rPr>
          <w:rFonts w:cs="Arial"/>
        </w:rPr>
      </w:pPr>
      <w:r w:rsidRPr="003E4B1F">
        <w:rPr>
          <w:rFonts w:cs="Arial"/>
        </w:rPr>
        <w:t>It will take technological innovations, among other factors, for the targets to be achieved. Specially designed smart energy systems that optimize data analytics in energy consumption could reduce the energy usage of a hotel by as much as 30%. Waste-to-Energy technologies, including anaerobic digestion, convert organic waste to bio-gas, thus reducing further reliance on landfills while producing renewable energy</w:t>
      </w:r>
      <w:r w:rsidR="001212F5" w:rsidRPr="003E4B1F">
        <w:rPr>
          <w:rFonts w:cs="Arial"/>
        </w:rPr>
        <w:t xml:space="preserve"> (Camilleri, 2020)</w:t>
      </w:r>
      <w:r w:rsidRPr="003E4B1F">
        <w:rPr>
          <w:rFonts w:cs="Arial"/>
        </w:rPr>
        <w:t xml:space="preserve">. </w:t>
      </w:r>
    </w:p>
    <w:p w14:paraId="3583BEC3" w14:textId="784B39CF" w:rsidR="00225568" w:rsidRPr="003E4B1F" w:rsidRDefault="00225568" w:rsidP="00892553">
      <w:pPr>
        <w:rPr>
          <w:rFonts w:cs="Arial"/>
        </w:rPr>
      </w:pPr>
      <w:r w:rsidRPr="003E4B1F">
        <w:rPr>
          <w:rFonts w:cs="Arial"/>
        </w:rPr>
        <w:t>This, therefore, calls for any hotel that has ambitions to remain competitive in the wake of ever-changing environmental standards to have a multifaceted approach to energy sustainability. By all means—solar, wind, or geothermal—renewable energy should be diversified to make the hotel energy price-resilient</w:t>
      </w:r>
      <w:r w:rsidR="001212F5" w:rsidRPr="003E4B1F">
        <w:rPr>
          <w:rFonts w:cs="Arial"/>
        </w:rPr>
        <w:t xml:space="preserve"> (Kubba, 2019)</w:t>
      </w:r>
      <w:r w:rsidRPr="003E4B1F">
        <w:rPr>
          <w:rFonts w:cs="Arial"/>
        </w:rPr>
        <w:t>. Strategic partnerships with local suppliers further reinforce the strong focus on sustainability sourcing and community involvement. Investment in an eco-architecture building and smart energy systems that will reduce operating costs dramatically and, at the same time, please the conscientious trave</w:t>
      </w:r>
      <w:r w:rsidR="00AA22E9" w:rsidRPr="003E4B1F">
        <w:rPr>
          <w:rFonts w:cs="Arial"/>
        </w:rPr>
        <w:t>l</w:t>
      </w:r>
      <w:r w:rsidRPr="003E4B1F">
        <w:rPr>
          <w:rFonts w:cs="Arial"/>
        </w:rPr>
        <w:t>ler.</w:t>
      </w:r>
    </w:p>
    <w:p w14:paraId="228078FC" w14:textId="7E85E7E7" w:rsidR="00082FDD" w:rsidRPr="003E4B1F" w:rsidRDefault="00346910" w:rsidP="00892553">
      <w:pPr>
        <w:pStyle w:val="Heading1"/>
        <w:rPr>
          <w:rFonts w:cs="Arial"/>
        </w:rPr>
      </w:pPr>
      <w:bookmarkStart w:id="7" w:name="_Toc168254286"/>
      <w:r w:rsidRPr="003E4B1F">
        <w:rPr>
          <w:rFonts w:cs="Arial"/>
        </w:rPr>
        <w:lastRenderedPageBreak/>
        <w:t xml:space="preserve">3. </w:t>
      </w:r>
      <w:r w:rsidR="00082FDD" w:rsidRPr="003E4B1F">
        <w:rPr>
          <w:rFonts w:cs="Arial"/>
        </w:rPr>
        <w:t>Conclusion</w:t>
      </w:r>
      <w:bookmarkEnd w:id="7"/>
      <w:r w:rsidR="00082FDD" w:rsidRPr="003E4B1F">
        <w:rPr>
          <w:rFonts w:cs="Arial"/>
        </w:rPr>
        <w:t xml:space="preserve"> </w:t>
      </w:r>
    </w:p>
    <w:p w14:paraId="22B9267F" w14:textId="1C2C3E93" w:rsidR="009B67C1" w:rsidRPr="003E4B1F" w:rsidRDefault="00225568" w:rsidP="00892553">
      <w:pPr>
        <w:rPr>
          <w:rFonts w:cs="Arial"/>
        </w:rPr>
      </w:pPr>
      <w:r w:rsidRPr="003E4B1F">
        <w:rPr>
          <w:rFonts w:cs="Arial"/>
        </w:rPr>
        <w:t xml:space="preserve">As an accreditation that </w:t>
      </w:r>
      <w:r w:rsidR="00803D79" w:rsidRPr="003E4B1F">
        <w:rPr>
          <w:rFonts w:cs="Arial"/>
        </w:rPr>
        <w:t>contributes</w:t>
      </w:r>
      <w:r w:rsidRPr="003E4B1F">
        <w:rPr>
          <w:rFonts w:cs="Arial"/>
        </w:rPr>
        <w:t xml:space="preserve"> to sustainability, Green Key certification requires very high standards for energy efficiency, waste management, and community involvement. Besides, these initiatives have the benefit of preserving resources, reducing pollution, improving operational efficiency, and enhancing brand value. Some of the challenges they face include high cost</w:t>
      </w:r>
      <w:r w:rsidR="00AA22E9" w:rsidRPr="003E4B1F">
        <w:rPr>
          <w:rFonts w:cs="Arial"/>
        </w:rPr>
        <w:t>s</w:t>
      </w:r>
      <w:r w:rsidRPr="003E4B1F">
        <w:rPr>
          <w:rFonts w:cs="Arial"/>
        </w:rPr>
        <w:t xml:space="preserve"> in terms of initial investments, very complex compliance requirements, and a resistant environment to change.</w:t>
      </w:r>
      <w:r w:rsidR="00026666" w:rsidRPr="003E4B1F">
        <w:rPr>
          <w:rFonts w:cs="Arial"/>
        </w:rPr>
        <w:t xml:space="preserve"> </w:t>
      </w:r>
      <w:r w:rsidR="007A0921" w:rsidRPr="003E4B1F">
        <w:rPr>
          <w:rFonts w:cs="Arial"/>
        </w:rPr>
        <w:t xml:space="preserve">Future trends show how important it is to use green energy, build sustainably, and get materials ethically due to consumer demand and international laws. Hotels must use new technologies, engage stakeholders, and create full CSR frameworks to stay competitive. </w:t>
      </w:r>
      <w:r w:rsidR="008A21BC" w:rsidRPr="003E4B1F">
        <w:rPr>
          <w:rFonts w:cs="Arial"/>
        </w:rPr>
        <w:t>Therefore, s</w:t>
      </w:r>
      <w:r w:rsidR="007A0921" w:rsidRPr="003E4B1F">
        <w:rPr>
          <w:rFonts w:cs="Arial"/>
        </w:rPr>
        <w:t>trategic sustainability is crucial for the hospitality industry's long-term growth and environmental protection.</w:t>
      </w:r>
    </w:p>
    <w:p w14:paraId="1E2202ED" w14:textId="23F1F5FB" w:rsidR="009B67C1" w:rsidRPr="003E4B1F" w:rsidRDefault="009B67C1" w:rsidP="00892553">
      <w:pPr>
        <w:pStyle w:val="Heading1"/>
        <w:rPr>
          <w:rFonts w:cs="Arial"/>
        </w:rPr>
      </w:pPr>
      <w:bookmarkStart w:id="8" w:name="_Toc168254287"/>
      <w:r w:rsidRPr="003E4B1F">
        <w:rPr>
          <w:rFonts w:cs="Arial"/>
        </w:rPr>
        <w:t>4. Recommendations</w:t>
      </w:r>
      <w:bookmarkEnd w:id="8"/>
    </w:p>
    <w:p w14:paraId="7A56DD1D" w14:textId="4EA4AA31" w:rsidR="006C18AA" w:rsidRPr="003E4B1F" w:rsidRDefault="00225568" w:rsidP="00892553">
      <w:pPr>
        <w:rPr>
          <w:rFonts w:cs="Arial"/>
        </w:rPr>
      </w:pPr>
      <w:r w:rsidRPr="003E4B1F">
        <w:rPr>
          <w:rFonts w:cs="Arial"/>
        </w:rPr>
        <w:t>The point to note for hospitality providers is sustainable success in transitioning to greener practices: investment in renewable energy, smart energy systems, and eco-friendly architecture. Other essentials in dealing with the stakeholders are promotion of a sustainability culture and development of trust. The industry should be in a position to respond to the changing market and regulatory environment by tracking consumer demands as they develop and benchmark international sustainability. Through partnerships and comprehensive CSR frameworks, hotels are best positioned in terms of handling these two major shifts.</w:t>
      </w:r>
      <w:r w:rsidR="000A06D2" w:rsidRPr="003E4B1F">
        <w:rPr>
          <w:rFonts w:cs="Arial"/>
        </w:rPr>
        <w:t xml:space="preserve"> </w:t>
      </w:r>
      <w:r w:rsidR="006C18AA" w:rsidRPr="003E4B1F">
        <w:rPr>
          <w:rFonts w:cs="Arial"/>
        </w:rPr>
        <w:t xml:space="preserve">This very sustainability, therefore, will continue to be indispensable to the future of the hotel and hospitality industry. </w:t>
      </w:r>
    </w:p>
    <w:p w14:paraId="6B51F10A" w14:textId="67A2D2A6" w:rsidR="00082FDD" w:rsidRPr="003E4B1F" w:rsidRDefault="00082FDD" w:rsidP="00892553">
      <w:pPr>
        <w:rPr>
          <w:rFonts w:cs="Arial"/>
        </w:rPr>
      </w:pPr>
    </w:p>
    <w:p w14:paraId="77570E96" w14:textId="77777777" w:rsidR="00312020" w:rsidRPr="003E4B1F" w:rsidRDefault="00312020" w:rsidP="00892553">
      <w:pPr>
        <w:rPr>
          <w:rFonts w:cs="Arial"/>
        </w:rPr>
      </w:pPr>
    </w:p>
    <w:p w14:paraId="2438E109" w14:textId="77777777" w:rsidR="00312020" w:rsidRPr="003E4B1F" w:rsidRDefault="00312020" w:rsidP="00892553">
      <w:pPr>
        <w:rPr>
          <w:rFonts w:cs="Arial"/>
        </w:rPr>
      </w:pPr>
    </w:p>
    <w:p w14:paraId="34EB9F25" w14:textId="77777777" w:rsidR="001212F5" w:rsidRPr="003E4B1F" w:rsidRDefault="001212F5" w:rsidP="00892553">
      <w:pPr>
        <w:jc w:val="left"/>
        <w:rPr>
          <w:rFonts w:eastAsiaTheme="majorEastAsia" w:cs="Arial"/>
          <w:b/>
          <w:color w:val="365F91" w:themeColor="accent1" w:themeShade="BF"/>
          <w:sz w:val="28"/>
          <w:szCs w:val="32"/>
        </w:rPr>
      </w:pPr>
      <w:r w:rsidRPr="003E4B1F">
        <w:rPr>
          <w:rFonts w:cs="Arial"/>
        </w:rPr>
        <w:br w:type="page"/>
      </w:r>
    </w:p>
    <w:p w14:paraId="335AB402" w14:textId="1CCB76A4" w:rsidR="00770909" w:rsidRPr="003E4B1F" w:rsidRDefault="00312020" w:rsidP="00892553">
      <w:pPr>
        <w:pStyle w:val="Heading1"/>
        <w:rPr>
          <w:rFonts w:cs="Arial"/>
        </w:rPr>
      </w:pPr>
      <w:bookmarkStart w:id="9" w:name="_Toc168254288"/>
      <w:r w:rsidRPr="003E4B1F">
        <w:rPr>
          <w:rFonts w:cs="Arial"/>
        </w:rPr>
        <w:lastRenderedPageBreak/>
        <w:t>Reference</w:t>
      </w:r>
      <w:r w:rsidR="00515400" w:rsidRPr="003E4B1F">
        <w:rPr>
          <w:rFonts w:cs="Arial"/>
        </w:rPr>
        <w:t xml:space="preserve"> List</w:t>
      </w:r>
      <w:bookmarkEnd w:id="9"/>
    </w:p>
    <w:p w14:paraId="26951E8B" w14:textId="77777777" w:rsidR="000362C9" w:rsidRPr="003E4B1F" w:rsidRDefault="000362C9" w:rsidP="00892553">
      <w:pPr>
        <w:spacing w:after="240"/>
        <w:rPr>
          <w:rFonts w:eastAsia="Times New Roman" w:cs="Arial"/>
          <w:kern w:val="0"/>
          <w:szCs w:val="24"/>
          <w:lang w:eastAsia="en-GB"/>
          <w14:ligatures w14:val="none"/>
        </w:rPr>
      </w:pPr>
      <w:r w:rsidRPr="003E4B1F">
        <w:rPr>
          <w:rFonts w:eastAsia="Times New Roman" w:cs="Arial"/>
          <w:kern w:val="0"/>
          <w:szCs w:val="24"/>
          <w:lang w:eastAsia="en-GB"/>
          <w14:ligatures w14:val="none"/>
        </w:rPr>
        <w:t xml:space="preserve">Andzenge, G. (2016) </w:t>
      </w:r>
      <w:r w:rsidRPr="003E4B1F">
        <w:rPr>
          <w:rFonts w:eastAsia="Times New Roman" w:cs="Arial"/>
          <w:i/>
          <w:iCs/>
          <w:kern w:val="0"/>
          <w:szCs w:val="24"/>
          <w:lang w:eastAsia="en-GB"/>
          <w14:ligatures w14:val="none"/>
        </w:rPr>
        <w:t>Green Key Global’s Green Key Eco-Rating Program Achieves GSTC-Recognition</w:t>
      </w:r>
      <w:r w:rsidRPr="003E4B1F">
        <w:rPr>
          <w:rFonts w:eastAsia="Times New Roman" w:cs="Arial"/>
          <w:kern w:val="0"/>
          <w:szCs w:val="24"/>
          <w:lang w:eastAsia="en-GB"/>
          <w14:ligatures w14:val="none"/>
        </w:rPr>
        <w:t>. Available at: https://www.gstcouncil.org/green-key-global-s-green-key-eco-rating-program-achieves-gstc-recognition/ (Accessed: 29 May 2024).</w:t>
      </w:r>
    </w:p>
    <w:p w14:paraId="41C194DC" w14:textId="77777777" w:rsidR="000362C9" w:rsidRPr="003E4B1F" w:rsidRDefault="000362C9" w:rsidP="00892553">
      <w:pPr>
        <w:rPr>
          <w:rFonts w:cs="Arial"/>
          <w:shd w:val="clear" w:color="auto" w:fill="FFFFFF"/>
        </w:rPr>
      </w:pPr>
      <w:r w:rsidRPr="003E4B1F">
        <w:rPr>
          <w:rFonts w:cs="Arial"/>
          <w:shd w:val="clear" w:color="auto" w:fill="FFFFFF"/>
        </w:rPr>
        <w:t>Blinova, E., Gregorić, M., Dedusenko, E. and Romanova, M. (2018) Corporate social responsibility in tourism: International practices. </w:t>
      </w:r>
      <w:r w:rsidRPr="003E4B1F">
        <w:rPr>
          <w:rFonts w:cs="Arial"/>
          <w:i/>
          <w:iCs/>
          <w:shd w:val="clear" w:color="auto" w:fill="FFFFFF"/>
        </w:rPr>
        <w:t>European Research Studies</w:t>
      </w:r>
      <w:r w:rsidRPr="003E4B1F">
        <w:rPr>
          <w:rFonts w:cs="Arial"/>
          <w:shd w:val="clear" w:color="auto" w:fill="FFFFFF"/>
        </w:rPr>
        <w:t>, </w:t>
      </w:r>
      <w:r w:rsidRPr="003E4B1F">
        <w:rPr>
          <w:rFonts w:cs="Arial"/>
          <w:i/>
          <w:iCs/>
          <w:shd w:val="clear" w:color="auto" w:fill="FFFFFF"/>
        </w:rPr>
        <w:t>21</w:t>
      </w:r>
      <w:r w:rsidRPr="003E4B1F">
        <w:rPr>
          <w:rFonts w:cs="Arial"/>
          <w:shd w:val="clear" w:color="auto" w:fill="FFFFFF"/>
        </w:rPr>
        <w:t>(3), pp.636-647.</w:t>
      </w:r>
    </w:p>
    <w:p w14:paraId="3A789802" w14:textId="77777777" w:rsidR="000362C9" w:rsidRPr="003E4B1F" w:rsidRDefault="000362C9" w:rsidP="00892553">
      <w:pPr>
        <w:spacing w:after="240"/>
        <w:rPr>
          <w:rFonts w:eastAsia="Times New Roman" w:cs="Arial"/>
          <w:kern w:val="0"/>
          <w:szCs w:val="24"/>
          <w:lang w:eastAsia="en-GB"/>
          <w14:ligatures w14:val="none"/>
        </w:rPr>
      </w:pPr>
      <w:r w:rsidRPr="003E4B1F">
        <w:rPr>
          <w:rFonts w:eastAsia="Times New Roman" w:cs="Arial"/>
          <w:kern w:val="0"/>
          <w:szCs w:val="24"/>
          <w:lang w:eastAsia="en-GB"/>
          <w14:ligatures w14:val="none"/>
        </w:rPr>
        <w:t xml:space="preserve">Bogensperger, C. (2023) </w:t>
      </w:r>
      <w:r w:rsidRPr="003E4B1F">
        <w:rPr>
          <w:rFonts w:eastAsia="Times New Roman" w:cs="Arial"/>
          <w:i/>
          <w:iCs/>
          <w:kern w:val="0"/>
          <w:szCs w:val="24"/>
          <w:lang w:eastAsia="en-GB"/>
          <w14:ligatures w14:val="none"/>
        </w:rPr>
        <w:t>Green Key — Rising popularity of sustainable accommodations highlighted in Booking.com Report</w:t>
      </w:r>
      <w:r w:rsidRPr="003E4B1F">
        <w:rPr>
          <w:rFonts w:eastAsia="Times New Roman" w:cs="Arial"/>
          <w:kern w:val="0"/>
          <w:szCs w:val="24"/>
          <w:lang w:eastAsia="en-GB"/>
          <w14:ligatures w14:val="none"/>
        </w:rPr>
        <w:t>. Available at: https://www.greenkey.global/stories-news-1/2023/05-rising-popularity-of-eco-accomodations-bookingsustainabletravelreport-5zfs (Accessed: 29 May 2024).</w:t>
      </w:r>
    </w:p>
    <w:p w14:paraId="3F6C67A2" w14:textId="77777777" w:rsidR="000362C9" w:rsidRPr="003E4B1F" w:rsidRDefault="000362C9" w:rsidP="00892553">
      <w:pPr>
        <w:spacing w:after="240"/>
        <w:rPr>
          <w:rFonts w:eastAsia="Times New Roman" w:cs="Arial"/>
          <w:kern w:val="0"/>
          <w:szCs w:val="24"/>
          <w:lang w:eastAsia="en-GB"/>
          <w14:ligatures w14:val="none"/>
        </w:rPr>
      </w:pPr>
      <w:r w:rsidRPr="003E4B1F">
        <w:rPr>
          <w:rFonts w:eastAsia="Times New Roman" w:cs="Arial"/>
          <w:kern w:val="0"/>
          <w:szCs w:val="24"/>
          <w:lang w:eastAsia="en-GB"/>
          <w14:ligatures w14:val="none"/>
        </w:rPr>
        <w:t xml:space="preserve">Booking.com (2022) </w:t>
      </w:r>
      <w:r w:rsidRPr="003E4B1F">
        <w:rPr>
          <w:rFonts w:eastAsia="Times New Roman" w:cs="Arial"/>
          <w:i/>
          <w:iCs/>
          <w:kern w:val="0"/>
          <w:szCs w:val="24"/>
          <w:lang w:eastAsia="en-GB"/>
          <w14:ligatures w14:val="none"/>
        </w:rPr>
        <w:t>Climate, Community and Choice: Booking.com Reveals the Trends Shaping Sustainable Travel in 2022</w:t>
      </w:r>
      <w:r w:rsidRPr="003E4B1F">
        <w:rPr>
          <w:rFonts w:eastAsia="Times New Roman" w:cs="Arial"/>
          <w:kern w:val="0"/>
          <w:szCs w:val="24"/>
          <w:lang w:eastAsia="en-GB"/>
          <w14:ligatures w14:val="none"/>
        </w:rPr>
        <w:t>. Available at: https://news.booking.com/en/climate-community-and-choice-bookingcom-reveals-the-trends-shaping-sustainable-travel-in-2022/ (Accessed: 29 May 2024).</w:t>
      </w:r>
    </w:p>
    <w:p w14:paraId="3CD082B3" w14:textId="77777777" w:rsidR="000362C9" w:rsidRPr="003E4B1F" w:rsidRDefault="000362C9" w:rsidP="00892553">
      <w:pPr>
        <w:rPr>
          <w:rFonts w:cs="Arial"/>
          <w:shd w:val="clear" w:color="auto" w:fill="FFFFFF"/>
        </w:rPr>
      </w:pPr>
      <w:r w:rsidRPr="003E4B1F">
        <w:rPr>
          <w:rFonts w:cs="Arial"/>
          <w:shd w:val="clear" w:color="auto" w:fill="FFFFFF"/>
        </w:rPr>
        <w:t xml:space="preserve">Camilleri, M.A. (2020) Strategic corporate social responsibility in tourism and hospitality. Camilleri, MA, Strategic Corporate Social Responsibility in Tourism and Hospitality. </w:t>
      </w:r>
      <w:r w:rsidRPr="003E4B1F">
        <w:rPr>
          <w:rFonts w:cs="Arial"/>
          <w:i/>
          <w:iCs/>
          <w:shd w:val="clear" w:color="auto" w:fill="FFFFFF"/>
        </w:rPr>
        <w:t>Sustainable Development</w:t>
      </w:r>
      <w:r w:rsidRPr="003E4B1F">
        <w:rPr>
          <w:rFonts w:cs="Arial"/>
          <w:shd w:val="clear" w:color="auto" w:fill="FFFFFF"/>
        </w:rPr>
        <w:t>, pp.1-3.</w:t>
      </w:r>
    </w:p>
    <w:p w14:paraId="2632E67E" w14:textId="77777777" w:rsidR="000362C9" w:rsidRPr="003E4B1F" w:rsidRDefault="000362C9" w:rsidP="00892553">
      <w:pPr>
        <w:rPr>
          <w:rFonts w:cs="Arial"/>
        </w:rPr>
      </w:pPr>
      <w:bookmarkStart w:id="10" w:name="_Hlk167837876"/>
      <w:bookmarkStart w:id="11" w:name="_Hlk167836942"/>
      <w:r w:rsidRPr="003E4B1F">
        <w:rPr>
          <w:rFonts w:cs="Arial"/>
        </w:rPr>
        <w:t>Cooper</w:t>
      </w:r>
      <w:bookmarkEnd w:id="10"/>
      <w:r w:rsidRPr="003E4B1F">
        <w:rPr>
          <w:rFonts w:cs="Arial"/>
        </w:rPr>
        <w:t xml:space="preserve">, C. (2021) </w:t>
      </w:r>
      <w:r w:rsidRPr="003E4B1F">
        <w:rPr>
          <w:rFonts w:cs="Arial"/>
          <w:i/>
          <w:iCs/>
        </w:rPr>
        <w:t>Essentials of tourism</w:t>
      </w:r>
      <w:r w:rsidRPr="003E4B1F">
        <w:rPr>
          <w:rFonts w:cs="Arial"/>
        </w:rPr>
        <w:t>. Third edition. London: SAGE.</w:t>
      </w:r>
    </w:p>
    <w:p w14:paraId="09C144F8" w14:textId="77777777" w:rsidR="000362C9" w:rsidRPr="003E4B1F" w:rsidRDefault="000362C9" w:rsidP="00892553">
      <w:pPr>
        <w:rPr>
          <w:rFonts w:cs="Arial"/>
        </w:rPr>
      </w:pPr>
      <w:bookmarkStart w:id="12" w:name="_Hlk167836982"/>
      <w:bookmarkStart w:id="13" w:name="_Hlk167837009"/>
      <w:bookmarkEnd w:id="11"/>
      <w:r w:rsidRPr="003E4B1F">
        <w:rPr>
          <w:rFonts w:cs="Arial"/>
        </w:rPr>
        <w:t>Costa</w:t>
      </w:r>
      <w:bookmarkEnd w:id="12"/>
      <w:r w:rsidRPr="003E4B1F">
        <w:rPr>
          <w:rFonts w:cs="Arial"/>
        </w:rPr>
        <w:t xml:space="preserve">, V. and Costa, C. (2022) </w:t>
      </w:r>
      <w:r w:rsidRPr="003E4B1F">
        <w:rPr>
          <w:rFonts w:cs="Arial"/>
          <w:i/>
          <w:iCs/>
        </w:rPr>
        <w:t>Sustainability and Competitiveness in the Hospitality Industry</w:t>
      </w:r>
      <w:r w:rsidRPr="003E4B1F">
        <w:rPr>
          <w:rFonts w:cs="Arial"/>
        </w:rPr>
        <w:t>. IGI Global.</w:t>
      </w:r>
    </w:p>
    <w:bookmarkEnd w:id="13"/>
    <w:p w14:paraId="567FA5B9" w14:textId="77777777" w:rsidR="000362C9" w:rsidRPr="003E4B1F" w:rsidRDefault="000362C9" w:rsidP="00892553">
      <w:pPr>
        <w:spacing w:after="240"/>
        <w:rPr>
          <w:rFonts w:eastAsia="Times New Roman" w:cs="Arial"/>
          <w:kern w:val="0"/>
          <w:szCs w:val="24"/>
          <w:lang w:eastAsia="en-GB"/>
          <w14:ligatures w14:val="none"/>
        </w:rPr>
      </w:pPr>
      <w:r w:rsidRPr="003E4B1F">
        <w:rPr>
          <w:rFonts w:eastAsia="Times New Roman" w:cs="Arial"/>
          <w:kern w:val="0"/>
          <w:szCs w:val="24"/>
          <w:lang w:eastAsia="en-GB"/>
          <w14:ligatures w14:val="none"/>
        </w:rPr>
        <w:t xml:space="preserve">ecolab (2024) </w:t>
      </w:r>
      <w:r w:rsidRPr="003E4B1F">
        <w:rPr>
          <w:rFonts w:eastAsia="Times New Roman" w:cs="Arial"/>
          <w:i/>
          <w:iCs/>
          <w:kern w:val="0"/>
          <w:szCs w:val="24"/>
          <w:lang w:eastAsia="en-GB"/>
          <w14:ligatures w14:val="none"/>
        </w:rPr>
        <w:t>Marriott Sustainability Goals for 2025 and Beyond</w:t>
      </w:r>
      <w:r w:rsidRPr="003E4B1F">
        <w:rPr>
          <w:rFonts w:eastAsia="Times New Roman" w:cs="Arial"/>
          <w:kern w:val="0"/>
          <w:szCs w:val="24"/>
          <w:lang w:eastAsia="en-GB"/>
          <w14:ligatures w14:val="none"/>
        </w:rPr>
        <w:t>. Available at: https://www.ecolab.com/stories/marriott-sustainability-goals-for-2025-and-beyond (Accessed: 29 May 2024).</w:t>
      </w:r>
    </w:p>
    <w:p w14:paraId="7A059CEB" w14:textId="77777777" w:rsidR="000362C9" w:rsidRPr="003E4B1F" w:rsidRDefault="000362C9" w:rsidP="00892553">
      <w:pPr>
        <w:rPr>
          <w:rFonts w:cs="Arial"/>
          <w:shd w:val="clear" w:color="auto" w:fill="FFFFFF"/>
        </w:rPr>
      </w:pPr>
      <w:r w:rsidRPr="003E4B1F">
        <w:rPr>
          <w:rFonts w:cs="Arial"/>
          <w:shd w:val="clear" w:color="auto" w:fill="FFFFFF"/>
        </w:rPr>
        <w:t>Font, X. and Lynes, J. (2018) Corporate social responsibility in tourism and hospitality. </w:t>
      </w:r>
      <w:r w:rsidRPr="003E4B1F">
        <w:rPr>
          <w:rFonts w:cs="Arial"/>
          <w:i/>
          <w:iCs/>
          <w:shd w:val="clear" w:color="auto" w:fill="FFFFFF"/>
        </w:rPr>
        <w:t>Journal of Sustainable Tourism</w:t>
      </w:r>
      <w:r w:rsidRPr="003E4B1F">
        <w:rPr>
          <w:rFonts w:cs="Arial"/>
          <w:shd w:val="clear" w:color="auto" w:fill="FFFFFF"/>
        </w:rPr>
        <w:t>, </w:t>
      </w:r>
      <w:r w:rsidRPr="003E4B1F">
        <w:rPr>
          <w:rFonts w:cs="Arial"/>
          <w:i/>
          <w:iCs/>
          <w:shd w:val="clear" w:color="auto" w:fill="FFFFFF"/>
        </w:rPr>
        <w:t>26</w:t>
      </w:r>
      <w:r w:rsidRPr="003E4B1F">
        <w:rPr>
          <w:rFonts w:cs="Arial"/>
          <w:shd w:val="clear" w:color="auto" w:fill="FFFFFF"/>
        </w:rPr>
        <w:t>(7), pp.1027-1042.</w:t>
      </w:r>
    </w:p>
    <w:p w14:paraId="4461E718" w14:textId="77777777" w:rsidR="000362C9" w:rsidRPr="003E4B1F" w:rsidRDefault="000362C9" w:rsidP="00892553">
      <w:pPr>
        <w:rPr>
          <w:rFonts w:cs="Arial"/>
        </w:rPr>
      </w:pPr>
      <w:r w:rsidRPr="003E4B1F">
        <w:rPr>
          <w:rFonts w:cs="Arial"/>
        </w:rPr>
        <w:lastRenderedPageBreak/>
        <w:t xml:space="preserve">Ghimire, B., Muneenam, U. and Techato, K. (2023) Renewable energy use in green hotels for sustainability: a systematic review. </w:t>
      </w:r>
      <w:r w:rsidRPr="003E4B1F">
        <w:rPr>
          <w:rFonts w:cs="Arial"/>
          <w:i/>
          <w:iCs/>
        </w:rPr>
        <w:t>International Journal of Energy Economics and Policy</w:t>
      </w:r>
      <w:r w:rsidRPr="003E4B1F">
        <w:rPr>
          <w:rFonts w:cs="Arial"/>
        </w:rPr>
        <w:t xml:space="preserve">, </w:t>
      </w:r>
      <w:r w:rsidRPr="003E4B1F">
        <w:rPr>
          <w:rFonts w:cs="Arial"/>
          <w:i/>
          <w:iCs/>
        </w:rPr>
        <w:t>13</w:t>
      </w:r>
      <w:r w:rsidRPr="003E4B1F">
        <w:rPr>
          <w:rFonts w:cs="Arial"/>
        </w:rPr>
        <w:t>(6), pp.618-627.</w:t>
      </w:r>
    </w:p>
    <w:p w14:paraId="7AEB6A24" w14:textId="77777777" w:rsidR="000362C9" w:rsidRPr="003E4B1F" w:rsidRDefault="000362C9" w:rsidP="00892553">
      <w:pPr>
        <w:rPr>
          <w:rFonts w:cs="Arial"/>
        </w:rPr>
      </w:pPr>
      <w:r w:rsidRPr="003E4B1F">
        <w:rPr>
          <w:rFonts w:cs="Arial"/>
        </w:rPr>
        <w:t xml:space="preserve">Griffin, T. and DeLacey, T. (2012) Green Globe: Sustainability accreditation for tourism. In </w:t>
      </w:r>
      <w:r w:rsidRPr="003E4B1F">
        <w:rPr>
          <w:rFonts w:cs="Arial"/>
          <w:i/>
          <w:iCs/>
        </w:rPr>
        <w:t>Sustainable Tourism</w:t>
      </w:r>
      <w:r w:rsidRPr="003E4B1F">
        <w:rPr>
          <w:rFonts w:cs="Arial"/>
        </w:rPr>
        <w:t xml:space="preserve"> (pp. 58-88). Routledge.</w:t>
      </w:r>
    </w:p>
    <w:p w14:paraId="3453F2E5" w14:textId="77777777" w:rsidR="000362C9" w:rsidRPr="003E4B1F" w:rsidRDefault="000362C9" w:rsidP="00892553">
      <w:pPr>
        <w:rPr>
          <w:rFonts w:cs="Arial"/>
        </w:rPr>
      </w:pPr>
      <w:r w:rsidRPr="003E4B1F">
        <w:rPr>
          <w:rFonts w:cs="Arial"/>
        </w:rPr>
        <w:t xml:space="preserve">GSTC (2021) </w:t>
      </w:r>
      <w:r w:rsidRPr="003E4B1F">
        <w:rPr>
          <w:rFonts w:cs="Arial"/>
          <w:i/>
          <w:iCs/>
        </w:rPr>
        <w:t>What Is Sustainable Tourism?</w:t>
      </w:r>
      <w:r w:rsidRPr="003E4B1F">
        <w:rPr>
          <w:rFonts w:cs="Arial"/>
        </w:rPr>
        <w:t xml:space="preserve"> [online] Global Sustainable Tourism Council (GSTC). Available at: </w:t>
      </w:r>
      <w:r w:rsidRPr="003E4B1F">
        <w:rPr>
          <w:rFonts w:eastAsia="Times New Roman" w:cs="Arial"/>
          <w:kern w:val="0"/>
          <w:szCs w:val="24"/>
          <w14:ligatures w14:val="none"/>
        </w:rPr>
        <w:t>https://www.gstcouncil.org/what-is-sustainable-tourism/</w:t>
      </w:r>
      <w:r w:rsidRPr="003E4B1F">
        <w:rPr>
          <w:rFonts w:cs="Arial"/>
        </w:rPr>
        <w:t xml:space="preserve"> </w:t>
      </w:r>
      <w:r w:rsidRPr="003E4B1F">
        <w:rPr>
          <w:rFonts w:eastAsia="Times New Roman" w:cs="Arial"/>
          <w:kern w:val="0"/>
          <w:szCs w:val="24"/>
          <w:lang w:eastAsia="en-GB"/>
          <w14:ligatures w14:val="none"/>
        </w:rPr>
        <w:t>(Accessed: 29 May 2024).</w:t>
      </w:r>
    </w:p>
    <w:p w14:paraId="139A12EF" w14:textId="77777777" w:rsidR="000362C9" w:rsidRPr="003E4B1F" w:rsidRDefault="000362C9" w:rsidP="00892553">
      <w:pPr>
        <w:rPr>
          <w:rFonts w:cs="Arial"/>
          <w:szCs w:val="24"/>
          <w:shd w:val="clear" w:color="auto" w:fill="FFFFFF"/>
        </w:rPr>
      </w:pPr>
      <w:r w:rsidRPr="003E4B1F">
        <w:rPr>
          <w:rFonts w:cs="Arial"/>
          <w:shd w:val="clear" w:color="auto" w:fill="FFFFFF"/>
        </w:rPr>
        <w:t xml:space="preserve">Haski-Leventhal, D. (2018) </w:t>
      </w:r>
      <w:r w:rsidRPr="003E4B1F">
        <w:rPr>
          <w:rFonts w:cs="Arial"/>
          <w:i/>
          <w:iCs/>
          <w:shd w:val="clear" w:color="auto" w:fill="FFFFFF"/>
        </w:rPr>
        <w:t>Strategic corporate social responsibility : tools &amp; theories for responsible management.</w:t>
      </w:r>
      <w:r w:rsidRPr="003E4B1F">
        <w:rPr>
          <w:rFonts w:cs="Arial"/>
          <w:shd w:val="clear" w:color="auto" w:fill="FFFFFF"/>
        </w:rPr>
        <w:t xml:space="preserve"> London: SAGE.</w:t>
      </w:r>
    </w:p>
    <w:p w14:paraId="18D52934" w14:textId="77777777" w:rsidR="000362C9" w:rsidRPr="003E4B1F" w:rsidRDefault="000362C9" w:rsidP="00892553">
      <w:pPr>
        <w:spacing w:after="240"/>
        <w:rPr>
          <w:rFonts w:eastAsia="Times New Roman" w:cs="Arial"/>
          <w:kern w:val="0"/>
          <w:szCs w:val="24"/>
          <w:lang w:eastAsia="en-GB"/>
          <w14:ligatures w14:val="none"/>
        </w:rPr>
      </w:pPr>
      <w:r w:rsidRPr="003E4B1F">
        <w:rPr>
          <w:rFonts w:eastAsia="Times New Roman" w:cs="Arial"/>
          <w:kern w:val="0"/>
          <w:szCs w:val="24"/>
          <w:lang w:eastAsia="en-GB"/>
          <w14:ligatures w14:val="none"/>
        </w:rPr>
        <w:t xml:space="preserve">Hospitality Insights' Editor (2018) </w:t>
      </w:r>
      <w:r w:rsidRPr="003E4B1F">
        <w:rPr>
          <w:rFonts w:eastAsia="Times New Roman" w:cs="Arial"/>
          <w:i/>
          <w:iCs/>
          <w:kern w:val="0"/>
          <w:szCs w:val="24"/>
          <w:lang w:eastAsia="en-GB"/>
          <w14:ligatures w14:val="none"/>
        </w:rPr>
        <w:t>Going Plastic-Free: Hotels and Airlines are Cutting Down on Plastic Waste</w:t>
      </w:r>
      <w:r w:rsidRPr="003E4B1F">
        <w:rPr>
          <w:rFonts w:eastAsia="Times New Roman" w:cs="Arial"/>
          <w:kern w:val="0"/>
          <w:szCs w:val="24"/>
          <w:lang w:eastAsia="en-GB"/>
          <w14:ligatures w14:val="none"/>
        </w:rPr>
        <w:t>. Available at: https://hospitalityinsights.ehl.edu/hotels-single-use-plastics-ban (Accessed: 29 May 2024).</w:t>
      </w:r>
    </w:p>
    <w:p w14:paraId="449A6337" w14:textId="77777777" w:rsidR="000362C9" w:rsidRPr="003E4B1F" w:rsidRDefault="000362C9" w:rsidP="00892553">
      <w:pPr>
        <w:rPr>
          <w:rFonts w:cs="Arial"/>
        </w:rPr>
      </w:pPr>
      <w:r w:rsidRPr="003E4B1F">
        <w:rPr>
          <w:rFonts w:cs="Arial"/>
        </w:rPr>
        <w:t xml:space="preserve">Inkson, C. and Minnaert, L. (2018) </w:t>
      </w:r>
      <w:r w:rsidRPr="003E4B1F">
        <w:rPr>
          <w:rFonts w:cs="Arial"/>
          <w:i/>
          <w:iCs/>
        </w:rPr>
        <w:t>Tourism management: an introduction.</w:t>
      </w:r>
      <w:r w:rsidRPr="003E4B1F">
        <w:rPr>
          <w:rFonts w:cs="Arial"/>
        </w:rPr>
        <w:t xml:space="preserve"> 2nd ed. London: SAGE.</w:t>
      </w:r>
    </w:p>
    <w:p w14:paraId="71DD1F14" w14:textId="77777777" w:rsidR="000362C9" w:rsidRPr="003E4B1F" w:rsidRDefault="000362C9" w:rsidP="00892553">
      <w:pPr>
        <w:spacing w:after="240"/>
        <w:rPr>
          <w:rFonts w:eastAsia="Times New Roman" w:cs="Arial"/>
          <w:kern w:val="0"/>
          <w:szCs w:val="24"/>
          <w:lang w:eastAsia="en-GB"/>
          <w14:ligatures w14:val="none"/>
        </w:rPr>
      </w:pPr>
      <w:r w:rsidRPr="003E4B1F">
        <w:rPr>
          <w:rFonts w:eastAsia="Times New Roman" w:cs="Arial"/>
          <w:kern w:val="0"/>
          <w:szCs w:val="24"/>
          <w:lang w:eastAsia="en-GB"/>
          <w14:ligatures w14:val="none"/>
        </w:rPr>
        <w:t xml:space="preserve">IRENA (2023) </w:t>
      </w:r>
      <w:r w:rsidRPr="003E4B1F">
        <w:rPr>
          <w:rFonts w:eastAsia="Times New Roman" w:cs="Arial"/>
          <w:i/>
          <w:iCs/>
          <w:kern w:val="0"/>
          <w:szCs w:val="24"/>
          <w:lang w:eastAsia="en-GB"/>
          <w14:ligatures w14:val="none"/>
        </w:rPr>
        <w:t>World Energy Transitions Outlook 2023</w:t>
      </w:r>
      <w:r w:rsidRPr="003E4B1F">
        <w:rPr>
          <w:rFonts w:eastAsia="Times New Roman" w:cs="Arial"/>
          <w:kern w:val="0"/>
          <w:szCs w:val="24"/>
          <w:lang w:eastAsia="en-GB"/>
          <w14:ligatures w14:val="none"/>
        </w:rPr>
        <w:t>. Available at: https://www.irena.org/Digital-Report/World-Energy-Transitions-Outlook-2023 (Accessed: 29 May 2024).</w:t>
      </w:r>
    </w:p>
    <w:p w14:paraId="4AFE23E6" w14:textId="77777777" w:rsidR="000362C9" w:rsidRPr="003E4B1F" w:rsidRDefault="000362C9" w:rsidP="00892553">
      <w:pPr>
        <w:rPr>
          <w:rFonts w:cs="Arial"/>
        </w:rPr>
      </w:pPr>
      <w:bookmarkStart w:id="14" w:name="_Hlk167837135"/>
      <w:bookmarkStart w:id="15" w:name="_Hlk167837156"/>
      <w:r w:rsidRPr="003E4B1F">
        <w:rPr>
          <w:rFonts w:cs="Arial"/>
        </w:rPr>
        <w:t>Jauhari</w:t>
      </w:r>
      <w:bookmarkEnd w:id="14"/>
      <w:r w:rsidRPr="003E4B1F">
        <w:rPr>
          <w:rFonts w:cs="Arial"/>
        </w:rPr>
        <w:t xml:space="preserve">, V (2021) </w:t>
      </w:r>
      <w:r w:rsidRPr="003E4B1F">
        <w:rPr>
          <w:rFonts w:cs="Arial"/>
          <w:i/>
          <w:iCs/>
        </w:rPr>
        <w:t>Managing Sustainability in the Hospitality and Tourism Industry: Paradigms and Directions for the Future.</w:t>
      </w:r>
      <w:r w:rsidRPr="003E4B1F">
        <w:rPr>
          <w:rFonts w:cs="Arial"/>
        </w:rPr>
        <w:t xml:space="preserve"> 9th edn. Oakville: Apple Academic Press. Inc.</w:t>
      </w:r>
    </w:p>
    <w:bookmarkEnd w:id="15"/>
    <w:p w14:paraId="12B3FC1C" w14:textId="77777777" w:rsidR="000362C9" w:rsidRPr="003E4B1F" w:rsidRDefault="000362C9" w:rsidP="00892553">
      <w:pPr>
        <w:spacing w:after="240"/>
        <w:rPr>
          <w:rFonts w:eastAsia="Times New Roman" w:cs="Arial"/>
          <w:kern w:val="0"/>
          <w:szCs w:val="24"/>
          <w:lang w:eastAsia="en-GB"/>
          <w14:ligatures w14:val="none"/>
        </w:rPr>
      </w:pPr>
      <w:r w:rsidRPr="003E4B1F">
        <w:rPr>
          <w:rFonts w:eastAsia="Times New Roman" w:cs="Arial"/>
          <w:kern w:val="0"/>
          <w:szCs w:val="24"/>
          <w:lang w:eastAsia="en-GB"/>
          <w14:ligatures w14:val="none"/>
        </w:rPr>
        <w:t xml:space="preserve">Jones, P., Hillier, D. and Comfort, D. (2017) ‘The Sustainable Development Goals and the Tourism and Hospitality Industry’. </w:t>
      </w:r>
      <w:r w:rsidRPr="003E4B1F">
        <w:rPr>
          <w:rFonts w:eastAsia="Times New Roman" w:cs="Arial"/>
          <w:i/>
          <w:iCs/>
          <w:kern w:val="0"/>
          <w:szCs w:val="24"/>
          <w:lang w:eastAsia="en-GB"/>
          <w14:ligatures w14:val="none"/>
        </w:rPr>
        <w:t>Athens Journal of Tourism</w:t>
      </w:r>
      <w:r w:rsidRPr="003E4B1F">
        <w:rPr>
          <w:rFonts w:eastAsia="Times New Roman" w:cs="Arial"/>
          <w:kern w:val="0"/>
          <w:szCs w:val="24"/>
          <w:lang w:eastAsia="en-GB"/>
          <w14:ligatures w14:val="none"/>
        </w:rPr>
        <w:t xml:space="preserve"> 4(1), pp. 7–18. Available at: https://www.athensjournals.gr/tourism/2017-4-1-1-Jones.pdf (Accessed: 29 May 2024).</w:t>
      </w:r>
    </w:p>
    <w:p w14:paraId="1DDB7193" w14:textId="77777777" w:rsidR="000362C9" w:rsidRPr="003E4B1F" w:rsidRDefault="000362C9" w:rsidP="00892553">
      <w:pPr>
        <w:rPr>
          <w:rFonts w:cs="Arial"/>
        </w:rPr>
      </w:pPr>
      <w:r w:rsidRPr="003E4B1F">
        <w:rPr>
          <w:rFonts w:cs="Arial"/>
        </w:rPr>
        <w:t xml:space="preserve">Korstanje, M.E., George, B. and Nedelea, A.M. eds. (2020) </w:t>
      </w:r>
      <w:r w:rsidRPr="003E4B1F">
        <w:rPr>
          <w:rFonts w:cs="Arial"/>
          <w:i/>
          <w:iCs/>
        </w:rPr>
        <w:t>Strategies for promoting sustainable hospitality and tourism services</w:t>
      </w:r>
      <w:r w:rsidRPr="003E4B1F">
        <w:rPr>
          <w:rFonts w:cs="Arial"/>
        </w:rPr>
        <w:t>. IGI Global.</w:t>
      </w:r>
    </w:p>
    <w:p w14:paraId="06A0DF1C" w14:textId="77777777" w:rsidR="000362C9" w:rsidRPr="003E4B1F" w:rsidRDefault="000362C9" w:rsidP="00892553">
      <w:pPr>
        <w:rPr>
          <w:rFonts w:cs="Arial"/>
        </w:rPr>
      </w:pPr>
      <w:r w:rsidRPr="003E4B1F">
        <w:rPr>
          <w:rFonts w:cs="Arial"/>
        </w:rPr>
        <w:lastRenderedPageBreak/>
        <w:t xml:space="preserve">Kubba, S. (2019) </w:t>
      </w:r>
      <w:r w:rsidRPr="003E4B1F">
        <w:rPr>
          <w:rFonts w:cs="Arial"/>
          <w:i/>
          <w:iCs/>
        </w:rPr>
        <w:t>LEED practices, certification, and accreditation handbook</w:t>
      </w:r>
      <w:r w:rsidRPr="003E4B1F">
        <w:rPr>
          <w:rFonts w:cs="Arial"/>
        </w:rPr>
        <w:t>. Butterworth-Heinemann.</w:t>
      </w:r>
    </w:p>
    <w:p w14:paraId="649BEC51" w14:textId="77777777" w:rsidR="000362C9" w:rsidRPr="003E4B1F" w:rsidRDefault="000362C9" w:rsidP="00892553">
      <w:pPr>
        <w:rPr>
          <w:rFonts w:cs="Arial"/>
        </w:rPr>
      </w:pPr>
      <w:r w:rsidRPr="003E4B1F">
        <w:rPr>
          <w:rFonts w:cs="Arial"/>
          <w:shd w:val="clear" w:color="auto" w:fill="FFFFFF"/>
        </w:rPr>
        <w:t>Malheiro, A., Sousa, B.B., Liberato, D. and Liberato, P. (2020) Sustainability in tourism and hospitality: Trends and challenges. In </w:t>
      </w:r>
      <w:r w:rsidRPr="003E4B1F">
        <w:rPr>
          <w:rFonts w:cs="Arial"/>
          <w:i/>
          <w:iCs/>
          <w:shd w:val="clear" w:color="auto" w:fill="FFFFFF"/>
        </w:rPr>
        <w:t>35th IBIMA conference education excellence and innovation management: A 2025 vision to sustain economic development during global challenges</w:t>
      </w:r>
      <w:r w:rsidRPr="003E4B1F">
        <w:rPr>
          <w:rFonts w:cs="Arial"/>
          <w:shd w:val="clear" w:color="auto" w:fill="FFFFFF"/>
        </w:rPr>
        <w:t> (pp. 15545-15555). IBIMA.</w:t>
      </w:r>
    </w:p>
    <w:p w14:paraId="4CC5D3A4" w14:textId="77777777" w:rsidR="000362C9" w:rsidRPr="003E4B1F" w:rsidRDefault="000362C9" w:rsidP="00892553">
      <w:pPr>
        <w:spacing w:after="240"/>
        <w:rPr>
          <w:rFonts w:eastAsia="Times New Roman" w:cs="Arial"/>
          <w:kern w:val="0"/>
          <w:szCs w:val="24"/>
          <w:lang w:eastAsia="en-GB"/>
          <w14:ligatures w14:val="none"/>
        </w:rPr>
      </w:pPr>
      <w:r w:rsidRPr="003E4B1F">
        <w:rPr>
          <w:rFonts w:eastAsia="Times New Roman" w:cs="Arial"/>
          <w:kern w:val="0"/>
          <w:szCs w:val="24"/>
          <w:lang w:eastAsia="en-GB"/>
          <w14:ligatures w14:val="none"/>
        </w:rPr>
        <w:t xml:space="preserve">Marriott (2024) </w:t>
      </w:r>
      <w:r w:rsidRPr="003E4B1F">
        <w:rPr>
          <w:rFonts w:eastAsia="Times New Roman" w:cs="Arial"/>
          <w:i/>
          <w:iCs/>
          <w:kern w:val="0"/>
          <w:szCs w:val="24"/>
          <w:lang w:eastAsia="en-GB"/>
          <w14:ligatures w14:val="none"/>
        </w:rPr>
        <w:t>Sustain - csr-marriott</w:t>
      </w:r>
      <w:r w:rsidRPr="003E4B1F">
        <w:rPr>
          <w:rFonts w:eastAsia="Times New Roman" w:cs="Arial"/>
          <w:kern w:val="0"/>
          <w:szCs w:val="24"/>
          <w:lang w:eastAsia="en-GB"/>
          <w14:ligatures w14:val="none"/>
        </w:rPr>
        <w:t>. Available at: https://serve360.marriott.com/sustain/ (Accessed: 29 May 2024).</w:t>
      </w:r>
    </w:p>
    <w:p w14:paraId="5C5509DA" w14:textId="77777777" w:rsidR="000362C9" w:rsidRPr="003E4B1F" w:rsidRDefault="000362C9" w:rsidP="00892553">
      <w:pPr>
        <w:rPr>
          <w:rFonts w:cs="Arial"/>
        </w:rPr>
      </w:pPr>
      <w:r w:rsidRPr="003E4B1F">
        <w:rPr>
          <w:rFonts w:cs="Arial"/>
        </w:rPr>
        <w:t xml:space="preserve">Mzembe, A.N., Lindgreen, A., Idemudia, U. and Melissen, F. (2020) A club perspective of sustainability certification schemes in the tourism and hospitality industry. </w:t>
      </w:r>
      <w:r w:rsidRPr="003E4B1F">
        <w:rPr>
          <w:rFonts w:cs="Arial"/>
          <w:i/>
          <w:iCs/>
        </w:rPr>
        <w:t>Journal of Sustainable Tourism</w:t>
      </w:r>
      <w:r w:rsidRPr="003E4B1F">
        <w:rPr>
          <w:rFonts w:cs="Arial"/>
        </w:rPr>
        <w:t xml:space="preserve">, 28(9), pp.1332-1350. </w:t>
      </w:r>
    </w:p>
    <w:p w14:paraId="4567D0C7" w14:textId="77777777" w:rsidR="000362C9" w:rsidRPr="003E4B1F" w:rsidRDefault="000362C9" w:rsidP="00892553">
      <w:pPr>
        <w:rPr>
          <w:rFonts w:cs="Arial"/>
        </w:rPr>
      </w:pPr>
      <w:r w:rsidRPr="003E4B1F">
        <w:rPr>
          <w:rFonts w:cs="Arial"/>
        </w:rPr>
        <w:t xml:space="preserve">Pan, S.Y., Gao, M., Kim, H., Shah, K.J., Pei, S.L. and Chiang, P.C. (2018) Advances and challenges in sustainable tourism toward a green economy. </w:t>
      </w:r>
      <w:r w:rsidRPr="003E4B1F">
        <w:rPr>
          <w:rFonts w:cs="Arial"/>
          <w:i/>
          <w:iCs/>
        </w:rPr>
        <w:t>Science of the total environment</w:t>
      </w:r>
      <w:r w:rsidRPr="003E4B1F">
        <w:rPr>
          <w:rFonts w:cs="Arial"/>
        </w:rPr>
        <w:t xml:space="preserve">, </w:t>
      </w:r>
      <w:r w:rsidRPr="003E4B1F">
        <w:rPr>
          <w:rFonts w:cs="Arial"/>
          <w:i/>
          <w:iCs/>
        </w:rPr>
        <w:t>635</w:t>
      </w:r>
      <w:r w:rsidRPr="003E4B1F">
        <w:rPr>
          <w:rFonts w:cs="Arial"/>
        </w:rPr>
        <w:t>, pp.452-469.</w:t>
      </w:r>
    </w:p>
    <w:p w14:paraId="3AC1414D" w14:textId="77777777" w:rsidR="000362C9" w:rsidRPr="003E4B1F" w:rsidRDefault="000362C9" w:rsidP="00892553">
      <w:pPr>
        <w:rPr>
          <w:rFonts w:cs="Arial"/>
        </w:rPr>
      </w:pPr>
      <w:bookmarkStart w:id="16" w:name="_Hlk167837195"/>
      <w:bookmarkStart w:id="17" w:name="_Hlk167837212"/>
      <w:r w:rsidRPr="003E4B1F">
        <w:rPr>
          <w:rFonts w:cs="Arial"/>
        </w:rPr>
        <w:t>Sloan</w:t>
      </w:r>
      <w:bookmarkEnd w:id="16"/>
      <w:r w:rsidRPr="003E4B1F">
        <w:rPr>
          <w:rFonts w:cs="Arial"/>
        </w:rPr>
        <w:t xml:space="preserve">, P., Legrand, W. and Chen, J.S. (2017) </w:t>
      </w:r>
      <w:r w:rsidRPr="003E4B1F">
        <w:rPr>
          <w:rFonts w:cs="Arial"/>
          <w:i/>
          <w:iCs/>
        </w:rPr>
        <w:t>Sustainability in the hospitality industry: principles of sustainable operations.</w:t>
      </w:r>
      <w:r w:rsidRPr="003E4B1F">
        <w:rPr>
          <w:rFonts w:cs="Arial"/>
        </w:rPr>
        <w:t xml:space="preserve"> 3</w:t>
      </w:r>
      <w:r w:rsidRPr="003E4B1F">
        <w:rPr>
          <w:rFonts w:cs="Arial"/>
          <w:vertAlign w:val="superscript"/>
        </w:rPr>
        <w:t>rd</w:t>
      </w:r>
      <w:r w:rsidRPr="003E4B1F">
        <w:rPr>
          <w:rFonts w:cs="Arial"/>
        </w:rPr>
        <w:t xml:space="preserve"> edn. London: Butterworth-Heinemann.</w:t>
      </w:r>
      <w:bookmarkEnd w:id="17"/>
    </w:p>
    <w:p w14:paraId="22F30D1A" w14:textId="77777777" w:rsidR="000362C9" w:rsidRPr="003E4B1F" w:rsidRDefault="000362C9" w:rsidP="00892553">
      <w:pPr>
        <w:rPr>
          <w:rFonts w:cs="Arial"/>
        </w:rPr>
      </w:pPr>
      <w:r w:rsidRPr="003E4B1F">
        <w:rPr>
          <w:rFonts w:cs="Arial"/>
        </w:rPr>
        <w:t xml:space="preserve">Sørensen, F. and Grindsted, T.S. (2021) Sustainability approaches and nature tourism development. </w:t>
      </w:r>
      <w:r w:rsidRPr="003E4B1F">
        <w:rPr>
          <w:rFonts w:cs="Arial"/>
          <w:i/>
          <w:iCs/>
        </w:rPr>
        <w:t>Annals of Tourism Research</w:t>
      </w:r>
      <w:r w:rsidRPr="003E4B1F">
        <w:rPr>
          <w:rFonts w:cs="Arial"/>
        </w:rPr>
        <w:t xml:space="preserve">, </w:t>
      </w:r>
      <w:r w:rsidRPr="003E4B1F">
        <w:rPr>
          <w:rFonts w:cs="Arial"/>
          <w:i/>
          <w:iCs/>
        </w:rPr>
        <w:t>91</w:t>
      </w:r>
      <w:r w:rsidRPr="003E4B1F">
        <w:rPr>
          <w:rFonts w:cs="Arial"/>
        </w:rPr>
        <w:t>, p.103307.</w:t>
      </w:r>
    </w:p>
    <w:p w14:paraId="614A6806" w14:textId="77777777" w:rsidR="000362C9" w:rsidRPr="003E4B1F" w:rsidRDefault="000362C9" w:rsidP="00892553">
      <w:pPr>
        <w:rPr>
          <w:rFonts w:cs="Arial"/>
        </w:rPr>
      </w:pPr>
      <w:r w:rsidRPr="003E4B1F">
        <w:rPr>
          <w:rFonts w:cs="Arial"/>
        </w:rPr>
        <w:t xml:space="preserve">University of Central Florida (2020) </w:t>
      </w:r>
      <w:r w:rsidRPr="003E4B1F">
        <w:rPr>
          <w:rFonts w:cs="Arial"/>
          <w:i/>
          <w:iCs/>
        </w:rPr>
        <w:t xml:space="preserve">Sustainability in Hospitality: How Industry Leaders Can Help. </w:t>
      </w:r>
      <w:r w:rsidRPr="003E4B1F">
        <w:rPr>
          <w:rFonts w:cs="Arial"/>
        </w:rPr>
        <w:t xml:space="preserve">[online] UCF Online. Available at: https://www.ucf.edu/online/hospitality/news/sustainability-in-hospitality-why-it-is-important-and-how-industry-leaders-can-help/ </w:t>
      </w:r>
      <w:r w:rsidRPr="003E4B1F">
        <w:rPr>
          <w:rFonts w:eastAsia="Times New Roman" w:cs="Arial"/>
          <w:kern w:val="0"/>
          <w:szCs w:val="24"/>
          <w:lang w:eastAsia="en-GB"/>
          <w14:ligatures w14:val="none"/>
        </w:rPr>
        <w:t>(Accessed: 29 May 2024).</w:t>
      </w:r>
    </w:p>
    <w:p w14:paraId="7E859640" w14:textId="77777777" w:rsidR="000362C9" w:rsidRPr="003E4B1F" w:rsidRDefault="000362C9" w:rsidP="00892553">
      <w:pPr>
        <w:spacing w:after="240"/>
        <w:rPr>
          <w:rFonts w:eastAsia="Times New Roman" w:cs="Arial"/>
          <w:kern w:val="0"/>
          <w:szCs w:val="24"/>
          <w:lang w:eastAsia="en-GB"/>
          <w14:ligatures w14:val="none"/>
        </w:rPr>
      </w:pPr>
      <w:r w:rsidRPr="003E4B1F">
        <w:rPr>
          <w:rFonts w:eastAsia="Times New Roman" w:cs="Arial"/>
          <w:kern w:val="0"/>
          <w:szCs w:val="24"/>
          <w:lang w:eastAsia="en-GB"/>
          <w14:ligatures w14:val="none"/>
        </w:rPr>
        <w:t xml:space="preserve">VDA TELKONET (2024) </w:t>
      </w:r>
      <w:r w:rsidRPr="003E4B1F">
        <w:rPr>
          <w:rFonts w:eastAsia="Times New Roman" w:cs="Arial"/>
          <w:i/>
          <w:iCs/>
          <w:kern w:val="0"/>
          <w:szCs w:val="24"/>
          <w:lang w:eastAsia="en-GB"/>
          <w14:ligatures w14:val="none"/>
        </w:rPr>
        <w:t>Green Certification at Hotels: a Step Towards Sustainable Hospitality</w:t>
      </w:r>
      <w:r w:rsidRPr="003E4B1F">
        <w:rPr>
          <w:rFonts w:eastAsia="Times New Roman" w:cs="Arial"/>
          <w:kern w:val="0"/>
          <w:szCs w:val="24"/>
          <w:lang w:eastAsia="en-GB"/>
          <w14:ligatures w14:val="none"/>
        </w:rPr>
        <w:t>. Available at: https://vda-telkonet.com/2024/05/02/green-certification-at-hotels-a-step-towards-sustainable-hospitality/ (Accessed: 28 May 2024).</w:t>
      </w:r>
    </w:p>
    <w:p w14:paraId="1E0E15EF" w14:textId="16E90258" w:rsidR="006767BE" w:rsidRPr="003E4B1F" w:rsidRDefault="000362C9" w:rsidP="00892553">
      <w:pPr>
        <w:spacing w:after="240"/>
        <w:rPr>
          <w:rFonts w:eastAsia="Times New Roman" w:cs="Arial"/>
          <w:kern w:val="0"/>
          <w:szCs w:val="24"/>
          <w:lang w:eastAsia="en-GB"/>
          <w14:ligatures w14:val="none"/>
        </w:rPr>
      </w:pPr>
      <w:r w:rsidRPr="003E4B1F">
        <w:rPr>
          <w:rFonts w:eastAsia="Times New Roman" w:cs="Arial"/>
          <w:kern w:val="0"/>
          <w:szCs w:val="24"/>
          <w:lang w:eastAsia="en-GB"/>
          <w14:ligatures w14:val="none"/>
        </w:rPr>
        <w:t xml:space="preserve">verdinez, D. (2023) </w:t>
      </w:r>
      <w:r w:rsidRPr="003E4B1F">
        <w:rPr>
          <w:rFonts w:eastAsia="Times New Roman" w:cs="Arial"/>
          <w:i/>
          <w:iCs/>
          <w:kern w:val="0"/>
          <w:szCs w:val="24"/>
          <w:lang w:eastAsia="en-GB"/>
          <w14:ligatures w14:val="none"/>
        </w:rPr>
        <w:t>The Top 10 Countries for LEED demonstrate that green building is a truly global movement | U.S. Green Building Council</w:t>
      </w:r>
      <w:r w:rsidRPr="003E4B1F">
        <w:rPr>
          <w:rFonts w:eastAsia="Times New Roman" w:cs="Arial"/>
          <w:kern w:val="0"/>
          <w:szCs w:val="24"/>
          <w:lang w:eastAsia="en-GB"/>
          <w14:ligatures w14:val="none"/>
        </w:rPr>
        <w:t>. Available at: https://www.usgbc.org/articles/top-10-countries-leed-demonstrate-green-building-truly-global-movement (Accessed: 29 May 2024).</w:t>
      </w:r>
    </w:p>
    <w:sectPr w:rsidR="006767BE" w:rsidRPr="003E4B1F" w:rsidSect="00515400">
      <w:footerReference w:type="default" r:id="rId1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0E2ABB" w14:textId="77777777" w:rsidR="00A15835" w:rsidRPr="007A7DA0" w:rsidRDefault="00A15835" w:rsidP="001212F5">
      <w:pPr>
        <w:spacing w:after="0" w:line="240" w:lineRule="auto"/>
      </w:pPr>
      <w:r w:rsidRPr="007A7DA0">
        <w:separator/>
      </w:r>
    </w:p>
  </w:endnote>
  <w:endnote w:type="continuationSeparator" w:id="0">
    <w:p w14:paraId="52B9BE05" w14:textId="77777777" w:rsidR="00A15835" w:rsidRPr="007A7DA0" w:rsidRDefault="00A15835" w:rsidP="001212F5">
      <w:pPr>
        <w:spacing w:after="0" w:line="240" w:lineRule="auto"/>
      </w:pPr>
      <w:r w:rsidRPr="007A7DA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92077906"/>
      <w:docPartObj>
        <w:docPartGallery w:val="Page Numbers (Bottom of Page)"/>
        <w:docPartUnique/>
      </w:docPartObj>
    </w:sdtPr>
    <w:sdtEndPr>
      <w:rPr>
        <w:color w:val="7F7F7F" w:themeColor="background1" w:themeShade="7F"/>
        <w:spacing w:val="60"/>
      </w:rPr>
    </w:sdtEndPr>
    <w:sdtContent>
      <w:p w14:paraId="36A65E24" w14:textId="7FDE5477" w:rsidR="001212F5" w:rsidRPr="007A7DA0" w:rsidRDefault="001212F5">
        <w:pPr>
          <w:pStyle w:val="Footer"/>
          <w:pBdr>
            <w:top w:val="single" w:sz="4" w:space="1" w:color="D9D9D9" w:themeColor="background1" w:themeShade="D9"/>
          </w:pBdr>
          <w:rPr>
            <w:b/>
            <w:bCs/>
          </w:rPr>
        </w:pPr>
        <w:r w:rsidRPr="007A7DA0">
          <w:fldChar w:fldCharType="begin"/>
        </w:r>
        <w:r w:rsidRPr="007A7DA0">
          <w:instrText xml:space="preserve"> PAGE   \* MERGEFORMAT </w:instrText>
        </w:r>
        <w:r w:rsidRPr="007A7DA0">
          <w:fldChar w:fldCharType="separate"/>
        </w:r>
        <w:r w:rsidRPr="007A7DA0">
          <w:rPr>
            <w:b/>
            <w:bCs/>
          </w:rPr>
          <w:t>2</w:t>
        </w:r>
        <w:r w:rsidRPr="007A7DA0">
          <w:rPr>
            <w:b/>
            <w:bCs/>
          </w:rPr>
          <w:fldChar w:fldCharType="end"/>
        </w:r>
        <w:r w:rsidRPr="007A7DA0">
          <w:rPr>
            <w:b/>
            <w:bCs/>
          </w:rPr>
          <w:t xml:space="preserve"> | </w:t>
        </w:r>
        <w:r w:rsidRPr="007A7DA0">
          <w:rPr>
            <w:color w:val="7F7F7F" w:themeColor="background1" w:themeShade="7F"/>
            <w:spacing w:val="60"/>
          </w:rPr>
          <w:t>Page</w:t>
        </w:r>
      </w:p>
    </w:sdtContent>
  </w:sdt>
  <w:p w14:paraId="6F8ED043" w14:textId="77777777" w:rsidR="001212F5" w:rsidRPr="007A7DA0" w:rsidRDefault="001212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292607" w14:textId="77777777" w:rsidR="00A15835" w:rsidRPr="007A7DA0" w:rsidRDefault="00A15835" w:rsidP="001212F5">
      <w:pPr>
        <w:spacing w:after="0" w:line="240" w:lineRule="auto"/>
      </w:pPr>
      <w:r w:rsidRPr="007A7DA0">
        <w:separator/>
      </w:r>
    </w:p>
  </w:footnote>
  <w:footnote w:type="continuationSeparator" w:id="0">
    <w:p w14:paraId="770D553C" w14:textId="77777777" w:rsidR="00A15835" w:rsidRPr="007A7DA0" w:rsidRDefault="00A15835" w:rsidP="001212F5">
      <w:pPr>
        <w:spacing w:after="0" w:line="240" w:lineRule="auto"/>
      </w:pPr>
      <w:r w:rsidRPr="007A7DA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AD368D"/>
    <w:multiLevelType w:val="hybridMultilevel"/>
    <w:tmpl w:val="F07C81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3E7BDA"/>
    <w:multiLevelType w:val="multilevel"/>
    <w:tmpl w:val="59069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EA60FD"/>
    <w:multiLevelType w:val="hybridMultilevel"/>
    <w:tmpl w:val="2160DBFC"/>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80C3907"/>
    <w:multiLevelType w:val="hybridMultilevel"/>
    <w:tmpl w:val="031A5E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52F3E67"/>
    <w:multiLevelType w:val="multilevel"/>
    <w:tmpl w:val="750E3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A4D0EE3"/>
    <w:multiLevelType w:val="multilevel"/>
    <w:tmpl w:val="96A271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F5F2DEB"/>
    <w:multiLevelType w:val="hybridMultilevel"/>
    <w:tmpl w:val="8DE630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9852882">
    <w:abstractNumId w:val="4"/>
  </w:num>
  <w:num w:numId="2" w16cid:durableId="959920940">
    <w:abstractNumId w:val="1"/>
  </w:num>
  <w:num w:numId="3" w16cid:durableId="1578786273">
    <w:abstractNumId w:val="3"/>
  </w:num>
  <w:num w:numId="4" w16cid:durableId="232661924">
    <w:abstractNumId w:val="2"/>
  </w:num>
  <w:num w:numId="5" w16cid:durableId="933241368">
    <w:abstractNumId w:val="5"/>
  </w:num>
  <w:num w:numId="6" w16cid:durableId="1515222224">
    <w:abstractNumId w:val="0"/>
  </w:num>
  <w:num w:numId="7" w16cid:durableId="109085768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xNzSxMDQ0MTAzMjJT0lEKTi0uzszPAykwrQUAuptvQCwAAAA="/>
  </w:docVars>
  <w:rsids>
    <w:rsidRoot w:val="004205D7"/>
    <w:rsid w:val="00026666"/>
    <w:rsid w:val="000362C9"/>
    <w:rsid w:val="0007126F"/>
    <w:rsid w:val="00082FDD"/>
    <w:rsid w:val="000921F5"/>
    <w:rsid w:val="0009363A"/>
    <w:rsid w:val="000A06D2"/>
    <w:rsid w:val="000A2601"/>
    <w:rsid w:val="000D380A"/>
    <w:rsid w:val="001212F5"/>
    <w:rsid w:val="0014746D"/>
    <w:rsid w:val="001665BA"/>
    <w:rsid w:val="00194952"/>
    <w:rsid w:val="0020513C"/>
    <w:rsid w:val="00225568"/>
    <w:rsid w:val="002D04B0"/>
    <w:rsid w:val="002E4968"/>
    <w:rsid w:val="002E567A"/>
    <w:rsid w:val="002F4B50"/>
    <w:rsid w:val="00312020"/>
    <w:rsid w:val="00346910"/>
    <w:rsid w:val="0036197F"/>
    <w:rsid w:val="003733CF"/>
    <w:rsid w:val="003767A4"/>
    <w:rsid w:val="003B4716"/>
    <w:rsid w:val="003E4B1F"/>
    <w:rsid w:val="003F7546"/>
    <w:rsid w:val="00400E78"/>
    <w:rsid w:val="004205D7"/>
    <w:rsid w:val="00432D5E"/>
    <w:rsid w:val="00464D94"/>
    <w:rsid w:val="00474327"/>
    <w:rsid w:val="004F3363"/>
    <w:rsid w:val="005138D1"/>
    <w:rsid w:val="00515400"/>
    <w:rsid w:val="00590AED"/>
    <w:rsid w:val="005C341F"/>
    <w:rsid w:val="005E34D9"/>
    <w:rsid w:val="00605DF8"/>
    <w:rsid w:val="00625686"/>
    <w:rsid w:val="006706EA"/>
    <w:rsid w:val="00673846"/>
    <w:rsid w:val="006767BE"/>
    <w:rsid w:val="00690551"/>
    <w:rsid w:val="006A03F9"/>
    <w:rsid w:val="006C18AA"/>
    <w:rsid w:val="006F52F0"/>
    <w:rsid w:val="00712EBF"/>
    <w:rsid w:val="00714540"/>
    <w:rsid w:val="007200F4"/>
    <w:rsid w:val="0076741C"/>
    <w:rsid w:val="00770909"/>
    <w:rsid w:val="007757D3"/>
    <w:rsid w:val="007A02D1"/>
    <w:rsid w:val="007A0921"/>
    <w:rsid w:val="007A7DA0"/>
    <w:rsid w:val="007D4679"/>
    <w:rsid w:val="007F1725"/>
    <w:rsid w:val="007F6C13"/>
    <w:rsid w:val="00803D79"/>
    <w:rsid w:val="008140E3"/>
    <w:rsid w:val="0085372F"/>
    <w:rsid w:val="00864C36"/>
    <w:rsid w:val="00866FE1"/>
    <w:rsid w:val="008777E1"/>
    <w:rsid w:val="00892553"/>
    <w:rsid w:val="008A21BC"/>
    <w:rsid w:val="008A7FE4"/>
    <w:rsid w:val="008B1658"/>
    <w:rsid w:val="008B65C1"/>
    <w:rsid w:val="00946A16"/>
    <w:rsid w:val="0097722B"/>
    <w:rsid w:val="00995313"/>
    <w:rsid w:val="009A6171"/>
    <w:rsid w:val="009B67C1"/>
    <w:rsid w:val="009D45D0"/>
    <w:rsid w:val="00A04613"/>
    <w:rsid w:val="00A15835"/>
    <w:rsid w:val="00A6100B"/>
    <w:rsid w:val="00A6500C"/>
    <w:rsid w:val="00AA22E9"/>
    <w:rsid w:val="00AE3429"/>
    <w:rsid w:val="00B12D44"/>
    <w:rsid w:val="00B54C1B"/>
    <w:rsid w:val="00B6595A"/>
    <w:rsid w:val="00C70830"/>
    <w:rsid w:val="00CB29F3"/>
    <w:rsid w:val="00D342A2"/>
    <w:rsid w:val="00D62200"/>
    <w:rsid w:val="00D76374"/>
    <w:rsid w:val="00D94BE1"/>
    <w:rsid w:val="00D9500A"/>
    <w:rsid w:val="00DA2C30"/>
    <w:rsid w:val="00DD59B0"/>
    <w:rsid w:val="00DF1958"/>
    <w:rsid w:val="00DF4A95"/>
    <w:rsid w:val="00E65E58"/>
    <w:rsid w:val="00E93DE3"/>
    <w:rsid w:val="00F3474D"/>
    <w:rsid w:val="00F37763"/>
    <w:rsid w:val="00F50181"/>
    <w:rsid w:val="00F52577"/>
    <w:rsid w:val="00F761B9"/>
    <w:rsid w:val="00FC6EDD"/>
    <w:rsid w:val="00FE69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2A4A8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400"/>
    <w:pPr>
      <w:spacing w:line="360" w:lineRule="auto"/>
      <w:jc w:val="both"/>
    </w:pPr>
    <w:rPr>
      <w:rFonts w:ascii="Arial" w:hAnsi="Arial"/>
      <w:noProof/>
      <w:sz w:val="24"/>
      <w:lang w:val="en-GB"/>
    </w:rPr>
  </w:style>
  <w:style w:type="paragraph" w:styleId="Heading1">
    <w:name w:val="heading 1"/>
    <w:basedOn w:val="Normal"/>
    <w:next w:val="Normal"/>
    <w:link w:val="Heading1Char"/>
    <w:autoRedefine/>
    <w:uiPriority w:val="9"/>
    <w:qFormat/>
    <w:rsid w:val="00DF1958"/>
    <w:pPr>
      <w:keepNext/>
      <w:keepLines/>
      <w:spacing w:before="240" w:after="0"/>
      <w:outlineLvl w:val="0"/>
    </w:pPr>
    <w:rPr>
      <w:rFonts w:eastAsiaTheme="majorEastAsia" w:cstheme="majorBidi"/>
      <w:b/>
      <w:color w:val="00206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205D7"/>
    <w:pPr>
      <w:spacing w:before="100" w:beforeAutospacing="1" w:after="100" w:afterAutospacing="1" w:line="240" w:lineRule="auto"/>
      <w:jc w:val="left"/>
    </w:pPr>
    <w:rPr>
      <w:rFonts w:eastAsia="Times New Roman" w:cs="Times New Roman"/>
      <w:kern w:val="0"/>
      <w:szCs w:val="24"/>
    </w:rPr>
  </w:style>
  <w:style w:type="character" w:customStyle="1" w:styleId="Heading1Char">
    <w:name w:val="Heading 1 Char"/>
    <w:basedOn w:val="DefaultParagraphFont"/>
    <w:link w:val="Heading1"/>
    <w:uiPriority w:val="9"/>
    <w:rsid w:val="00DF1958"/>
    <w:rPr>
      <w:rFonts w:ascii="Arial" w:eastAsiaTheme="majorEastAsia" w:hAnsi="Arial" w:cstheme="majorBidi"/>
      <w:b/>
      <w:noProof/>
      <w:color w:val="002060"/>
      <w:sz w:val="32"/>
      <w:szCs w:val="32"/>
      <w:lang w:val="en-GB"/>
    </w:rPr>
  </w:style>
  <w:style w:type="character" w:styleId="Strong">
    <w:name w:val="Strong"/>
    <w:basedOn w:val="DefaultParagraphFont"/>
    <w:uiPriority w:val="22"/>
    <w:qFormat/>
    <w:rsid w:val="002E567A"/>
    <w:rPr>
      <w:b/>
      <w:bCs/>
    </w:rPr>
  </w:style>
  <w:style w:type="character" w:styleId="Emphasis">
    <w:name w:val="Emphasis"/>
    <w:basedOn w:val="DefaultParagraphFont"/>
    <w:uiPriority w:val="20"/>
    <w:qFormat/>
    <w:rsid w:val="0036197F"/>
    <w:rPr>
      <w:i/>
      <w:iCs/>
    </w:rPr>
  </w:style>
  <w:style w:type="character" w:styleId="Hyperlink">
    <w:name w:val="Hyperlink"/>
    <w:basedOn w:val="DefaultParagraphFont"/>
    <w:uiPriority w:val="99"/>
    <w:unhideWhenUsed/>
    <w:rsid w:val="003733CF"/>
    <w:rPr>
      <w:color w:val="0000FF" w:themeColor="hyperlink"/>
      <w:u w:val="single"/>
    </w:rPr>
  </w:style>
  <w:style w:type="character" w:styleId="UnresolvedMention">
    <w:name w:val="Unresolved Mention"/>
    <w:basedOn w:val="DefaultParagraphFont"/>
    <w:uiPriority w:val="99"/>
    <w:semiHidden/>
    <w:unhideWhenUsed/>
    <w:rsid w:val="003733CF"/>
    <w:rPr>
      <w:color w:val="605E5C"/>
      <w:shd w:val="clear" w:color="auto" w:fill="E1DFDD"/>
    </w:rPr>
  </w:style>
  <w:style w:type="paragraph" w:styleId="ListParagraph">
    <w:name w:val="List Paragraph"/>
    <w:basedOn w:val="Normal"/>
    <w:uiPriority w:val="34"/>
    <w:qFormat/>
    <w:rsid w:val="006767BE"/>
    <w:pPr>
      <w:ind w:left="720"/>
      <w:contextualSpacing/>
    </w:pPr>
  </w:style>
  <w:style w:type="paragraph" w:styleId="Caption">
    <w:name w:val="caption"/>
    <w:basedOn w:val="Normal"/>
    <w:next w:val="Normal"/>
    <w:uiPriority w:val="35"/>
    <w:unhideWhenUsed/>
    <w:qFormat/>
    <w:rsid w:val="001212F5"/>
    <w:pPr>
      <w:spacing w:line="240" w:lineRule="auto"/>
    </w:pPr>
    <w:rPr>
      <w:i/>
      <w:iCs/>
      <w:color w:val="1F497D" w:themeColor="text2"/>
      <w:sz w:val="18"/>
      <w:szCs w:val="18"/>
    </w:rPr>
  </w:style>
  <w:style w:type="paragraph" w:styleId="Header">
    <w:name w:val="header"/>
    <w:basedOn w:val="Normal"/>
    <w:link w:val="HeaderChar"/>
    <w:uiPriority w:val="99"/>
    <w:unhideWhenUsed/>
    <w:rsid w:val="001212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12F5"/>
    <w:rPr>
      <w:rFonts w:ascii="Times New Roman" w:hAnsi="Times New Roman"/>
      <w:sz w:val="24"/>
    </w:rPr>
  </w:style>
  <w:style w:type="paragraph" w:styleId="Footer">
    <w:name w:val="footer"/>
    <w:basedOn w:val="Normal"/>
    <w:link w:val="FooterChar"/>
    <w:uiPriority w:val="99"/>
    <w:unhideWhenUsed/>
    <w:rsid w:val="001212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12F5"/>
    <w:rPr>
      <w:rFonts w:ascii="Times New Roman" w:hAnsi="Times New Roman"/>
      <w:sz w:val="24"/>
    </w:rPr>
  </w:style>
  <w:style w:type="paragraph" w:styleId="TOCHeading">
    <w:name w:val="TOC Heading"/>
    <w:basedOn w:val="Heading1"/>
    <w:next w:val="Normal"/>
    <w:uiPriority w:val="39"/>
    <w:unhideWhenUsed/>
    <w:qFormat/>
    <w:rsid w:val="001212F5"/>
    <w:pPr>
      <w:spacing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1212F5"/>
    <w:pPr>
      <w:spacing w:after="100"/>
    </w:pPr>
  </w:style>
  <w:style w:type="character" w:styleId="FollowedHyperlink">
    <w:name w:val="FollowedHyperlink"/>
    <w:basedOn w:val="DefaultParagraphFont"/>
    <w:uiPriority w:val="99"/>
    <w:semiHidden/>
    <w:unhideWhenUsed/>
    <w:rsid w:val="00D7637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2837">
      <w:bodyDiv w:val="1"/>
      <w:marLeft w:val="0"/>
      <w:marRight w:val="0"/>
      <w:marTop w:val="0"/>
      <w:marBottom w:val="0"/>
      <w:divBdr>
        <w:top w:val="none" w:sz="0" w:space="0" w:color="auto"/>
        <w:left w:val="none" w:sz="0" w:space="0" w:color="auto"/>
        <w:bottom w:val="none" w:sz="0" w:space="0" w:color="auto"/>
        <w:right w:val="none" w:sz="0" w:space="0" w:color="auto"/>
      </w:divBdr>
    </w:div>
    <w:div w:id="86657999">
      <w:bodyDiv w:val="1"/>
      <w:marLeft w:val="0"/>
      <w:marRight w:val="0"/>
      <w:marTop w:val="0"/>
      <w:marBottom w:val="0"/>
      <w:divBdr>
        <w:top w:val="none" w:sz="0" w:space="0" w:color="auto"/>
        <w:left w:val="none" w:sz="0" w:space="0" w:color="auto"/>
        <w:bottom w:val="none" w:sz="0" w:space="0" w:color="auto"/>
        <w:right w:val="none" w:sz="0" w:space="0" w:color="auto"/>
      </w:divBdr>
      <w:divsChild>
        <w:div w:id="1218514661">
          <w:marLeft w:val="0"/>
          <w:marRight w:val="0"/>
          <w:marTop w:val="0"/>
          <w:marBottom w:val="0"/>
          <w:divBdr>
            <w:top w:val="none" w:sz="0" w:space="0" w:color="auto"/>
            <w:left w:val="none" w:sz="0" w:space="0" w:color="auto"/>
            <w:bottom w:val="none" w:sz="0" w:space="0" w:color="auto"/>
            <w:right w:val="none" w:sz="0" w:space="0" w:color="auto"/>
          </w:divBdr>
        </w:div>
      </w:divsChild>
    </w:div>
    <w:div w:id="161049909">
      <w:bodyDiv w:val="1"/>
      <w:marLeft w:val="0"/>
      <w:marRight w:val="0"/>
      <w:marTop w:val="0"/>
      <w:marBottom w:val="0"/>
      <w:divBdr>
        <w:top w:val="none" w:sz="0" w:space="0" w:color="auto"/>
        <w:left w:val="none" w:sz="0" w:space="0" w:color="auto"/>
        <w:bottom w:val="none" w:sz="0" w:space="0" w:color="auto"/>
        <w:right w:val="none" w:sz="0" w:space="0" w:color="auto"/>
      </w:divBdr>
    </w:div>
    <w:div w:id="170723827">
      <w:bodyDiv w:val="1"/>
      <w:marLeft w:val="0"/>
      <w:marRight w:val="0"/>
      <w:marTop w:val="0"/>
      <w:marBottom w:val="0"/>
      <w:divBdr>
        <w:top w:val="none" w:sz="0" w:space="0" w:color="auto"/>
        <w:left w:val="none" w:sz="0" w:space="0" w:color="auto"/>
        <w:bottom w:val="none" w:sz="0" w:space="0" w:color="auto"/>
        <w:right w:val="none" w:sz="0" w:space="0" w:color="auto"/>
      </w:divBdr>
      <w:divsChild>
        <w:div w:id="1213157362">
          <w:marLeft w:val="0"/>
          <w:marRight w:val="0"/>
          <w:marTop w:val="0"/>
          <w:marBottom w:val="0"/>
          <w:divBdr>
            <w:top w:val="none" w:sz="0" w:space="0" w:color="auto"/>
            <w:left w:val="none" w:sz="0" w:space="0" w:color="auto"/>
            <w:bottom w:val="none" w:sz="0" w:space="0" w:color="auto"/>
            <w:right w:val="none" w:sz="0" w:space="0" w:color="auto"/>
          </w:divBdr>
        </w:div>
      </w:divsChild>
    </w:div>
    <w:div w:id="277610700">
      <w:bodyDiv w:val="1"/>
      <w:marLeft w:val="0"/>
      <w:marRight w:val="0"/>
      <w:marTop w:val="0"/>
      <w:marBottom w:val="0"/>
      <w:divBdr>
        <w:top w:val="none" w:sz="0" w:space="0" w:color="auto"/>
        <w:left w:val="none" w:sz="0" w:space="0" w:color="auto"/>
        <w:bottom w:val="none" w:sz="0" w:space="0" w:color="auto"/>
        <w:right w:val="none" w:sz="0" w:space="0" w:color="auto"/>
      </w:divBdr>
    </w:div>
    <w:div w:id="392700564">
      <w:bodyDiv w:val="1"/>
      <w:marLeft w:val="0"/>
      <w:marRight w:val="0"/>
      <w:marTop w:val="0"/>
      <w:marBottom w:val="0"/>
      <w:divBdr>
        <w:top w:val="none" w:sz="0" w:space="0" w:color="auto"/>
        <w:left w:val="none" w:sz="0" w:space="0" w:color="auto"/>
        <w:bottom w:val="none" w:sz="0" w:space="0" w:color="auto"/>
        <w:right w:val="none" w:sz="0" w:space="0" w:color="auto"/>
      </w:divBdr>
      <w:divsChild>
        <w:div w:id="1680035426">
          <w:marLeft w:val="0"/>
          <w:marRight w:val="0"/>
          <w:marTop w:val="0"/>
          <w:marBottom w:val="0"/>
          <w:divBdr>
            <w:top w:val="none" w:sz="0" w:space="0" w:color="auto"/>
            <w:left w:val="none" w:sz="0" w:space="0" w:color="auto"/>
            <w:bottom w:val="none" w:sz="0" w:space="0" w:color="auto"/>
            <w:right w:val="none" w:sz="0" w:space="0" w:color="auto"/>
          </w:divBdr>
        </w:div>
      </w:divsChild>
    </w:div>
    <w:div w:id="463043010">
      <w:bodyDiv w:val="1"/>
      <w:marLeft w:val="0"/>
      <w:marRight w:val="0"/>
      <w:marTop w:val="0"/>
      <w:marBottom w:val="0"/>
      <w:divBdr>
        <w:top w:val="none" w:sz="0" w:space="0" w:color="auto"/>
        <w:left w:val="none" w:sz="0" w:space="0" w:color="auto"/>
        <w:bottom w:val="none" w:sz="0" w:space="0" w:color="auto"/>
        <w:right w:val="none" w:sz="0" w:space="0" w:color="auto"/>
      </w:divBdr>
    </w:div>
    <w:div w:id="465389964">
      <w:bodyDiv w:val="1"/>
      <w:marLeft w:val="0"/>
      <w:marRight w:val="0"/>
      <w:marTop w:val="0"/>
      <w:marBottom w:val="0"/>
      <w:divBdr>
        <w:top w:val="none" w:sz="0" w:space="0" w:color="auto"/>
        <w:left w:val="none" w:sz="0" w:space="0" w:color="auto"/>
        <w:bottom w:val="none" w:sz="0" w:space="0" w:color="auto"/>
        <w:right w:val="none" w:sz="0" w:space="0" w:color="auto"/>
      </w:divBdr>
    </w:div>
    <w:div w:id="481894758">
      <w:bodyDiv w:val="1"/>
      <w:marLeft w:val="0"/>
      <w:marRight w:val="0"/>
      <w:marTop w:val="0"/>
      <w:marBottom w:val="0"/>
      <w:divBdr>
        <w:top w:val="none" w:sz="0" w:space="0" w:color="auto"/>
        <w:left w:val="none" w:sz="0" w:space="0" w:color="auto"/>
        <w:bottom w:val="none" w:sz="0" w:space="0" w:color="auto"/>
        <w:right w:val="none" w:sz="0" w:space="0" w:color="auto"/>
      </w:divBdr>
    </w:div>
    <w:div w:id="550264759">
      <w:bodyDiv w:val="1"/>
      <w:marLeft w:val="0"/>
      <w:marRight w:val="0"/>
      <w:marTop w:val="0"/>
      <w:marBottom w:val="0"/>
      <w:divBdr>
        <w:top w:val="none" w:sz="0" w:space="0" w:color="auto"/>
        <w:left w:val="none" w:sz="0" w:space="0" w:color="auto"/>
        <w:bottom w:val="none" w:sz="0" w:space="0" w:color="auto"/>
        <w:right w:val="none" w:sz="0" w:space="0" w:color="auto"/>
      </w:divBdr>
    </w:div>
    <w:div w:id="579557885">
      <w:bodyDiv w:val="1"/>
      <w:marLeft w:val="0"/>
      <w:marRight w:val="0"/>
      <w:marTop w:val="0"/>
      <w:marBottom w:val="0"/>
      <w:divBdr>
        <w:top w:val="none" w:sz="0" w:space="0" w:color="auto"/>
        <w:left w:val="none" w:sz="0" w:space="0" w:color="auto"/>
        <w:bottom w:val="none" w:sz="0" w:space="0" w:color="auto"/>
        <w:right w:val="none" w:sz="0" w:space="0" w:color="auto"/>
      </w:divBdr>
    </w:div>
    <w:div w:id="584458342">
      <w:bodyDiv w:val="1"/>
      <w:marLeft w:val="0"/>
      <w:marRight w:val="0"/>
      <w:marTop w:val="0"/>
      <w:marBottom w:val="0"/>
      <w:divBdr>
        <w:top w:val="none" w:sz="0" w:space="0" w:color="auto"/>
        <w:left w:val="none" w:sz="0" w:space="0" w:color="auto"/>
        <w:bottom w:val="none" w:sz="0" w:space="0" w:color="auto"/>
        <w:right w:val="none" w:sz="0" w:space="0" w:color="auto"/>
      </w:divBdr>
    </w:div>
    <w:div w:id="621570035">
      <w:bodyDiv w:val="1"/>
      <w:marLeft w:val="0"/>
      <w:marRight w:val="0"/>
      <w:marTop w:val="0"/>
      <w:marBottom w:val="0"/>
      <w:divBdr>
        <w:top w:val="none" w:sz="0" w:space="0" w:color="auto"/>
        <w:left w:val="none" w:sz="0" w:space="0" w:color="auto"/>
        <w:bottom w:val="none" w:sz="0" w:space="0" w:color="auto"/>
        <w:right w:val="none" w:sz="0" w:space="0" w:color="auto"/>
      </w:divBdr>
    </w:div>
    <w:div w:id="745566098">
      <w:bodyDiv w:val="1"/>
      <w:marLeft w:val="0"/>
      <w:marRight w:val="0"/>
      <w:marTop w:val="0"/>
      <w:marBottom w:val="0"/>
      <w:divBdr>
        <w:top w:val="none" w:sz="0" w:space="0" w:color="auto"/>
        <w:left w:val="none" w:sz="0" w:space="0" w:color="auto"/>
        <w:bottom w:val="none" w:sz="0" w:space="0" w:color="auto"/>
        <w:right w:val="none" w:sz="0" w:space="0" w:color="auto"/>
      </w:divBdr>
    </w:div>
    <w:div w:id="827284893">
      <w:bodyDiv w:val="1"/>
      <w:marLeft w:val="0"/>
      <w:marRight w:val="0"/>
      <w:marTop w:val="0"/>
      <w:marBottom w:val="0"/>
      <w:divBdr>
        <w:top w:val="none" w:sz="0" w:space="0" w:color="auto"/>
        <w:left w:val="none" w:sz="0" w:space="0" w:color="auto"/>
        <w:bottom w:val="none" w:sz="0" w:space="0" w:color="auto"/>
        <w:right w:val="none" w:sz="0" w:space="0" w:color="auto"/>
      </w:divBdr>
    </w:div>
    <w:div w:id="846602364">
      <w:bodyDiv w:val="1"/>
      <w:marLeft w:val="0"/>
      <w:marRight w:val="0"/>
      <w:marTop w:val="0"/>
      <w:marBottom w:val="0"/>
      <w:divBdr>
        <w:top w:val="none" w:sz="0" w:space="0" w:color="auto"/>
        <w:left w:val="none" w:sz="0" w:space="0" w:color="auto"/>
        <w:bottom w:val="none" w:sz="0" w:space="0" w:color="auto"/>
        <w:right w:val="none" w:sz="0" w:space="0" w:color="auto"/>
      </w:divBdr>
      <w:divsChild>
        <w:div w:id="1305814216">
          <w:marLeft w:val="0"/>
          <w:marRight w:val="0"/>
          <w:marTop w:val="0"/>
          <w:marBottom w:val="0"/>
          <w:divBdr>
            <w:top w:val="none" w:sz="0" w:space="0" w:color="auto"/>
            <w:left w:val="none" w:sz="0" w:space="0" w:color="auto"/>
            <w:bottom w:val="none" w:sz="0" w:space="0" w:color="auto"/>
            <w:right w:val="none" w:sz="0" w:space="0" w:color="auto"/>
          </w:divBdr>
        </w:div>
      </w:divsChild>
    </w:div>
    <w:div w:id="876047078">
      <w:bodyDiv w:val="1"/>
      <w:marLeft w:val="0"/>
      <w:marRight w:val="0"/>
      <w:marTop w:val="0"/>
      <w:marBottom w:val="0"/>
      <w:divBdr>
        <w:top w:val="none" w:sz="0" w:space="0" w:color="auto"/>
        <w:left w:val="none" w:sz="0" w:space="0" w:color="auto"/>
        <w:bottom w:val="none" w:sz="0" w:space="0" w:color="auto"/>
        <w:right w:val="none" w:sz="0" w:space="0" w:color="auto"/>
      </w:divBdr>
    </w:div>
    <w:div w:id="921258924">
      <w:bodyDiv w:val="1"/>
      <w:marLeft w:val="0"/>
      <w:marRight w:val="0"/>
      <w:marTop w:val="0"/>
      <w:marBottom w:val="0"/>
      <w:divBdr>
        <w:top w:val="none" w:sz="0" w:space="0" w:color="auto"/>
        <w:left w:val="none" w:sz="0" w:space="0" w:color="auto"/>
        <w:bottom w:val="none" w:sz="0" w:space="0" w:color="auto"/>
        <w:right w:val="none" w:sz="0" w:space="0" w:color="auto"/>
      </w:divBdr>
    </w:div>
    <w:div w:id="947741817">
      <w:bodyDiv w:val="1"/>
      <w:marLeft w:val="0"/>
      <w:marRight w:val="0"/>
      <w:marTop w:val="0"/>
      <w:marBottom w:val="0"/>
      <w:divBdr>
        <w:top w:val="none" w:sz="0" w:space="0" w:color="auto"/>
        <w:left w:val="none" w:sz="0" w:space="0" w:color="auto"/>
        <w:bottom w:val="none" w:sz="0" w:space="0" w:color="auto"/>
        <w:right w:val="none" w:sz="0" w:space="0" w:color="auto"/>
      </w:divBdr>
    </w:div>
    <w:div w:id="979305194">
      <w:bodyDiv w:val="1"/>
      <w:marLeft w:val="0"/>
      <w:marRight w:val="0"/>
      <w:marTop w:val="0"/>
      <w:marBottom w:val="0"/>
      <w:divBdr>
        <w:top w:val="none" w:sz="0" w:space="0" w:color="auto"/>
        <w:left w:val="none" w:sz="0" w:space="0" w:color="auto"/>
        <w:bottom w:val="none" w:sz="0" w:space="0" w:color="auto"/>
        <w:right w:val="none" w:sz="0" w:space="0" w:color="auto"/>
      </w:divBdr>
    </w:div>
    <w:div w:id="1025207340">
      <w:bodyDiv w:val="1"/>
      <w:marLeft w:val="0"/>
      <w:marRight w:val="0"/>
      <w:marTop w:val="0"/>
      <w:marBottom w:val="0"/>
      <w:divBdr>
        <w:top w:val="none" w:sz="0" w:space="0" w:color="auto"/>
        <w:left w:val="none" w:sz="0" w:space="0" w:color="auto"/>
        <w:bottom w:val="none" w:sz="0" w:space="0" w:color="auto"/>
        <w:right w:val="none" w:sz="0" w:space="0" w:color="auto"/>
      </w:divBdr>
      <w:divsChild>
        <w:div w:id="265773801">
          <w:marLeft w:val="0"/>
          <w:marRight w:val="0"/>
          <w:marTop w:val="0"/>
          <w:marBottom w:val="0"/>
          <w:divBdr>
            <w:top w:val="none" w:sz="0" w:space="0" w:color="auto"/>
            <w:left w:val="none" w:sz="0" w:space="0" w:color="auto"/>
            <w:bottom w:val="none" w:sz="0" w:space="0" w:color="auto"/>
            <w:right w:val="none" w:sz="0" w:space="0" w:color="auto"/>
          </w:divBdr>
        </w:div>
      </w:divsChild>
    </w:div>
    <w:div w:id="1045105397">
      <w:bodyDiv w:val="1"/>
      <w:marLeft w:val="0"/>
      <w:marRight w:val="0"/>
      <w:marTop w:val="0"/>
      <w:marBottom w:val="0"/>
      <w:divBdr>
        <w:top w:val="none" w:sz="0" w:space="0" w:color="auto"/>
        <w:left w:val="none" w:sz="0" w:space="0" w:color="auto"/>
        <w:bottom w:val="none" w:sz="0" w:space="0" w:color="auto"/>
        <w:right w:val="none" w:sz="0" w:space="0" w:color="auto"/>
      </w:divBdr>
    </w:div>
    <w:div w:id="1045329919">
      <w:bodyDiv w:val="1"/>
      <w:marLeft w:val="0"/>
      <w:marRight w:val="0"/>
      <w:marTop w:val="0"/>
      <w:marBottom w:val="0"/>
      <w:divBdr>
        <w:top w:val="none" w:sz="0" w:space="0" w:color="auto"/>
        <w:left w:val="none" w:sz="0" w:space="0" w:color="auto"/>
        <w:bottom w:val="none" w:sz="0" w:space="0" w:color="auto"/>
        <w:right w:val="none" w:sz="0" w:space="0" w:color="auto"/>
      </w:divBdr>
    </w:div>
    <w:div w:id="1052537000">
      <w:bodyDiv w:val="1"/>
      <w:marLeft w:val="0"/>
      <w:marRight w:val="0"/>
      <w:marTop w:val="0"/>
      <w:marBottom w:val="0"/>
      <w:divBdr>
        <w:top w:val="none" w:sz="0" w:space="0" w:color="auto"/>
        <w:left w:val="none" w:sz="0" w:space="0" w:color="auto"/>
        <w:bottom w:val="none" w:sz="0" w:space="0" w:color="auto"/>
        <w:right w:val="none" w:sz="0" w:space="0" w:color="auto"/>
      </w:divBdr>
    </w:div>
    <w:div w:id="1056197807">
      <w:bodyDiv w:val="1"/>
      <w:marLeft w:val="0"/>
      <w:marRight w:val="0"/>
      <w:marTop w:val="0"/>
      <w:marBottom w:val="0"/>
      <w:divBdr>
        <w:top w:val="none" w:sz="0" w:space="0" w:color="auto"/>
        <w:left w:val="none" w:sz="0" w:space="0" w:color="auto"/>
        <w:bottom w:val="none" w:sz="0" w:space="0" w:color="auto"/>
        <w:right w:val="none" w:sz="0" w:space="0" w:color="auto"/>
      </w:divBdr>
    </w:div>
    <w:div w:id="1073308855">
      <w:bodyDiv w:val="1"/>
      <w:marLeft w:val="0"/>
      <w:marRight w:val="0"/>
      <w:marTop w:val="0"/>
      <w:marBottom w:val="0"/>
      <w:divBdr>
        <w:top w:val="none" w:sz="0" w:space="0" w:color="auto"/>
        <w:left w:val="none" w:sz="0" w:space="0" w:color="auto"/>
        <w:bottom w:val="none" w:sz="0" w:space="0" w:color="auto"/>
        <w:right w:val="none" w:sz="0" w:space="0" w:color="auto"/>
      </w:divBdr>
    </w:div>
    <w:div w:id="1095635114">
      <w:bodyDiv w:val="1"/>
      <w:marLeft w:val="0"/>
      <w:marRight w:val="0"/>
      <w:marTop w:val="0"/>
      <w:marBottom w:val="0"/>
      <w:divBdr>
        <w:top w:val="none" w:sz="0" w:space="0" w:color="auto"/>
        <w:left w:val="none" w:sz="0" w:space="0" w:color="auto"/>
        <w:bottom w:val="none" w:sz="0" w:space="0" w:color="auto"/>
        <w:right w:val="none" w:sz="0" w:space="0" w:color="auto"/>
      </w:divBdr>
    </w:div>
    <w:div w:id="1123884242">
      <w:bodyDiv w:val="1"/>
      <w:marLeft w:val="0"/>
      <w:marRight w:val="0"/>
      <w:marTop w:val="0"/>
      <w:marBottom w:val="0"/>
      <w:divBdr>
        <w:top w:val="none" w:sz="0" w:space="0" w:color="auto"/>
        <w:left w:val="none" w:sz="0" w:space="0" w:color="auto"/>
        <w:bottom w:val="none" w:sz="0" w:space="0" w:color="auto"/>
        <w:right w:val="none" w:sz="0" w:space="0" w:color="auto"/>
      </w:divBdr>
    </w:div>
    <w:div w:id="1183856972">
      <w:bodyDiv w:val="1"/>
      <w:marLeft w:val="0"/>
      <w:marRight w:val="0"/>
      <w:marTop w:val="0"/>
      <w:marBottom w:val="0"/>
      <w:divBdr>
        <w:top w:val="none" w:sz="0" w:space="0" w:color="auto"/>
        <w:left w:val="none" w:sz="0" w:space="0" w:color="auto"/>
        <w:bottom w:val="none" w:sz="0" w:space="0" w:color="auto"/>
        <w:right w:val="none" w:sz="0" w:space="0" w:color="auto"/>
      </w:divBdr>
    </w:div>
    <w:div w:id="1213661909">
      <w:bodyDiv w:val="1"/>
      <w:marLeft w:val="0"/>
      <w:marRight w:val="0"/>
      <w:marTop w:val="0"/>
      <w:marBottom w:val="0"/>
      <w:divBdr>
        <w:top w:val="none" w:sz="0" w:space="0" w:color="auto"/>
        <w:left w:val="none" w:sz="0" w:space="0" w:color="auto"/>
        <w:bottom w:val="none" w:sz="0" w:space="0" w:color="auto"/>
        <w:right w:val="none" w:sz="0" w:space="0" w:color="auto"/>
      </w:divBdr>
    </w:div>
    <w:div w:id="1216965664">
      <w:bodyDiv w:val="1"/>
      <w:marLeft w:val="0"/>
      <w:marRight w:val="0"/>
      <w:marTop w:val="0"/>
      <w:marBottom w:val="0"/>
      <w:divBdr>
        <w:top w:val="none" w:sz="0" w:space="0" w:color="auto"/>
        <w:left w:val="none" w:sz="0" w:space="0" w:color="auto"/>
        <w:bottom w:val="none" w:sz="0" w:space="0" w:color="auto"/>
        <w:right w:val="none" w:sz="0" w:space="0" w:color="auto"/>
      </w:divBdr>
    </w:div>
    <w:div w:id="1302688544">
      <w:bodyDiv w:val="1"/>
      <w:marLeft w:val="0"/>
      <w:marRight w:val="0"/>
      <w:marTop w:val="0"/>
      <w:marBottom w:val="0"/>
      <w:divBdr>
        <w:top w:val="none" w:sz="0" w:space="0" w:color="auto"/>
        <w:left w:val="none" w:sz="0" w:space="0" w:color="auto"/>
        <w:bottom w:val="none" w:sz="0" w:space="0" w:color="auto"/>
        <w:right w:val="none" w:sz="0" w:space="0" w:color="auto"/>
      </w:divBdr>
    </w:div>
    <w:div w:id="1485050931">
      <w:bodyDiv w:val="1"/>
      <w:marLeft w:val="0"/>
      <w:marRight w:val="0"/>
      <w:marTop w:val="0"/>
      <w:marBottom w:val="0"/>
      <w:divBdr>
        <w:top w:val="none" w:sz="0" w:space="0" w:color="auto"/>
        <w:left w:val="none" w:sz="0" w:space="0" w:color="auto"/>
        <w:bottom w:val="none" w:sz="0" w:space="0" w:color="auto"/>
        <w:right w:val="none" w:sz="0" w:space="0" w:color="auto"/>
      </w:divBdr>
      <w:divsChild>
        <w:div w:id="217131170">
          <w:marLeft w:val="0"/>
          <w:marRight w:val="0"/>
          <w:marTop w:val="0"/>
          <w:marBottom w:val="0"/>
          <w:divBdr>
            <w:top w:val="none" w:sz="0" w:space="0" w:color="auto"/>
            <w:left w:val="none" w:sz="0" w:space="0" w:color="auto"/>
            <w:bottom w:val="none" w:sz="0" w:space="0" w:color="auto"/>
            <w:right w:val="none" w:sz="0" w:space="0" w:color="auto"/>
          </w:divBdr>
        </w:div>
      </w:divsChild>
    </w:div>
    <w:div w:id="1551114474">
      <w:bodyDiv w:val="1"/>
      <w:marLeft w:val="0"/>
      <w:marRight w:val="0"/>
      <w:marTop w:val="0"/>
      <w:marBottom w:val="0"/>
      <w:divBdr>
        <w:top w:val="none" w:sz="0" w:space="0" w:color="auto"/>
        <w:left w:val="none" w:sz="0" w:space="0" w:color="auto"/>
        <w:bottom w:val="none" w:sz="0" w:space="0" w:color="auto"/>
        <w:right w:val="none" w:sz="0" w:space="0" w:color="auto"/>
      </w:divBdr>
    </w:div>
    <w:div w:id="1566063767">
      <w:bodyDiv w:val="1"/>
      <w:marLeft w:val="0"/>
      <w:marRight w:val="0"/>
      <w:marTop w:val="0"/>
      <w:marBottom w:val="0"/>
      <w:divBdr>
        <w:top w:val="none" w:sz="0" w:space="0" w:color="auto"/>
        <w:left w:val="none" w:sz="0" w:space="0" w:color="auto"/>
        <w:bottom w:val="none" w:sz="0" w:space="0" w:color="auto"/>
        <w:right w:val="none" w:sz="0" w:space="0" w:color="auto"/>
      </w:divBdr>
    </w:div>
    <w:div w:id="1767143708">
      <w:bodyDiv w:val="1"/>
      <w:marLeft w:val="0"/>
      <w:marRight w:val="0"/>
      <w:marTop w:val="0"/>
      <w:marBottom w:val="0"/>
      <w:divBdr>
        <w:top w:val="none" w:sz="0" w:space="0" w:color="auto"/>
        <w:left w:val="none" w:sz="0" w:space="0" w:color="auto"/>
        <w:bottom w:val="none" w:sz="0" w:space="0" w:color="auto"/>
        <w:right w:val="none" w:sz="0" w:space="0" w:color="auto"/>
      </w:divBdr>
    </w:div>
    <w:div w:id="1855486955">
      <w:bodyDiv w:val="1"/>
      <w:marLeft w:val="0"/>
      <w:marRight w:val="0"/>
      <w:marTop w:val="0"/>
      <w:marBottom w:val="0"/>
      <w:divBdr>
        <w:top w:val="none" w:sz="0" w:space="0" w:color="auto"/>
        <w:left w:val="none" w:sz="0" w:space="0" w:color="auto"/>
        <w:bottom w:val="none" w:sz="0" w:space="0" w:color="auto"/>
        <w:right w:val="none" w:sz="0" w:space="0" w:color="auto"/>
      </w:divBdr>
    </w:div>
    <w:div w:id="1861312184">
      <w:bodyDiv w:val="1"/>
      <w:marLeft w:val="0"/>
      <w:marRight w:val="0"/>
      <w:marTop w:val="0"/>
      <w:marBottom w:val="0"/>
      <w:divBdr>
        <w:top w:val="none" w:sz="0" w:space="0" w:color="auto"/>
        <w:left w:val="none" w:sz="0" w:space="0" w:color="auto"/>
        <w:bottom w:val="none" w:sz="0" w:space="0" w:color="auto"/>
        <w:right w:val="none" w:sz="0" w:space="0" w:color="auto"/>
      </w:divBdr>
      <w:divsChild>
        <w:div w:id="1627391970">
          <w:marLeft w:val="0"/>
          <w:marRight w:val="0"/>
          <w:marTop w:val="0"/>
          <w:marBottom w:val="0"/>
          <w:divBdr>
            <w:top w:val="none" w:sz="0" w:space="0" w:color="auto"/>
            <w:left w:val="none" w:sz="0" w:space="0" w:color="auto"/>
            <w:bottom w:val="none" w:sz="0" w:space="0" w:color="auto"/>
            <w:right w:val="none" w:sz="0" w:space="0" w:color="auto"/>
          </w:divBdr>
        </w:div>
      </w:divsChild>
    </w:div>
    <w:div w:id="1884174304">
      <w:bodyDiv w:val="1"/>
      <w:marLeft w:val="0"/>
      <w:marRight w:val="0"/>
      <w:marTop w:val="0"/>
      <w:marBottom w:val="0"/>
      <w:divBdr>
        <w:top w:val="none" w:sz="0" w:space="0" w:color="auto"/>
        <w:left w:val="none" w:sz="0" w:space="0" w:color="auto"/>
        <w:bottom w:val="none" w:sz="0" w:space="0" w:color="auto"/>
        <w:right w:val="none" w:sz="0" w:space="0" w:color="auto"/>
      </w:divBdr>
    </w:div>
    <w:div w:id="1929729008">
      <w:bodyDiv w:val="1"/>
      <w:marLeft w:val="0"/>
      <w:marRight w:val="0"/>
      <w:marTop w:val="0"/>
      <w:marBottom w:val="0"/>
      <w:divBdr>
        <w:top w:val="none" w:sz="0" w:space="0" w:color="auto"/>
        <w:left w:val="none" w:sz="0" w:space="0" w:color="auto"/>
        <w:bottom w:val="none" w:sz="0" w:space="0" w:color="auto"/>
        <w:right w:val="none" w:sz="0" w:space="0" w:color="auto"/>
      </w:divBdr>
    </w:div>
    <w:div w:id="1984306910">
      <w:bodyDiv w:val="1"/>
      <w:marLeft w:val="0"/>
      <w:marRight w:val="0"/>
      <w:marTop w:val="0"/>
      <w:marBottom w:val="0"/>
      <w:divBdr>
        <w:top w:val="none" w:sz="0" w:space="0" w:color="auto"/>
        <w:left w:val="none" w:sz="0" w:space="0" w:color="auto"/>
        <w:bottom w:val="none" w:sz="0" w:space="0" w:color="auto"/>
        <w:right w:val="none" w:sz="0" w:space="0" w:color="auto"/>
      </w:divBdr>
    </w:div>
    <w:div w:id="2013559127">
      <w:bodyDiv w:val="1"/>
      <w:marLeft w:val="0"/>
      <w:marRight w:val="0"/>
      <w:marTop w:val="0"/>
      <w:marBottom w:val="0"/>
      <w:divBdr>
        <w:top w:val="none" w:sz="0" w:space="0" w:color="auto"/>
        <w:left w:val="none" w:sz="0" w:space="0" w:color="auto"/>
        <w:bottom w:val="none" w:sz="0" w:space="0" w:color="auto"/>
        <w:right w:val="none" w:sz="0" w:space="0" w:color="auto"/>
      </w:divBdr>
    </w:div>
    <w:div w:id="2049405792">
      <w:bodyDiv w:val="1"/>
      <w:marLeft w:val="0"/>
      <w:marRight w:val="0"/>
      <w:marTop w:val="0"/>
      <w:marBottom w:val="0"/>
      <w:divBdr>
        <w:top w:val="none" w:sz="0" w:space="0" w:color="auto"/>
        <w:left w:val="none" w:sz="0" w:space="0" w:color="auto"/>
        <w:bottom w:val="none" w:sz="0" w:space="0" w:color="auto"/>
        <w:right w:val="none" w:sz="0" w:space="0" w:color="auto"/>
      </w:divBdr>
    </w:div>
    <w:div w:id="2103992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8EDCF44-2BA1-4ED9-887B-1CDD32C6ED85}" type="doc">
      <dgm:prSet loTypeId="urn:microsoft.com/office/officeart/2008/layout/LinedList" loCatId="list" qsTypeId="urn:microsoft.com/office/officeart/2005/8/quickstyle/simple1" qsCatId="simple" csTypeId="urn:microsoft.com/office/officeart/2005/8/colors/colorful3" csCatId="colorful" phldr="1"/>
      <dgm:spPr/>
      <dgm:t>
        <a:bodyPr/>
        <a:lstStyle/>
        <a:p>
          <a:endParaRPr lang="en-GB"/>
        </a:p>
      </dgm:t>
    </dgm:pt>
    <dgm:pt modelId="{35206D64-3823-4FE6-87E5-0DED24BFCFB8}">
      <dgm:prSet phldrT="[Text]" custT="1"/>
      <dgm:spPr/>
      <dgm:t>
        <a:bodyPr/>
        <a:lstStyle/>
        <a:p>
          <a:pPr algn="just"/>
          <a:r>
            <a:rPr lang="en-GB" sz="1200" i="1">
              <a:latin typeface="Arial" panose="020B0604020202020204" pitchFamily="34" charset="0"/>
              <a:cs typeface="Arial" panose="020B0604020202020204" pitchFamily="34" charset="0"/>
            </a:rPr>
            <a:t>Conducting Sustainability Audits:</a:t>
          </a:r>
          <a:r>
            <a:rPr lang="en-GB" sz="1200">
              <a:latin typeface="Arial" panose="020B0604020202020204" pitchFamily="34" charset="0"/>
              <a:cs typeface="Arial" panose="020B0604020202020204" pitchFamily="34" charset="0"/>
            </a:rPr>
            <a:t> Regular audits can identify further areas that need improvement and help track the progress made over time.</a:t>
          </a:r>
        </a:p>
      </dgm:t>
    </dgm:pt>
    <dgm:pt modelId="{6149D4EB-A50D-4AB4-BD26-C5A5D1D1AC99}" type="parTrans" cxnId="{DB07FEB0-EE5E-42E7-AA59-0095BDB3D0D9}">
      <dgm:prSet/>
      <dgm:spPr/>
      <dgm:t>
        <a:bodyPr/>
        <a:lstStyle/>
        <a:p>
          <a:endParaRPr lang="en-GB"/>
        </a:p>
      </dgm:t>
    </dgm:pt>
    <dgm:pt modelId="{2FB1CF32-1180-4668-9FE4-5FB821B633EF}" type="sibTrans" cxnId="{DB07FEB0-EE5E-42E7-AA59-0095BDB3D0D9}">
      <dgm:prSet/>
      <dgm:spPr/>
      <dgm:t>
        <a:bodyPr/>
        <a:lstStyle/>
        <a:p>
          <a:endParaRPr lang="en-GB"/>
        </a:p>
      </dgm:t>
    </dgm:pt>
    <dgm:pt modelId="{2E3AD9D6-87B7-477A-9E3B-FEC75FE50C79}">
      <dgm:prSet custT="1"/>
      <dgm:spPr/>
      <dgm:t>
        <a:bodyPr/>
        <a:lstStyle/>
        <a:p>
          <a:pPr algn="just"/>
          <a:r>
            <a:rPr lang="en-GB" sz="1200" i="1">
              <a:latin typeface="Arial" panose="020B0604020202020204" pitchFamily="34" charset="0"/>
              <a:cs typeface="Arial" panose="020B0604020202020204" pitchFamily="34" charset="0"/>
            </a:rPr>
            <a:t>Guest Engagement Programs:</a:t>
          </a:r>
          <a:r>
            <a:rPr lang="en-GB" sz="1200">
              <a:latin typeface="Arial" panose="020B0604020202020204" pitchFamily="34" charset="0"/>
              <a:cs typeface="Arial" panose="020B0604020202020204" pitchFamily="34" charset="0"/>
            </a:rPr>
            <a:t> Guest sensitization can also see such programs as towel and linen re-use programs or digests on digital guides to sustainability-friendly activities that directly involve guests (Jauhari, 2021).</a:t>
          </a:r>
        </a:p>
      </dgm:t>
    </dgm:pt>
    <dgm:pt modelId="{BC586EDE-04C0-4235-88B1-6307E0A89FCC}" type="parTrans" cxnId="{4363C8C6-0AE9-4817-9DC7-1AC5FB6D1CAB}">
      <dgm:prSet/>
      <dgm:spPr/>
      <dgm:t>
        <a:bodyPr/>
        <a:lstStyle/>
        <a:p>
          <a:endParaRPr lang="en-GB"/>
        </a:p>
      </dgm:t>
    </dgm:pt>
    <dgm:pt modelId="{6A9F14AA-86F3-4845-94E4-0B454E9107C6}" type="sibTrans" cxnId="{4363C8C6-0AE9-4817-9DC7-1AC5FB6D1CAB}">
      <dgm:prSet/>
      <dgm:spPr/>
      <dgm:t>
        <a:bodyPr/>
        <a:lstStyle/>
        <a:p>
          <a:endParaRPr lang="en-GB"/>
        </a:p>
      </dgm:t>
    </dgm:pt>
    <dgm:pt modelId="{20FE7053-7EC6-4EFE-BBA7-3ACCA313A2B7}">
      <dgm:prSet custT="1"/>
      <dgm:spPr/>
      <dgm:t>
        <a:bodyPr/>
        <a:lstStyle/>
        <a:p>
          <a:pPr algn="just"/>
          <a:r>
            <a:rPr lang="en-GB" sz="1200" i="1">
              <a:latin typeface="Arial" panose="020B0604020202020204" pitchFamily="34" charset="0"/>
              <a:cs typeface="Arial" panose="020B0604020202020204" pitchFamily="34" charset="0"/>
            </a:rPr>
            <a:t>Creating an Environmental Management System:</a:t>
          </a:r>
          <a:r>
            <a:rPr lang="en-GB" sz="1200">
              <a:latin typeface="Arial" panose="020B0604020202020204" pitchFamily="34" charset="0"/>
              <a:cs typeface="Arial" panose="020B0604020202020204" pitchFamily="34" charset="0"/>
            </a:rPr>
            <a:t> EMS (Environmental Management System) is a structured framework that sets, implements, and reviews environmental objectives (Costa and Costa, 2022).</a:t>
          </a:r>
        </a:p>
      </dgm:t>
    </dgm:pt>
    <dgm:pt modelId="{CB029413-9670-4C7E-A975-90F6AA338F03}" type="parTrans" cxnId="{2AFDB4A6-30C5-48E2-A8B7-BBE113A0072F}">
      <dgm:prSet/>
      <dgm:spPr/>
      <dgm:t>
        <a:bodyPr/>
        <a:lstStyle/>
        <a:p>
          <a:endParaRPr lang="en-GB"/>
        </a:p>
      </dgm:t>
    </dgm:pt>
    <dgm:pt modelId="{D261775E-23CD-4EB2-9599-C4D311534126}" type="sibTrans" cxnId="{2AFDB4A6-30C5-48E2-A8B7-BBE113A0072F}">
      <dgm:prSet/>
      <dgm:spPr/>
      <dgm:t>
        <a:bodyPr/>
        <a:lstStyle/>
        <a:p>
          <a:endParaRPr lang="en-GB"/>
        </a:p>
      </dgm:t>
    </dgm:pt>
    <dgm:pt modelId="{049FFFD3-3E4A-4CAC-A86E-FA8B1CF81F32}" type="pres">
      <dgm:prSet presAssocID="{88EDCF44-2BA1-4ED9-887B-1CDD32C6ED85}" presName="vert0" presStyleCnt="0">
        <dgm:presLayoutVars>
          <dgm:dir/>
          <dgm:animOne val="branch"/>
          <dgm:animLvl val="lvl"/>
        </dgm:presLayoutVars>
      </dgm:prSet>
      <dgm:spPr/>
    </dgm:pt>
    <dgm:pt modelId="{372D0EC3-CCBA-4A68-8BC5-7FC8AC904399}" type="pres">
      <dgm:prSet presAssocID="{35206D64-3823-4FE6-87E5-0DED24BFCFB8}" presName="thickLine" presStyleLbl="alignNode1" presStyleIdx="0" presStyleCnt="3"/>
      <dgm:spPr/>
    </dgm:pt>
    <dgm:pt modelId="{3DA1F00C-1BF4-476C-8EF2-BD98C368A62E}" type="pres">
      <dgm:prSet presAssocID="{35206D64-3823-4FE6-87E5-0DED24BFCFB8}" presName="horz1" presStyleCnt="0"/>
      <dgm:spPr/>
    </dgm:pt>
    <dgm:pt modelId="{7A6F9FA0-A071-4DDE-B97D-D7A9C4975D0F}" type="pres">
      <dgm:prSet presAssocID="{35206D64-3823-4FE6-87E5-0DED24BFCFB8}" presName="tx1" presStyleLbl="revTx" presStyleIdx="0" presStyleCnt="3"/>
      <dgm:spPr/>
    </dgm:pt>
    <dgm:pt modelId="{B82B521D-BE3D-45B0-914D-CB57DC56F147}" type="pres">
      <dgm:prSet presAssocID="{35206D64-3823-4FE6-87E5-0DED24BFCFB8}" presName="vert1" presStyleCnt="0"/>
      <dgm:spPr/>
    </dgm:pt>
    <dgm:pt modelId="{BD485370-E02E-4DC1-A241-5CDFD228C682}" type="pres">
      <dgm:prSet presAssocID="{2E3AD9D6-87B7-477A-9E3B-FEC75FE50C79}" presName="thickLine" presStyleLbl="alignNode1" presStyleIdx="1" presStyleCnt="3"/>
      <dgm:spPr/>
    </dgm:pt>
    <dgm:pt modelId="{A6205A13-DA8D-4DB4-A7B1-74788EBFB800}" type="pres">
      <dgm:prSet presAssocID="{2E3AD9D6-87B7-477A-9E3B-FEC75FE50C79}" presName="horz1" presStyleCnt="0"/>
      <dgm:spPr/>
    </dgm:pt>
    <dgm:pt modelId="{BF6AE052-8367-429F-BE7F-49629DEEE11D}" type="pres">
      <dgm:prSet presAssocID="{2E3AD9D6-87B7-477A-9E3B-FEC75FE50C79}" presName="tx1" presStyleLbl="revTx" presStyleIdx="1" presStyleCnt="3"/>
      <dgm:spPr/>
    </dgm:pt>
    <dgm:pt modelId="{AEE8D3ED-B582-4768-851A-02E895C6A28F}" type="pres">
      <dgm:prSet presAssocID="{2E3AD9D6-87B7-477A-9E3B-FEC75FE50C79}" presName="vert1" presStyleCnt="0"/>
      <dgm:spPr/>
    </dgm:pt>
    <dgm:pt modelId="{9786CE4D-BB2D-41FF-8A1A-FB238AE6C3C2}" type="pres">
      <dgm:prSet presAssocID="{20FE7053-7EC6-4EFE-BBA7-3ACCA313A2B7}" presName="thickLine" presStyleLbl="alignNode1" presStyleIdx="2" presStyleCnt="3"/>
      <dgm:spPr/>
    </dgm:pt>
    <dgm:pt modelId="{5744FE15-B8EC-4D7F-A3A7-AA580965D999}" type="pres">
      <dgm:prSet presAssocID="{20FE7053-7EC6-4EFE-BBA7-3ACCA313A2B7}" presName="horz1" presStyleCnt="0"/>
      <dgm:spPr/>
    </dgm:pt>
    <dgm:pt modelId="{36F9B669-96BC-4ED8-B8BB-695B3ED2E73A}" type="pres">
      <dgm:prSet presAssocID="{20FE7053-7EC6-4EFE-BBA7-3ACCA313A2B7}" presName="tx1" presStyleLbl="revTx" presStyleIdx="2" presStyleCnt="3"/>
      <dgm:spPr/>
    </dgm:pt>
    <dgm:pt modelId="{035C3BA4-F783-43F1-A0F7-CE8D558D0651}" type="pres">
      <dgm:prSet presAssocID="{20FE7053-7EC6-4EFE-BBA7-3ACCA313A2B7}" presName="vert1" presStyleCnt="0"/>
      <dgm:spPr/>
    </dgm:pt>
  </dgm:ptLst>
  <dgm:cxnLst>
    <dgm:cxn modelId="{4E1C4645-D7AE-45C9-B38F-770869F5E0C0}" type="presOf" srcId="{88EDCF44-2BA1-4ED9-887B-1CDD32C6ED85}" destId="{049FFFD3-3E4A-4CAC-A86E-FA8B1CF81F32}" srcOrd="0" destOrd="0" presId="urn:microsoft.com/office/officeart/2008/layout/LinedList"/>
    <dgm:cxn modelId="{DDA3F26F-7889-4E74-B357-AE48B632C9DF}" type="presOf" srcId="{20FE7053-7EC6-4EFE-BBA7-3ACCA313A2B7}" destId="{36F9B669-96BC-4ED8-B8BB-695B3ED2E73A}" srcOrd="0" destOrd="0" presId="urn:microsoft.com/office/officeart/2008/layout/LinedList"/>
    <dgm:cxn modelId="{1A6D9185-C65D-4009-A8D2-E82B2F1D657A}" type="presOf" srcId="{2E3AD9D6-87B7-477A-9E3B-FEC75FE50C79}" destId="{BF6AE052-8367-429F-BE7F-49629DEEE11D}" srcOrd="0" destOrd="0" presId="urn:microsoft.com/office/officeart/2008/layout/LinedList"/>
    <dgm:cxn modelId="{2AFDB4A6-30C5-48E2-A8B7-BBE113A0072F}" srcId="{88EDCF44-2BA1-4ED9-887B-1CDD32C6ED85}" destId="{20FE7053-7EC6-4EFE-BBA7-3ACCA313A2B7}" srcOrd="2" destOrd="0" parTransId="{CB029413-9670-4C7E-A975-90F6AA338F03}" sibTransId="{D261775E-23CD-4EB2-9599-C4D311534126}"/>
    <dgm:cxn modelId="{DB07FEB0-EE5E-42E7-AA59-0095BDB3D0D9}" srcId="{88EDCF44-2BA1-4ED9-887B-1CDD32C6ED85}" destId="{35206D64-3823-4FE6-87E5-0DED24BFCFB8}" srcOrd="0" destOrd="0" parTransId="{6149D4EB-A50D-4AB4-BD26-C5A5D1D1AC99}" sibTransId="{2FB1CF32-1180-4668-9FE4-5FB821B633EF}"/>
    <dgm:cxn modelId="{4363C8C6-0AE9-4817-9DC7-1AC5FB6D1CAB}" srcId="{88EDCF44-2BA1-4ED9-887B-1CDD32C6ED85}" destId="{2E3AD9D6-87B7-477A-9E3B-FEC75FE50C79}" srcOrd="1" destOrd="0" parTransId="{BC586EDE-04C0-4235-88B1-6307E0A89FCC}" sibTransId="{6A9F14AA-86F3-4845-94E4-0B454E9107C6}"/>
    <dgm:cxn modelId="{7C723EDB-3BC2-4846-9E0E-A49056ADBF4B}" type="presOf" srcId="{35206D64-3823-4FE6-87E5-0DED24BFCFB8}" destId="{7A6F9FA0-A071-4DDE-B97D-D7A9C4975D0F}" srcOrd="0" destOrd="0" presId="urn:microsoft.com/office/officeart/2008/layout/LinedList"/>
    <dgm:cxn modelId="{1510AE34-D4A8-43C7-BBA4-BC11849850AF}" type="presParOf" srcId="{049FFFD3-3E4A-4CAC-A86E-FA8B1CF81F32}" destId="{372D0EC3-CCBA-4A68-8BC5-7FC8AC904399}" srcOrd="0" destOrd="0" presId="urn:microsoft.com/office/officeart/2008/layout/LinedList"/>
    <dgm:cxn modelId="{EC7FEC1B-47B8-4AE8-8353-A46262C63F37}" type="presParOf" srcId="{049FFFD3-3E4A-4CAC-A86E-FA8B1CF81F32}" destId="{3DA1F00C-1BF4-476C-8EF2-BD98C368A62E}" srcOrd="1" destOrd="0" presId="urn:microsoft.com/office/officeart/2008/layout/LinedList"/>
    <dgm:cxn modelId="{1D8D0DDD-B451-44D9-A976-960A48EF111F}" type="presParOf" srcId="{3DA1F00C-1BF4-476C-8EF2-BD98C368A62E}" destId="{7A6F9FA0-A071-4DDE-B97D-D7A9C4975D0F}" srcOrd="0" destOrd="0" presId="urn:microsoft.com/office/officeart/2008/layout/LinedList"/>
    <dgm:cxn modelId="{CDAE7337-27F3-4BA0-8176-98D8EBBCE806}" type="presParOf" srcId="{3DA1F00C-1BF4-476C-8EF2-BD98C368A62E}" destId="{B82B521D-BE3D-45B0-914D-CB57DC56F147}" srcOrd="1" destOrd="0" presId="urn:microsoft.com/office/officeart/2008/layout/LinedList"/>
    <dgm:cxn modelId="{8F8355D4-7842-4D63-AAB3-B070A924274C}" type="presParOf" srcId="{049FFFD3-3E4A-4CAC-A86E-FA8B1CF81F32}" destId="{BD485370-E02E-4DC1-A241-5CDFD228C682}" srcOrd="2" destOrd="0" presId="urn:microsoft.com/office/officeart/2008/layout/LinedList"/>
    <dgm:cxn modelId="{2816B0B9-40D9-498F-84E4-82A6A5715458}" type="presParOf" srcId="{049FFFD3-3E4A-4CAC-A86E-FA8B1CF81F32}" destId="{A6205A13-DA8D-4DB4-A7B1-74788EBFB800}" srcOrd="3" destOrd="0" presId="urn:microsoft.com/office/officeart/2008/layout/LinedList"/>
    <dgm:cxn modelId="{408051A6-AB92-40C7-B9DD-05EDD257ACFA}" type="presParOf" srcId="{A6205A13-DA8D-4DB4-A7B1-74788EBFB800}" destId="{BF6AE052-8367-429F-BE7F-49629DEEE11D}" srcOrd="0" destOrd="0" presId="urn:microsoft.com/office/officeart/2008/layout/LinedList"/>
    <dgm:cxn modelId="{9A8EC65A-89B1-4770-8508-31ACBBD71A0F}" type="presParOf" srcId="{A6205A13-DA8D-4DB4-A7B1-74788EBFB800}" destId="{AEE8D3ED-B582-4768-851A-02E895C6A28F}" srcOrd="1" destOrd="0" presId="urn:microsoft.com/office/officeart/2008/layout/LinedList"/>
    <dgm:cxn modelId="{E614D633-8561-4C56-AF2F-2F7198D913D4}" type="presParOf" srcId="{049FFFD3-3E4A-4CAC-A86E-FA8B1CF81F32}" destId="{9786CE4D-BB2D-41FF-8A1A-FB238AE6C3C2}" srcOrd="4" destOrd="0" presId="urn:microsoft.com/office/officeart/2008/layout/LinedList"/>
    <dgm:cxn modelId="{9C9EF114-49F1-4E71-8ED5-1AA0DB604B63}" type="presParOf" srcId="{049FFFD3-3E4A-4CAC-A86E-FA8B1CF81F32}" destId="{5744FE15-B8EC-4D7F-A3A7-AA580965D999}" srcOrd="5" destOrd="0" presId="urn:microsoft.com/office/officeart/2008/layout/LinedList"/>
    <dgm:cxn modelId="{6F2BC0A8-D76F-4ABD-AF94-40D7B2805898}" type="presParOf" srcId="{5744FE15-B8EC-4D7F-A3A7-AA580965D999}" destId="{36F9B669-96BC-4ED8-B8BB-695B3ED2E73A}" srcOrd="0" destOrd="0" presId="urn:microsoft.com/office/officeart/2008/layout/LinedList"/>
    <dgm:cxn modelId="{DDA3FC05-A35C-40AF-8F08-1A697B9AD4BF}" type="presParOf" srcId="{5744FE15-B8EC-4D7F-A3A7-AA580965D999}" destId="{035C3BA4-F783-43F1-A0F7-CE8D558D0651}" srcOrd="1" destOrd="0" presId="urn:microsoft.com/office/officeart/2008/layout/Lined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2D0EC3-CCBA-4A68-8BC5-7FC8AC904399}">
      <dsp:nvSpPr>
        <dsp:cNvPr id="0" name=""/>
        <dsp:cNvSpPr/>
      </dsp:nvSpPr>
      <dsp:spPr>
        <a:xfrm>
          <a:off x="0" y="1046"/>
          <a:ext cx="5667375" cy="0"/>
        </a:xfrm>
        <a:prstGeom prst="line">
          <a:avLst/>
        </a:prstGeom>
        <a:solidFill>
          <a:schemeClr val="accent3">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A6F9FA0-A071-4DDE-B97D-D7A9C4975D0F}">
      <dsp:nvSpPr>
        <dsp:cNvPr id="0" name=""/>
        <dsp:cNvSpPr/>
      </dsp:nvSpPr>
      <dsp:spPr>
        <a:xfrm>
          <a:off x="0" y="1046"/>
          <a:ext cx="5667375" cy="71367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GB" sz="1200" i="1" kern="1200">
              <a:latin typeface="Arial" panose="020B0604020202020204" pitchFamily="34" charset="0"/>
              <a:cs typeface="Arial" panose="020B0604020202020204" pitchFamily="34" charset="0"/>
            </a:rPr>
            <a:t>Conducting Sustainability Audits:</a:t>
          </a:r>
          <a:r>
            <a:rPr lang="en-GB" sz="1200" kern="1200">
              <a:latin typeface="Arial" panose="020B0604020202020204" pitchFamily="34" charset="0"/>
              <a:cs typeface="Arial" panose="020B0604020202020204" pitchFamily="34" charset="0"/>
            </a:rPr>
            <a:t> Regular audits can identify further areas that need improvement and help track the progress made over time.</a:t>
          </a:r>
        </a:p>
      </dsp:txBody>
      <dsp:txXfrm>
        <a:off x="0" y="1046"/>
        <a:ext cx="5667375" cy="713677"/>
      </dsp:txXfrm>
    </dsp:sp>
    <dsp:sp modelId="{BD485370-E02E-4DC1-A241-5CDFD228C682}">
      <dsp:nvSpPr>
        <dsp:cNvPr id="0" name=""/>
        <dsp:cNvSpPr/>
      </dsp:nvSpPr>
      <dsp:spPr>
        <a:xfrm>
          <a:off x="0" y="714723"/>
          <a:ext cx="5667375" cy="0"/>
        </a:xfrm>
        <a:prstGeom prst="line">
          <a:avLst/>
        </a:prstGeom>
        <a:solidFill>
          <a:schemeClr val="accent3">
            <a:hueOff val="5625132"/>
            <a:satOff val="-8440"/>
            <a:lumOff val="-1373"/>
            <a:alphaOff val="0"/>
          </a:schemeClr>
        </a:solidFill>
        <a:ln w="25400" cap="flat" cmpd="sng" algn="ctr">
          <a:solidFill>
            <a:schemeClr val="accent3">
              <a:hueOff val="5625132"/>
              <a:satOff val="-8440"/>
              <a:lumOff val="-1373"/>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F6AE052-8367-429F-BE7F-49629DEEE11D}">
      <dsp:nvSpPr>
        <dsp:cNvPr id="0" name=""/>
        <dsp:cNvSpPr/>
      </dsp:nvSpPr>
      <dsp:spPr>
        <a:xfrm>
          <a:off x="0" y="714723"/>
          <a:ext cx="5667375" cy="71367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GB" sz="1200" i="1" kern="1200">
              <a:latin typeface="Arial" panose="020B0604020202020204" pitchFamily="34" charset="0"/>
              <a:cs typeface="Arial" panose="020B0604020202020204" pitchFamily="34" charset="0"/>
            </a:rPr>
            <a:t>Guest Engagement Programs:</a:t>
          </a:r>
          <a:r>
            <a:rPr lang="en-GB" sz="1200" kern="1200">
              <a:latin typeface="Arial" panose="020B0604020202020204" pitchFamily="34" charset="0"/>
              <a:cs typeface="Arial" panose="020B0604020202020204" pitchFamily="34" charset="0"/>
            </a:rPr>
            <a:t> Guest sensitization can also see such programs as towel and linen re-use programs or digests on digital guides to sustainability-friendly activities that directly involve guests (Jauhari, 2021).</a:t>
          </a:r>
        </a:p>
      </dsp:txBody>
      <dsp:txXfrm>
        <a:off x="0" y="714723"/>
        <a:ext cx="5667375" cy="713677"/>
      </dsp:txXfrm>
    </dsp:sp>
    <dsp:sp modelId="{9786CE4D-BB2D-41FF-8A1A-FB238AE6C3C2}">
      <dsp:nvSpPr>
        <dsp:cNvPr id="0" name=""/>
        <dsp:cNvSpPr/>
      </dsp:nvSpPr>
      <dsp:spPr>
        <a:xfrm>
          <a:off x="0" y="1428401"/>
          <a:ext cx="5667375" cy="0"/>
        </a:xfrm>
        <a:prstGeom prst="line">
          <a:avLst/>
        </a:prstGeom>
        <a:solidFill>
          <a:schemeClr val="accent3">
            <a:hueOff val="11250264"/>
            <a:satOff val="-16880"/>
            <a:lumOff val="-2745"/>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6F9B669-96BC-4ED8-B8BB-695B3ED2E73A}">
      <dsp:nvSpPr>
        <dsp:cNvPr id="0" name=""/>
        <dsp:cNvSpPr/>
      </dsp:nvSpPr>
      <dsp:spPr>
        <a:xfrm>
          <a:off x="0" y="1428401"/>
          <a:ext cx="5667375" cy="71367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GB" sz="1200" i="1" kern="1200">
              <a:latin typeface="Arial" panose="020B0604020202020204" pitchFamily="34" charset="0"/>
              <a:cs typeface="Arial" panose="020B0604020202020204" pitchFamily="34" charset="0"/>
            </a:rPr>
            <a:t>Creating an Environmental Management System:</a:t>
          </a:r>
          <a:r>
            <a:rPr lang="en-GB" sz="1200" kern="1200">
              <a:latin typeface="Arial" panose="020B0604020202020204" pitchFamily="34" charset="0"/>
              <a:cs typeface="Arial" panose="020B0604020202020204" pitchFamily="34" charset="0"/>
            </a:rPr>
            <a:t> EMS (Environmental Management System) is a structured framework that sets, implements, and reviews environmental objectives (Costa and Costa, 2022).</a:t>
          </a:r>
        </a:p>
      </dsp:txBody>
      <dsp:txXfrm>
        <a:off x="0" y="1428401"/>
        <a:ext cx="5667375" cy="713677"/>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7AB89E-A3C4-45C7-B74C-8F27A305F5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3463</Words>
  <Characters>19743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2024-05-28T17:26:00Z</dcterms:created>
  <dcterms:modified xsi:type="dcterms:W3CDTF">2024-06-03T20:22:00Z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2024-05-28T19:26:29Z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e0e544b9-44fa-4b84-bdfa-bb653b6ebcc9</vt:lpwstr>
  </property>
  <property fmtid="{D5CDD505-2E9C-101B-9397-08002B2CF9AE}" pid="8" name="MSIP_Label_defa4170-0d19-0005-0004-bc88714345d2_ContentBits">
    <vt:lpwstr>0</vt:lpwstr>
  </property>
</Properties>
</file>