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6723DD" w:rsidRDefault="007E7745" w:rsidP="00412988">
      <w:pPr>
        <w:spacing w:line="360" w:lineRule="auto"/>
        <w:rPr>
          <w:rFonts w:ascii="Arial" w:hAnsi="Arial" w:cs="Arial"/>
          <w:sz w:val="22"/>
        </w:rPr>
      </w:pPr>
    </w:p>
    <w:p w14:paraId="365DE405" w14:textId="77777777" w:rsidR="00EB12BC" w:rsidRPr="006723DD" w:rsidRDefault="00EB12BC" w:rsidP="00412988">
      <w:pPr>
        <w:spacing w:line="360" w:lineRule="auto"/>
        <w:rPr>
          <w:rFonts w:ascii="Arial" w:hAnsi="Arial" w:cs="Arial"/>
          <w:sz w:val="22"/>
        </w:rPr>
      </w:pPr>
      <w:r w:rsidRPr="006723DD">
        <w:rPr>
          <w:rFonts w:ascii="Arial" w:hAnsi="Arial" w:cs="Arial"/>
          <w:noProof/>
          <w:sz w:val="22"/>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6723DD" w:rsidRDefault="00EB12BC" w:rsidP="00412988">
      <w:pPr>
        <w:spacing w:line="360" w:lineRule="auto"/>
        <w:rPr>
          <w:rFonts w:ascii="Arial" w:hAnsi="Arial" w:cs="Arial"/>
          <w:sz w:val="22"/>
        </w:rPr>
      </w:pPr>
    </w:p>
    <w:p w14:paraId="0E6E9383" w14:textId="77777777" w:rsidR="00EB12BC" w:rsidRPr="006723DD" w:rsidRDefault="00EB12BC" w:rsidP="00412988">
      <w:pPr>
        <w:spacing w:line="360" w:lineRule="auto"/>
        <w:rPr>
          <w:rFonts w:ascii="Arial" w:hAnsi="Arial" w:cs="Arial"/>
          <w:sz w:val="22"/>
        </w:rPr>
      </w:pPr>
    </w:p>
    <w:p w14:paraId="431DBF4A" w14:textId="77777777" w:rsidR="00EB12BC" w:rsidRPr="006723DD" w:rsidRDefault="00EB12BC" w:rsidP="00412988">
      <w:pPr>
        <w:spacing w:line="360" w:lineRule="auto"/>
        <w:rPr>
          <w:rFonts w:ascii="Arial" w:hAnsi="Arial" w:cs="Arial"/>
          <w:sz w:val="22"/>
        </w:rPr>
      </w:pPr>
    </w:p>
    <w:p w14:paraId="67404449" w14:textId="77777777" w:rsidR="00EB12BC" w:rsidRPr="006723DD" w:rsidRDefault="00EB12BC" w:rsidP="00412988">
      <w:pPr>
        <w:tabs>
          <w:tab w:val="left" w:pos="6540"/>
        </w:tabs>
        <w:spacing w:line="360" w:lineRule="auto"/>
        <w:rPr>
          <w:rFonts w:ascii="Arial" w:hAnsi="Arial" w:cs="Arial"/>
          <w:sz w:val="22"/>
        </w:rPr>
      </w:pPr>
    </w:p>
    <w:p w14:paraId="27888C86" w14:textId="0EEC099F" w:rsidR="00EB12BC" w:rsidRPr="006723DD" w:rsidRDefault="00EB12BC" w:rsidP="00412988">
      <w:pPr>
        <w:tabs>
          <w:tab w:val="left" w:pos="6540"/>
        </w:tabs>
        <w:spacing w:line="360" w:lineRule="auto"/>
        <w:rPr>
          <w:rFonts w:ascii="Arial" w:hAnsi="Arial" w:cs="Arial"/>
          <w:sz w:val="22"/>
          <w:lang w:val="nl-NL"/>
        </w:rPr>
      </w:pPr>
      <w:r w:rsidRPr="006723DD">
        <w:rPr>
          <w:rFonts w:ascii="Arial" w:hAnsi="Arial" w:cs="Arial"/>
          <w:b/>
          <w:bCs/>
          <w:sz w:val="22"/>
          <w:lang w:val="nl-NL"/>
        </w:rPr>
        <w:t>Student name</w:t>
      </w:r>
      <w:r w:rsidRPr="006723DD">
        <w:rPr>
          <w:rFonts w:ascii="Arial" w:hAnsi="Arial" w:cs="Arial"/>
          <w:sz w:val="22"/>
          <w:lang w:val="nl-NL"/>
        </w:rPr>
        <w:t>:</w:t>
      </w:r>
      <w:r w:rsidR="00421997" w:rsidRPr="006723DD">
        <w:rPr>
          <w:rFonts w:ascii="Arial" w:hAnsi="Arial" w:cs="Arial"/>
          <w:sz w:val="22"/>
          <w:lang w:val="nl-NL"/>
        </w:rPr>
        <w:t xml:space="preserve"> Natalja Golub</w:t>
      </w:r>
    </w:p>
    <w:p w14:paraId="3C83A8A7" w14:textId="3B1AE47E" w:rsidR="00EB12BC" w:rsidRPr="006723DD" w:rsidRDefault="00EB12BC" w:rsidP="00412988">
      <w:pPr>
        <w:tabs>
          <w:tab w:val="left" w:pos="6540"/>
        </w:tabs>
        <w:spacing w:line="360" w:lineRule="auto"/>
        <w:rPr>
          <w:rFonts w:ascii="Arial" w:hAnsi="Arial" w:cs="Arial"/>
          <w:sz w:val="22"/>
          <w:lang w:val="nl-NL"/>
        </w:rPr>
      </w:pPr>
      <w:r w:rsidRPr="006723DD">
        <w:rPr>
          <w:rFonts w:ascii="Arial" w:hAnsi="Arial" w:cs="Arial"/>
          <w:b/>
          <w:bCs/>
          <w:sz w:val="22"/>
          <w:lang w:val="nl-NL"/>
        </w:rPr>
        <w:t>Student ID</w:t>
      </w:r>
      <w:r w:rsidRPr="006723DD">
        <w:rPr>
          <w:rFonts w:ascii="Arial" w:hAnsi="Arial" w:cs="Arial"/>
          <w:sz w:val="22"/>
          <w:lang w:val="nl-NL"/>
        </w:rPr>
        <w:t>:</w:t>
      </w:r>
      <w:r w:rsidR="00421997" w:rsidRPr="006723DD">
        <w:rPr>
          <w:rFonts w:ascii="Arial" w:hAnsi="Arial" w:cs="Arial"/>
          <w:sz w:val="22"/>
          <w:lang w:val="nl-NL"/>
        </w:rPr>
        <w:t xml:space="preserve"> 2440433</w:t>
      </w:r>
    </w:p>
    <w:p w14:paraId="21E9DC72" w14:textId="77777777" w:rsidR="00EB12BC" w:rsidRPr="006723DD" w:rsidRDefault="00EB12BC" w:rsidP="00412988">
      <w:pPr>
        <w:tabs>
          <w:tab w:val="left" w:pos="6540"/>
        </w:tabs>
        <w:spacing w:line="360" w:lineRule="auto"/>
        <w:rPr>
          <w:rFonts w:ascii="Arial" w:hAnsi="Arial" w:cs="Arial"/>
          <w:sz w:val="22"/>
          <w:lang w:val="nl-NL"/>
        </w:rPr>
      </w:pPr>
    </w:p>
    <w:p w14:paraId="23BAC9B9" w14:textId="045B3538" w:rsidR="00EB12BC" w:rsidRPr="006723DD" w:rsidRDefault="00EB12BC" w:rsidP="00412988">
      <w:pPr>
        <w:tabs>
          <w:tab w:val="left" w:pos="6540"/>
        </w:tabs>
        <w:spacing w:line="360" w:lineRule="auto"/>
        <w:rPr>
          <w:rFonts w:ascii="Arial" w:hAnsi="Arial" w:cs="Arial"/>
          <w:sz w:val="22"/>
          <w:lang w:val="nl-NL"/>
        </w:rPr>
      </w:pPr>
      <w:r w:rsidRPr="006723DD">
        <w:rPr>
          <w:rFonts w:ascii="Arial" w:hAnsi="Arial" w:cs="Arial"/>
          <w:b/>
          <w:bCs/>
          <w:sz w:val="22"/>
          <w:lang w:val="nl-NL"/>
        </w:rPr>
        <w:t>Module name</w:t>
      </w:r>
      <w:r w:rsidRPr="006723DD">
        <w:rPr>
          <w:rFonts w:ascii="Arial" w:hAnsi="Arial" w:cs="Arial"/>
          <w:sz w:val="22"/>
          <w:lang w:val="nl-NL"/>
        </w:rPr>
        <w:t xml:space="preserve">: </w:t>
      </w:r>
      <w:r w:rsidR="00421997" w:rsidRPr="006723DD">
        <w:rPr>
          <w:rFonts w:ascii="Arial" w:hAnsi="Arial" w:cs="Arial"/>
          <w:sz w:val="22"/>
          <w:lang w:val="nl-NL"/>
        </w:rPr>
        <w:t>Introduction to Physiology</w:t>
      </w:r>
    </w:p>
    <w:p w14:paraId="4FD97C8C" w14:textId="2251B9AF" w:rsidR="00EB12BC" w:rsidRPr="006723DD" w:rsidRDefault="00EB12BC" w:rsidP="00412988">
      <w:pPr>
        <w:tabs>
          <w:tab w:val="left" w:pos="6540"/>
        </w:tabs>
        <w:spacing w:line="360" w:lineRule="auto"/>
        <w:rPr>
          <w:rFonts w:ascii="Arial" w:hAnsi="Arial" w:cs="Arial"/>
          <w:sz w:val="22"/>
        </w:rPr>
      </w:pPr>
      <w:r w:rsidRPr="006723DD">
        <w:rPr>
          <w:rFonts w:ascii="Arial" w:hAnsi="Arial" w:cs="Arial"/>
          <w:b/>
          <w:bCs/>
          <w:sz w:val="22"/>
        </w:rPr>
        <w:t>Module code</w:t>
      </w:r>
      <w:r w:rsidRPr="006723DD">
        <w:rPr>
          <w:rFonts w:ascii="Arial" w:hAnsi="Arial" w:cs="Arial"/>
          <w:sz w:val="22"/>
        </w:rPr>
        <w:t>:</w:t>
      </w:r>
      <w:r w:rsidR="00421997" w:rsidRPr="006723DD">
        <w:rPr>
          <w:rFonts w:ascii="Arial" w:hAnsi="Arial" w:cs="Arial"/>
          <w:sz w:val="22"/>
        </w:rPr>
        <w:t xml:space="preserve"> BMHP5023_LON</w:t>
      </w:r>
    </w:p>
    <w:p w14:paraId="658BE57E" w14:textId="54A2ADDE" w:rsidR="00EB12BC" w:rsidRPr="006723DD" w:rsidRDefault="00EB12BC" w:rsidP="00412988">
      <w:pPr>
        <w:tabs>
          <w:tab w:val="left" w:pos="6540"/>
        </w:tabs>
        <w:spacing w:line="360" w:lineRule="auto"/>
        <w:rPr>
          <w:rFonts w:ascii="Arial" w:hAnsi="Arial" w:cs="Arial"/>
          <w:sz w:val="22"/>
        </w:rPr>
      </w:pPr>
      <w:r w:rsidRPr="006723DD">
        <w:rPr>
          <w:rFonts w:ascii="Arial" w:hAnsi="Arial" w:cs="Arial"/>
          <w:b/>
          <w:bCs/>
          <w:sz w:val="22"/>
        </w:rPr>
        <w:t>Lecturer name</w:t>
      </w:r>
      <w:r w:rsidRPr="006723DD">
        <w:rPr>
          <w:rFonts w:ascii="Arial" w:hAnsi="Arial" w:cs="Arial"/>
          <w:sz w:val="22"/>
        </w:rPr>
        <w:t>:</w:t>
      </w:r>
      <w:r w:rsidR="00421997" w:rsidRPr="006723DD">
        <w:rPr>
          <w:rFonts w:ascii="Arial" w:hAnsi="Arial" w:cs="Arial"/>
          <w:sz w:val="22"/>
        </w:rPr>
        <w:t xml:space="preserve"> Shaila Hussain</w:t>
      </w:r>
    </w:p>
    <w:p w14:paraId="5AFF31F9" w14:textId="7AA2F2C1" w:rsidR="001B7A40" w:rsidRPr="006723DD" w:rsidRDefault="001B7A40" w:rsidP="00412988">
      <w:pPr>
        <w:tabs>
          <w:tab w:val="left" w:pos="6540"/>
        </w:tabs>
        <w:spacing w:line="360" w:lineRule="auto"/>
        <w:rPr>
          <w:rFonts w:ascii="Arial" w:hAnsi="Arial" w:cs="Arial"/>
          <w:b/>
          <w:bCs/>
          <w:sz w:val="22"/>
        </w:rPr>
      </w:pPr>
    </w:p>
    <w:p w14:paraId="53B923F4" w14:textId="717AD672" w:rsidR="001B7A40" w:rsidRPr="006723DD" w:rsidRDefault="001B7A40" w:rsidP="00412988">
      <w:pPr>
        <w:tabs>
          <w:tab w:val="left" w:pos="6540"/>
        </w:tabs>
        <w:spacing w:line="360" w:lineRule="auto"/>
        <w:rPr>
          <w:rFonts w:ascii="Arial" w:hAnsi="Arial" w:cs="Arial"/>
          <w:b/>
          <w:bCs/>
          <w:sz w:val="22"/>
        </w:rPr>
      </w:pPr>
      <w:r w:rsidRPr="006723DD">
        <w:rPr>
          <w:rFonts w:ascii="Arial" w:hAnsi="Arial" w:cs="Arial"/>
          <w:b/>
          <w:bCs/>
          <w:sz w:val="22"/>
        </w:rPr>
        <w:t xml:space="preserve">Assessment: </w:t>
      </w:r>
      <w:r w:rsidR="00421997" w:rsidRPr="006723DD">
        <w:rPr>
          <w:rFonts w:ascii="Arial" w:hAnsi="Arial" w:cs="Arial"/>
          <w:b/>
          <w:bCs/>
          <w:sz w:val="22"/>
        </w:rPr>
        <w:t>1</w:t>
      </w:r>
    </w:p>
    <w:p w14:paraId="30D95ED6" w14:textId="77777777" w:rsidR="00160F79" w:rsidRPr="006723DD" w:rsidRDefault="00160F79" w:rsidP="00160F79">
      <w:pPr>
        <w:shd w:val="clear" w:color="auto" w:fill="FFFFFF"/>
        <w:spacing w:after="0" w:line="360" w:lineRule="auto"/>
        <w:rPr>
          <w:rFonts w:ascii="Arial" w:eastAsia="Times New Roman" w:hAnsi="Arial" w:cs="Arial"/>
          <w:b/>
          <w:bCs/>
          <w:color w:val="222222"/>
          <w:sz w:val="22"/>
          <w:lang w:eastAsia="en-GB"/>
        </w:rPr>
      </w:pPr>
      <w:r w:rsidRPr="006723DD">
        <w:rPr>
          <w:rFonts w:ascii="Arial" w:eastAsia="Times New Roman" w:hAnsi="Arial" w:cs="Arial"/>
          <w:b/>
          <w:bCs/>
          <w:color w:val="222222"/>
          <w:sz w:val="22"/>
          <w:lang w:eastAsia="en-GB"/>
        </w:rPr>
        <w:t>Type 2 Diabetes: Blood Glucose Regulation, Cellular Metabolism, Monitoring and Lifestyle Management</w:t>
      </w:r>
    </w:p>
    <w:p w14:paraId="4C05B429" w14:textId="77777777" w:rsidR="00412988" w:rsidRPr="006723DD" w:rsidRDefault="00412988" w:rsidP="00412988">
      <w:pPr>
        <w:tabs>
          <w:tab w:val="left" w:pos="6540"/>
        </w:tabs>
        <w:spacing w:line="360" w:lineRule="auto"/>
        <w:rPr>
          <w:rFonts w:ascii="Arial" w:hAnsi="Arial" w:cs="Arial"/>
          <w:b/>
          <w:bCs/>
          <w:sz w:val="22"/>
        </w:rPr>
      </w:pPr>
    </w:p>
    <w:p w14:paraId="7541368B" w14:textId="11C49D0B" w:rsidR="00412988" w:rsidRDefault="00412988" w:rsidP="00412988">
      <w:pPr>
        <w:tabs>
          <w:tab w:val="left" w:pos="6540"/>
        </w:tabs>
        <w:spacing w:line="360" w:lineRule="auto"/>
        <w:rPr>
          <w:rFonts w:ascii="Arial" w:hAnsi="Arial" w:cs="Arial"/>
          <w:b/>
          <w:bCs/>
          <w:sz w:val="22"/>
        </w:rPr>
      </w:pPr>
      <w:r w:rsidRPr="006723DD">
        <w:rPr>
          <w:rFonts w:ascii="Arial" w:hAnsi="Arial" w:cs="Arial"/>
          <w:b/>
          <w:bCs/>
          <w:sz w:val="22"/>
        </w:rPr>
        <w:t>Table of Contents</w:t>
      </w:r>
    </w:p>
    <w:p w14:paraId="1D0302EA" w14:textId="3291F5BD" w:rsidR="00804D4B" w:rsidRDefault="00804D4B" w:rsidP="00804D4B">
      <w:pPr>
        <w:pStyle w:val="ListParagraph"/>
        <w:numPr>
          <w:ilvl w:val="0"/>
          <w:numId w:val="5"/>
        </w:numPr>
        <w:tabs>
          <w:tab w:val="left" w:pos="6540"/>
        </w:tabs>
        <w:spacing w:line="360" w:lineRule="auto"/>
        <w:rPr>
          <w:rFonts w:ascii="Arial" w:hAnsi="Arial" w:cs="Arial"/>
          <w:b/>
          <w:bCs/>
          <w:sz w:val="22"/>
        </w:rPr>
      </w:pPr>
      <w:r>
        <w:rPr>
          <w:rFonts w:ascii="Arial" w:hAnsi="Arial" w:cs="Arial"/>
          <w:b/>
          <w:bCs/>
          <w:sz w:val="22"/>
        </w:rPr>
        <w:t>Introduction ……</w:t>
      </w:r>
      <w:r w:rsidR="00C24603">
        <w:rPr>
          <w:rFonts w:ascii="Arial" w:hAnsi="Arial" w:cs="Arial"/>
          <w:b/>
          <w:bCs/>
          <w:sz w:val="22"/>
        </w:rPr>
        <w:t>……………………………………..2</w:t>
      </w:r>
    </w:p>
    <w:p w14:paraId="6BA5A4AC" w14:textId="0FC88671" w:rsidR="00804D4B" w:rsidRPr="00804D4B" w:rsidRDefault="00804D4B" w:rsidP="00804D4B">
      <w:pPr>
        <w:pStyle w:val="ListParagraph"/>
        <w:numPr>
          <w:ilvl w:val="0"/>
          <w:numId w:val="5"/>
        </w:numPr>
        <w:shd w:val="clear" w:color="auto" w:fill="FFFFFF"/>
        <w:spacing w:after="0" w:line="360" w:lineRule="auto"/>
        <w:rPr>
          <w:rFonts w:ascii="Arial" w:eastAsia="Times New Roman" w:hAnsi="Arial" w:cs="Arial"/>
          <w:b/>
          <w:bCs/>
          <w:color w:val="222222"/>
          <w:sz w:val="22"/>
          <w:lang w:eastAsia="en-GB"/>
        </w:rPr>
      </w:pPr>
      <w:r w:rsidRPr="00804D4B">
        <w:rPr>
          <w:rFonts w:ascii="Arial" w:eastAsia="Times New Roman" w:hAnsi="Arial" w:cs="Arial"/>
          <w:b/>
          <w:bCs/>
          <w:color w:val="222222"/>
          <w:sz w:val="22"/>
          <w:lang w:eastAsia="en-GB"/>
        </w:rPr>
        <w:t>Blood Sugar Regulation</w:t>
      </w:r>
      <w:r w:rsidR="00C24603">
        <w:rPr>
          <w:rFonts w:ascii="Arial" w:eastAsia="Times New Roman" w:hAnsi="Arial" w:cs="Arial"/>
          <w:b/>
          <w:bCs/>
          <w:color w:val="222222"/>
          <w:sz w:val="22"/>
          <w:lang w:eastAsia="en-GB"/>
        </w:rPr>
        <w:t>…………………………….</w:t>
      </w:r>
      <w:r w:rsidR="00160F79">
        <w:rPr>
          <w:rFonts w:ascii="Arial" w:eastAsia="Times New Roman" w:hAnsi="Arial" w:cs="Arial"/>
          <w:b/>
          <w:bCs/>
          <w:color w:val="222222"/>
          <w:sz w:val="22"/>
          <w:lang w:eastAsia="en-GB"/>
        </w:rPr>
        <w:t>2-4</w:t>
      </w:r>
    </w:p>
    <w:p w14:paraId="5B40D9E7" w14:textId="3F36D3CA" w:rsidR="00804D4B" w:rsidRPr="00804D4B" w:rsidRDefault="00804D4B" w:rsidP="00804D4B">
      <w:pPr>
        <w:pStyle w:val="ListParagraph"/>
        <w:numPr>
          <w:ilvl w:val="0"/>
          <w:numId w:val="5"/>
        </w:numPr>
        <w:shd w:val="clear" w:color="auto" w:fill="FFFFFF"/>
        <w:spacing w:after="0" w:line="360" w:lineRule="auto"/>
        <w:rPr>
          <w:rFonts w:ascii="Arial" w:eastAsia="Times New Roman" w:hAnsi="Arial" w:cs="Arial"/>
          <w:b/>
          <w:bCs/>
          <w:color w:val="222222"/>
          <w:sz w:val="22"/>
          <w:lang w:eastAsia="en-GB"/>
        </w:rPr>
      </w:pPr>
      <w:r w:rsidRPr="00804D4B">
        <w:rPr>
          <w:rFonts w:ascii="Arial" w:eastAsia="Times New Roman" w:hAnsi="Arial" w:cs="Arial"/>
          <w:b/>
          <w:bCs/>
          <w:color w:val="222222"/>
          <w:sz w:val="22"/>
          <w:lang w:eastAsia="en-GB"/>
        </w:rPr>
        <w:t>Oxygen and Glucose in Cellular Metabolism</w:t>
      </w:r>
      <w:r w:rsidR="00C24603">
        <w:rPr>
          <w:rFonts w:ascii="Arial" w:eastAsia="Times New Roman" w:hAnsi="Arial" w:cs="Arial"/>
          <w:b/>
          <w:bCs/>
          <w:color w:val="222222"/>
          <w:sz w:val="22"/>
          <w:lang w:eastAsia="en-GB"/>
        </w:rPr>
        <w:t>……</w:t>
      </w:r>
      <w:r w:rsidR="00160F79">
        <w:rPr>
          <w:rFonts w:ascii="Arial" w:eastAsia="Times New Roman" w:hAnsi="Arial" w:cs="Arial"/>
          <w:b/>
          <w:bCs/>
          <w:color w:val="222222"/>
          <w:sz w:val="22"/>
          <w:lang w:eastAsia="en-GB"/>
        </w:rPr>
        <w:t>4-6</w:t>
      </w:r>
    </w:p>
    <w:p w14:paraId="4C17269C" w14:textId="4A870F94" w:rsidR="00804D4B" w:rsidRPr="00C24603" w:rsidRDefault="00804D4B" w:rsidP="00804D4B">
      <w:pPr>
        <w:pStyle w:val="ListParagraph"/>
        <w:numPr>
          <w:ilvl w:val="0"/>
          <w:numId w:val="5"/>
        </w:numPr>
        <w:tabs>
          <w:tab w:val="left" w:pos="6540"/>
        </w:tabs>
        <w:spacing w:line="360" w:lineRule="auto"/>
        <w:rPr>
          <w:rFonts w:ascii="Arial" w:hAnsi="Arial" w:cs="Arial"/>
          <w:b/>
          <w:bCs/>
          <w:sz w:val="22"/>
        </w:rPr>
      </w:pPr>
      <w:r w:rsidRPr="006723DD">
        <w:rPr>
          <w:rFonts w:ascii="Arial" w:eastAsia="Times New Roman" w:hAnsi="Arial" w:cs="Arial"/>
          <w:b/>
          <w:bCs/>
          <w:color w:val="222222"/>
          <w:sz w:val="22"/>
          <w:lang w:eastAsia="en-GB"/>
        </w:rPr>
        <w:t>Recording and Tracking Blood Sugar Levels</w:t>
      </w:r>
      <w:r w:rsidR="00C24603">
        <w:rPr>
          <w:rFonts w:ascii="Arial" w:eastAsia="Times New Roman" w:hAnsi="Arial" w:cs="Arial"/>
          <w:b/>
          <w:bCs/>
          <w:color w:val="222222"/>
          <w:sz w:val="22"/>
          <w:lang w:eastAsia="en-GB"/>
        </w:rPr>
        <w:t>……6-7</w:t>
      </w:r>
    </w:p>
    <w:p w14:paraId="10980D46" w14:textId="14EB7F26" w:rsidR="00C24603" w:rsidRPr="00C24603" w:rsidRDefault="00C24603" w:rsidP="00C24603">
      <w:pPr>
        <w:pStyle w:val="ListParagraph"/>
        <w:numPr>
          <w:ilvl w:val="0"/>
          <w:numId w:val="5"/>
        </w:numPr>
        <w:shd w:val="clear" w:color="auto" w:fill="FFFFFF"/>
        <w:spacing w:after="0" w:line="360" w:lineRule="auto"/>
        <w:rPr>
          <w:rFonts w:ascii="Arial" w:eastAsia="Times New Roman" w:hAnsi="Arial" w:cs="Arial"/>
          <w:b/>
          <w:bCs/>
          <w:color w:val="222222"/>
          <w:sz w:val="22"/>
          <w:lang w:eastAsia="en-GB"/>
        </w:rPr>
      </w:pPr>
      <w:r w:rsidRPr="00C24603">
        <w:rPr>
          <w:rFonts w:ascii="Arial" w:eastAsia="Times New Roman" w:hAnsi="Arial" w:cs="Arial"/>
          <w:b/>
          <w:bCs/>
          <w:color w:val="222222"/>
          <w:sz w:val="22"/>
          <w:lang w:eastAsia="en-GB"/>
        </w:rPr>
        <w:t>Evidence-Based Lifestyle Recommendations</w:t>
      </w:r>
      <w:r>
        <w:rPr>
          <w:rFonts w:ascii="Arial" w:eastAsia="Times New Roman" w:hAnsi="Arial" w:cs="Arial"/>
          <w:b/>
          <w:bCs/>
          <w:color w:val="222222"/>
          <w:sz w:val="22"/>
          <w:lang w:eastAsia="en-GB"/>
        </w:rPr>
        <w:t>…..7-8</w:t>
      </w:r>
    </w:p>
    <w:p w14:paraId="6530DF32" w14:textId="08AD74D9" w:rsidR="00C24603" w:rsidRPr="00C24603" w:rsidRDefault="00C24603" w:rsidP="00804D4B">
      <w:pPr>
        <w:pStyle w:val="ListParagraph"/>
        <w:numPr>
          <w:ilvl w:val="0"/>
          <w:numId w:val="5"/>
        </w:numPr>
        <w:tabs>
          <w:tab w:val="left" w:pos="6540"/>
        </w:tabs>
        <w:spacing w:line="360" w:lineRule="auto"/>
        <w:rPr>
          <w:rFonts w:ascii="Arial" w:hAnsi="Arial" w:cs="Arial"/>
          <w:b/>
          <w:bCs/>
          <w:sz w:val="22"/>
        </w:rPr>
      </w:pPr>
      <w:r w:rsidRPr="006723DD">
        <w:rPr>
          <w:rFonts w:ascii="Arial" w:eastAsia="Times New Roman" w:hAnsi="Arial" w:cs="Arial"/>
          <w:b/>
          <w:bCs/>
          <w:color w:val="222222"/>
          <w:sz w:val="22"/>
          <w:lang w:eastAsia="en-GB"/>
        </w:rPr>
        <w:t>Conclusion</w:t>
      </w:r>
      <w:r>
        <w:rPr>
          <w:rFonts w:ascii="Arial" w:eastAsia="Times New Roman" w:hAnsi="Arial" w:cs="Arial"/>
          <w:b/>
          <w:bCs/>
          <w:color w:val="222222"/>
          <w:sz w:val="22"/>
          <w:lang w:eastAsia="en-GB"/>
        </w:rPr>
        <w:t>……………………………………………..</w:t>
      </w:r>
      <w:r w:rsidR="00411E9E">
        <w:rPr>
          <w:rFonts w:ascii="Arial" w:eastAsia="Times New Roman" w:hAnsi="Arial" w:cs="Arial"/>
          <w:b/>
          <w:bCs/>
          <w:color w:val="222222"/>
          <w:sz w:val="22"/>
          <w:lang w:eastAsia="en-GB"/>
        </w:rPr>
        <w:t>9</w:t>
      </w:r>
    </w:p>
    <w:p w14:paraId="3ADBC82C" w14:textId="77777777" w:rsidR="00C24603" w:rsidRDefault="00C24603" w:rsidP="00C24603">
      <w:pPr>
        <w:pStyle w:val="ListParagraph"/>
        <w:tabs>
          <w:tab w:val="left" w:pos="6540"/>
        </w:tabs>
        <w:spacing w:line="360" w:lineRule="auto"/>
        <w:rPr>
          <w:rFonts w:ascii="Arial" w:hAnsi="Arial" w:cs="Arial"/>
          <w:b/>
          <w:bCs/>
          <w:sz w:val="22"/>
        </w:rPr>
      </w:pPr>
    </w:p>
    <w:p w14:paraId="238200E2" w14:textId="77777777" w:rsidR="00804D4B" w:rsidRPr="00804D4B" w:rsidRDefault="00804D4B" w:rsidP="00804D4B">
      <w:pPr>
        <w:pStyle w:val="ListParagraph"/>
        <w:tabs>
          <w:tab w:val="left" w:pos="6540"/>
        </w:tabs>
        <w:spacing w:line="360" w:lineRule="auto"/>
        <w:rPr>
          <w:rFonts w:ascii="Arial" w:hAnsi="Arial" w:cs="Arial"/>
          <w:b/>
          <w:bCs/>
          <w:sz w:val="22"/>
        </w:rPr>
      </w:pPr>
    </w:p>
    <w:p w14:paraId="4F8B855A" w14:textId="77777777" w:rsidR="00412988" w:rsidRPr="006723DD" w:rsidRDefault="00412988" w:rsidP="00412988">
      <w:pPr>
        <w:tabs>
          <w:tab w:val="left" w:pos="6540"/>
        </w:tabs>
        <w:spacing w:line="360" w:lineRule="auto"/>
        <w:rPr>
          <w:rFonts w:ascii="Arial" w:hAnsi="Arial" w:cs="Arial"/>
          <w:b/>
          <w:bCs/>
          <w:sz w:val="22"/>
        </w:rPr>
      </w:pPr>
    </w:p>
    <w:p w14:paraId="0DD9BCF2" w14:textId="77777777" w:rsidR="00412988" w:rsidRPr="006723DD" w:rsidRDefault="00412988" w:rsidP="00412988">
      <w:pPr>
        <w:tabs>
          <w:tab w:val="left" w:pos="6540"/>
        </w:tabs>
        <w:spacing w:line="360" w:lineRule="auto"/>
        <w:rPr>
          <w:rFonts w:ascii="Arial" w:hAnsi="Arial" w:cs="Arial"/>
          <w:b/>
          <w:bCs/>
          <w:sz w:val="22"/>
        </w:rPr>
      </w:pPr>
    </w:p>
    <w:p w14:paraId="221D2D99" w14:textId="6379B1C1" w:rsidR="00412988" w:rsidRPr="006723DD" w:rsidRDefault="00412988" w:rsidP="00412988">
      <w:pPr>
        <w:shd w:val="clear" w:color="auto" w:fill="FFFFFF"/>
        <w:spacing w:after="0" w:line="360" w:lineRule="auto"/>
        <w:rPr>
          <w:rFonts w:ascii="Arial" w:eastAsia="Times New Roman" w:hAnsi="Arial" w:cs="Arial"/>
          <w:b/>
          <w:bCs/>
          <w:color w:val="222222"/>
          <w:sz w:val="22"/>
          <w:lang w:eastAsia="en-GB"/>
        </w:rPr>
      </w:pPr>
    </w:p>
    <w:p w14:paraId="546AFDBA"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2794BCC9" w14:textId="77777777" w:rsidR="00412988" w:rsidRPr="006723DD" w:rsidRDefault="00412988" w:rsidP="00412988">
      <w:pPr>
        <w:shd w:val="clear" w:color="auto" w:fill="FFFFFF"/>
        <w:spacing w:after="0" w:line="360" w:lineRule="auto"/>
        <w:rPr>
          <w:rFonts w:ascii="Arial" w:eastAsia="Times New Roman" w:hAnsi="Arial" w:cs="Arial"/>
          <w:b/>
          <w:bCs/>
          <w:color w:val="222222"/>
          <w:sz w:val="22"/>
          <w:lang w:eastAsia="en-GB"/>
        </w:rPr>
      </w:pPr>
      <w:r w:rsidRPr="006723DD">
        <w:rPr>
          <w:rFonts w:ascii="Arial" w:eastAsia="Times New Roman" w:hAnsi="Arial" w:cs="Arial"/>
          <w:b/>
          <w:bCs/>
          <w:color w:val="222222"/>
          <w:sz w:val="22"/>
          <w:lang w:eastAsia="en-GB"/>
        </w:rPr>
        <w:t>1. Introduction</w:t>
      </w:r>
    </w:p>
    <w:p w14:paraId="101B3A4C" w14:textId="64180448" w:rsidR="00412988" w:rsidRPr="00AD245A" w:rsidRDefault="00AD245A" w:rsidP="00412988">
      <w:pPr>
        <w:shd w:val="clear" w:color="auto" w:fill="FFFFFF"/>
        <w:spacing w:after="0" w:line="360" w:lineRule="auto"/>
        <w:rPr>
          <w:rFonts w:ascii="Arial" w:eastAsia="Times New Roman" w:hAnsi="Arial" w:cs="Arial"/>
          <w:color w:val="222222"/>
          <w:sz w:val="22"/>
          <w:lang w:eastAsia="en-GB"/>
        </w:rPr>
      </w:pPr>
      <w:r w:rsidRPr="00AD245A">
        <w:rPr>
          <w:rFonts w:ascii="Arial" w:hAnsi="Arial" w:cs="Arial"/>
          <w:color w:val="222222"/>
          <w:sz w:val="22"/>
          <w:shd w:val="clear" w:color="auto" w:fill="FFFFFF"/>
        </w:rPr>
        <w:t>A practice nurse in a local GP surgery has noticed an increasing number of patients diagnosed with diabetes. Many would benefit from a clearer understanding of their condition and how to manage it safely. Patient education can support self-management and help prevent complications.</w:t>
      </w:r>
    </w:p>
    <w:p w14:paraId="0C6FB707"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42356B47" w14:textId="3E254F4C" w:rsidR="00412988" w:rsidRDefault="00A253A5" w:rsidP="00412988">
      <w:pPr>
        <w:shd w:val="clear" w:color="auto" w:fill="FFFFFF"/>
        <w:spacing w:after="0" w:line="360" w:lineRule="auto"/>
        <w:rPr>
          <w:rFonts w:ascii="Arial" w:eastAsia="Times New Roman" w:hAnsi="Arial" w:cs="Arial"/>
          <w:color w:val="222222"/>
          <w:sz w:val="22"/>
          <w:lang w:eastAsia="en-GB"/>
        </w:rPr>
      </w:pPr>
      <w:r w:rsidRPr="00A253A5">
        <w:rPr>
          <w:rFonts w:ascii="Arial" w:eastAsia="Times New Roman" w:hAnsi="Arial" w:cs="Arial"/>
          <w:color w:val="222222"/>
          <w:sz w:val="22"/>
          <w:lang w:eastAsia="en-GB"/>
        </w:rPr>
        <w:t> Diabetes mellitus is a long-term metabolic disorder characterised by an abnormally high level of glucose in the blood. Insulin normally enables glucose to enter cells, where it can be used for energy. In Type 1 diabetes, pancreatic beta cells are damaged by the immune system, resulting in little or no insulin production. Type 2 diabetes develops mainly because body cells become less sensitive to insulin and, over time, the pancreas may also become unable to produce enough insulin. This case study focuses on Type 2 diabetes (NHS, 2025; Diabetes UK, n.d.-a).</w:t>
      </w:r>
    </w:p>
    <w:p w14:paraId="671D4761" w14:textId="77777777" w:rsidR="00A253A5" w:rsidRPr="006723DD" w:rsidRDefault="00A253A5" w:rsidP="00412988">
      <w:pPr>
        <w:shd w:val="clear" w:color="auto" w:fill="FFFFFF"/>
        <w:spacing w:after="0" w:line="360" w:lineRule="auto"/>
        <w:rPr>
          <w:rFonts w:ascii="Arial" w:eastAsia="Times New Roman" w:hAnsi="Arial" w:cs="Arial"/>
          <w:color w:val="222222"/>
          <w:sz w:val="22"/>
          <w:lang w:eastAsia="en-GB"/>
        </w:rPr>
      </w:pPr>
    </w:p>
    <w:p w14:paraId="16616ADF"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The risk of Type 2 diabetes is influenced by biological and lifestyle factors. Important risk factors include excess body weight, especially abdominal fat, physical inactivity, an unhealthy diet, increasing age, family history and previous gestational diabetes. Risk is also higher in some ethnic groups. However, Type 2 diabetes can also occur without obesity because genetic, biological and behavioural factors interact (Diabetes UK, n.d.-a).</w:t>
      </w:r>
    </w:p>
    <w:p w14:paraId="3A3D9934"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324DABF4" w14:textId="794BEB21"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hAnsi="Arial" w:cs="Arial"/>
          <w:color w:val="222222"/>
          <w:sz w:val="22"/>
          <w:shd w:val="clear" w:color="auto" w:fill="FFFFFF"/>
        </w:rPr>
        <w:t>Education in a GP surgery can improve self-management by helping patients understand their medicines, blood glucose results, diet and physical activity. It can also help them recognise hyperglycaemia or hypoglycaemia and know when to seek advice. Education should be person-centred and adapted to individual needs. NICE recommends structured education as part of Type 2 diabetes care (NICE, 2026).</w:t>
      </w:r>
    </w:p>
    <w:p w14:paraId="3A9C214A"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12B5F511" w14:textId="77777777" w:rsidR="00412988" w:rsidRPr="006723DD" w:rsidRDefault="00412988" w:rsidP="00412988">
      <w:pPr>
        <w:shd w:val="clear" w:color="auto" w:fill="FFFFFF"/>
        <w:spacing w:after="0" w:line="360" w:lineRule="auto"/>
        <w:rPr>
          <w:rFonts w:ascii="Arial" w:eastAsia="Times New Roman" w:hAnsi="Arial" w:cs="Arial"/>
          <w:b/>
          <w:bCs/>
          <w:color w:val="222222"/>
          <w:sz w:val="22"/>
          <w:lang w:eastAsia="en-GB"/>
        </w:rPr>
      </w:pPr>
      <w:r w:rsidRPr="006723DD">
        <w:rPr>
          <w:rFonts w:ascii="Arial" w:eastAsia="Times New Roman" w:hAnsi="Arial" w:cs="Arial"/>
          <w:b/>
          <w:bCs/>
          <w:color w:val="222222"/>
          <w:sz w:val="22"/>
          <w:lang w:eastAsia="en-GB"/>
        </w:rPr>
        <w:t>2. Blood Sugar Regulation</w:t>
      </w:r>
    </w:p>
    <w:p w14:paraId="69875734"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0829516B"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The body keeps blood glucose within a stable range through homeostasis. Homeostasis is the maintenance of a stable internal environment despite changes such as eating, fasting and exercise. In a person without diabetes, fasting blood glucose is normally around 4–6 mmol/L, although clinical targets vary between individuals. Blood glucose regulation mainly uses negative feedback: when glucose rises, the body activates processes that lower it, and when glucose falls, processes are activated to raise it.</w:t>
      </w:r>
    </w:p>
    <w:p w14:paraId="34251C16"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0E40821C" w14:textId="05EE0981" w:rsidR="00412988" w:rsidRPr="006723DD" w:rsidRDefault="00412988" w:rsidP="00412988">
      <w:pPr>
        <w:shd w:val="clear" w:color="auto" w:fill="FFFFFF"/>
        <w:spacing w:after="0" w:line="360" w:lineRule="auto"/>
        <w:rPr>
          <w:rFonts w:ascii="Arial" w:hAnsi="Arial" w:cs="Arial"/>
          <w:color w:val="222222"/>
          <w:sz w:val="22"/>
          <w:shd w:val="clear" w:color="auto" w:fill="FFFFFF"/>
        </w:rPr>
      </w:pPr>
      <w:r w:rsidRPr="006723DD">
        <w:rPr>
          <w:rFonts w:ascii="Arial" w:hAnsi="Arial" w:cs="Arial"/>
          <w:color w:val="222222"/>
          <w:sz w:val="22"/>
          <w:shd w:val="clear" w:color="auto" w:fill="FFFFFF"/>
        </w:rPr>
        <w:lastRenderedPageBreak/>
        <w:t>Glucose is needed for energy production, especially in the brain and muscles. Persistent hyperglycaemia can damage blood vessels and increase the risk of cardiovascular, kidney, nerve, eye and foot complications. Blood glucose below approximately 4 mmol/L is generally considered hypoglycaemia and may cause sweating, trembling, dizziness, confusion, seizures or loss of consciousness (NHS, 2025; Tortora and Derrickson, 2021).</w:t>
      </w:r>
    </w:p>
    <w:p w14:paraId="04A12E61"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40B8F70C" w14:textId="59ACB694" w:rsidR="00412988" w:rsidRDefault="00A253A5" w:rsidP="00412988">
      <w:pPr>
        <w:shd w:val="clear" w:color="auto" w:fill="FFFFFF"/>
        <w:spacing w:after="0" w:line="360" w:lineRule="auto"/>
        <w:rPr>
          <w:rFonts w:ascii="Arial" w:eastAsia="Times New Roman" w:hAnsi="Arial" w:cs="Arial"/>
          <w:color w:val="222222"/>
          <w:sz w:val="22"/>
          <w:lang w:eastAsia="en-GB"/>
        </w:rPr>
      </w:pPr>
      <w:r w:rsidRPr="00A253A5">
        <w:rPr>
          <w:rFonts w:ascii="Arial" w:eastAsia="Times New Roman" w:hAnsi="Arial" w:cs="Arial"/>
          <w:color w:val="222222"/>
          <w:sz w:val="22"/>
          <w:lang w:eastAsia="en-GB"/>
        </w:rPr>
        <w:t>Following a meal containing carbohydrates, digestive enzymes break them down into glucose. The glucose then enters the circulation, causing blood glucose levels to rise. Pancreatic beta cells detect this increase and respond by secreting insulin.</w:t>
      </w:r>
    </w:p>
    <w:p w14:paraId="7154E9E3" w14:textId="77777777" w:rsidR="00A253A5" w:rsidRPr="006723DD" w:rsidRDefault="00A253A5" w:rsidP="00412988">
      <w:pPr>
        <w:shd w:val="clear" w:color="auto" w:fill="FFFFFF"/>
        <w:spacing w:after="0" w:line="360" w:lineRule="auto"/>
        <w:rPr>
          <w:rFonts w:ascii="Arial" w:eastAsia="Times New Roman" w:hAnsi="Arial" w:cs="Arial"/>
          <w:color w:val="222222"/>
          <w:sz w:val="22"/>
          <w:lang w:eastAsia="en-GB"/>
        </w:rPr>
      </w:pPr>
    </w:p>
    <w:p w14:paraId="12EA55F6"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Insulin binds to receptors on target cells and promotes glucose uptake. In skeletal muscle and adipose tissue, insulin causes GLUT4 transport proteins to move to the cell membrane, allowing glucose to enter the cells. The glucose can then be used immediately in cellular respiration or stored for later use.</w:t>
      </w:r>
    </w:p>
    <w:p w14:paraId="42F08699"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20687952"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Insulin also encourages the liver and skeletal muscles to convert excess glucose into glycogen, a process called glycogenesis. It reduces the liver’s production and release of glucose. As blood glucose returns towards its normal range, insulin secretion decreases. This is an example of negative feedback (Hall and Hall, 2021).</w:t>
      </w:r>
    </w:p>
    <w:p w14:paraId="6302FB2E"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046AFCFD"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During fasting, between meals or during prolonged physical activity, blood glucose may fall. Alpha cells in the pancreas detect this and release glucagon. Glucagon acts mainly on the liver, where it stimulates glycogenolysis, the breakdown of stored glycogen into glucose. It also supports gluconeogenesis, in which the liver produces new glucose from substances such as amino acids, lactate and glycerol. Glucose is then released into the bloodstream, raising its level towards the normal range.</w:t>
      </w:r>
    </w:p>
    <w:p w14:paraId="17783142"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04799121" w14:textId="7D9F618C" w:rsidR="00412988" w:rsidRDefault="00AD245A" w:rsidP="00412988">
      <w:pPr>
        <w:shd w:val="clear" w:color="auto" w:fill="FFFFFF"/>
        <w:spacing w:after="0" w:line="360" w:lineRule="auto"/>
        <w:rPr>
          <w:rFonts w:ascii="Arial" w:eastAsia="Times New Roman" w:hAnsi="Arial" w:cs="Arial"/>
          <w:color w:val="222222"/>
          <w:sz w:val="22"/>
          <w:lang w:eastAsia="en-GB"/>
        </w:rPr>
      </w:pPr>
      <w:r w:rsidRPr="00AD245A">
        <w:rPr>
          <w:rFonts w:ascii="Arial" w:eastAsia="Times New Roman" w:hAnsi="Arial" w:cs="Arial"/>
          <w:color w:val="222222"/>
          <w:sz w:val="22"/>
          <w:lang w:eastAsia="en-GB"/>
        </w:rPr>
        <w:t>Insulin lowers blood glucose after meals, while glucagon raises it during fasting. The pancreas, liver, muscles and adipose tissue all contribute to this control system.</w:t>
      </w:r>
    </w:p>
    <w:p w14:paraId="35EB591E" w14:textId="77777777" w:rsidR="00AD245A" w:rsidRPr="006723DD" w:rsidRDefault="00AD245A" w:rsidP="00412988">
      <w:pPr>
        <w:shd w:val="clear" w:color="auto" w:fill="FFFFFF"/>
        <w:spacing w:after="0" w:line="360" w:lineRule="auto"/>
        <w:rPr>
          <w:rFonts w:ascii="Arial" w:eastAsia="Times New Roman" w:hAnsi="Arial" w:cs="Arial"/>
          <w:color w:val="222222"/>
          <w:sz w:val="22"/>
          <w:lang w:eastAsia="en-GB"/>
        </w:rPr>
      </w:pPr>
    </w:p>
    <w:p w14:paraId="46C147F9"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In Type 2 diabetes, muscle, liver and fat cells become less responsive to insulin. At first, the pancreas compensates by producing more insulin, but beta cells may gradually lose function. The liver may also continue releasing glucose even when blood glucose is already high. Consequently, glucose remains in the bloodstream instead of entering cells efficiently. In the case study, explaining this process can help patients understand why management may require dietary changes, physical activity, medication and regular monitoring (Diabetes UK, n.d.-a; Hall and Hall, 2021).</w:t>
      </w:r>
    </w:p>
    <w:p w14:paraId="7FF30301"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28C73E9E" w14:textId="61D9E45C" w:rsidR="00412988"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 xml:space="preserve"> </w:t>
      </w:r>
      <w:r w:rsidR="00411E9E">
        <w:rPr>
          <w:rFonts w:ascii="Arial" w:eastAsia="Times New Roman" w:hAnsi="Arial" w:cs="Arial"/>
          <w:color w:val="222222"/>
          <w:sz w:val="22"/>
          <w:lang w:eastAsia="en-GB"/>
        </w:rPr>
        <w:t xml:space="preserve">Table </w:t>
      </w:r>
      <w:r w:rsidRPr="006723DD">
        <w:rPr>
          <w:rFonts w:ascii="Arial" w:eastAsia="Times New Roman" w:hAnsi="Arial" w:cs="Arial"/>
          <w:color w:val="222222"/>
          <w:sz w:val="22"/>
          <w:lang w:eastAsia="en-GB"/>
        </w:rPr>
        <w:t xml:space="preserve"> 1</w:t>
      </w:r>
      <w:r w:rsidR="00542EF6">
        <w:rPr>
          <w:rFonts w:ascii="Arial" w:eastAsia="Times New Roman" w:hAnsi="Arial" w:cs="Arial"/>
          <w:color w:val="222222"/>
          <w:sz w:val="22"/>
          <w:lang w:eastAsia="en-GB"/>
        </w:rPr>
        <w:t xml:space="preserve">. </w:t>
      </w:r>
      <w:r w:rsidRPr="006723DD">
        <w:rPr>
          <w:rFonts w:ascii="Arial" w:eastAsia="Times New Roman" w:hAnsi="Arial" w:cs="Arial"/>
          <w:color w:val="222222"/>
          <w:sz w:val="22"/>
          <w:lang w:eastAsia="en-GB"/>
        </w:rPr>
        <w:t xml:space="preserve"> Regulation of blood glucose by insulin and glucagon.</w:t>
      </w:r>
      <w:r w:rsidR="00542EF6">
        <w:rPr>
          <w:rFonts w:ascii="Arial" w:eastAsia="Times New Roman" w:hAnsi="Arial" w:cs="Arial"/>
          <w:color w:val="222222"/>
          <w:sz w:val="22"/>
          <w:lang w:eastAsia="en-GB"/>
        </w:rPr>
        <w:t xml:space="preserve"> </w:t>
      </w:r>
      <w:proofErr w:type="gramStart"/>
      <w:r w:rsidR="00542EF6">
        <w:rPr>
          <w:rFonts w:ascii="Arial" w:eastAsia="Times New Roman" w:hAnsi="Arial" w:cs="Arial"/>
          <w:color w:val="222222"/>
          <w:sz w:val="22"/>
          <w:lang w:eastAsia="en-GB"/>
        </w:rPr>
        <w:t>Source :</w:t>
      </w:r>
      <w:proofErr w:type="gramEnd"/>
      <w:r w:rsidR="00542EF6">
        <w:rPr>
          <w:rFonts w:ascii="Arial" w:eastAsia="Times New Roman" w:hAnsi="Arial" w:cs="Arial"/>
          <w:color w:val="222222"/>
          <w:sz w:val="22"/>
          <w:lang w:eastAsia="en-GB"/>
        </w:rPr>
        <w:t xml:space="preserve"> Author</w:t>
      </w:r>
      <w:r w:rsidR="00B44425">
        <w:rPr>
          <w:rFonts w:ascii="Arial" w:eastAsia="Times New Roman" w:hAnsi="Arial" w:cs="Arial"/>
          <w:color w:val="222222"/>
          <w:sz w:val="22"/>
          <w:lang w:eastAsia="en-GB"/>
        </w:rPr>
        <w:t>`s</w:t>
      </w:r>
      <w:r w:rsidR="00542EF6">
        <w:rPr>
          <w:rFonts w:ascii="Arial" w:eastAsia="Times New Roman" w:hAnsi="Arial" w:cs="Arial"/>
          <w:color w:val="222222"/>
          <w:sz w:val="22"/>
          <w:lang w:eastAsia="en-GB"/>
        </w:rPr>
        <w:t xml:space="preserve"> own work, based on Hall and Hall (2021) and Tortora and Derrickson (2021)</w:t>
      </w:r>
    </w:p>
    <w:p w14:paraId="54EABCD1" w14:textId="77777777" w:rsidR="00542EF6" w:rsidRDefault="00542EF6" w:rsidP="00412988">
      <w:pPr>
        <w:shd w:val="clear" w:color="auto" w:fill="FFFFFF"/>
        <w:spacing w:after="0" w:line="360" w:lineRule="auto"/>
        <w:rPr>
          <w:rFonts w:ascii="Arial" w:eastAsia="Times New Roman" w:hAnsi="Arial" w:cs="Arial"/>
          <w:color w:val="222222"/>
          <w:sz w:val="22"/>
          <w:lang w:eastAsia="en-GB"/>
        </w:rPr>
      </w:pPr>
    </w:p>
    <w:p w14:paraId="23370F5A" w14:textId="0A7C7548" w:rsidR="00A16A59" w:rsidRDefault="00542EF6" w:rsidP="00412988">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color w:val="222222"/>
          <w:sz w:val="22"/>
          <w:lang w:eastAsia="en-GB"/>
        </w:rPr>
        <w:t>When blood glucose rises</w:t>
      </w:r>
    </w:p>
    <w:p w14:paraId="577CD8B2" w14:textId="72AF79D7" w:rsidR="00A16A59" w:rsidRDefault="00A16A59" w:rsidP="00412988">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noProof/>
          <w:color w:val="222222"/>
          <w:sz w:val="22"/>
          <w:lang w:eastAsia="en-GB"/>
        </w:rPr>
        <w:drawing>
          <wp:inline distT="0" distB="0" distL="0" distR="0" wp14:anchorId="50E215C8" wp14:editId="19D4E09C">
            <wp:extent cx="4491955" cy="1551963"/>
            <wp:effectExtent l="38100" t="0" r="42545" b="0"/>
            <wp:docPr id="112065188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26BED5A" w14:textId="4173D3BE" w:rsidR="00542EF6" w:rsidRDefault="00542EF6" w:rsidP="00412988">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color w:val="222222"/>
          <w:sz w:val="22"/>
          <w:lang w:eastAsia="en-GB"/>
        </w:rPr>
        <w:t xml:space="preserve">When blood glucose falls. </w:t>
      </w:r>
    </w:p>
    <w:p w14:paraId="677AFB81" w14:textId="0F36B549" w:rsidR="00542EF6" w:rsidRDefault="00542EF6" w:rsidP="00412988">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noProof/>
          <w:color w:val="222222"/>
          <w:sz w:val="22"/>
          <w:lang w:eastAsia="en-GB"/>
        </w:rPr>
        <w:drawing>
          <wp:inline distT="0" distB="0" distL="0" distR="0" wp14:anchorId="40D5752E" wp14:editId="519A26A4">
            <wp:extent cx="4584065" cy="1665083"/>
            <wp:effectExtent l="38100" t="0" r="45085" b="0"/>
            <wp:docPr id="1237306875"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A41517F" w14:textId="487F9549" w:rsidR="00542EF6" w:rsidRPr="006723DD" w:rsidRDefault="00542EF6" w:rsidP="00412988">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color w:val="222222"/>
          <w:sz w:val="22"/>
          <w:lang w:eastAsia="en-GB"/>
        </w:rPr>
        <w:t xml:space="preserve">As shown in Figure </w:t>
      </w:r>
      <w:proofErr w:type="gramStart"/>
      <w:r>
        <w:rPr>
          <w:rFonts w:ascii="Arial" w:eastAsia="Times New Roman" w:hAnsi="Arial" w:cs="Arial"/>
          <w:color w:val="222222"/>
          <w:sz w:val="22"/>
          <w:lang w:eastAsia="en-GB"/>
        </w:rPr>
        <w:t>1 ,</w:t>
      </w:r>
      <w:proofErr w:type="gramEnd"/>
      <w:r>
        <w:rPr>
          <w:rFonts w:ascii="Arial" w:eastAsia="Times New Roman" w:hAnsi="Arial" w:cs="Arial"/>
          <w:color w:val="222222"/>
          <w:sz w:val="22"/>
          <w:lang w:eastAsia="en-GB"/>
        </w:rPr>
        <w:t xml:space="preserve"> insulin lowers blood glucose after a meal, while glucagon raises it during fasting.</w:t>
      </w:r>
    </w:p>
    <w:p w14:paraId="7EB9F39C" w14:textId="77777777" w:rsidR="00412988" w:rsidRDefault="00412988" w:rsidP="00412988">
      <w:pPr>
        <w:shd w:val="clear" w:color="auto" w:fill="FFFFFF"/>
        <w:spacing w:after="0" w:line="360" w:lineRule="auto"/>
        <w:rPr>
          <w:rFonts w:ascii="Arial" w:eastAsia="Times New Roman" w:hAnsi="Arial" w:cs="Arial"/>
          <w:color w:val="222222"/>
          <w:sz w:val="22"/>
          <w:lang w:eastAsia="en-GB"/>
        </w:rPr>
      </w:pPr>
    </w:p>
    <w:p w14:paraId="738A5BB5" w14:textId="77777777" w:rsidR="00C24603" w:rsidRPr="006723DD" w:rsidRDefault="00C24603" w:rsidP="00412988">
      <w:pPr>
        <w:shd w:val="clear" w:color="auto" w:fill="FFFFFF"/>
        <w:spacing w:after="0" w:line="360" w:lineRule="auto"/>
        <w:rPr>
          <w:rFonts w:ascii="Arial" w:eastAsia="Times New Roman" w:hAnsi="Arial" w:cs="Arial"/>
          <w:color w:val="222222"/>
          <w:sz w:val="22"/>
          <w:lang w:eastAsia="en-GB"/>
        </w:rPr>
      </w:pPr>
    </w:p>
    <w:p w14:paraId="3EC39B10" w14:textId="77777777" w:rsidR="00412988" w:rsidRPr="006723DD" w:rsidRDefault="00412988" w:rsidP="00412988">
      <w:pPr>
        <w:shd w:val="clear" w:color="auto" w:fill="FFFFFF"/>
        <w:spacing w:after="0" w:line="360" w:lineRule="auto"/>
        <w:rPr>
          <w:rFonts w:ascii="Arial" w:eastAsia="Times New Roman" w:hAnsi="Arial" w:cs="Arial"/>
          <w:b/>
          <w:bCs/>
          <w:color w:val="222222"/>
          <w:sz w:val="22"/>
          <w:lang w:eastAsia="en-GB"/>
        </w:rPr>
      </w:pPr>
      <w:r w:rsidRPr="006723DD">
        <w:rPr>
          <w:rFonts w:ascii="Arial" w:eastAsia="Times New Roman" w:hAnsi="Arial" w:cs="Arial"/>
          <w:b/>
          <w:bCs/>
          <w:color w:val="222222"/>
          <w:sz w:val="22"/>
          <w:lang w:eastAsia="en-GB"/>
        </w:rPr>
        <w:t>3. Oxygen and Glucose in Cellular Metabolism</w:t>
      </w:r>
    </w:p>
    <w:p w14:paraId="71208429"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077B0073"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Cellular respiration is the series of chemical reactions through which cells release usable energy from glucose. When oxygen is available, aerobic respiration can be summarised as:</w:t>
      </w:r>
    </w:p>
    <w:p w14:paraId="14CCF074"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15316038"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Glucose + oxygen → carbon dioxide + water + energy in the form of ATP</w:t>
      </w:r>
    </w:p>
    <w:p w14:paraId="22450229"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4C70B31D"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The chemical equation is:</w:t>
      </w:r>
    </w:p>
    <w:p w14:paraId="1A943FAC"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445B5EAF"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C</w:t>
      </w:r>
      <w:r w:rsidRPr="006723DD">
        <w:rPr>
          <w:rFonts w:ascii="Cambria Math" w:eastAsia="Times New Roman" w:hAnsi="Cambria Math" w:cs="Cambria Math"/>
          <w:color w:val="222222"/>
          <w:sz w:val="22"/>
          <w:lang w:eastAsia="en-GB"/>
        </w:rPr>
        <w:t>₆</w:t>
      </w:r>
      <w:r w:rsidRPr="006723DD">
        <w:rPr>
          <w:rFonts w:ascii="Arial" w:eastAsia="Times New Roman" w:hAnsi="Arial" w:cs="Arial"/>
          <w:color w:val="222222"/>
          <w:sz w:val="22"/>
          <w:lang w:eastAsia="en-GB"/>
        </w:rPr>
        <w:t>H</w:t>
      </w:r>
      <w:r w:rsidRPr="006723DD">
        <w:rPr>
          <w:rFonts w:ascii="Cambria Math" w:eastAsia="Times New Roman" w:hAnsi="Cambria Math" w:cs="Cambria Math"/>
          <w:color w:val="222222"/>
          <w:sz w:val="22"/>
          <w:lang w:eastAsia="en-GB"/>
        </w:rPr>
        <w:t>₁₂</w:t>
      </w:r>
      <w:r w:rsidRPr="006723DD">
        <w:rPr>
          <w:rFonts w:ascii="Arial" w:eastAsia="Times New Roman" w:hAnsi="Arial" w:cs="Arial"/>
          <w:color w:val="222222"/>
          <w:sz w:val="22"/>
          <w:lang w:eastAsia="en-GB"/>
        </w:rPr>
        <w:t>O</w:t>
      </w:r>
      <w:r w:rsidRPr="006723DD">
        <w:rPr>
          <w:rFonts w:ascii="Cambria Math" w:eastAsia="Times New Roman" w:hAnsi="Cambria Math" w:cs="Cambria Math"/>
          <w:color w:val="222222"/>
          <w:sz w:val="22"/>
          <w:lang w:eastAsia="en-GB"/>
        </w:rPr>
        <w:t>₆</w:t>
      </w:r>
      <w:r w:rsidRPr="006723DD">
        <w:rPr>
          <w:rFonts w:ascii="Arial" w:eastAsia="Times New Roman" w:hAnsi="Arial" w:cs="Arial"/>
          <w:color w:val="222222"/>
          <w:sz w:val="22"/>
          <w:lang w:eastAsia="en-GB"/>
        </w:rPr>
        <w:t xml:space="preserve"> + 6O</w:t>
      </w:r>
      <w:r w:rsidRPr="006723DD">
        <w:rPr>
          <w:rFonts w:ascii="Cambria Math" w:eastAsia="Times New Roman" w:hAnsi="Cambria Math" w:cs="Cambria Math"/>
          <w:color w:val="222222"/>
          <w:sz w:val="22"/>
          <w:lang w:eastAsia="en-GB"/>
        </w:rPr>
        <w:t>₂</w:t>
      </w:r>
      <w:r w:rsidRPr="006723DD">
        <w:rPr>
          <w:rFonts w:ascii="Arial" w:eastAsia="Times New Roman" w:hAnsi="Arial" w:cs="Arial"/>
          <w:color w:val="222222"/>
          <w:sz w:val="22"/>
          <w:lang w:eastAsia="en-GB"/>
        </w:rPr>
        <w:t xml:space="preserve"> → 6CO</w:t>
      </w:r>
      <w:r w:rsidRPr="006723DD">
        <w:rPr>
          <w:rFonts w:ascii="Cambria Math" w:eastAsia="Times New Roman" w:hAnsi="Cambria Math" w:cs="Cambria Math"/>
          <w:color w:val="222222"/>
          <w:sz w:val="22"/>
          <w:lang w:eastAsia="en-GB"/>
        </w:rPr>
        <w:t>₂</w:t>
      </w:r>
      <w:r w:rsidRPr="006723DD">
        <w:rPr>
          <w:rFonts w:ascii="Arial" w:eastAsia="Times New Roman" w:hAnsi="Arial" w:cs="Arial"/>
          <w:color w:val="222222"/>
          <w:sz w:val="22"/>
          <w:lang w:eastAsia="en-GB"/>
        </w:rPr>
        <w:t xml:space="preserve"> + 6H</w:t>
      </w:r>
      <w:r w:rsidRPr="006723DD">
        <w:rPr>
          <w:rFonts w:ascii="Cambria Math" w:eastAsia="Times New Roman" w:hAnsi="Cambria Math" w:cs="Cambria Math"/>
          <w:color w:val="222222"/>
          <w:sz w:val="22"/>
          <w:lang w:eastAsia="en-GB"/>
        </w:rPr>
        <w:t>₂</w:t>
      </w:r>
      <w:r w:rsidRPr="006723DD">
        <w:rPr>
          <w:rFonts w:ascii="Arial" w:eastAsia="Times New Roman" w:hAnsi="Arial" w:cs="Arial"/>
          <w:color w:val="222222"/>
          <w:sz w:val="22"/>
          <w:lang w:eastAsia="en-GB"/>
        </w:rPr>
        <w:t>O + energy</w:t>
      </w:r>
    </w:p>
    <w:p w14:paraId="004C3812"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2DDAD2DB" w14:textId="77777777" w:rsidR="00AD245A" w:rsidRDefault="00AD245A" w:rsidP="00AD245A">
      <w:pPr>
        <w:shd w:val="clear" w:color="auto" w:fill="FFFFFF"/>
        <w:spacing w:after="0" w:line="360" w:lineRule="auto"/>
        <w:rPr>
          <w:rFonts w:ascii="Arial" w:eastAsia="Times New Roman" w:hAnsi="Arial" w:cs="Arial"/>
          <w:color w:val="222222"/>
          <w:sz w:val="22"/>
          <w:lang w:eastAsia="en-GB"/>
        </w:rPr>
      </w:pPr>
      <w:r w:rsidRPr="00AD245A">
        <w:rPr>
          <w:rFonts w:ascii="Arial" w:eastAsia="Times New Roman" w:hAnsi="Arial" w:cs="Arial"/>
          <w:color w:val="222222"/>
          <w:sz w:val="22"/>
          <w:lang w:eastAsia="en-GB"/>
        </w:rPr>
        <w:lastRenderedPageBreak/>
        <w:t>ATP, or adenosine triphosphate, is the cell’s main energy carrier. It is required for muscle contraction, nerve impulse transmission, active transport across cell membranes, protein synthesis, growth and tissue repair (OpenStax, 2022).</w:t>
      </w:r>
    </w:p>
    <w:p w14:paraId="5058ADF2" w14:textId="77777777" w:rsidR="00A253A5" w:rsidRPr="00AD245A" w:rsidRDefault="00A253A5" w:rsidP="00AD245A">
      <w:pPr>
        <w:shd w:val="clear" w:color="auto" w:fill="FFFFFF"/>
        <w:spacing w:after="0" w:line="360" w:lineRule="auto"/>
        <w:rPr>
          <w:rFonts w:ascii="Arial" w:eastAsia="Times New Roman" w:hAnsi="Arial" w:cs="Arial"/>
          <w:color w:val="222222"/>
          <w:sz w:val="22"/>
          <w:lang w:eastAsia="en-GB"/>
        </w:rPr>
      </w:pPr>
    </w:p>
    <w:p w14:paraId="7F337111" w14:textId="7946612D" w:rsidR="00412988" w:rsidRPr="006723DD" w:rsidRDefault="00A253A5" w:rsidP="00412988">
      <w:pPr>
        <w:shd w:val="clear" w:color="auto" w:fill="FFFFFF"/>
        <w:spacing w:after="0" w:line="360" w:lineRule="auto"/>
        <w:rPr>
          <w:rFonts w:ascii="Arial" w:eastAsia="Times New Roman" w:hAnsi="Arial" w:cs="Arial"/>
          <w:color w:val="222222"/>
          <w:sz w:val="22"/>
          <w:lang w:eastAsia="en-GB"/>
        </w:rPr>
      </w:pPr>
      <w:r w:rsidRPr="00A253A5">
        <w:rPr>
          <w:rFonts w:ascii="Arial" w:eastAsia="Times New Roman" w:hAnsi="Arial" w:cs="Arial"/>
          <w:color w:val="222222"/>
          <w:sz w:val="22"/>
          <w:lang w:eastAsia="en-GB"/>
        </w:rPr>
        <w:t>Glycolysis is the initial stage of cellular respiration and occurs in the cytoplasm. During this process, one glucose molecule is split into two pyruvate molecules. A small amount of ATP is generated, together with NADH, which carries energetic electrons to later stages.</w:t>
      </w:r>
    </w:p>
    <w:p w14:paraId="66C13AE6"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4B3011CE" w14:textId="77777777" w:rsidR="00A253A5" w:rsidRPr="00A253A5" w:rsidRDefault="00A253A5" w:rsidP="00A253A5">
      <w:pPr>
        <w:shd w:val="clear" w:color="auto" w:fill="FFFFFF"/>
        <w:spacing w:after="0" w:line="360" w:lineRule="auto"/>
        <w:rPr>
          <w:rFonts w:ascii="Arial" w:eastAsia="Times New Roman" w:hAnsi="Arial" w:cs="Arial"/>
          <w:color w:val="222222"/>
          <w:sz w:val="22"/>
          <w:lang w:eastAsia="en-GB"/>
        </w:rPr>
      </w:pPr>
      <w:r w:rsidRPr="00A253A5">
        <w:rPr>
          <w:rFonts w:ascii="Arial" w:eastAsia="Times New Roman" w:hAnsi="Arial" w:cs="Arial"/>
          <w:color w:val="222222"/>
          <w:sz w:val="22"/>
          <w:lang w:eastAsia="en-GB"/>
        </w:rPr>
        <w:t>In the presence of oxygen, pyruvate moves into the mitochondria and is changed into acetyl coenzyme A. It then enters the Krebs cycle, where carbon dioxide is released and small quantities of ATP are formed. The process also produces NADH and FADH</w:t>
      </w:r>
      <w:r w:rsidRPr="00A253A5">
        <w:rPr>
          <w:rFonts w:ascii="Cambria Math" w:eastAsia="Times New Roman" w:hAnsi="Cambria Math" w:cs="Cambria Math"/>
          <w:color w:val="222222"/>
          <w:sz w:val="22"/>
          <w:lang w:eastAsia="en-GB"/>
        </w:rPr>
        <w:t>₂</w:t>
      </w:r>
      <w:r w:rsidRPr="00A253A5">
        <w:rPr>
          <w:rFonts w:ascii="Arial" w:eastAsia="Times New Roman" w:hAnsi="Arial" w:cs="Arial"/>
          <w:color w:val="222222"/>
          <w:sz w:val="22"/>
          <w:lang w:eastAsia="en-GB"/>
        </w:rPr>
        <w:t>, which transfer electrons to the next stage.</w:t>
      </w:r>
    </w:p>
    <w:p w14:paraId="228F29AB"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15753B95"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50CAA9B8" w14:textId="77777777" w:rsidR="00A253A5" w:rsidRDefault="00A253A5" w:rsidP="00A253A5">
      <w:pPr>
        <w:shd w:val="clear" w:color="auto" w:fill="FFFFFF"/>
        <w:spacing w:after="0" w:line="360" w:lineRule="auto"/>
        <w:rPr>
          <w:rFonts w:ascii="Arial" w:eastAsia="Times New Roman" w:hAnsi="Arial" w:cs="Arial"/>
          <w:color w:val="222222"/>
          <w:sz w:val="22"/>
          <w:lang w:eastAsia="en-GB"/>
        </w:rPr>
      </w:pPr>
      <w:r w:rsidRPr="00A253A5">
        <w:rPr>
          <w:rFonts w:ascii="Arial" w:eastAsia="Times New Roman" w:hAnsi="Arial" w:cs="Arial"/>
          <w:color w:val="222222"/>
          <w:sz w:val="22"/>
          <w:lang w:eastAsia="en-GB"/>
        </w:rPr>
        <w:t>Oxidative phosphorylation takes place at the inner mitochondrial membrane. Electrons carried by NADH and FADH</w:t>
      </w:r>
      <w:r w:rsidRPr="00A253A5">
        <w:rPr>
          <w:rFonts w:ascii="Cambria Math" w:eastAsia="Times New Roman" w:hAnsi="Cambria Math" w:cs="Cambria Math"/>
          <w:color w:val="222222"/>
          <w:sz w:val="22"/>
          <w:lang w:eastAsia="en-GB"/>
        </w:rPr>
        <w:t>₂</w:t>
      </w:r>
      <w:r w:rsidRPr="00A253A5">
        <w:rPr>
          <w:rFonts w:ascii="Arial" w:eastAsia="Times New Roman" w:hAnsi="Arial" w:cs="Arial"/>
          <w:color w:val="222222"/>
          <w:sz w:val="22"/>
          <w:lang w:eastAsia="en-GB"/>
        </w:rPr>
        <w:t xml:space="preserve"> pass through the electron transport chain, releasing energy that helps form a proton gradient. ATP synthase uses this gradient to generate ATP, while oxygen accepts the electrons at the end of the chain and contributes to the formation of water.</w:t>
      </w:r>
    </w:p>
    <w:p w14:paraId="3A6308AB" w14:textId="48542F24" w:rsidR="00B44425" w:rsidRPr="00B44425" w:rsidRDefault="00B44425" w:rsidP="00A253A5">
      <w:pPr>
        <w:shd w:val="clear" w:color="auto" w:fill="FFFFFF"/>
        <w:spacing w:after="0" w:line="360" w:lineRule="auto"/>
        <w:rPr>
          <w:rFonts w:ascii="Arial" w:eastAsia="Times New Roman" w:hAnsi="Arial" w:cs="Arial"/>
          <w:color w:val="222222"/>
          <w:sz w:val="22"/>
          <w:lang w:eastAsia="en-GB"/>
        </w:rPr>
      </w:pPr>
      <w:r w:rsidRPr="00B44425">
        <w:rPr>
          <w:rFonts w:ascii="Arial" w:eastAsia="Times New Roman" w:hAnsi="Arial" w:cs="Arial"/>
          <w:color w:val="222222"/>
          <w:sz w:val="22"/>
          <w:lang w:eastAsia="en-GB"/>
        </w:rPr>
        <w:t>If oxygen is unavailable or insufficient, oxidative phosphorylation cannot proceed normally. Cells may continue producing a limited amount of energy through anaerobic glycolysis, during which pyruvate is converted into lactate. However, this pathway generates only two ATP molecules from each glucose molecule and is therefore considerably less efficient.</w:t>
      </w:r>
    </w:p>
    <w:p w14:paraId="1481E9FC"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56FA1B92"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This is relevant to diabetes because long-term vascular damage and poor circulation may reduce oxygen delivery to tissues, particularly in the lower limbs. However, lactate production during exercise is different from diabetic ketoacidosis. DKA develops mainly because of severe insulin deficiency. When glucose cannot be used effectively, the body breaks down fat and produces acidic ketone bodies. DKA is more common in Type 1 diabetes, but it can occasionally occur in Type 2 diabetes (Diabetes UK, n.d.-b).</w:t>
      </w:r>
    </w:p>
    <w:p w14:paraId="5400A4A0" w14:textId="77777777" w:rsidR="00412988" w:rsidRDefault="00412988" w:rsidP="00412988">
      <w:pPr>
        <w:shd w:val="clear" w:color="auto" w:fill="FFFFFF"/>
        <w:spacing w:after="0" w:line="360" w:lineRule="auto"/>
        <w:rPr>
          <w:rFonts w:ascii="Arial" w:eastAsia="Times New Roman" w:hAnsi="Arial" w:cs="Arial"/>
          <w:color w:val="222222"/>
          <w:sz w:val="22"/>
          <w:lang w:eastAsia="en-GB"/>
        </w:rPr>
      </w:pPr>
    </w:p>
    <w:p w14:paraId="3FC94CA6" w14:textId="77777777" w:rsidR="0077446E" w:rsidRDefault="0077446E" w:rsidP="00412988">
      <w:pPr>
        <w:shd w:val="clear" w:color="auto" w:fill="FFFFFF"/>
        <w:spacing w:after="0" w:line="360" w:lineRule="auto"/>
        <w:rPr>
          <w:rFonts w:ascii="Arial" w:eastAsia="Times New Roman" w:hAnsi="Arial" w:cs="Arial"/>
          <w:color w:val="222222"/>
          <w:sz w:val="22"/>
          <w:lang w:eastAsia="en-GB"/>
        </w:rPr>
      </w:pPr>
    </w:p>
    <w:p w14:paraId="75A0113A" w14:textId="77777777" w:rsidR="0077446E" w:rsidRDefault="0077446E" w:rsidP="00412988">
      <w:pPr>
        <w:shd w:val="clear" w:color="auto" w:fill="FFFFFF"/>
        <w:spacing w:after="0" w:line="360" w:lineRule="auto"/>
        <w:rPr>
          <w:rFonts w:ascii="Arial" w:eastAsia="Times New Roman" w:hAnsi="Arial" w:cs="Arial"/>
          <w:color w:val="222222"/>
          <w:sz w:val="22"/>
          <w:lang w:eastAsia="en-GB"/>
        </w:rPr>
      </w:pPr>
    </w:p>
    <w:p w14:paraId="5CC73FCC" w14:textId="77777777" w:rsidR="0077446E" w:rsidRPr="006723DD" w:rsidRDefault="0077446E" w:rsidP="00412988">
      <w:pPr>
        <w:shd w:val="clear" w:color="auto" w:fill="FFFFFF"/>
        <w:spacing w:after="0" w:line="360" w:lineRule="auto"/>
        <w:rPr>
          <w:rFonts w:ascii="Arial" w:eastAsia="Times New Roman" w:hAnsi="Arial" w:cs="Arial"/>
          <w:color w:val="222222"/>
          <w:sz w:val="22"/>
          <w:lang w:eastAsia="en-GB"/>
        </w:rPr>
      </w:pPr>
    </w:p>
    <w:p w14:paraId="4C0EDEE2" w14:textId="77777777" w:rsidR="00B44425" w:rsidRDefault="00B44425" w:rsidP="00412988">
      <w:pPr>
        <w:shd w:val="clear" w:color="auto" w:fill="FFFFFF"/>
        <w:spacing w:after="0" w:line="360" w:lineRule="auto"/>
        <w:rPr>
          <w:rFonts w:ascii="Arial" w:eastAsia="Times New Roman" w:hAnsi="Arial" w:cs="Arial"/>
          <w:color w:val="222222"/>
          <w:sz w:val="22"/>
          <w:lang w:eastAsia="en-GB"/>
        </w:rPr>
      </w:pPr>
    </w:p>
    <w:p w14:paraId="3CFFC292" w14:textId="77777777" w:rsidR="00B44425" w:rsidRDefault="00B44425" w:rsidP="00412988">
      <w:pPr>
        <w:shd w:val="clear" w:color="auto" w:fill="FFFFFF"/>
        <w:spacing w:after="0" w:line="360" w:lineRule="auto"/>
        <w:rPr>
          <w:rFonts w:ascii="Arial" w:eastAsia="Times New Roman" w:hAnsi="Arial" w:cs="Arial"/>
          <w:color w:val="222222"/>
          <w:sz w:val="22"/>
          <w:lang w:eastAsia="en-GB"/>
        </w:rPr>
      </w:pPr>
    </w:p>
    <w:p w14:paraId="5BC5B8B0" w14:textId="718957F2" w:rsidR="00A16A59" w:rsidRDefault="00411E9E" w:rsidP="00412988">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color w:val="222222"/>
          <w:sz w:val="22"/>
          <w:lang w:eastAsia="en-GB"/>
        </w:rPr>
        <w:lastRenderedPageBreak/>
        <w:t>Table</w:t>
      </w:r>
      <w:r w:rsidR="00412988" w:rsidRPr="006723DD">
        <w:rPr>
          <w:rFonts w:ascii="Arial" w:eastAsia="Times New Roman" w:hAnsi="Arial" w:cs="Arial"/>
          <w:color w:val="222222"/>
          <w:sz w:val="22"/>
          <w:lang w:eastAsia="en-GB"/>
        </w:rPr>
        <w:t xml:space="preserve"> </w:t>
      </w:r>
      <w:r w:rsidR="004975C9">
        <w:rPr>
          <w:rFonts w:ascii="Arial" w:eastAsia="Times New Roman" w:hAnsi="Arial" w:cs="Arial"/>
          <w:color w:val="222222"/>
          <w:sz w:val="22"/>
          <w:lang w:eastAsia="en-GB"/>
        </w:rPr>
        <w:t>2</w:t>
      </w:r>
      <w:r w:rsidR="00A16A59">
        <w:rPr>
          <w:rFonts w:ascii="Arial" w:eastAsia="Times New Roman" w:hAnsi="Arial" w:cs="Arial"/>
          <w:color w:val="222222"/>
          <w:sz w:val="22"/>
          <w:lang w:eastAsia="en-GB"/>
        </w:rPr>
        <w:t>. Main stages of aerobic cellular respiration. Source : Author</w:t>
      </w:r>
      <w:r w:rsidR="00B44425">
        <w:rPr>
          <w:rFonts w:ascii="Arial" w:eastAsia="Times New Roman" w:hAnsi="Arial" w:cs="Arial"/>
          <w:color w:val="222222"/>
          <w:sz w:val="22"/>
          <w:lang w:eastAsia="en-GB"/>
        </w:rPr>
        <w:t>`s</w:t>
      </w:r>
      <w:r w:rsidR="00A16A59">
        <w:rPr>
          <w:rFonts w:ascii="Arial" w:eastAsia="Times New Roman" w:hAnsi="Arial" w:cs="Arial"/>
          <w:color w:val="222222"/>
          <w:sz w:val="22"/>
          <w:lang w:eastAsia="en-GB"/>
        </w:rPr>
        <w:t xml:space="preserve"> own work, based on OpenStax (2022) and Tortora and Derrickson (2021)</w:t>
      </w:r>
    </w:p>
    <w:p w14:paraId="1E53FEA9" w14:textId="77777777" w:rsidR="00A16A59" w:rsidRDefault="00A16A59" w:rsidP="00412988">
      <w:pPr>
        <w:shd w:val="clear" w:color="auto" w:fill="FFFFFF"/>
        <w:spacing w:after="0" w:line="360" w:lineRule="auto"/>
        <w:rPr>
          <w:rFonts w:ascii="Arial" w:eastAsia="Times New Roman" w:hAnsi="Arial" w:cs="Arial"/>
          <w:color w:val="222222"/>
          <w:sz w:val="22"/>
          <w:lang w:eastAsia="en-GB"/>
        </w:rPr>
      </w:pPr>
    </w:p>
    <w:p w14:paraId="7282EB5C" w14:textId="77777777" w:rsidR="00A16A59" w:rsidRDefault="00A16A59" w:rsidP="00412988">
      <w:pPr>
        <w:shd w:val="clear" w:color="auto" w:fill="FFFFFF"/>
        <w:spacing w:after="0" w:line="360" w:lineRule="auto"/>
        <w:rPr>
          <w:rFonts w:ascii="Arial" w:eastAsia="Times New Roman" w:hAnsi="Arial" w:cs="Arial"/>
          <w:color w:val="222222"/>
          <w:sz w:val="22"/>
          <w:lang w:eastAsia="en-GB"/>
        </w:rPr>
      </w:pPr>
    </w:p>
    <w:p w14:paraId="528F38D7" w14:textId="77777777" w:rsidR="00A16A59" w:rsidRDefault="00A16A59" w:rsidP="00412988">
      <w:pPr>
        <w:shd w:val="clear" w:color="auto" w:fill="FFFFFF"/>
        <w:spacing w:after="0" w:line="360" w:lineRule="auto"/>
        <w:rPr>
          <w:rFonts w:ascii="Arial" w:eastAsia="Times New Roman" w:hAnsi="Arial" w:cs="Arial"/>
          <w:color w:val="222222"/>
          <w:sz w:val="22"/>
          <w:lang w:eastAsia="en-GB"/>
        </w:rPr>
      </w:pPr>
    </w:p>
    <w:p w14:paraId="3C1C9680" w14:textId="23F35D6B" w:rsidR="00412988" w:rsidRPr="006723DD" w:rsidRDefault="006723DD" w:rsidP="00412988">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noProof/>
          <w:color w:val="222222"/>
          <w:sz w:val="22"/>
          <w:lang w:eastAsia="en-GB"/>
        </w:rPr>
        <w:drawing>
          <wp:inline distT="0" distB="0" distL="0" distR="0" wp14:anchorId="4508B08A" wp14:editId="35CC29E9">
            <wp:extent cx="5419503" cy="2849526"/>
            <wp:effectExtent l="19050" t="0" r="48260" b="0"/>
            <wp:docPr id="145758835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FC68D62" w14:textId="77777777" w:rsidR="00412988" w:rsidRPr="006723DD" w:rsidRDefault="00412988" w:rsidP="00412988">
      <w:pPr>
        <w:shd w:val="clear" w:color="auto" w:fill="FFFFFF"/>
        <w:spacing w:after="0" w:line="360" w:lineRule="auto"/>
        <w:rPr>
          <w:rFonts w:ascii="Arial" w:eastAsia="Times New Roman" w:hAnsi="Arial" w:cs="Arial"/>
          <w:b/>
          <w:bCs/>
          <w:color w:val="222222"/>
          <w:sz w:val="22"/>
          <w:lang w:eastAsia="en-GB"/>
        </w:rPr>
      </w:pPr>
      <w:r w:rsidRPr="006723DD">
        <w:rPr>
          <w:rFonts w:ascii="Arial" w:eastAsia="Times New Roman" w:hAnsi="Arial" w:cs="Arial"/>
          <w:b/>
          <w:bCs/>
          <w:color w:val="222222"/>
          <w:sz w:val="22"/>
          <w:lang w:eastAsia="en-GB"/>
        </w:rPr>
        <w:t>4. Recording and Tracking Blood Sugar Levels</w:t>
      </w:r>
    </w:p>
    <w:p w14:paraId="6F2ABD1E"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55A623E7"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Monitoring helps patients and clinicians assess how effectively diabetes is being controlled and identify the effects of food, exercise, stress, illness and medication.</w:t>
      </w:r>
    </w:p>
    <w:p w14:paraId="61BC466F"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0EE6F149"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One method is capillary self-monitoring with a blood glucose meter. The patient uses a lancet to obtain a small drop of blood, places it on a test strip and receives a reading for that moment. Testing may be useful around meals, during illness, when hypoglycaemia is suspected or when treatment changes.</w:t>
      </w:r>
    </w:p>
    <w:p w14:paraId="4CC332A5"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777AB576"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HbA1c is a blood test that reflects average glucose exposure over approximately the previous two to three months. It measures the amount of glucose attached to haemoglobin in red blood cells. HbA1c helps the healthcare team assess longer-term glucose control, but it does not show daily fluctuations or individual high and low readings (Diabetes UK, 2025a).</w:t>
      </w:r>
    </w:p>
    <w:p w14:paraId="399061AF"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73004D1D" w14:textId="2B748E4B"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 xml:space="preserve">Continuous glucose monitoring, or CGM, uses a small sensor placed under the skin. Systems such as Dexcom and </w:t>
      </w:r>
      <w:r w:rsidR="006723DD" w:rsidRPr="006723DD">
        <w:rPr>
          <w:rFonts w:ascii="Arial" w:eastAsia="Times New Roman" w:hAnsi="Arial" w:cs="Arial"/>
          <w:color w:val="222222"/>
          <w:sz w:val="22"/>
          <w:lang w:eastAsia="en-GB"/>
        </w:rPr>
        <w:t>Freestyle</w:t>
      </w:r>
      <w:r w:rsidRPr="006723DD">
        <w:rPr>
          <w:rFonts w:ascii="Arial" w:eastAsia="Times New Roman" w:hAnsi="Arial" w:cs="Arial"/>
          <w:color w:val="222222"/>
          <w:sz w:val="22"/>
          <w:lang w:eastAsia="en-GB"/>
        </w:rPr>
        <w:t xml:space="preserve"> Libre measure glucose in interstitial fluid and send readings to a smartphone or receiver. They display current glucose levels, trend arrows and day-to-night patterns. Some systems provide alerts for high or low glucose. Because CGM </w:t>
      </w:r>
      <w:r w:rsidRPr="006723DD">
        <w:rPr>
          <w:rFonts w:ascii="Arial" w:eastAsia="Times New Roman" w:hAnsi="Arial" w:cs="Arial"/>
          <w:color w:val="222222"/>
          <w:sz w:val="22"/>
          <w:lang w:eastAsia="en-GB"/>
        </w:rPr>
        <w:lastRenderedPageBreak/>
        <w:t>measures interstitial rather than blood glucose, readings may sometimes lag when glucose changes rapidly (Diabetes UK, 2025b).</w:t>
      </w:r>
    </w:p>
    <w:p w14:paraId="6D9B49DE"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796DBF0F" w14:textId="2BA5BCA1" w:rsidR="00412988" w:rsidRPr="006723DD" w:rsidRDefault="00AD245A" w:rsidP="00412988">
      <w:pPr>
        <w:shd w:val="clear" w:color="auto" w:fill="FFFFFF"/>
        <w:spacing w:after="0" w:line="360" w:lineRule="auto"/>
        <w:rPr>
          <w:rFonts w:ascii="Arial" w:eastAsia="Times New Roman" w:hAnsi="Arial" w:cs="Arial"/>
          <w:color w:val="222222"/>
          <w:sz w:val="22"/>
          <w:lang w:eastAsia="en-GB"/>
        </w:rPr>
      </w:pPr>
      <w:r w:rsidRPr="00AD245A">
        <w:rPr>
          <w:rFonts w:ascii="Arial" w:eastAsia="Times New Roman" w:hAnsi="Arial" w:cs="Arial"/>
          <w:color w:val="222222"/>
          <w:sz w:val="22"/>
          <w:lang w:eastAsia="en-GB"/>
        </w:rPr>
        <w:t> </w:t>
      </w:r>
      <w:r w:rsidR="00412988" w:rsidRPr="006723DD">
        <w:rPr>
          <w:rFonts w:ascii="Arial" w:eastAsia="Times New Roman" w:hAnsi="Arial" w:cs="Arial"/>
          <w:color w:val="222222"/>
          <w:sz w:val="22"/>
          <w:lang w:eastAsia="en-GB"/>
        </w:rPr>
        <w:t>However, routine finger-prick testing is not necessary for every adult with Type 2 diabetes. NICE recommends CGM for selected insulin-treated patients, including some people experiencing recurrent or severe hypoglycaemia (NICE, 2026).</w:t>
      </w:r>
    </w:p>
    <w:p w14:paraId="02479492"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3E867BA3" w14:textId="76AA5E70" w:rsidR="00412988" w:rsidRDefault="00412988" w:rsidP="0077446E">
      <w:pPr>
        <w:shd w:val="clear" w:color="auto" w:fill="FFFFFF"/>
        <w:spacing w:after="0" w:line="360" w:lineRule="auto"/>
        <w:rPr>
          <w:rFonts w:ascii="Arial" w:eastAsia="Times New Roman" w:hAnsi="Arial" w:cs="Arial"/>
          <w:color w:val="222222"/>
          <w:sz w:val="22"/>
          <w:lang w:eastAsia="en-GB"/>
        </w:rPr>
      </w:pPr>
    </w:p>
    <w:p w14:paraId="73D7E9A5" w14:textId="104249B4" w:rsidR="0077446E" w:rsidRDefault="0077446E" w:rsidP="0077446E">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color w:val="222222"/>
          <w:sz w:val="22"/>
          <w:lang w:eastAsia="en-GB"/>
        </w:rPr>
        <w:t>Table</w:t>
      </w:r>
      <w:r w:rsidRPr="0077446E">
        <w:rPr>
          <w:rFonts w:ascii="Arial" w:eastAsia="Times New Roman" w:hAnsi="Arial" w:cs="Arial"/>
          <w:color w:val="222222"/>
          <w:sz w:val="22"/>
          <w:lang w:eastAsia="en-GB"/>
        </w:rPr>
        <w:t xml:space="preserve"> 3. Comparison of finger-prick testing, HbA1</w:t>
      </w:r>
      <w:r w:rsidR="00411E9E">
        <w:rPr>
          <w:rFonts w:ascii="Arial" w:eastAsia="Times New Roman" w:hAnsi="Arial" w:cs="Arial"/>
          <w:color w:val="222222"/>
          <w:sz w:val="22"/>
          <w:lang w:eastAsia="en-GB"/>
        </w:rPr>
        <w:t>c</w:t>
      </w:r>
      <w:r w:rsidRPr="0077446E">
        <w:rPr>
          <w:rFonts w:ascii="Arial" w:eastAsia="Times New Roman" w:hAnsi="Arial" w:cs="Arial"/>
          <w:color w:val="222222"/>
          <w:sz w:val="22"/>
          <w:lang w:eastAsia="en-GB"/>
        </w:rPr>
        <w:t xml:space="preserve"> and continuous glucose monitoring (CGM)</w:t>
      </w:r>
    </w:p>
    <w:p w14:paraId="6B013BBD" w14:textId="135F9F2E" w:rsidR="0077446E" w:rsidRPr="0077446E" w:rsidRDefault="00411E9E" w:rsidP="0077446E">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color w:val="222222"/>
          <w:sz w:val="22"/>
          <w:lang w:eastAsia="en-GB"/>
        </w:rPr>
        <w:t xml:space="preserve"> </w:t>
      </w:r>
    </w:p>
    <w:tbl>
      <w:tblPr>
        <w:tblStyle w:val="TableGrid"/>
        <w:tblW w:w="0" w:type="auto"/>
        <w:tblLook w:val="04A0" w:firstRow="1" w:lastRow="0" w:firstColumn="1" w:lastColumn="0" w:noHBand="0" w:noVBand="1"/>
      </w:tblPr>
      <w:tblGrid>
        <w:gridCol w:w="4232"/>
        <w:gridCol w:w="4232"/>
      </w:tblGrid>
      <w:tr w:rsidR="0077446E" w:rsidRPr="0077446E" w14:paraId="4CD8569D" w14:textId="77777777" w:rsidTr="0077446E">
        <w:trPr>
          <w:trHeight w:val="351"/>
        </w:trPr>
        <w:tc>
          <w:tcPr>
            <w:tcW w:w="4232" w:type="dxa"/>
          </w:tcPr>
          <w:p w14:paraId="05CAA579" w14:textId="08167595" w:rsidR="0077446E" w:rsidRPr="0077446E" w:rsidRDefault="0077446E" w:rsidP="0077446E">
            <w:pPr>
              <w:spacing w:line="360" w:lineRule="auto"/>
              <w:jc w:val="center"/>
              <w:rPr>
                <w:rFonts w:ascii="Arial" w:eastAsia="Times New Roman" w:hAnsi="Arial" w:cs="Arial"/>
                <w:b/>
                <w:bCs/>
                <w:color w:val="222222"/>
                <w:sz w:val="22"/>
                <w:lang w:eastAsia="en-GB"/>
              </w:rPr>
            </w:pPr>
            <w:r w:rsidRPr="0077446E">
              <w:rPr>
                <w:rFonts w:ascii="Arial" w:eastAsia="Times New Roman" w:hAnsi="Arial" w:cs="Arial"/>
                <w:b/>
                <w:bCs/>
                <w:color w:val="222222"/>
                <w:sz w:val="22"/>
                <w:lang w:eastAsia="en-GB"/>
              </w:rPr>
              <w:t>Method</w:t>
            </w:r>
          </w:p>
        </w:tc>
        <w:tc>
          <w:tcPr>
            <w:tcW w:w="4232" w:type="dxa"/>
          </w:tcPr>
          <w:p w14:paraId="4A3ACD07" w14:textId="2DACC2B4" w:rsidR="0077446E" w:rsidRPr="0077446E" w:rsidRDefault="0077446E" w:rsidP="0077446E">
            <w:pPr>
              <w:spacing w:line="360" w:lineRule="auto"/>
              <w:jc w:val="center"/>
              <w:rPr>
                <w:rFonts w:ascii="Arial" w:eastAsia="Times New Roman" w:hAnsi="Arial" w:cs="Arial"/>
                <w:b/>
                <w:bCs/>
                <w:color w:val="222222"/>
                <w:sz w:val="22"/>
                <w:lang w:eastAsia="en-GB"/>
              </w:rPr>
            </w:pPr>
            <w:r w:rsidRPr="0077446E">
              <w:rPr>
                <w:rFonts w:ascii="Arial" w:eastAsia="Times New Roman" w:hAnsi="Arial" w:cs="Arial"/>
                <w:b/>
                <w:bCs/>
                <w:color w:val="222222"/>
                <w:sz w:val="22"/>
                <w:lang w:eastAsia="en-GB"/>
              </w:rPr>
              <w:t>What it shows</w:t>
            </w:r>
          </w:p>
        </w:tc>
      </w:tr>
      <w:tr w:rsidR="0077446E" w14:paraId="14D100CB" w14:textId="77777777" w:rsidTr="0077446E">
        <w:trPr>
          <w:trHeight w:val="351"/>
        </w:trPr>
        <w:tc>
          <w:tcPr>
            <w:tcW w:w="4232" w:type="dxa"/>
          </w:tcPr>
          <w:p w14:paraId="227FB368" w14:textId="23B95DE8" w:rsidR="0077446E" w:rsidRDefault="0077446E" w:rsidP="0077446E">
            <w:pPr>
              <w:spacing w:line="360" w:lineRule="auto"/>
              <w:jc w:val="center"/>
              <w:rPr>
                <w:rFonts w:ascii="Arial" w:eastAsia="Times New Roman" w:hAnsi="Arial" w:cs="Arial"/>
                <w:color w:val="222222"/>
                <w:sz w:val="22"/>
                <w:lang w:eastAsia="en-GB"/>
              </w:rPr>
            </w:pPr>
            <w:r>
              <w:rPr>
                <w:rFonts w:ascii="Arial" w:eastAsia="Times New Roman" w:hAnsi="Arial" w:cs="Arial"/>
                <w:color w:val="222222"/>
                <w:sz w:val="22"/>
                <w:lang w:eastAsia="en-GB"/>
              </w:rPr>
              <w:t>Finger-prick testing</w:t>
            </w:r>
          </w:p>
        </w:tc>
        <w:tc>
          <w:tcPr>
            <w:tcW w:w="4232" w:type="dxa"/>
          </w:tcPr>
          <w:p w14:paraId="1812659D" w14:textId="3EFF93F4" w:rsidR="0077446E" w:rsidRDefault="0077446E" w:rsidP="0077446E">
            <w:pPr>
              <w:spacing w:line="360" w:lineRule="auto"/>
              <w:jc w:val="center"/>
              <w:rPr>
                <w:rFonts w:ascii="Arial" w:eastAsia="Times New Roman" w:hAnsi="Arial" w:cs="Arial"/>
                <w:color w:val="222222"/>
                <w:sz w:val="22"/>
                <w:lang w:eastAsia="en-GB"/>
              </w:rPr>
            </w:pPr>
            <w:r>
              <w:rPr>
                <w:rFonts w:ascii="Arial" w:eastAsia="Times New Roman" w:hAnsi="Arial" w:cs="Arial"/>
                <w:color w:val="222222"/>
                <w:sz w:val="22"/>
                <w:lang w:eastAsia="en-GB"/>
              </w:rPr>
              <w:t>Glucose level at one moment</w:t>
            </w:r>
          </w:p>
        </w:tc>
      </w:tr>
      <w:tr w:rsidR="0077446E" w14:paraId="5FE226BE" w14:textId="77777777" w:rsidTr="0077446E">
        <w:trPr>
          <w:trHeight w:val="351"/>
        </w:trPr>
        <w:tc>
          <w:tcPr>
            <w:tcW w:w="4232" w:type="dxa"/>
          </w:tcPr>
          <w:p w14:paraId="31182D89" w14:textId="10751E19" w:rsidR="0077446E" w:rsidRDefault="0077446E" w:rsidP="0077446E">
            <w:pPr>
              <w:spacing w:line="360" w:lineRule="auto"/>
              <w:jc w:val="center"/>
              <w:rPr>
                <w:rFonts w:ascii="Arial" w:eastAsia="Times New Roman" w:hAnsi="Arial" w:cs="Arial"/>
                <w:color w:val="222222"/>
                <w:sz w:val="22"/>
                <w:lang w:eastAsia="en-GB"/>
              </w:rPr>
            </w:pPr>
            <w:r>
              <w:rPr>
                <w:rFonts w:ascii="Arial" w:eastAsia="Times New Roman" w:hAnsi="Arial" w:cs="Arial"/>
                <w:color w:val="222222"/>
                <w:sz w:val="22"/>
                <w:lang w:eastAsia="en-GB"/>
              </w:rPr>
              <w:t>HbA1c</w:t>
            </w:r>
          </w:p>
        </w:tc>
        <w:tc>
          <w:tcPr>
            <w:tcW w:w="4232" w:type="dxa"/>
          </w:tcPr>
          <w:p w14:paraId="0797A6AE" w14:textId="63A5187F" w:rsidR="0077446E" w:rsidRDefault="0077446E" w:rsidP="0077446E">
            <w:pPr>
              <w:spacing w:line="360" w:lineRule="auto"/>
              <w:jc w:val="center"/>
              <w:rPr>
                <w:rFonts w:ascii="Arial" w:eastAsia="Times New Roman" w:hAnsi="Arial" w:cs="Arial"/>
                <w:color w:val="222222"/>
                <w:sz w:val="22"/>
                <w:lang w:eastAsia="en-GB"/>
              </w:rPr>
            </w:pPr>
            <w:r>
              <w:rPr>
                <w:rFonts w:ascii="Arial" w:eastAsia="Times New Roman" w:hAnsi="Arial" w:cs="Arial"/>
                <w:color w:val="222222"/>
                <w:sz w:val="22"/>
                <w:lang w:eastAsia="en-GB"/>
              </w:rPr>
              <w:t>Average glucose over</w:t>
            </w:r>
            <w:r w:rsidR="00411E9E">
              <w:rPr>
                <w:rFonts w:ascii="Arial" w:eastAsia="Times New Roman" w:hAnsi="Arial" w:cs="Arial"/>
                <w:color w:val="222222"/>
                <w:sz w:val="22"/>
                <w:lang w:eastAsia="en-GB"/>
              </w:rPr>
              <w:t xml:space="preserve"> the previous</w:t>
            </w:r>
            <w:r>
              <w:rPr>
                <w:rFonts w:ascii="Arial" w:eastAsia="Times New Roman" w:hAnsi="Arial" w:cs="Arial"/>
                <w:color w:val="222222"/>
                <w:sz w:val="22"/>
                <w:lang w:eastAsia="en-GB"/>
              </w:rPr>
              <w:t xml:space="preserve"> 2-3 months</w:t>
            </w:r>
          </w:p>
        </w:tc>
      </w:tr>
      <w:tr w:rsidR="0077446E" w14:paraId="3DA8A3E8" w14:textId="77777777" w:rsidTr="0077446E">
        <w:trPr>
          <w:trHeight w:val="714"/>
        </w:trPr>
        <w:tc>
          <w:tcPr>
            <w:tcW w:w="4232" w:type="dxa"/>
          </w:tcPr>
          <w:p w14:paraId="01F53672" w14:textId="3C15E6AA" w:rsidR="0077446E" w:rsidRDefault="0077446E" w:rsidP="0077446E">
            <w:pPr>
              <w:spacing w:line="360" w:lineRule="auto"/>
              <w:jc w:val="center"/>
              <w:rPr>
                <w:rFonts w:ascii="Arial" w:eastAsia="Times New Roman" w:hAnsi="Arial" w:cs="Arial"/>
                <w:color w:val="222222"/>
                <w:sz w:val="22"/>
                <w:lang w:eastAsia="en-GB"/>
              </w:rPr>
            </w:pPr>
            <w:r>
              <w:rPr>
                <w:rFonts w:ascii="Arial" w:eastAsia="Times New Roman" w:hAnsi="Arial" w:cs="Arial"/>
                <w:color w:val="222222"/>
                <w:sz w:val="22"/>
                <w:lang w:eastAsia="en-GB"/>
              </w:rPr>
              <w:t>CGM</w:t>
            </w:r>
          </w:p>
        </w:tc>
        <w:tc>
          <w:tcPr>
            <w:tcW w:w="4232" w:type="dxa"/>
          </w:tcPr>
          <w:p w14:paraId="37366AB6" w14:textId="5656654E" w:rsidR="0077446E" w:rsidRDefault="0077446E" w:rsidP="0077446E">
            <w:pPr>
              <w:spacing w:line="360" w:lineRule="auto"/>
              <w:jc w:val="center"/>
              <w:rPr>
                <w:rFonts w:ascii="Arial" w:eastAsia="Times New Roman" w:hAnsi="Arial" w:cs="Arial"/>
                <w:color w:val="222222"/>
                <w:sz w:val="22"/>
                <w:lang w:eastAsia="en-GB"/>
              </w:rPr>
            </w:pPr>
            <w:r>
              <w:rPr>
                <w:rFonts w:ascii="Arial" w:eastAsia="Times New Roman" w:hAnsi="Arial" w:cs="Arial"/>
                <w:color w:val="222222"/>
                <w:sz w:val="22"/>
                <w:lang w:eastAsia="en-GB"/>
              </w:rPr>
              <w:t>Glucose levels</w:t>
            </w:r>
            <w:r w:rsidR="00411E9E">
              <w:rPr>
                <w:rFonts w:ascii="Arial" w:eastAsia="Times New Roman" w:hAnsi="Arial" w:cs="Arial"/>
                <w:color w:val="222222"/>
                <w:sz w:val="22"/>
                <w:lang w:eastAsia="en-GB"/>
              </w:rPr>
              <w:t xml:space="preserve"> and trends</w:t>
            </w:r>
            <w:r>
              <w:rPr>
                <w:rFonts w:ascii="Arial" w:eastAsia="Times New Roman" w:hAnsi="Arial" w:cs="Arial"/>
                <w:color w:val="222222"/>
                <w:sz w:val="22"/>
                <w:lang w:eastAsia="en-GB"/>
              </w:rPr>
              <w:t xml:space="preserve"> throughout the day and night</w:t>
            </w:r>
          </w:p>
        </w:tc>
      </w:tr>
    </w:tbl>
    <w:p w14:paraId="46FBE1EB" w14:textId="77777777" w:rsidR="0077446E" w:rsidRPr="006723DD" w:rsidRDefault="0077446E" w:rsidP="00412988">
      <w:pPr>
        <w:shd w:val="clear" w:color="auto" w:fill="FFFFFF"/>
        <w:spacing w:after="0" w:line="360" w:lineRule="auto"/>
        <w:rPr>
          <w:rFonts w:ascii="Arial" w:eastAsia="Times New Roman" w:hAnsi="Arial" w:cs="Arial"/>
          <w:color w:val="222222"/>
          <w:sz w:val="22"/>
          <w:lang w:eastAsia="en-GB"/>
        </w:rPr>
      </w:pPr>
    </w:p>
    <w:p w14:paraId="4841E92B"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239ADF01" w14:textId="77777777" w:rsidR="00412988" w:rsidRPr="006723DD" w:rsidRDefault="00412988" w:rsidP="00412988">
      <w:pPr>
        <w:shd w:val="clear" w:color="auto" w:fill="FFFFFF"/>
        <w:spacing w:after="0" w:line="360" w:lineRule="auto"/>
        <w:rPr>
          <w:rFonts w:ascii="Arial" w:eastAsia="Times New Roman" w:hAnsi="Arial" w:cs="Arial"/>
          <w:b/>
          <w:bCs/>
          <w:color w:val="222222"/>
          <w:sz w:val="22"/>
          <w:lang w:eastAsia="en-GB"/>
        </w:rPr>
      </w:pPr>
      <w:r w:rsidRPr="006723DD">
        <w:rPr>
          <w:rFonts w:ascii="Arial" w:eastAsia="Times New Roman" w:hAnsi="Arial" w:cs="Arial"/>
          <w:b/>
          <w:bCs/>
          <w:color w:val="222222"/>
          <w:sz w:val="22"/>
          <w:lang w:eastAsia="en-GB"/>
        </w:rPr>
        <w:t>5. Evidence-Based Lifestyle Recommendations</w:t>
      </w:r>
    </w:p>
    <w:p w14:paraId="0769EEAD"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4CDD1EA9" w14:textId="3525AB68" w:rsidR="00412988" w:rsidRPr="006723DD" w:rsidRDefault="00AD245A" w:rsidP="00412988">
      <w:pPr>
        <w:shd w:val="clear" w:color="auto" w:fill="FFFFFF"/>
        <w:spacing w:after="0" w:line="360" w:lineRule="auto"/>
        <w:rPr>
          <w:rFonts w:ascii="Arial" w:eastAsia="Times New Roman" w:hAnsi="Arial" w:cs="Arial"/>
          <w:color w:val="222222"/>
          <w:sz w:val="22"/>
          <w:lang w:eastAsia="en-GB"/>
        </w:rPr>
      </w:pPr>
      <w:r w:rsidRPr="00AD245A">
        <w:rPr>
          <w:rFonts w:ascii="Arial" w:eastAsia="Times New Roman" w:hAnsi="Arial" w:cs="Arial"/>
          <w:color w:val="222222"/>
          <w:sz w:val="22"/>
          <w:lang w:eastAsia="en-GB"/>
        </w:rPr>
        <w:t>Lifestyle advice should be realistic, individualised and non-judgemental. The practice nurse should consider the patient’s health, culture, finances, abilities and readiness to change.</w:t>
      </w:r>
    </w:p>
    <w:p w14:paraId="59EE140E"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There is no single diet suitable for every person with diabetes. A balanced eating pattern may include vegetables, pulses, wholegrains, fibre-rich foods, lean protein and unsaturated fats. Patients should reduce sugar-sweetened drinks, foods high in added sugar and frequent large portions of refined carbohydrates such as sweets, white bread and pastries. Portion size is important because even nutritious carbohydrate-containing foods can raise glucose when eaten in large amounts.</w:t>
      </w:r>
    </w:p>
    <w:p w14:paraId="1D84550C"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78BF7FC7"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Low-glycaemic-index foods may produce a slower rise in blood glucose, but glycaemic index should not be considered alone. The total amount of carbohydrate, meal composition and portion size also matter. A Mediterranean-style eating pattern may be helpful because it includes vegetables, pulses, wholegrains, fish, nuts and plant oils. Dietary advice should be agreed with the patient rather than imposed as rigid restrictions (NICE, 2026).</w:t>
      </w:r>
    </w:p>
    <w:p w14:paraId="6595EE00"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43D867D1"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lastRenderedPageBreak/>
        <w:t>Physical activity improves insulin sensitivity, meaning that body cells respond to insulin more effectively. Working muscles can also take up and use more glucose during and after activity. Regular exercise supports weight management, cardiovascular health, blood pressure, cholesterol and emotional wellbeing.</w:t>
      </w:r>
    </w:p>
    <w:p w14:paraId="60139364"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6A0A54B1" w14:textId="260E1C62"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 xml:space="preserve">Adults should aim for at least 150 minutes of moderate-intensity physical activity each week or 75 minutes of vigorous activity, depending on health and ability. Muscle-strengthening activity on at least two days per week is also recommended. </w:t>
      </w:r>
      <w:r w:rsidR="00AD245A" w:rsidRPr="00AD245A">
        <w:rPr>
          <w:rFonts w:ascii="Arial" w:eastAsia="Times New Roman" w:hAnsi="Arial" w:cs="Arial"/>
          <w:color w:val="222222"/>
          <w:sz w:val="22"/>
          <w:lang w:eastAsia="en-GB"/>
        </w:rPr>
        <w:t>Suitable activities include brisk walking, swimming, cycling and resistance exercises.</w:t>
      </w:r>
      <w:r w:rsidR="00AD245A">
        <w:rPr>
          <w:rFonts w:ascii="Arial" w:eastAsia="Times New Roman" w:hAnsi="Arial" w:cs="Arial"/>
          <w:color w:val="222222"/>
          <w:sz w:val="22"/>
          <w:lang w:eastAsia="en-GB"/>
        </w:rPr>
        <w:t xml:space="preserve"> </w:t>
      </w:r>
      <w:r w:rsidRPr="006723DD">
        <w:rPr>
          <w:rFonts w:ascii="Arial" w:eastAsia="Times New Roman" w:hAnsi="Arial" w:cs="Arial"/>
          <w:color w:val="222222"/>
          <w:sz w:val="22"/>
          <w:lang w:eastAsia="en-GB"/>
        </w:rPr>
        <w:t>The plan should begin at a manageable level and increase gradually. People with complications or other medical conditions may need professional advice before increasing their activity (UK Chief Medical Officers, 2019).</w:t>
      </w:r>
    </w:p>
    <w:p w14:paraId="296003B0"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637A344D"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Smoking is especially harmful for people with diabetes because both smoking and diabetes damage blood vessels. Smoking may increase insulin resistance and make blood glucose more difficult to control. It also increases cardiovascular risk and contributes to poor circulation, delayed wound healing and foot complications (CDC, 2024).</w:t>
      </w:r>
    </w:p>
    <w:p w14:paraId="6235651B"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3574B5AB"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The practice nurse should ask about smoking respectfully, explain the benefits of stopping and offer evidence-based support. This may include behavioural counselling, referral to an NHS Stop Smoking Service and discussion of suitable treatments such as nicotine replacement therapy, varenicline or cytisine, depending on clinical suitability and current guidance. Combining behavioural support with appropriate medication is generally more effective than expecting a patient to stop without assistance (NICE, 2025).</w:t>
      </w:r>
    </w:p>
    <w:p w14:paraId="596A3A6F"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60B87C02" w14:textId="3C2350AD"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hAnsi="Arial" w:cs="Arial"/>
          <w:color w:val="222222"/>
          <w:sz w:val="22"/>
          <w:shd w:val="clear" w:color="auto" w:fill="FFFFFF"/>
        </w:rPr>
        <w:t xml:space="preserve">Patients should also take prescribed medicines, attend diabetes reviews and monitor blood pressure, cholesterol, kidney function, eyes and feet. Where appropriate, gradual weight loss may improve insulin sensitivity. </w:t>
      </w:r>
    </w:p>
    <w:p w14:paraId="1CFC60FD" w14:textId="5F4F21D8" w:rsidR="00412988" w:rsidRPr="006723DD" w:rsidRDefault="00F51CDE" w:rsidP="00412988">
      <w:pPr>
        <w:shd w:val="clear" w:color="auto" w:fill="FFFFFF"/>
        <w:spacing w:after="0" w:line="360" w:lineRule="auto"/>
        <w:rPr>
          <w:rFonts w:ascii="Arial" w:eastAsia="Times New Roman" w:hAnsi="Arial" w:cs="Arial"/>
          <w:color w:val="222222"/>
          <w:sz w:val="22"/>
          <w:lang w:eastAsia="en-GB"/>
        </w:rPr>
      </w:pPr>
      <w:r w:rsidRPr="00F51CDE">
        <w:rPr>
          <w:rFonts w:ascii="Arial" w:eastAsia="Times New Roman" w:hAnsi="Arial" w:cs="Arial"/>
          <w:color w:val="222222"/>
          <w:sz w:val="22"/>
          <w:lang w:eastAsia="en-GB"/>
        </w:rPr>
        <w:t>In the case study, patients could choose achievable goals, such as replacing sugary drinks, walking regularly or accepting stop-smoking support.</w:t>
      </w:r>
      <w:r>
        <w:rPr>
          <w:rFonts w:ascii="Arial" w:eastAsia="Times New Roman" w:hAnsi="Arial" w:cs="Arial"/>
          <w:color w:val="222222"/>
          <w:sz w:val="22"/>
          <w:lang w:eastAsia="en-GB"/>
        </w:rPr>
        <w:t xml:space="preserve"> </w:t>
      </w:r>
      <w:r w:rsidR="00412988" w:rsidRPr="006723DD">
        <w:rPr>
          <w:rFonts w:ascii="Arial" w:eastAsia="Times New Roman" w:hAnsi="Arial" w:cs="Arial"/>
          <w:color w:val="222222"/>
          <w:sz w:val="22"/>
          <w:lang w:eastAsia="en-GB"/>
        </w:rPr>
        <w:t>Progress could then be reviewed and the care plan adjusted.</w:t>
      </w:r>
    </w:p>
    <w:p w14:paraId="192187F4" w14:textId="77777777" w:rsidR="00412988" w:rsidRDefault="00412988" w:rsidP="00412988">
      <w:pPr>
        <w:shd w:val="clear" w:color="auto" w:fill="FFFFFF"/>
        <w:spacing w:after="0" w:line="360" w:lineRule="auto"/>
        <w:rPr>
          <w:rFonts w:ascii="Arial" w:eastAsia="Times New Roman" w:hAnsi="Arial" w:cs="Arial"/>
          <w:color w:val="222222"/>
          <w:sz w:val="22"/>
          <w:lang w:eastAsia="en-GB"/>
        </w:rPr>
      </w:pPr>
    </w:p>
    <w:p w14:paraId="06D665E9" w14:textId="77777777" w:rsidR="00411E9E" w:rsidRDefault="00411E9E" w:rsidP="00412988">
      <w:pPr>
        <w:shd w:val="clear" w:color="auto" w:fill="FFFFFF"/>
        <w:spacing w:after="0" w:line="360" w:lineRule="auto"/>
        <w:rPr>
          <w:rFonts w:ascii="Arial" w:eastAsia="Times New Roman" w:hAnsi="Arial" w:cs="Arial"/>
          <w:color w:val="222222"/>
          <w:sz w:val="22"/>
          <w:lang w:eastAsia="en-GB"/>
        </w:rPr>
      </w:pPr>
    </w:p>
    <w:p w14:paraId="0F8160E2" w14:textId="77777777" w:rsidR="00411E9E" w:rsidRDefault="00411E9E" w:rsidP="00412988">
      <w:pPr>
        <w:shd w:val="clear" w:color="auto" w:fill="FFFFFF"/>
        <w:spacing w:after="0" w:line="360" w:lineRule="auto"/>
        <w:rPr>
          <w:rFonts w:ascii="Arial" w:eastAsia="Times New Roman" w:hAnsi="Arial" w:cs="Arial"/>
          <w:color w:val="222222"/>
          <w:sz w:val="22"/>
          <w:lang w:eastAsia="en-GB"/>
        </w:rPr>
      </w:pPr>
    </w:p>
    <w:p w14:paraId="37B9ED66" w14:textId="77777777" w:rsidR="00411E9E" w:rsidRDefault="00411E9E" w:rsidP="00412988">
      <w:pPr>
        <w:shd w:val="clear" w:color="auto" w:fill="FFFFFF"/>
        <w:spacing w:after="0" w:line="360" w:lineRule="auto"/>
        <w:rPr>
          <w:rFonts w:ascii="Arial" w:eastAsia="Times New Roman" w:hAnsi="Arial" w:cs="Arial"/>
          <w:color w:val="222222"/>
          <w:sz w:val="22"/>
          <w:lang w:eastAsia="en-GB"/>
        </w:rPr>
      </w:pPr>
    </w:p>
    <w:p w14:paraId="3A43D9E4" w14:textId="77777777" w:rsidR="00C24603" w:rsidRDefault="00C24603" w:rsidP="00412988">
      <w:pPr>
        <w:shd w:val="clear" w:color="auto" w:fill="FFFFFF"/>
        <w:spacing w:after="0" w:line="360" w:lineRule="auto"/>
        <w:rPr>
          <w:rFonts w:ascii="Arial" w:eastAsia="Times New Roman" w:hAnsi="Arial" w:cs="Arial"/>
          <w:color w:val="222222"/>
          <w:sz w:val="22"/>
          <w:lang w:eastAsia="en-GB"/>
        </w:rPr>
      </w:pPr>
    </w:p>
    <w:p w14:paraId="324A926F" w14:textId="77777777" w:rsidR="00C24603" w:rsidRPr="006723DD" w:rsidRDefault="00C24603" w:rsidP="00412988">
      <w:pPr>
        <w:shd w:val="clear" w:color="auto" w:fill="FFFFFF"/>
        <w:spacing w:after="0" w:line="360" w:lineRule="auto"/>
        <w:rPr>
          <w:rFonts w:ascii="Arial" w:eastAsia="Times New Roman" w:hAnsi="Arial" w:cs="Arial"/>
          <w:color w:val="222222"/>
          <w:sz w:val="22"/>
          <w:lang w:eastAsia="en-GB"/>
        </w:rPr>
      </w:pPr>
    </w:p>
    <w:p w14:paraId="36695E67" w14:textId="77777777" w:rsidR="00412988" w:rsidRPr="006723DD" w:rsidRDefault="00412988" w:rsidP="00412988">
      <w:pPr>
        <w:shd w:val="clear" w:color="auto" w:fill="FFFFFF"/>
        <w:spacing w:after="0" w:line="360" w:lineRule="auto"/>
        <w:rPr>
          <w:rFonts w:ascii="Arial" w:eastAsia="Times New Roman" w:hAnsi="Arial" w:cs="Arial"/>
          <w:b/>
          <w:bCs/>
          <w:color w:val="222222"/>
          <w:sz w:val="22"/>
          <w:lang w:eastAsia="en-GB"/>
        </w:rPr>
      </w:pPr>
      <w:r w:rsidRPr="006723DD">
        <w:rPr>
          <w:rFonts w:ascii="Arial" w:eastAsia="Times New Roman" w:hAnsi="Arial" w:cs="Arial"/>
          <w:b/>
          <w:bCs/>
          <w:color w:val="222222"/>
          <w:sz w:val="22"/>
          <w:lang w:eastAsia="en-GB"/>
        </w:rPr>
        <w:lastRenderedPageBreak/>
        <w:t>6. Conclusion</w:t>
      </w:r>
    </w:p>
    <w:p w14:paraId="03576931"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4B6B3320"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Type 2 diabetes develops when body tissues become less responsive to insulin and the pancreas can no longer compensate fully. Glucose therefore remains in the bloodstream instead of entering cells efficiently. In a healthy system, negative feedback maintains glucose balance: insulin promotes glucose uptake and storage after meals, while glucagon stimulates the liver to release glucose when levels fall.</w:t>
      </w:r>
    </w:p>
    <w:p w14:paraId="6A95208C"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760E9776"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Inside cells, glucose and oxygen are used in aerobic respiration to produce ATP for essential body functions. HbA1c, capillary blood glucose testing and, where appropriate, continuous glucose monitoring can help assess treatment effectiveness and identify unsafe patterns. The monitoring method should reflect the individual patient’s treatment, risks and needs.</w:t>
      </w:r>
    </w:p>
    <w:p w14:paraId="28D58CB2" w14:textId="77777777" w:rsidR="00412988" w:rsidRPr="006723DD" w:rsidRDefault="00412988" w:rsidP="00412988">
      <w:pPr>
        <w:shd w:val="clear" w:color="auto" w:fill="FFFFFF"/>
        <w:spacing w:after="0" w:line="360" w:lineRule="auto"/>
        <w:rPr>
          <w:rFonts w:ascii="Arial" w:eastAsia="Times New Roman" w:hAnsi="Arial" w:cs="Arial"/>
          <w:color w:val="222222"/>
          <w:sz w:val="22"/>
          <w:lang w:eastAsia="en-GB"/>
        </w:rPr>
      </w:pPr>
    </w:p>
    <w:p w14:paraId="238341D6" w14:textId="77777777" w:rsidR="00412988" w:rsidRDefault="00412988" w:rsidP="00412988">
      <w:pPr>
        <w:shd w:val="clear" w:color="auto" w:fill="FFFFFF"/>
        <w:spacing w:after="0" w:line="360" w:lineRule="auto"/>
        <w:rPr>
          <w:rFonts w:ascii="Arial" w:eastAsia="Times New Roman" w:hAnsi="Arial" w:cs="Arial"/>
          <w:color w:val="222222"/>
          <w:sz w:val="22"/>
          <w:lang w:eastAsia="en-GB"/>
        </w:rPr>
      </w:pPr>
      <w:r w:rsidRPr="006723DD">
        <w:rPr>
          <w:rFonts w:ascii="Arial" w:eastAsia="Times New Roman" w:hAnsi="Arial" w:cs="Arial"/>
          <w:color w:val="222222"/>
          <w:sz w:val="22"/>
          <w:lang w:eastAsia="en-GB"/>
        </w:rPr>
        <w:t>Balanced nutrition, regular aerobic and resistance activity, weight management where appropriate, smoking cessation and adherence to prescribed treatment can improve glucose control and reduce complications. Education in a GP surgery is therefore essential because it enables patients to understand their condition, interpret information and participate actively in their care. Effective Type 2 diabetes management requires a person-centred partnership between the patient, the practice nurse and the wider healthcare team.</w:t>
      </w:r>
    </w:p>
    <w:p w14:paraId="11FD563C" w14:textId="77777777" w:rsidR="00F51CDE" w:rsidRPr="006723DD" w:rsidRDefault="00F51CDE" w:rsidP="00412988">
      <w:pPr>
        <w:shd w:val="clear" w:color="auto" w:fill="FFFFFF"/>
        <w:spacing w:after="0" w:line="360" w:lineRule="auto"/>
        <w:rPr>
          <w:rFonts w:ascii="Arial" w:eastAsia="Times New Roman" w:hAnsi="Arial" w:cs="Arial"/>
          <w:color w:val="222222"/>
          <w:sz w:val="22"/>
          <w:lang w:eastAsia="en-GB"/>
        </w:rPr>
      </w:pPr>
    </w:p>
    <w:p w14:paraId="3EA8624F" w14:textId="56460298" w:rsidR="00F51CDE" w:rsidRPr="00F51CDE" w:rsidRDefault="00F51CDE" w:rsidP="00F51CDE">
      <w:pPr>
        <w:spacing w:line="360" w:lineRule="auto"/>
        <w:rPr>
          <w:rFonts w:ascii="Arial" w:hAnsi="Arial" w:cs="Arial"/>
          <w:b/>
          <w:bCs/>
          <w:sz w:val="22"/>
        </w:rPr>
      </w:pPr>
      <w:r w:rsidRPr="00F51CDE">
        <w:rPr>
          <w:rFonts w:ascii="Arial" w:hAnsi="Arial" w:cs="Arial"/>
          <w:b/>
          <w:bCs/>
          <w:sz w:val="22"/>
        </w:rPr>
        <w:t>References</w:t>
      </w:r>
    </w:p>
    <w:p w14:paraId="5CD0478A" w14:textId="77777777" w:rsidR="00F51CDE" w:rsidRPr="00F51CDE" w:rsidRDefault="00F51CDE" w:rsidP="00F51CDE">
      <w:pPr>
        <w:spacing w:line="360" w:lineRule="auto"/>
        <w:rPr>
          <w:rFonts w:ascii="Arial" w:hAnsi="Arial" w:cs="Arial"/>
          <w:sz w:val="22"/>
        </w:rPr>
      </w:pPr>
      <w:r w:rsidRPr="00F51CDE">
        <w:rPr>
          <w:rFonts w:ascii="Arial" w:hAnsi="Arial" w:cs="Arial"/>
          <w:sz w:val="22"/>
        </w:rPr>
        <w:t>Centers for Disease Control and Prevention (CDC) (2024) Diabetes and smoking. Available at: </w:t>
      </w:r>
      <w:hyperlink r:id="rId24" w:tgtFrame="_blank" w:history="1">
        <w:r w:rsidRPr="00F51CDE">
          <w:rPr>
            <w:rStyle w:val="Hyperlink"/>
            <w:rFonts w:ascii="Arial" w:hAnsi="Arial" w:cs="Arial"/>
            <w:sz w:val="22"/>
          </w:rPr>
          <w:t>https://www.cdc.gov/diabetes/risk-factors/diabetes-and-smoking.html</w:t>
        </w:r>
      </w:hyperlink>
      <w:r w:rsidRPr="00F51CDE">
        <w:rPr>
          <w:rFonts w:ascii="Segoe UI Symbol" w:hAnsi="Segoe UI Symbol" w:cs="Segoe UI Symbol"/>
          <w:sz w:val="22"/>
        </w:rPr>
        <w:t>⁠</w:t>
      </w:r>
      <w:r w:rsidRPr="00F51CDE">
        <w:rPr>
          <w:rFonts w:ascii="Arial" w:hAnsi="Arial" w:cs="Arial"/>
          <w:sz w:val="22"/>
        </w:rPr>
        <w:t>(Accessed: 31 July 2026).</w:t>
      </w:r>
    </w:p>
    <w:p w14:paraId="3D5566FA" w14:textId="77777777" w:rsidR="00F51CDE" w:rsidRPr="00F51CDE" w:rsidRDefault="00F51CDE" w:rsidP="00F51CDE">
      <w:pPr>
        <w:spacing w:line="360" w:lineRule="auto"/>
        <w:rPr>
          <w:rFonts w:ascii="Arial" w:hAnsi="Arial" w:cs="Arial"/>
          <w:sz w:val="22"/>
        </w:rPr>
      </w:pPr>
    </w:p>
    <w:p w14:paraId="105C699A" w14:textId="77777777" w:rsidR="00F51CDE" w:rsidRPr="00F51CDE" w:rsidRDefault="00F51CDE" w:rsidP="00F51CDE">
      <w:pPr>
        <w:spacing w:line="360" w:lineRule="auto"/>
        <w:rPr>
          <w:rFonts w:ascii="Arial" w:hAnsi="Arial" w:cs="Arial"/>
          <w:sz w:val="22"/>
        </w:rPr>
      </w:pPr>
      <w:r w:rsidRPr="00F51CDE">
        <w:rPr>
          <w:rFonts w:ascii="Arial" w:hAnsi="Arial" w:cs="Arial"/>
          <w:sz w:val="22"/>
        </w:rPr>
        <w:t>Diabetes UK (2025a) Continuous glucose monitors. Available at: </w:t>
      </w:r>
      <w:hyperlink r:id="rId25" w:tgtFrame="_blank" w:history="1">
        <w:r w:rsidRPr="00F51CDE">
          <w:rPr>
            <w:rStyle w:val="Hyperlink"/>
            <w:rFonts w:ascii="Arial" w:hAnsi="Arial" w:cs="Arial"/>
            <w:sz w:val="22"/>
          </w:rPr>
          <w:t>https://www.diabetes.org.uk/about-diabetes/looking-after-diabetes/technology/continuous-glucose-monitors</w:t>
        </w:r>
      </w:hyperlink>
      <w:r w:rsidRPr="00F51CDE">
        <w:rPr>
          <w:rFonts w:ascii="Segoe UI Symbol" w:hAnsi="Segoe UI Symbol" w:cs="Segoe UI Symbol"/>
          <w:sz w:val="22"/>
        </w:rPr>
        <w:t>⁠</w:t>
      </w:r>
      <w:r w:rsidRPr="00F51CDE">
        <w:rPr>
          <w:rFonts w:ascii="Arial" w:hAnsi="Arial" w:cs="Arial"/>
          <w:sz w:val="22"/>
        </w:rPr>
        <w:t xml:space="preserve"> (Accessed: 31 July 2026).</w:t>
      </w:r>
    </w:p>
    <w:p w14:paraId="444BF82F" w14:textId="77777777" w:rsidR="00F51CDE" w:rsidRPr="00F51CDE" w:rsidRDefault="00F51CDE" w:rsidP="00F51CDE">
      <w:pPr>
        <w:spacing w:line="360" w:lineRule="auto"/>
        <w:rPr>
          <w:rFonts w:ascii="Arial" w:hAnsi="Arial" w:cs="Arial"/>
          <w:sz w:val="22"/>
        </w:rPr>
      </w:pPr>
    </w:p>
    <w:p w14:paraId="317D089A" w14:textId="77777777" w:rsidR="00F51CDE" w:rsidRPr="00F51CDE" w:rsidRDefault="00F51CDE" w:rsidP="00F51CDE">
      <w:pPr>
        <w:spacing w:line="360" w:lineRule="auto"/>
        <w:rPr>
          <w:rFonts w:ascii="Arial" w:hAnsi="Arial" w:cs="Arial"/>
          <w:sz w:val="22"/>
        </w:rPr>
      </w:pPr>
      <w:r w:rsidRPr="00F51CDE">
        <w:rPr>
          <w:rFonts w:ascii="Arial" w:hAnsi="Arial" w:cs="Arial"/>
          <w:sz w:val="22"/>
        </w:rPr>
        <w:t>Diabetes UK (2025b) HbA1c and what it means. Available at: </w:t>
      </w:r>
      <w:hyperlink r:id="rId26" w:tgtFrame="_blank" w:history="1">
        <w:r w:rsidRPr="00F51CDE">
          <w:rPr>
            <w:rStyle w:val="Hyperlink"/>
            <w:rFonts w:ascii="Arial" w:hAnsi="Arial" w:cs="Arial"/>
            <w:sz w:val="22"/>
          </w:rPr>
          <w:t>https://www.diabetes.org.uk/about-diabetes/looking-after-diabetes/hba1c</w:t>
        </w:r>
      </w:hyperlink>
      <w:r w:rsidRPr="00F51CDE">
        <w:rPr>
          <w:rFonts w:ascii="Segoe UI Symbol" w:hAnsi="Segoe UI Symbol" w:cs="Segoe UI Symbol"/>
          <w:sz w:val="22"/>
        </w:rPr>
        <w:t>⁠</w:t>
      </w:r>
      <w:r w:rsidRPr="00F51CDE">
        <w:rPr>
          <w:rFonts w:ascii="Arial" w:hAnsi="Arial" w:cs="Arial"/>
          <w:sz w:val="22"/>
        </w:rPr>
        <w:t xml:space="preserve"> (Accessed: 31 July 2026).</w:t>
      </w:r>
    </w:p>
    <w:p w14:paraId="24BFDA82" w14:textId="77777777" w:rsidR="00F51CDE" w:rsidRPr="00F51CDE" w:rsidRDefault="00F51CDE" w:rsidP="00F51CDE">
      <w:pPr>
        <w:spacing w:line="360" w:lineRule="auto"/>
        <w:rPr>
          <w:rFonts w:ascii="Arial" w:hAnsi="Arial" w:cs="Arial"/>
          <w:sz w:val="22"/>
        </w:rPr>
      </w:pPr>
    </w:p>
    <w:p w14:paraId="6F2E698B" w14:textId="77777777" w:rsidR="00F51CDE" w:rsidRPr="00F51CDE" w:rsidRDefault="00F51CDE" w:rsidP="00F51CDE">
      <w:pPr>
        <w:spacing w:line="360" w:lineRule="auto"/>
        <w:rPr>
          <w:rFonts w:ascii="Arial" w:hAnsi="Arial" w:cs="Arial"/>
          <w:sz w:val="22"/>
        </w:rPr>
      </w:pPr>
      <w:r w:rsidRPr="00F51CDE">
        <w:rPr>
          <w:rFonts w:ascii="Arial" w:hAnsi="Arial" w:cs="Arial"/>
          <w:sz w:val="22"/>
        </w:rPr>
        <w:lastRenderedPageBreak/>
        <w:t>Diabetes UK (n.d.-a) Diabetes and giving up smoking. Available at: </w:t>
      </w:r>
      <w:hyperlink r:id="rId27" w:tgtFrame="_blank" w:history="1">
        <w:r w:rsidRPr="00F51CDE">
          <w:rPr>
            <w:rStyle w:val="Hyperlink"/>
            <w:rFonts w:ascii="Arial" w:hAnsi="Arial" w:cs="Arial"/>
            <w:sz w:val="22"/>
          </w:rPr>
          <w:t>https://www.diabetes.org.uk/living-with-diabetes/life-with-diabetes/help-with-giving-up-smoking</w:t>
        </w:r>
      </w:hyperlink>
      <w:r w:rsidRPr="00F51CDE">
        <w:rPr>
          <w:rFonts w:ascii="Segoe UI Symbol" w:hAnsi="Segoe UI Symbol" w:cs="Segoe UI Symbol"/>
          <w:sz w:val="22"/>
        </w:rPr>
        <w:t>⁠</w:t>
      </w:r>
      <w:r w:rsidRPr="00F51CDE">
        <w:rPr>
          <w:rFonts w:ascii="Arial" w:hAnsi="Arial" w:cs="Arial"/>
          <w:sz w:val="22"/>
        </w:rPr>
        <w:t xml:space="preserve"> (Accessed: 31 July 2026).</w:t>
      </w:r>
    </w:p>
    <w:p w14:paraId="6293DBCD" w14:textId="77777777" w:rsidR="00F51CDE" w:rsidRPr="00F51CDE" w:rsidRDefault="00F51CDE" w:rsidP="00F51CDE">
      <w:pPr>
        <w:spacing w:line="360" w:lineRule="auto"/>
        <w:rPr>
          <w:rFonts w:ascii="Arial" w:hAnsi="Arial" w:cs="Arial"/>
          <w:sz w:val="22"/>
        </w:rPr>
      </w:pPr>
    </w:p>
    <w:p w14:paraId="5D642D4C" w14:textId="77777777" w:rsidR="00F51CDE" w:rsidRPr="00F51CDE" w:rsidRDefault="00F51CDE" w:rsidP="00F51CDE">
      <w:pPr>
        <w:spacing w:line="360" w:lineRule="auto"/>
        <w:rPr>
          <w:rFonts w:ascii="Arial" w:hAnsi="Arial" w:cs="Arial"/>
          <w:sz w:val="22"/>
        </w:rPr>
      </w:pPr>
      <w:r w:rsidRPr="00F51CDE">
        <w:rPr>
          <w:rFonts w:ascii="Arial" w:hAnsi="Arial" w:cs="Arial"/>
          <w:sz w:val="22"/>
        </w:rPr>
        <w:t>Diabetes UK (n.d.-b) Differences between Type 1 and Type 2 diabetes. Available at: </w:t>
      </w:r>
      <w:hyperlink r:id="rId28" w:tgtFrame="_blank" w:history="1">
        <w:r w:rsidRPr="00F51CDE">
          <w:rPr>
            <w:rStyle w:val="Hyperlink"/>
            <w:rFonts w:ascii="Arial" w:hAnsi="Arial" w:cs="Arial"/>
            <w:sz w:val="22"/>
          </w:rPr>
          <w:t>https://www.diabetes.org.uk/diabetes-the-basics/differences-between-type-1-and-type-2-diabetes</w:t>
        </w:r>
      </w:hyperlink>
      <w:r w:rsidRPr="00F51CDE">
        <w:rPr>
          <w:rFonts w:ascii="Segoe UI Symbol" w:hAnsi="Segoe UI Symbol" w:cs="Segoe UI Symbol"/>
          <w:sz w:val="22"/>
        </w:rPr>
        <w:t>⁠</w:t>
      </w:r>
      <w:r w:rsidRPr="00F51CDE">
        <w:rPr>
          <w:rFonts w:ascii="Arial" w:hAnsi="Arial" w:cs="Arial"/>
          <w:sz w:val="22"/>
        </w:rPr>
        <w:t xml:space="preserve"> (Accessed: 31 July 2026).</w:t>
      </w:r>
    </w:p>
    <w:p w14:paraId="672AB70A" w14:textId="77777777" w:rsidR="00F51CDE" w:rsidRPr="00F51CDE" w:rsidRDefault="00F51CDE" w:rsidP="00F51CDE">
      <w:pPr>
        <w:spacing w:line="360" w:lineRule="auto"/>
        <w:rPr>
          <w:rFonts w:ascii="Arial" w:hAnsi="Arial" w:cs="Arial"/>
          <w:sz w:val="22"/>
        </w:rPr>
      </w:pPr>
    </w:p>
    <w:p w14:paraId="6CBCF331" w14:textId="77777777" w:rsidR="00F51CDE" w:rsidRPr="00F51CDE" w:rsidRDefault="00F51CDE" w:rsidP="00F51CDE">
      <w:pPr>
        <w:spacing w:line="360" w:lineRule="auto"/>
        <w:rPr>
          <w:rFonts w:ascii="Arial" w:hAnsi="Arial" w:cs="Arial"/>
          <w:sz w:val="22"/>
        </w:rPr>
      </w:pPr>
      <w:r w:rsidRPr="00F51CDE">
        <w:rPr>
          <w:rFonts w:ascii="Arial" w:hAnsi="Arial" w:cs="Arial"/>
          <w:sz w:val="22"/>
        </w:rPr>
        <w:t>Diabetes UK (n.d.-c) Type 2 diabetes risk factors. Available at: </w:t>
      </w:r>
      <w:hyperlink r:id="rId29" w:tgtFrame="_blank" w:history="1">
        <w:r w:rsidRPr="00F51CDE">
          <w:rPr>
            <w:rStyle w:val="Hyperlink"/>
            <w:rFonts w:ascii="Arial" w:hAnsi="Arial" w:cs="Arial"/>
            <w:sz w:val="22"/>
          </w:rPr>
          <w:t>https://www.diabetes.org.uk/about-diabetes/type-2-diabetes/diabetes-risk-factors</w:t>
        </w:r>
      </w:hyperlink>
      <w:r w:rsidRPr="00F51CDE">
        <w:rPr>
          <w:rFonts w:ascii="Segoe UI Symbol" w:hAnsi="Segoe UI Symbol" w:cs="Segoe UI Symbol"/>
          <w:sz w:val="22"/>
        </w:rPr>
        <w:t>⁠</w:t>
      </w:r>
      <w:r w:rsidRPr="00F51CDE">
        <w:rPr>
          <w:rFonts w:ascii="Arial" w:hAnsi="Arial" w:cs="Arial"/>
          <w:sz w:val="22"/>
        </w:rPr>
        <w:t xml:space="preserve"> (Accessed: 31 July 2026).</w:t>
      </w:r>
    </w:p>
    <w:p w14:paraId="27CA829B" w14:textId="77777777" w:rsidR="00F51CDE" w:rsidRPr="00F51CDE" w:rsidRDefault="00F51CDE" w:rsidP="00F51CDE">
      <w:pPr>
        <w:spacing w:line="360" w:lineRule="auto"/>
        <w:rPr>
          <w:rFonts w:ascii="Arial" w:hAnsi="Arial" w:cs="Arial"/>
          <w:sz w:val="22"/>
        </w:rPr>
      </w:pPr>
    </w:p>
    <w:p w14:paraId="1F014C0D" w14:textId="77777777" w:rsidR="00F51CDE" w:rsidRPr="00F51CDE" w:rsidRDefault="00F51CDE" w:rsidP="00F51CDE">
      <w:pPr>
        <w:spacing w:line="360" w:lineRule="auto"/>
        <w:rPr>
          <w:rFonts w:ascii="Arial" w:hAnsi="Arial" w:cs="Arial"/>
          <w:sz w:val="22"/>
        </w:rPr>
      </w:pPr>
      <w:r w:rsidRPr="00F51CDE">
        <w:rPr>
          <w:rFonts w:ascii="Arial" w:hAnsi="Arial" w:cs="Arial"/>
          <w:sz w:val="22"/>
        </w:rPr>
        <w:t>Hall, J.E. and Hall, M.E. (2021) Guyton and Hall textbook of medical physiology. 14th edn. Philadelphia: Elsevier.</w:t>
      </w:r>
    </w:p>
    <w:p w14:paraId="0FCF5D1A" w14:textId="77777777" w:rsidR="00F51CDE" w:rsidRPr="00F51CDE" w:rsidRDefault="00F51CDE" w:rsidP="00F51CDE">
      <w:pPr>
        <w:spacing w:line="360" w:lineRule="auto"/>
        <w:rPr>
          <w:rFonts w:ascii="Arial" w:hAnsi="Arial" w:cs="Arial"/>
          <w:sz w:val="22"/>
        </w:rPr>
      </w:pPr>
      <w:r w:rsidRPr="00F51CDE">
        <w:rPr>
          <w:rFonts w:ascii="Arial" w:hAnsi="Arial" w:cs="Arial"/>
          <w:sz w:val="22"/>
        </w:rPr>
        <w:t>National Health Service (NHS) (2023) Low blood sugar (hypoglycaemia). Available at: </w:t>
      </w:r>
      <w:hyperlink r:id="rId30" w:tgtFrame="_blank" w:history="1">
        <w:r w:rsidRPr="00F51CDE">
          <w:rPr>
            <w:rStyle w:val="Hyperlink"/>
            <w:rFonts w:ascii="Arial" w:hAnsi="Arial" w:cs="Arial"/>
            <w:sz w:val="22"/>
          </w:rPr>
          <w:t>https://www.nhs.uk/conditions/low-blood-sugar-hypoglycaemia/</w:t>
        </w:r>
      </w:hyperlink>
      <w:r w:rsidRPr="00F51CDE">
        <w:rPr>
          <w:rFonts w:ascii="Segoe UI Symbol" w:hAnsi="Segoe UI Symbol" w:cs="Segoe UI Symbol"/>
          <w:sz w:val="22"/>
        </w:rPr>
        <w:t>⁠</w:t>
      </w:r>
      <w:r w:rsidRPr="00F51CDE">
        <w:rPr>
          <w:rFonts w:ascii="Arial" w:hAnsi="Arial" w:cs="Arial"/>
          <w:sz w:val="22"/>
        </w:rPr>
        <w:t xml:space="preserve"> (Accessed: 31 July 2026).</w:t>
      </w:r>
    </w:p>
    <w:p w14:paraId="213361C6" w14:textId="77777777" w:rsidR="00F51CDE" w:rsidRPr="00F51CDE" w:rsidRDefault="00F51CDE" w:rsidP="00F51CDE">
      <w:pPr>
        <w:spacing w:line="360" w:lineRule="auto"/>
        <w:rPr>
          <w:rFonts w:ascii="Arial" w:hAnsi="Arial" w:cs="Arial"/>
          <w:sz w:val="22"/>
        </w:rPr>
      </w:pPr>
    </w:p>
    <w:p w14:paraId="4B3AACAA" w14:textId="77777777" w:rsidR="00F51CDE" w:rsidRPr="00F51CDE" w:rsidRDefault="00F51CDE" w:rsidP="00F51CDE">
      <w:pPr>
        <w:spacing w:line="360" w:lineRule="auto"/>
        <w:rPr>
          <w:rFonts w:ascii="Arial" w:hAnsi="Arial" w:cs="Arial"/>
          <w:sz w:val="22"/>
        </w:rPr>
      </w:pPr>
      <w:r w:rsidRPr="00F51CDE">
        <w:rPr>
          <w:rFonts w:ascii="Arial" w:hAnsi="Arial" w:cs="Arial"/>
          <w:sz w:val="22"/>
        </w:rPr>
        <w:t>National Health Service (NHS) (2025) Type 2 diabetes. Available at: </w:t>
      </w:r>
      <w:hyperlink r:id="rId31" w:tgtFrame="_blank" w:history="1">
        <w:r w:rsidRPr="00F51CDE">
          <w:rPr>
            <w:rStyle w:val="Hyperlink"/>
            <w:rFonts w:ascii="Arial" w:hAnsi="Arial" w:cs="Arial"/>
            <w:sz w:val="22"/>
          </w:rPr>
          <w:t>https://www.nhs.uk/conditions/type-2-diabetes/</w:t>
        </w:r>
      </w:hyperlink>
      <w:r w:rsidRPr="00F51CDE">
        <w:rPr>
          <w:rFonts w:ascii="Segoe UI Symbol" w:hAnsi="Segoe UI Symbol" w:cs="Segoe UI Symbol"/>
          <w:sz w:val="22"/>
        </w:rPr>
        <w:t>⁠</w:t>
      </w:r>
      <w:r w:rsidRPr="00F51CDE">
        <w:rPr>
          <w:rFonts w:ascii="Arial" w:hAnsi="Arial" w:cs="Arial"/>
          <w:sz w:val="22"/>
        </w:rPr>
        <w:t xml:space="preserve"> (Accessed: 31 July 2026).</w:t>
      </w:r>
    </w:p>
    <w:p w14:paraId="24FED764" w14:textId="77777777" w:rsidR="00F51CDE" w:rsidRPr="00F51CDE" w:rsidRDefault="00F51CDE" w:rsidP="00F51CDE">
      <w:pPr>
        <w:spacing w:line="360" w:lineRule="auto"/>
        <w:rPr>
          <w:rFonts w:ascii="Arial" w:hAnsi="Arial" w:cs="Arial"/>
          <w:sz w:val="22"/>
        </w:rPr>
      </w:pPr>
    </w:p>
    <w:p w14:paraId="5F99E4CD" w14:textId="77777777" w:rsidR="00F51CDE" w:rsidRPr="00F51CDE" w:rsidRDefault="00F51CDE" w:rsidP="00F51CDE">
      <w:pPr>
        <w:spacing w:line="360" w:lineRule="auto"/>
        <w:rPr>
          <w:rFonts w:ascii="Arial" w:hAnsi="Arial" w:cs="Arial"/>
          <w:sz w:val="22"/>
        </w:rPr>
      </w:pPr>
      <w:r w:rsidRPr="00F51CDE">
        <w:rPr>
          <w:rFonts w:ascii="Arial" w:hAnsi="Arial" w:cs="Arial"/>
          <w:sz w:val="22"/>
        </w:rPr>
        <w:t>National Institute for Health and Care Excellence (NICE) (2025) Tobacco: preventing uptake, promoting quitting and treating dependence. NICE guideline NG209. Available at: </w:t>
      </w:r>
      <w:hyperlink r:id="rId32" w:tgtFrame="_blank" w:history="1">
        <w:r w:rsidRPr="00F51CDE">
          <w:rPr>
            <w:rStyle w:val="Hyperlink"/>
            <w:rFonts w:ascii="Arial" w:hAnsi="Arial" w:cs="Arial"/>
            <w:sz w:val="22"/>
          </w:rPr>
          <w:t>https://www.nice.org.uk/guidance/ng209</w:t>
        </w:r>
      </w:hyperlink>
      <w:r w:rsidRPr="00F51CDE">
        <w:rPr>
          <w:rFonts w:ascii="Segoe UI Symbol" w:hAnsi="Segoe UI Symbol" w:cs="Segoe UI Symbol"/>
          <w:sz w:val="22"/>
        </w:rPr>
        <w:t>⁠</w:t>
      </w:r>
      <w:r w:rsidRPr="00F51CDE">
        <w:rPr>
          <w:rFonts w:ascii="Arial" w:hAnsi="Arial" w:cs="Arial"/>
          <w:sz w:val="22"/>
        </w:rPr>
        <w:t xml:space="preserve"> (Accessed: 31 July 2026).</w:t>
      </w:r>
    </w:p>
    <w:p w14:paraId="2DEB85A2" w14:textId="77777777" w:rsidR="00F51CDE" w:rsidRPr="00F51CDE" w:rsidRDefault="00F51CDE" w:rsidP="00F51CDE">
      <w:pPr>
        <w:spacing w:line="360" w:lineRule="auto"/>
        <w:rPr>
          <w:rFonts w:ascii="Arial" w:hAnsi="Arial" w:cs="Arial"/>
          <w:sz w:val="22"/>
        </w:rPr>
      </w:pPr>
    </w:p>
    <w:p w14:paraId="3F7266AD" w14:textId="77777777" w:rsidR="00F51CDE" w:rsidRPr="00F51CDE" w:rsidRDefault="00F51CDE" w:rsidP="00F51CDE">
      <w:pPr>
        <w:spacing w:line="360" w:lineRule="auto"/>
        <w:rPr>
          <w:rFonts w:ascii="Arial" w:hAnsi="Arial" w:cs="Arial"/>
          <w:sz w:val="22"/>
        </w:rPr>
      </w:pPr>
      <w:r w:rsidRPr="00F51CDE">
        <w:rPr>
          <w:rFonts w:ascii="Arial" w:hAnsi="Arial" w:cs="Arial"/>
          <w:sz w:val="22"/>
        </w:rPr>
        <w:t>National Institute for Health and Care Excellence (NICE) (2026) Type 2 diabetes in adults: management. NICE guideline NG28. Available at: </w:t>
      </w:r>
      <w:hyperlink r:id="rId33" w:tgtFrame="_blank" w:history="1">
        <w:r w:rsidRPr="00F51CDE">
          <w:rPr>
            <w:rStyle w:val="Hyperlink"/>
            <w:rFonts w:ascii="Arial" w:hAnsi="Arial" w:cs="Arial"/>
            <w:sz w:val="22"/>
          </w:rPr>
          <w:t>https://www.nice.org.uk/guidance/ng28</w:t>
        </w:r>
      </w:hyperlink>
      <w:r w:rsidRPr="00F51CDE">
        <w:rPr>
          <w:rFonts w:ascii="Segoe UI Symbol" w:hAnsi="Segoe UI Symbol" w:cs="Segoe UI Symbol"/>
          <w:sz w:val="22"/>
        </w:rPr>
        <w:t>⁠</w:t>
      </w:r>
      <w:r w:rsidRPr="00F51CDE">
        <w:rPr>
          <w:rFonts w:ascii="Arial" w:hAnsi="Arial" w:cs="Arial"/>
          <w:sz w:val="22"/>
        </w:rPr>
        <w:t xml:space="preserve"> (Accessed: 31 July 2026).</w:t>
      </w:r>
    </w:p>
    <w:p w14:paraId="22D9D7FC" w14:textId="77777777" w:rsidR="00F51CDE" w:rsidRPr="00F51CDE" w:rsidRDefault="00F51CDE" w:rsidP="00F51CDE">
      <w:pPr>
        <w:spacing w:line="360" w:lineRule="auto"/>
        <w:rPr>
          <w:rFonts w:ascii="Arial" w:hAnsi="Arial" w:cs="Arial"/>
          <w:sz w:val="22"/>
        </w:rPr>
      </w:pPr>
    </w:p>
    <w:p w14:paraId="1A3FAFEC" w14:textId="77777777" w:rsidR="00F51CDE" w:rsidRPr="00F51CDE" w:rsidRDefault="00F51CDE" w:rsidP="00F51CDE">
      <w:pPr>
        <w:spacing w:line="360" w:lineRule="auto"/>
        <w:rPr>
          <w:rFonts w:ascii="Arial" w:hAnsi="Arial" w:cs="Arial"/>
          <w:sz w:val="22"/>
        </w:rPr>
      </w:pPr>
      <w:r w:rsidRPr="00F51CDE">
        <w:rPr>
          <w:rFonts w:ascii="Arial" w:hAnsi="Arial" w:cs="Arial"/>
          <w:sz w:val="22"/>
        </w:rPr>
        <w:lastRenderedPageBreak/>
        <w:t>OpenStax (2022) Anatomy and physiology 2e: carbohydrate metabolism. Houston, TX: OpenStax, Rice University. Available at: </w:t>
      </w:r>
      <w:hyperlink r:id="rId34" w:tgtFrame="_blank" w:history="1">
        <w:r w:rsidRPr="00F51CDE">
          <w:rPr>
            <w:rStyle w:val="Hyperlink"/>
            <w:rFonts w:ascii="Arial" w:hAnsi="Arial" w:cs="Arial"/>
            <w:sz w:val="22"/>
          </w:rPr>
          <w:t>https://openstax.org/books/anatomy-and-physiology-2e/pages/24-2-carbohydrate-metabolism</w:t>
        </w:r>
      </w:hyperlink>
      <w:r w:rsidRPr="00F51CDE">
        <w:rPr>
          <w:rFonts w:ascii="Segoe UI Symbol" w:hAnsi="Segoe UI Symbol" w:cs="Segoe UI Symbol"/>
          <w:sz w:val="22"/>
        </w:rPr>
        <w:t>⁠</w:t>
      </w:r>
      <w:r w:rsidRPr="00F51CDE">
        <w:rPr>
          <w:rFonts w:ascii="Arial" w:hAnsi="Arial" w:cs="Arial"/>
          <w:sz w:val="22"/>
        </w:rPr>
        <w:t xml:space="preserve"> (Accessed: 31 July 2026).</w:t>
      </w:r>
    </w:p>
    <w:p w14:paraId="184CAE41" w14:textId="77777777" w:rsidR="00F51CDE" w:rsidRPr="00F51CDE" w:rsidRDefault="00F51CDE" w:rsidP="00F51CDE">
      <w:pPr>
        <w:spacing w:line="360" w:lineRule="auto"/>
        <w:rPr>
          <w:rFonts w:ascii="Arial" w:hAnsi="Arial" w:cs="Arial"/>
          <w:sz w:val="22"/>
        </w:rPr>
      </w:pPr>
    </w:p>
    <w:p w14:paraId="50C5ABF5" w14:textId="77777777" w:rsidR="00F51CDE" w:rsidRPr="00F51CDE" w:rsidRDefault="00F51CDE" w:rsidP="00F51CDE">
      <w:pPr>
        <w:spacing w:line="360" w:lineRule="auto"/>
        <w:rPr>
          <w:rFonts w:ascii="Arial" w:hAnsi="Arial" w:cs="Arial"/>
          <w:sz w:val="22"/>
        </w:rPr>
      </w:pPr>
      <w:r w:rsidRPr="00F51CDE">
        <w:rPr>
          <w:rFonts w:ascii="Arial" w:hAnsi="Arial" w:cs="Arial"/>
          <w:sz w:val="22"/>
        </w:rPr>
        <w:t>Tortora, G.J. and Derrickson, B. (2021) Principles of anatomy and physiology. 16th edn. Hoboken, NJ: Wiley.</w:t>
      </w:r>
    </w:p>
    <w:p w14:paraId="4A62C69F" w14:textId="77777777" w:rsidR="00F51CDE" w:rsidRPr="00F51CDE" w:rsidRDefault="00F51CDE" w:rsidP="00F51CDE">
      <w:pPr>
        <w:spacing w:line="360" w:lineRule="auto"/>
        <w:rPr>
          <w:rFonts w:ascii="Arial" w:hAnsi="Arial" w:cs="Arial"/>
          <w:sz w:val="22"/>
        </w:rPr>
      </w:pPr>
    </w:p>
    <w:p w14:paraId="4A6A9BD3" w14:textId="77777777" w:rsidR="00F51CDE" w:rsidRPr="00F51CDE" w:rsidRDefault="00F51CDE" w:rsidP="00F51CDE">
      <w:pPr>
        <w:spacing w:line="360" w:lineRule="auto"/>
        <w:rPr>
          <w:rFonts w:ascii="Arial" w:hAnsi="Arial" w:cs="Arial"/>
          <w:sz w:val="22"/>
        </w:rPr>
      </w:pPr>
      <w:r w:rsidRPr="00F51CDE">
        <w:rPr>
          <w:rFonts w:ascii="Arial" w:hAnsi="Arial" w:cs="Arial"/>
          <w:sz w:val="22"/>
        </w:rPr>
        <w:t>UK Chief Medical Officers (2026) UK Chief Medical Officers’ physical activity guidelines. London: Department of Health and Social Care. Available at: </w:t>
      </w:r>
      <w:hyperlink r:id="rId35" w:tgtFrame="_blank" w:history="1">
        <w:r w:rsidRPr="00F51CDE">
          <w:rPr>
            <w:rStyle w:val="Hyperlink"/>
            <w:rFonts w:ascii="Arial" w:hAnsi="Arial" w:cs="Arial"/>
            <w:sz w:val="22"/>
          </w:rPr>
          <w:t>https://www.gov.uk/government/publications/physical-activity-guidelines-uk-chief-medical-officers-report/uk-chief-medical-officers-physical-activity-guidelines</w:t>
        </w:r>
      </w:hyperlink>
      <w:r w:rsidRPr="00F51CDE">
        <w:rPr>
          <w:rFonts w:ascii="Segoe UI Symbol" w:hAnsi="Segoe UI Symbol" w:cs="Segoe UI Symbol"/>
          <w:sz w:val="22"/>
        </w:rPr>
        <w:t>⁠</w:t>
      </w:r>
      <w:r w:rsidRPr="00F51CDE">
        <w:rPr>
          <w:rFonts w:ascii="Arial" w:hAnsi="Arial" w:cs="Arial"/>
          <w:sz w:val="22"/>
        </w:rPr>
        <w:t>(Accessed: 31 July 2026).</w:t>
      </w:r>
    </w:p>
    <w:p w14:paraId="76E8D43A" w14:textId="77777777" w:rsidR="00F51CDE" w:rsidRPr="00F51CDE" w:rsidRDefault="00F51CDE" w:rsidP="00F51CDE">
      <w:pPr>
        <w:spacing w:line="360" w:lineRule="auto"/>
        <w:rPr>
          <w:rFonts w:ascii="Arial" w:hAnsi="Arial" w:cs="Arial"/>
          <w:b/>
          <w:bCs/>
          <w:sz w:val="22"/>
        </w:rPr>
      </w:pPr>
    </w:p>
    <w:p w14:paraId="6462C56C" w14:textId="77777777" w:rsidR="007C3A89" w:rsidRPr="006723DD" w:rsidRDefault="007C3A89" w:rsidP="00412988">
      <w:pPr>
        <w:spacing w:line="360" w:lineRule="auto"/>
        <w:rPr>
          <w:rFonts w:ascii="Arial" w:hAnsi="Arial" w:cs="Arial"/>
          <w:b/>
          <w:bCs/>
          <w:sz w:val="22"/>
        </w:rPr>
      </w:pPr>
    </w:p>
    <w:sectPr w:rsidR="007C3A89" w:rsidRPr="006723DD" w:rsidSect="00370282">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4AE65" w14:textId="77777777" w:rsidR="00F3230A" w:rsidRDefault="00F3230A" w:rsidP="00C03A91">
      <w:pPr>
        <w:spacing w:after="0" w:line="240" w:lineRule="auto"/>
      </w:pPr>
      <w:r>
        <w:separator/>
      </w:r>
    </w:p>
  </w:endnote>
  <w:endnote w:type="continuationSeparator" w:id="0">
    <w:p w14:paraId="02BC422F" w14:textId="77777777" w:rsidR="00F3230A" w:rsidRDefault="00F3230A"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3216D" w14:textId="77777777" w:rsidR="00F3230A" w:rsidRDefault="00F3230A" w:rsidP="00C03A91">
      <w:pPr>
        <w:spacing w:after="0" w:line="240" w:lineRule="auto"/>
      </w:pPr>
      <w:r>
        <w:separator/>
      </w:r>
    </w:p>
  </w:footnote>
  <w:footnote w:type="continuationSeparator" w:id="0">
    <w:p w14:paraId="54E20A84" w14:textId="77777777" w:rsidR="00F3230A" w:rsidRDefault="00F3230A"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D37F91"/>
    <w:multiLevelType w:val="hybridMultilevel"/>
    <w:tmpl w:val="23DAC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4"/>
  </w:num>
  <w:num w:numId="4" w16cid:durableId="848447299">
    <w:abstractNumId w:val="3"/>
  </w:num>
  <w:num w:numId="5" w16cid:durableId="580961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76AC0"/>
    <w:rsid w:val="00095577"/>
    <w:rsid w:val="0009612C"/>
    <w:rsid w:val="000B17F2"/>
    <w:rsid w:val="000C4EDA"/>
    <w:rsid w:val="00160F79"/>
    <w:rsid w:val="001B7A40"/>
    <w:rsid w:val="001F6DDB"/>
    <w:rsid w:val="00216C85"/>
    <w:rsid w:val="00273EDD"/>
    <w:rsid w:val="002C3965"/>
    <w:rsid w:val="002D5EDB"/>
    <w:rsid w:val="00321C4C"/>
    <w:rsid w:val="003531FB"/>
    <w:rsid w:val="00370282"/>
    <w:rsid w:val="0037355A"/>
    <w:rsid w:val="00411E9E"/>
    <w:rsid w:val="00412988"/>
    <w:rsid w:val="00421997"/>
    <w:rsid w:val="004577F7"/>
    <w:rsid w:val="004975C9"/>
    <w:rsid w:val="005247B0"/>
    <w:rsid w:val="00542EF6"/>
    <w:rsid w:val="00563AF8"/>
    <w:rsid w:val="0057616D"/>
    <w:rsid w:val="005851AD"/>
    <w:rsid w:val="006723DD"/>
    <w:rsid w:val="00771440"/>
    <w:rsid w:val="0077446E"/>
    <w:rsid w:val="0078779B"/>
    <w:rsid w:val="007A7297"/>
    <w:rsid w:val="007C3A89"/>
    <w:rsid w:val="007E596E"/>
    <w:rsid w:val="007E7745"/>
    <w:rsid w:val="00804D4B"/>
    <w:rsid w:val="00832810"/>
    <w:rsid w:val="008353D4"/>
    <w:rsid w:val="00890EE4"/>
    <w:rsid w:val="008942A0"/>
    <w:rsid w:val="008A3D04"/>
    <w:rsid w:val="00940407"/>
    <w:rsid w:val="00986F78"/>
    <w:rsid w:val="00995C46"/>
    <w:rsid w:val="009D1D1E"/>
    <w:rsid w:val="00A035FD"/>
    <w:rsid w:val="00A153DB"/>
    <w:rsid w:val="00A16A59"/>
    <w:rsid w:val="00A253A5"/>
    <w:rsid w:val="00AA4DD8"/>
    <w:rsid w:val="00AD245A"/>
    <w:rsid w:val="00B15DF5"/>
    <w:rsid w:val="00B44425"/>
    <w:rsid w:val="00BF7262"/>
    <w:rsid w:val="00C03A91"/>
    <w:rsid w:val="00C24603"/>
    <w:rsid w:val="00C85E18"/>
    <w:rsid w:val="00CD2863"/>
    <w:rsid w:val="00CD73C3"/>
    <w:rsid w:val="00CE7A90"/>
    <w:rsid w:val="00D73FB0"/>
    <w:rsid w:val="00D870AB"/>
    <w:rsid w:val="00DA2A1E"/>
    <w:rsid w:val="00DB6D4B"/>
    <w:rsid w:val="00DE477A"/>
    <w:rsid w:val="00E2038D"/>
    <w:rsid w:val="00E6072D"/>
    <w:rsid w:val="00E92200"/>
    <w:rsid w:val="00EB12BC"/>
    <w:rsid w:val="00EC71DB"/>
    <w:rsid w:val="00F137E3"/>
    <w:rsid w:val="00F23281"/>
    <w:rsid w:val="00F3230A"/>
    <w:rsid w:val="00F44C8F"/>
    <w:rsid w:val="00F51CDE"/>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Strong">
    <w:name w:val="Strong"/>
    <w:basedOn w:val="DefaultParagraphFont"/>
    <w:uiPriority w:val="22"/>
    <w:qFormat/>
    <w:rsid w:val="004219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diabetes.org.uk/about-diabetes/looking-after-diabetes/hba1c" TargetMode="External"/><Relationship Id="rId21" Type="http://schemas.openxmlformats.org/officeDocument/2006/relationships/diagramQuickStyle" Target="diagrams/quickStyle3.xml"/><Relationship Id="rId34" Type="http://schemas.openxmlformats.org/officeDocument/2006/relationships/hyperlink" Target="https://openstax.org/books/anatomy-and-physiology-2e/pages/24-2-carbohydrate-metabolism" TargetMode="Externa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diabetes.org.uk/about-diabetes/looking-after-diabetes/technology/continuous-glucose-monitors" TargetMode="External"/><Relationship Id="rId33" Type="http://schemas.openxmlformats.org/officeDocument/2006/relationships/hyperlink" Target="https://www.nice.org.uk/guidance/ng28"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yperlink" Target="https://www.diabetes.org.uk/about-diabetes/type-2-diabetes/diabetes-risk-facto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hyperlink" Target="https://www.cdc.gov/diabetes/risk-factors/diabetes-and-smoking.html" TargetMode="External"/><Relationship Id="rId32" Type="http://schemas.openxmlformats.org/officeDocument/2006/relationships/hyperlink" Target="https://www.nice.org.uk/guidance/ng209"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hyperlink" Target="https://www.diabetes.org.uk/diabetes-the-basics/differences-between-type-1-and-type-2-diabetes" TargetMode="External"/><Relationship Id="rId36"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yperlink" Target="https://www.nhs.uk/conditions/type-2-diabetes/"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hyperlink" Target="https://www.diabetes.org.uk/living-with-diabetes/life-with-diabetes/help-with-giving-up-smoking" TargetMode="External"/><Relationship Id="rId30" Type="http://schemas.openxmlformats.org/officeDocument/2006/relationships/hyperlink" Target="https://www.nhs.uk/conditions/low-blood-sugar-hypoglycaemia/" TargetMode="External"/><Relationship Id="rId35" Type="http://schemas.openxmlformats.org/officeDocument/2006/relationships/hyperlink" Target="https://www.gov.uk/government/publications/physical-activity-guidelines-uk-chief-medical-officers-report/uk-chief-medical-officers-physical-activity-guidelines"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695851-45A0-4797-B8D1-B44FE5428C31}" type="doc">
      <dgm:prSet loTypeId="urn:microsoft.com/office/officeart/2005/8/layout/process1" loCatId="process" qsTypeId="urn:microsoft.com/office/officeart/2005/8/quickstyle/simple3" qsCatId="simple" csTypeId="urn:microsoft.com/office/officeart/2005/8/colors/accent1_2" csCatId="accent1" phldr="1"/>
      <dgm:spPr/>
    </dgm:pt>
    <dgm:pt modelId="{36D73807-13BA-48F5-BE84-DDDA291CD346}">
      <dgm:prSet phldrT="[Text]"/>
      <dgm:spPr/>
      <dgm:t>
        <a:bodyPr/>
        <a:lstStyle/>
        <a:p>
          <a:r>
            <a:rPr lang="en-GB"/>
            <a:t>Blood glucose rises</a:t>
          </a:r>
        </a:p>
      </dgm:t>
    </dgm:pt>
    <dgm:pt modelId="{8578400E-684D-4CDF-8678-3FB4E6ED2B86}" type="parTrans" cxnId="{D1F30EE0-12D0-48C3-8C95-CE527CCEE399}">
      <dgm:prSet/>
      <dgm:spPr/>
      <dgm:t>
        <a:bodyPr/>
        <a:lstStyle/>
        <a:p>
          <a:endParaRPr lang="en-GB"/>
        </a:p>
      </dgm:t>
    </dgm:pt>
    <dgm:pt modelId="{C4AE5966-9138-4B14-B239-D339B9562019}" type="sibTrans" cxnId="{D1F30EE0-12D0-48C3-8C95-CE527CCEE399}">
      <dgm:prSet/>
      <dgm:spPr/>
      <dgm:t>
        <a:bodyPr/>
        <a:lstStyle/>
        <a:p>
          <a:endParaRPr lang="en-GB"/>
        </a:p>
      </dgm:t>
    </dgm:pt>
    <dgm:pt modelId="{59623CA0-5FB7-4A40-B753-C7127FF58F6D}">
      <dgm:prSet phldrT="[Text]"/>
      <dgm:spPr/>
      <dgm:t>
        <a:bodyPr/>
        <a:lstStyle/>
        <a:p>
          <a:r>
            <a:rPr lang="en-GB"/>
            <a:t>Beta cells release insulin</a:t>
          </a:r>
        </a:p>
      </dgm:t>
    </dgm:pt>
    <dgm:pt modelId="{78BC0919-A1DA-40A8-87DD-0C4E04FDF371}" type="parTrans" cxnId="{170B4023-2CA4-4CCE-8573-999ADCB8BC7A}">
      <dgm:prSet/>
      <dgm:spPr/>
      <dgm:t>
        <a:bodyPr/>
        <a:lstStyle/>
        <a:p>
          <a:endParaRPr lang="en-GB"/>
        </a:p>
      </dgm:t>
    </dgm:pt>
    <dgm:pt modelId="{D9BF71C9-8F05-419B-9AEB-4138B50F3D66}" type="sibTrans" cxnId="{170B4023-2CA4-4CCE-8573-999ADCB8BC7A}">
      <dgm:prSet/>
      <dgm:spPr/>
      <dgm:t>
        <a:bodyPr/>
        <a:lstStyle/>
        <a:p>
          <a:endParaRPr lang="en-GB"/>
        </a:p>
      </dgm:t>
    </dgm:pt>
    <dgm:pt modelId="{8E194B4F-F3A3-49AC-BB62-56AFB99420CD}">
      <dgm:prSet phldrT="[Text]"/>
      <dgm:spPr/>
      <dgm:t>
        <a:bodyPr/>
        <a:lstStyle/>
        <a:p>
          <a:r>
            <a:rPr lang="en-GB"/>
            <a:t>Glucose enters and is stored as glycogen</a:t>
          </a:r>
        </a:p>
      </dgm:t>
    </dgm:pt>
    <dgm:pt modelId="{C83B47E7-5621-49B7-8804-8DDA8B2ECBE8}" type="parTrans" cxnId="{A80FECDF-8491-4322-8698-0A0D0A0A7C4F}">
      <dgm:prSet/>
      <dgm:spPr/>
      <dgm:t>
        <a:bodyPr/>
        <a:lstStyle/>
        <a:p>
          <a:endParaRPr lang="en-GB"/>
        </a:p>
      </dgm:t>
    </dgm:pt>
    <dgm:pt modelId="{6F329012-09C9-4E95-9376-1E1151B1B511}" type="sibTrans" cxnId="{A80FECDF-8491-4322-8698-0A0D0A0A7C4F}">
      <dgm:prSet/>
      <dgm:spPr/>
      <dgm:t>
        <a:bodyPr/>
        <a:lstStyle/>
        <a:p>
          <a:endParaRPr lang="en-GB"/>
        </a:p>
      </dgm:t>
    </dgm:pt>
    <dgm:pt modelId="{657E76FF-24F9-48B8-83CE-CD9ED8E5B7D8}">
      <dgm:prSet phldrT="[Text]"/>
      <dgm:spPr/>
      <dgm:t>
        <a:bodyPr/>
        <a:lstStyle/>
        <a:p>
          <a:r>
            <a:rPr lang="en-GB"/>
            <a:t>Blood glucose falls towards normal</a:t>
          </a:r>
        </a:p>
      </dgm:t>
    </dgm:pt>
    <dgm:pt modelId="{219BD19F-D53A-445A-ACB0-DB5AA3059C22}" type="parTrans" cxnId="{144A1FBC-C5A7-471C-8B98-1CD67758DC2B}">
      <dgm:prSet/>
      <dgm:spPr/>
      <dgm:t>
        <a:bodyPr/>
        <a:lstStyle/>
        <a:p>
          <a:endParaRPr lang="en-GB"/>
        </a:p>
      </dgm:t>
    </dgm:pt>
    <dgm:pt modelId="{D5E08691-8265-43CC-A4F0-84B1F77F1CFD}" type="sibTrans" cxnId="{144A1FBC-C5A7-471C-8B98-1CD67758DC2B}">
      <dgm:prSet/>
      <dgm:spPr/>
      <dgm:t>
        <a:bodyPr/>
        <a:lstStyle/>
        <a:p>
          <a:endParaRPr lang="en-GB"/>
        </a:p>
      </dgm:t>
    </dgm:pt>
    <dgm:pt modelId="{AB954A2F-4962-421D-B1A8-A915E8DFB33F}" type="pres">
      <dgm:prSet presAssocID="{85695851-45A0-4797-B8D1-B44FE5428C31}" presName="Name0" presStyleCnt="0">
        <dgm:presLayoutVars>
          <dgm:dir/>
          <dgm:resizeHandles val="exact"/>
        </dgm:presLayoutVars>
      </dgm:prSet>
      <dgm:spPr/>
    </dgm:pt>
    <dgm:pt modelId="{44D76FC0-A516-4336-9B9A-7DD440D5E9D4}" type="pres">
      <dgm:prSet presAssocID="{36D73807-13BA-48F5-BE84-DDDA291CD346}" presName="node" presStyleLbl="node1" presStyleIdx="0" presStyleCnt="4">
        <dgm:presLayoutVars>
          <dgm:bulletEnabled val="1"/>
        </dgm:presLayoutVars>
      </dgm:prSet>
      <dgm:spPr/>
    </dgm:pt>
    <dgm:pt modelId="{9C348623-EC13-40D1-8E14-28CB16938D35}" type="pres">
      <dgm:prSet presAssocID="{C4AE5966-9138-4B14-B239-D339B9562019}" presName="sibTrans" presStyleLbl="sibTrans2D1" presStyleIdx="0" presStyleCnt="3"/>
      <dgm:spPr/>
    </dgm:pt>
    <dgm:pt modelId="{BBB309E4-EBA5-4CCC-9DD2-6FE945A74917}" type="pres">
      <dgm:prSet presAssocID="{C4AE5966-9138-4B14-B239-D339B9562019}" presName="connectorText" presStyleLbl="sibTrans2D1" presStyleIdx="0" presStyleCnt="3"/>
      <dgm:spPr/>
    </dgm:pt>
    <dgm:pt modelId="{83225121-BBEB-4AF9-B456-CDC5BB4F9624}" type="pres">
      <dgm:prSet presAssocID="{59623CA0-5FB7-4A40-B753-C7127FF58F6D}" presName="node" presStyleLbl="node1" presStyleIdx="1" presStyleCnt="4">
        <dgm:presLayoutVars>
          <dgm:bulletEnabled val="1"/>
        </dgm:presLayoutVars>
      </dgm:prSet>
      <dgm:spPr/>
    </dgm:pt>
    <dgm:pt modelId="{05E476EC-F98A-49DD-BEDA-4007B6011055}" type="pres">
      <dgm:prSet presAssocID="{D9BF71C9-8F05-419B-9AEB-4138B50F3D66}" presName="sibTrans" presStyleLbl="sibTrans2D1" presStyleIdx="1" presStyleCnt="3"/>
      <dgm:spPr/>
    </dgm:pt>
    <dgm:pt modelId="{3A596AF6-C288-4160-9B61-3A76B817888C}" type="pres">
      <dgm:prSet presAssocID="{D9BF71C9-8F05-419B-9AEB-4138B50F3D66}" presName="connectorText" presStyleLbl="sibTrans2D1" presStyleIdx="1" presStyleCnt="3"/>
      <dgm:spPr/>
    </dgm:pt>
    <dgm:pt modelId="{BABF2E95-F176-4F29-A35A-DD091E05E403}" type="pres">
      <dgm:prSet presAssocID="{8E194B4F-F3A3-49AC-BB62-56AFB99420CD}" presName="node" presStyleLbl="node1" presStyleIdx="2" presStyleCnt="4">
        <dgm:presLayoutVars>
          <dgm:bulletEnabled val="1"/>
        </dgm:presLayoutVars>
      </dgm:prSet>
      <dgm:spPr/>
    </dgm:pt>
    <dgm:pt modelId="{7D404359-C4AF-40F7-98B5-C2B8E456D041}" type="pres">
      <dgm:prSet presAssocID="{6F329012-09C9-4E95-9376-1E1151B1B511}" presName="sibTrans" presStyleLbl="sibTrans2D1" presStyleIdx="2" presStyleCnt="3"/>
      <dgm:spPr/>
    </dgm:pt>
    <dgm:pt modelId="{2EDF84F5-C11D-4D38-827E-C668C3EBB362}" type="pres">
      <dgm:prSet presAssocID="{6F329012-09C9-4E95-9376-1E1151B1B511}" presName="connectorText" presStyleLbl="sibTrans2D1" presStyleIdx="2" presStyleCnt="3"/>
      <dgm:spPr/>
    </dgm:pt>
    <dgm:pt modelId="{E8FDBB3C-CF01-437D-AF34-29C7CDB7BA45}" type="pres">
      <dgm:prSet presAssocID="{657E76FF-24F9-48B8-83CE-CD9ED8E5B7D8}" presName="node" presStyleLbl="node1" presStyleIdx="3" presStyleCnt="4">
        <dgm:presLayoutVars>
          <dgm:bulletEnabled val="1"/>
        </dgm:presLayoutVars>
      </dgm:prSet>
      <dgm:spPr/>
    </dgm:pt>
  </dgm:ptLst>
  <dgm:cxnLst>
    <dgm:cxn modelId="{A98E0603-886F-4439-88F4-27290BEA50AC}" type="presOf" srcId="{657E76FF-24F9-48B8-83CE-CD9ED8E5B7D8}" destId="{E8FDBB3C-CF01-437D-AF34-29C7CDB7BA45}" srcOrd="0" destOrd="0" presId="urn:microsoft.com/office/officeart/2005/8/layout/process1"/>
    <dgm:cxn modelId="{1B06D910-756C-4692-B9E0-D19E306F9BFA}" type="presOf" srcId="{6F329012-09C9-4E95-9376-1E1151B1B511}" destId="{2EDF84F5-C11D-4D38-827E-C668C3EBB362}" srcOrd="1" destOrd="0" presId="urn:microsoft.com/office/officeart/2005/8/layout/process1"/>
    <dgm:cxn modelId="{B8A17417-8606-4CAC-B5B0-2080A8102E0D}" type="presOf" srcId="{36D73807-13BA-48F5-BE84-DDDA291CD346}" destId="{44D76FC0-A516-4336-9B9A-7DD440D5E9D4}" srcOrd="0" destOrd="0" presId="urn:microsoft.com/office/officeart/2005/8/layout/process1"/>
    <dgm:cxn modelId="{170B4023-2CA4-4CCE-8573-999ADCB8BC7A}" srcId="{85695851-45A0-4797-B8D1-B44FE5428C31}" destId="{59623CA0-5FB7-4A40-B753-C7127FF58F6D}" srcOrd="1" destOrd="0" parTransId="{78BC0919-A1DA-40A8-87DD-0C4E04FDF371}" sibTransId="{D9BF71C9-8F05-419B-9AEB-4138B50F3D66}"/>
    <dgm:cxn modelId="{71479C42-4F71-4E21-A951-525967C63229}" type="presOf" srcId="{D9BF71C9-8F05-419B-9AEB-4138B50F3D66}" destId="{3A596AF6-C288-4160-9B61-3A76B817888C}" srcOrd="1" destOrd="0" presId="urn:microsoft.com/office/officeart/2005/8/layout/process1"/>
    <dgm:cxn modelId="{E5259D6B-BB6B-4B7F-A112-4B305CDF0A77}" type="presOf" srcId="{D9BF71C9-8F05-419B-9AEB-4138B50F3D66}" destId="{05E476EC-F98A-49DD-BEDA-4007B6011055}" srcOrd="0" destOrd="0" presId="urn:microsoft.com/office/officeart/2005/8/layout/process1"/>
    <dgm:cxn modelId="{475EA57F-CEF0-4472-8F04-F3E570A1A31C}" type="presOf" srcId="{C4AE5966-9138-4B14-B239-D339B9562019}" destId="{9C348623-EC13-40D1-8E14-28CB16938D35}" srcOrd="0" destOrd="0" presId="urn:microsoft.com/office/officeart/2005/8/layout/process1"/>
    <dgm:cxn modelId="{EDAFCEA2-B0BD-405D-A23C-B939EA73503C}" type="presOf" srcId="{6F329012-09C9-4E95-9376-1E1151B1B511}" destId="{7D404359-C4AF-40F7-98B5-C2B8E456D041}" srcOrd="0" destOrd="0" presId="urn:microsoft.com/office/officeart/2005/8/layout/process1"/>
    <dgm:cxn modelId="{E62D69AB-30E1-497C-A9BD-887B1C57392B}" type="presOf" srcId="{59623CA0-5FB7-4A40-B753-C7127FF58F6D}" destId="{83225121-BBEB-4AF9-B456-CDC5BB4F9624}" srcOrd="0" destOrd="0" presId="urn:microsoft.com/office/officeart/2005/8/layout/process1"/>
    <dgm:cxn modelId="{144A1FBC-C5A7-471C-8B98-1CD67758DC2B}" srcId="{85695851-45A0-4797-B8D1-B44FE5428C31}" destId="{657E76FF-24F9-48B8-83CE-CD9ED8E5B7D8}" srcOrd="3" destOrd="0" parTransId="{219BD19F-D53A-445A-ACB0-DB5AA3059C22}" sibTransId="{D5E08691-8265-43CC-A4F0-84B1F77F1CFD}"/>
    <dgm:cxn modelId="{2E9069CE-A7A8-4230-BEBC-72246F318E9D}" type="presOf" srcId="{8E194B4F-F3A3-49AC-BB62-56AFB99420CD}" destId="{BABF2E95-F176-4F29-A35A-DD091E05E403}" srcOrd="0" destOrd="0" presId="urn:microsoft.com/office/officeart/2005/8/layout/process1"/>
    <dgm:cxn modelId="{FA059DD3-1493-4E93-AE90-F91084EDA766}" type="presOf" srcId="{85695851-45A0-4797-B8D1-B44FE5428C31}" destId="{AB954A2F-4962-421D-B1A8-A915E8DFB33F}" srcOrd="0" destOrd="0" presId="urn:microsoft.com/office/officeart/2005/8/layout/process1"/>
    <dgm:cxn modelId="{A80FECDF-8491-4322-8698-0A0D0A0A7C4F}" srcId="{85695851-45A0-4797-B8D1-B44FE5428C31}" destId="{8E194B4F-F3A3-49AC-BB62-56AFB99420CD}" srcOrd="2" destOrd="0" parTransId="{C83B47E7-5621-49B7-8804-8DDA8B2ECBE8}" sibTransId="{6F329012-09C9-4E95-9376-1E1151B1B511}"/>
    <dgm:cxn modelId="{D1F30EE0-12D0-48C3-8C95-CE527CCEE399}" srcId="{85695851-45A0-4797-B8D1-B44FE5428C31}" destId="{36D73807-13BA-48F5-BE84-DDDA291CD346}" srcOrd="0" destOrd="0" parTransId="{8578400E-684D-4CDF-8678-3FB4E6ED2B86}" sibTransId="{C4AE5966-9138-4B14-B239-D339B9562019}"/>
    <dgm:cxn modelId="{5CB2F1E9-441D-4700-B662-A32B8112EBA6}" type="presOf" srcId="{C4AE5966-9138-4B14-B239-D339B9562019}" destId="{BBB309E4-EBA5-4CCC-9DD2-6FE945A74917}" srcOrd="1" destOrd="0" presId="urn:microsoft.com/office/officeart/2005/8/layout/process1"/>
    <dgm:cxn modelId="{70AB57CA-B411-4DCE-A1CB-4A322CD4A5CB}" type="presParOf" srcId="{AB954A2F-4962-421D-B1A8-A915E8DFB33F}" destId="{44D76FC0-A516-4336-9B9A-7DD440D5E9D4}" srcOrd="0" destOrd="0" presId="urn:microsoft.com/office/officeart/2005/8/layout/process1"/>
    <dgm:cxn modelId="{D62BF84F-BDA4-4CF8-8AEB-A55A2E7FDBCC}" type="presParOf" srcId="{AB954A2F-4962-421D-B1A8-A915E8DFB33F}" destId="{9C348623-EC13-40D1-8E14-28CB16938D35}" srcOrd="1" destOrd="0" presId="urn:microsoft.com/office/officeart/2005/8/layout/process1"/>
    <dgm:cxn modelId="{3217BB5C-C075-499E-8D76-120E567844F2}" type="presParOf" srcId="{9C348623-EC13-40D1-8E14-28CB16938D35}" destId="{BBB309E4-EBA5-4CCC-9DD2-6FE945A74917}" srcOrd="0" destOrd="0" presId="urn:microsoft.com/office/officeart/2005/8/layout/process1"/>
    <dgm:cxn modelId="{AB486A4F-9ED9-4267-AB68-689F3A0CA68A}" type="presParOf" srcId="{AB954A2F-4962-421D-B1A8-A915E8DFB33F}" destId="{83225121-BBEB-4AF9-B456-CDC5BB4F9624}" srcOrd="2" destOrd="0" presId="urn:microsoft.com/office/officeart/2005/8/layout/process1"/>
    <dgm:cxn modelId="{AEFA4D10-192A-4031-AF42-90C6587D30F4}" type="presParOf" srcId="{AB954A2F-4962-421D-B1A8-A915E8DFB33F}" destId="{05E476EC-F98A-49DD-BEDA-4007B6011055}" srcOrd="3" destOrd="0" presId="urn:microsoft.com/office/officeart/2005/8/layout/process1"/>
    <dgm:cxn modelId="{68EAA13A-52C7-4CA8-A3CE-4FE49642ED49}" type="presParOf" srcId="{05E476EC-F98A-49DD-BEDA-4007B6011055}" destId="{3A596AF6-C288-4160-9B61-3A76B817888C}" srcOrd="0" destOrd="0" presId="urn:microsoft.com/office/officeart/2005/8/layout/process1"/>
    <dgm:cxn modelId="{45C2B17E-AA9A-452F-8AAF-FB92C85FFA93}" type="presParOf" srcId="{AB954A2F-4962-421D-B1A8-A915E8DFB33F}" destId="{BABF2E95-F176-4F29-A35A-DD091E05E403}" srcOrd="4" destOrd="0" presId="urn:microsoft.com/office/officeart/2005/8/layout/process1"/>
    <dgm:cxn modelId="{93A73A60-60DA-418C-A6CD-387284A9B268}" type="presParOf" srcId="{AB954A2F-4962-421D-B1A8-A915E8DFB33F}" destId="{7D404359-C4AF-40F7-98B5-C2B8E456D041}" srcOrd="5" destOrd="0" presId="urn:microsoft.com/office/officeart/2005/8/layout/process1"/>
    <dgm:cxn modelId="{71943AAC-B615-472A-B9E6-3103808D6A0C}" type="presParOf" srcId="{7D404359-C4AF-40F7-98B5-C2B8E456D041}" destId="{2EDF84F5-C11D-4D38-827E-C668C3EBB362}" srcOrd="0" destOrd="0" presId="urn:microsoft.com/office/officeart/2005/8/layout/process1"/>
    <dgm:cxn modelId="{3F977E35-BF4B-48F6-A8C4-209113B4808D}" type="presParOf" srcId="{AB954A2F-4962-421D-B1A8-A915E8DFB33F}" destId="{E8FDBB3C-CF01-437D-AF34-29C7CDB7BA45}" srcOrd="6"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7E37279-EE19-4893-9A13-6A60D590B410}" type="doc">
      <dgm:prSet loTypeId="urn:microsoft.com/office/officeart/2005/8/layout/process1" loCatId="process" qsTypeId="urn:microsoft.com/office/officeart/2005/8/quickstyle/simple3" qsCatId="simple" csTypeId="urn:microsoft.com/office/officeart/2005/8/colors/accent1_2" csCatId="accent1" phldr="1"/>
      <dgm:spPr/>
    </dgm:pt>
    <dgm:pt modelId="{F65C7F93-7FE9-485C-9F16-983A72A65D43}">
      <dgm:prSet phldrT="[Text]"/>
      <dgm:spPr/>
      <dgm:t>
        <a:bodyPr/>
        <a:lstStyle/>
        <a:p>
          <a:r>
            <a:rPr lang="en-GB"/>
            <a:t>Blood glucose falls</a:t>
          </a:r>
        </a:p>
      </dgm:t>
    </dgm:pt>
    <dgm:pt modelId="{C9041BA8-A60A-4904-A93F-405803792BAB}" type="parTrans" cxnId="{7EB32AAC-B0FC-43B0-82B8-F9FDFD80AC4A}">
      <dgm:prSet/>
      <dgm:spPr/>
      <dgm:t>
        <a:bodyPr/>
        <a:lstStyle/>
        <a:p>
          <a:endParaRPr lang="en-GB"/>
        </a:p>
      </dgm:t>
    </dgm:pt>
    <dgm:pt modelId="{44E80D7A-0015-4D33-8D92-E7AABA65EC04}" type="sibTrans" cxnId="{7EB32AAC-B0FC-43B0-82B8-F9FDFD80AC4A}">
      <dgm:prSet/>
      <dgm:spPr/>
      <dgm:t>
        <a:bodyPr/>
        <a:lstStyle/>
        <a:p>
          <a:endParaRPr lang="en-GB"/>
        </a:p>
      </dgm:t>
    </dgm:pt>
    <dgm:pt modelId="{9E1F64F5-D529-4F2A-84C2-E4B34A97451A}">
      <dgm:prSet phldrT="[Text]"/>
      <dgm:spPr/>
      <dgm:t>
        <a:bodyPr/>
        <a:lstStyle/>
        <a:p>
          <a:r>
            <a:rPr lang="en-GB"/>
            <a:t>Alpha cells release glucagon</a:t>
          </a:r>
        </a:p>
      </dgm:t>
    </dgm:pt>
    <dgm:pt modelId="{484EFDAE-C044-435A-9834-E934E23FE39A}" type="parTrans" cxnId="{C1F2C177-F240-4C7C-835C-6F203028EA97}">
      <dgm:prSet/>
      <dgm:spPr/>
      <dgm:t>
        <a:bodyPr/>
        <a:lstStyle/>
        <a:p>
          <a:endParaRPr lang="en-GB"/>
        </a:p>
      </dgm:t>
    </dgm:pt>
    <dgm:pt modelId="{EB6C47A8-E0F8-4789-8D2E-5D7E467ED3FB}" type="sibTrans" cxnId="{C1F2C177-F240-4C7C-835C-6F203028EA97}">
      <dgm:prSet/>
      <dgm:spPr/>
      <dgm:t>
        <a:bodyPr/>
        <a:lstStyle/>
        <a:p>
          <a:endParaRPr lang="en-GB"/>
        </a:p>
      </dgm:t>
    </dgm:pt>
    <dgm:pt modelId="{88C07AD2-2525-418F-A300-4F87CF0DFEFF}">
      <dgm:prSet phldrT="[Text]"/>
      <dgm:spPr/>
      <dgm:t>
        <a:bodyPr/>
        <a:lstStyle/>
        <a:p>
          <a:r>
            <a:rPr lang="en-GB"/>
            <a:t>Liver breaks down glycogen and releases glucose</a:t>
          </a:r>
        </a:p>
      </dgm:t>
    </dgm:pt>
    <dgm:pt modelId="{8CD0B09D-963F-4188-B87E-DC8C3E22C462}" type="parTrans" cxnId="{60B28DF6-946E-40DC-9D11-C5F24A24E096}">
      <dgm:prSet/>
      <dgm:spPr/>
      <dgm:t>
        <a:bodyPr/>
        <a:lstStyle/>
        <a:p>
          <a:endParaRPr lang="en-GB"/>
        </a:p>
      </dgm:t>
    </dgm:pt>
    <dgm:pt modelId="{2A570D8C-6A66-462E-924D-174F08ACAD05}" type="sibTrans" cxnId="{60B28DF6-946E-40DC-9D11-C5F24A24E096}">
      <dgm:prSet/>
      <dgm:spPr/>
      <dgm:t>
        <a:bodyPr/>
        <a:lstStyle/>
        <a:p>
          <a:endParaRPr lang="en-GB"/>
        </a:p>
      </dgm:t>
    </dgm:pt>
    <dgm:pt modelId="{2204E64D-DBCA-47D9-A7EC-AEF877A0FBDE}">
      <dgm:prSet phldrT="[Text]"/>
      <dgm:spPr/>
      <dgm:t>
        <a:bodyPr/>
        <a:lstStyle/>
        <a:p>
          <a:r>
            <a:rPr lang="en-GB"/>
            <a:t>Blood glucose rises towards normal</a:t>
          </a:r>
        </a:p>
      </dgm:t>
    </dgm:pt>
    <dgm:pt modelId="{D14A9FC9-B0FB-461A-AC6F-D3FFC13D474E}" type="parTrans" cxnId="{BB4C5182-78DD-4C64-BF49-E84003399C48}">
      <dgm:prSet/>
      <dgm:spPr/>
      <dgm:t>
        <a:bodyPr/>
        <a:lstStyle/>
        <a:p>
          <a:endParaRPr lang="en-GB"/>
        </a:p>
      </dgm:t>
    </dgm:pt>
    <dgm:pt modelId="{C814FA8C-3854-40F9-BD90-9AA67B438948}" type="sibTrans" cxnId="{BB4C5182-78DD-4C64-BF49-E84003399C48}">
      <dgm:prSet/>
      <dgm:spPr/>
      <dgm:t>
        <a:bodyPr/>
        <a:lstStyle/>
        <a:p>
          <a:endParaRPr lang="en-GB"/>
        </a:p>
      </dgm:t>
    </dgm:pt>
    <dgm:pt modelId="{4F114470-7A61-46CE-9519-E4E4EB0EB307}" type="pres">
      <dgm:prSet presAssocID="{27E37279-EE19-4893-9A13-6A60D590B410}" presName="Name0" presStyleCnt="0">
        <dgm:presLayoutVars>
          <dgm:dir/>
          <dgm:resizeHandles val="exact"/>
        </dgm:presLayoutVars>
      </dgm:prSet>
      <dgm:spPr/>
    </dgm:pt>
    <dgm:pt modelId="{EABEBD26-1CD4-4876-AB6E-A492C41094DB}" type="pres">
      <dgm:prSet presAssocID="{F65C7F93-7FE9-485C-9F16-983A72A65D43}" presName="node" presStyleLbl="node1" presStyleIdx="0" presStyleCnt="4">
        <dgm:presLayoutVars>
          <dgm:bulletEnabled val="1"/>
        </dgm:presLayoutVars>
      </dgm:prSet>
      <dgm:spPr/>
    </dgm:pt>
    <dgm:pt modelId="{BB42AF9D-42E0-4978-B2A4-730E040B1DDF}" type="pres">
      <dgm:prSet presAssocID="{44E80D7A-0015-4D33-8D92-E7AABA65EC04}" presName="sibTrans" presStyleLbl="sibTrans2D1" presStyleIdx="0" presStyleCnt="3"/>
      <dgm:spPr/>
    </dgm:pt>
    <dgm:pt modelId="{E1480313-37F9-42B9-8E18-FCFFDC0DEB8A}" type="pres">
      <dgm:prSet presAssocID="{44E80D7A-0015-4D33-8D92-E7AABA65EC04}" presName="connectorText" presStyleLbl="sibTrans2D1" presStyleIdx="0" presStyleCnt="3"/>
      <dgm:spPr/>
    </dgm:pt>
    <dgm:pt modelId="{DECCD2A6-4061-43DD-9B30-C6F0BD1C13E5}" type="pres">
      <dgm:prSet presAssocID="{9E1F64F5-D529-4F2A-84C2-E4B34A97451A}" presName="node" presStyleLbl="node1" presStyleIdx="1" presStyleCnt="4">
        <dgm:presLayoutVars>
          <dgm:bulletEnabled val="1"/>
        </dgm:presLayoutVars>
      </dgm:prSet>
      <dgm:spPr/>
    </dgm:pt>
    <dgm:pt modelId="{77529E8C-C88B-42A8-B3C0-969D7112E65E}" type="pres">
      <dgm:prSet presAssocID="{EB6C47A8-E0F8-4789-8D2E-5D7E467ED3FB}" presName="sibTrans" presStyleLbl="sibTrans2D1" presStyleIdx="1" presStyleCnt="3"/>
      <dgm:spPr/>
    </dgm:pt>
    <dgm:pt modelId="{82BDC768-8B9F-4534-BBD8-D8F47F47AA13}" type="pres">
      <dgm:prSet presAssocID="{EB6C47A8-E0F8-4789-8D2E-5D7E467ED3FB}" presName="connectorText" presStyleLbl="sibTrans2D1" presStyleIdx="1" presStyleCnt="3"/>
      <dgm:spPr/>
    </dgm:pt>
    <dgm:pt modelId="{6475C8D1-11FE-4768-87A2-2F8B86524080}" type="pres">
      <dgm:prSet presAssocID="{88C07AD2-2525-418F-A300-4F87CF0DFEFF}" presName="node" presStyleLbl="node1" presStyleIdx="2" presStyleCnt="4">
        <dgm:presLayoutVars>
          <dgm:bulletEnabled val="1"/>
        </dgm:presLayoutVars>
      </dgm:prSet>
      <dgm:spPr/>
    </dgm:pt>
    <dgm:pt modelId="{17F46052-F0DB-4858-94AC-F70B29FC2342}" type="pres">
      <dgm:prSet presAssocID="{2A570D8C-6A66-462E-924D-174F08ACAD05}" presName="sibTrans" presStyleLbl="sibTrans2D1" presStyleIdx="2" presStyleCnt="3"/>
      <dgm:spPr/>
    </dgm:pt>
    <dgm:pt modelId="{65DE93A5-D7CE-4F58-A151-56CBDC3053B1}" type="pres">
      <dgm:prSet presAssocID="{2A570D8C-6A66-462E-924D-174F08ACAD05}" presName="connectorText" presStyleLbl="sibTrans2D1" presStyleIdx="2" presStyleCnt="3"/>
      <dgm:spPr/>
    </dgm:pt>
    <dgm:pt modelId="{4F224B09-8933-4106-8DAB-E208748290E0}" type="pres">
      <dgm:prSet presAssocID="{2204E64D-DBCA-47D9-A7EC-AEF877A0FBDE}" presName="node" presStyleLbl="node1" presStyleIdx="3" presStyleCnt="4">
        <dgm:presLayoutVars>
          <dgm:bulletEnabled val="1"/>
        </dgm:presLayoutVars>
      </dgm:prSet>
      <dgm:spPr/>
    </dgm:pt>
  </dgm:ptLst>
  <dgm:cxnLst>
    <dgm:cxn modelId="{ABB6E206-BD59-4DF6-84CF-1EEBD8BCF183}" type="presOf" srcId="{88C07AD2-2525-418F-A300-4F87CF0DFEFF}" destId="{6475C8D1-11FE-4768-87A2-2F8B86524080}" srcOrd="0" destOrd="0" presId="urn:microsoft.com/office/officeart/2005/8/layout/process1"/>
    <dgm:cxn modelId="{7479F815-8797-456D-9246-C1790C205FFA}" type="presOf" srcId="{2A570D8C-6A66-462E-924D-174F08ACAD05}" destId="{17F46052-F0DB-4858-94AC-F70B29FC2342}" srcOrd="0" destOrd="0" presId="urn:microsoft.com/office/officeart/2005/8/layout/process1"/>
    <dgm:cxn modelId="{0B92C41A-C785-4C42-BCFB-D0A6F9544577}" type="presOf" srcId="{44E80D7A-0015-4D33-8D92-E7AABA65EC04}" destId="{BB42AF9D-42E0-4978-B2A4-730E040B1DDF}" srcOrd="0" destOrd="0" presId="urn:microsoft.com/office/officeart/2005/8/layout/process1"/>
    <dgm:cxn modelId="{B6DFE03A-B55A-4458-8CE2-171F3F55A65A}" type="presOf" srcId="{F65C7F93-7FE9-485C-9F16-983A72A65D43}" destId="{EABEBD26-1CD4-4876-AB6E-A492C41094DB}" srcOrd="0" destOrd="0" presId="urn:microsoft.com/office/officeart/2005/8/layout/process1"/>
    <dgm:cxn modelId="{863BFE66-BB9E-4353-BD6C-EB2E2533766D}" type="presOf" srcId="{2A570D8C-6A66-462E-924D-174F08ACAD05}" destId="{65DE93A5-D7CE-4F58-A151-56CBDC3053B1}" srcOrd="1" destOrd="0" presId="urn:microsoft.com/office/officeart/2005/8/layout/process1"/>
    <dgm:cxn modelId="{CC8BC167-FA9F-4FFC-A82F-B3AD814A331C}" type="presOf" srcId="{EB6C47A8-E0F8-4789-8D2E-5D7E467ED3FB}" destId="{82BDC768-8B9F-4534-BBD8-D8F47F47AA13}" srcOrd="1" destOrd="0" presId="urn:microsoft.com/office/officeart/2005/8/layout/process1"/>
    <dgm:cxn modelId="{C1F2C177-F240-4C7C-835C-6F203028EA97}" srcId="{27E37279-EE19-4893-9A13-6A60D590B410}" destId="{9E1F64F5-D529-4F2A-84C2-E4B34A97451A}" srcOrd="1" destOrd="0" parTransId="{484EFDAE-C044-435A-9834-E934E23FE39A}" sibTransId="{EB6C47A8-E0F8-4789-8D2E-5D7E467ED3FB}"/>
    <dgm:cxn modelId="{BB4C5182-78DD-4C64-BF49-E84003399C48}" srcId="{27E37279-EE19-4893-9A13-6A60D590B410}" destId="{2204E64D-DBCA-47D9-A7EC-AEF877A0FBDE}" srcOrd="3" destOrd="0" parTransId="{D14A9FC9-B0FB-461A-AC6F-D3FFC13D474E}" sibTransId="{C814FA8C-3854-40F9-BD90-9AA67B438948}"/>
    <dgm:cxn modelId="{E39BD687-C848-4036-98E5-EBF7F114B5EE}" type="presOf" srcId="{44E80D7A-0015-4D33-8D92-E7AABA65EC04}" destId="{E1480313-37F9-42B9-8E18-FCFFDC0DEB8A}" srcOrd="1" destOrd="0" presId="urn:microsoft.com/office/officeart/2005/8/layout/process1"/>
    <dgm:cxn modelId="{7C5ADBAB-2F96-45E4-B60D-D5678648C1C2}" type="presOf" srcId="{2204E64D-DBCA-47D9-A7EC-AEF877A0FBDE}" destId="{4F224B09-8933-4106-8DAB-E208748290E0}" srcOrd="0" destOrd="0" presId="urn:microsoft.com/office/officeart/2005/8/layout/process1"/>
    <dgm:cxn modelId="{7EB32AAC-B0FC-43B0-82B8-F9FDFD80AC4A}" srcId="{27E37279-EE19-4893-9A13-6A60D590B410}" destId="{F65C7F93-7FE9-485C-9F16-983A72A65D43}" srcOrd="0" destOrd="0" parTransId="{C9041BA8-A60A-4904-A93F-405803792BAB}" sibTransId="{44E80D7A-0015-4D33-8D92-E7AABA65EC04}"/>
    <dgm:cxn modelId="{EC9798D7-CD14-4DDE-B725-19C540CAC05C}" type="presOf" srcId="{27E37279-EE19-4893-9A13-6A60D590B410}" destId="{4F114470-7A61-46CE-9519-E4E4EB0EB307}" srcOrd="0" destOrd="0" presId="urn:microsoft.com/office/officeart/2005/8/layout/process1"/>
    <dgm:cxn modelId="{CD1DFDEC-E8C3-4F72-A112-B3D4096F4AF3}" type="presOf" srcId="{EB6C47A8-E0F8-4789-8D2E-5D7E467ED3FB}" destId="{77529E8C-C88B-42A8-B3C0-969D7112E65E}" srcOrd="0" destOrd="0" presId="urn:microsoft.com/office/officeart/2005/8/layout/process1"/>
    <dgm:cxn modelId="{21E0F6F1-7BC3-4BA7-80F2-A241AF4D28A0}" type="presOf" srcId="{9E1F64F5-D529-4F2A-84C2-E4B34A97451A}" destId="{DECCD2A6-4061-43DD-9B30-C6F0BD1C13E5}" srcOrd="0" destOrd="0" presId="urn:microsoft.com/office/officeart/2005/8/layout/process1"/>
    <dgm:cxn modelId="{60B28DF6-946E-40DC-9D11-C5F24A24E096}" srcId="{27E37279-EE19-4893-9A13-6A60D590B410}" destId="{88C07AD2-2525-418F-A300-4F87CF0DFEFF}" srcOrd="2" destOrd="0" parTransId="{8CD0B09D-963F-4188-B87E-DC8C3E22C462}" sibTransId="{2A570D8C-6A66-462E-924D-174F08ACAD05}"/>
    <dgm:cxn modelId="{8FC3EC92-5A66-4EE2-84F9-A843FB40B4BC}" type="presParOf" srcId="{4F114470-7A61-46CE-9519-E4E4EB0EB307}" destId="{EABEBD26-1CD4-4876-AB6E-A492C41094DB}" srcOrd="0" destOrd="0" presId="urn:microsoft.com/office/officeart/2005/8/layout/process1"/>
    <dgm:cxn modelId="{E58C15B2-1A6D-493B-A03F-CE6B5AF53C1A}" type="presParOf" srcId="{4F114470-7A61-46CE-9519-E4E4EB0EB307}" destId="{BB42AF9D-42E0-4978-B2A4-730E040B1DDF}" srcOrd="1" destOrd="0" presId="urn:microsoft.com/office/officeart/2005/8/layout/process1"/>
    <dgm:cxn modelId="{2BEDD103-6793-4FAA-84B1-FABE5D3A8A4E}" type="presParOf" srcId="{BB42AF9D-42E0-4978-B2A4-730E040B1DDF}" destId="{E1480313-37F9-42B9-8E18-FCFFDC0DEB8A}" srcOrd="0" destOrd="0" presId="urn:microsoft.com/office/officeart/2005/8/layout/process1"/>
    <dgm:cxn modelId="{E182C7C1-A42E-4EC9-A268-5F9766B5FE98}" type="presParOf" srcId="{4F114470-7A61-46CE-9519-E4E4EB0EB307}" destId="{DECCD2A6-4061-43DD-9B30-C6F0BD1C13E5}" srcOrd="2" destOrd="0" presId="urn:microsoft.com/office/officeart/2005/8/layout/process1"/>
    <dgm:cxn modelId="{DDCD786F-43D4-4F30-8575-E2C70E111604}" type="presParOf" srcId="{4F114470-7A61-46CE-9519-E4E4EB0EB307}" destId="{77529E8C-C88B-42A8-B3C0-969D7112E65E}" srcOrd="3" destOrd="0" presId="urn:microsoft.com/office/officeart/2005/8/layout/process1"/>
    <dgm:cxn modelId="{90D27889-3675-4364-99D8-8447688AA7F6}" type="presParOf" srcId="{77529E8C-C88B-42A8-B3C0-969D7112E65E}" destId="{82BDC768-8B9F-4534-BBD8-D8F47F47AA13}" srcOrd="0" destOrd="0" presId="urn:microsoft.com/office/officeart/2005/8/layout/process1"/>
    <dgm:cxn modelId="{7B50DA04-5511-460E-9A51-56BAE7DDC4E9}" type="presParOf" srcId="{4F114470-7A61-46CE-9519-E4E4EB0EB307}" destId="{6475C8D1-11FE-4768-87A2-2F8B86524080}" srcOrd="4" destOrd="0" presId="urn:microsoft.com/office/officeart/2005/8/layout/process1"/>
    <dgm:cxn modelId="{D3F2ECE3-B803-4202-BAC9-24927102D2AE}" type="presParOf" srcId="{4F114470-7A61-46CE-9519-E4E4EB0EB307}" destId="{17F46052-F0DB-4858-94AC-F70B29FC2342}" srcOrd="5" destOrd="0" presId="urn:microsoft.com/office/officeart/2005/8/layout/process1"/>
    <dgm:cxn modelId="{DBB5CD4D-AEA9-41FB-8944-B4EB2BDFBE38}" type="presParOf" srcId="{17F46052-F0DB-4858-94AC-F70B29FC2342}" destId="{65DE93A5-D7CE-4F58-A151-56CBDC3053B1}" srcOrd="0" destOrd="0" presId="urn:microsoft.com/office/officeart/2005/8/layout/process1"/>
    <dgm:cxn modelId="{396100FC-9B41-4BD4-8C30-8AD42012C9E5}" type="presParOf" srcId="{4F114470-7A61-46CE-9519-E4E4EB0EB307}" destId="{4F224B09-8933-4106-8DAB-E208748290E0}" srcOrd="6"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A191426-F96C-4D68-9302-E8E395E53E1F}" type="doc">
      <dgm:prSet loTypeId="urn:microsoft.com/office/officeart/2005/8/layout/process1" loCatId="process" qsTypeId="urn:microsoft.com/office/officeart/2005/8/quickstyle/simple1" qsCatId="simple" csTypeId="urn:microsoft.com/office/officeart/2005/8/colors/accent1_2" csCatId="accent1" phldr="1"/>
      <dgm:spPr/>
    </dgm:pt>
    <mc:AlternateContent xmlns:mc="http://schemas.openxmlformats.org/markup-compatibility/2006" xmlns:a14="http://schemas.microsoft.com/office/drawing/2010/main">
      <mc:Choice Requires="a14">
        <dgm:pt modelId="{CA897A41-33B8-497E-9830-E12B80901CC0}">
          <dgm:prSet phldrT="[Text]"/>
          <dgm:spPr/>
          <dgm:t>
            <a:bodyPr/>
            <a:lstStyle/>
            <a:p>
              <a:r>
                <a:rPr lang="en-GB"/>
                <a:t>Glycolysis</a:t>
              </a:r>
            </a:p>
            <a:p>
              <a:r>
                <a:rPr lang="en-GB"/>
                <a:t>Cytoplasm</a:t>
              </a:r>
            </a:p>
            <a:p>
              <a:r>
                <a:rPr lang="en-GB"/>
                <a:t>Glucose</a:t>
              </a:r>
              <a14:m>
                <m:oMath xmlns:m="http://schemas.openxmlformats.org/officeDocument/2006/math">
                  <m:r>
                    <a:rPr lang="en-GB" i="1">
                      <a:latin typeface="Cambria Math" panose="02040503050406030204" pitchFamily="18" charset="0"/>
                      <a:ea typeface="Cambria Math" panose="02040503050406030204" pitchFamily="18" charset="0"/>
                    </a:rPr>
                    <m:t>→</m:t>
                  </m:r>
                </m:oMath>
              </a14:m>
              <a:r>
                <a:rPr lang="en-GB"/>
                <a:t>2pyruvate</a:t>
              </a:r>
            </a:p>
            <a:p>
              <a:r>
                <a:rPr lang="en-GB"/>
                <a:t>2 ATP + NADH</a:t>
              </a:r>
            </a:p>
          </dgm:t>
        </dgm:pt>
      </mc:Choice>
      <mc:Fallback xmlns="">
        <dgm:pt modelId="{CA897A41-33B8-497E-9830-E12B80901CC0}">
          <dgm:prSet phldrT="[Text]"/>
          <dgm:spPr/>
          <dgm:t>
            <a:bodyPr/>
            <a:lstStyle/>
            <a:p>
              <a:r>
                <a:rPr lang="en-GB"/>
                <a:t>Glycolysis</a:t>
              </a:r>
            </a:p>
            <a:p>
              <a:r>
                <a:rPr lang="en-GB"/>
                <a:t>Cytoplasm</a:t>
              </a:r>
            </a:p>
            <a:p>
              <a:r>
                <a:rPr lang="en-GB"/>
                <a:t>Glucose</a:t>
              </a:r>
              <a:r>
                <a:rPr lang="en-GB" i="0">
                  <a:latin typeface="Cambria Math" panose="02040503050406030204" pitchFamily="18" charset="0"/>
                  <a:ea typeface="Cambria Math" panose="02040503050406030204" pitchFamily="18" charset="0"/>
                </a:rPr>
                <a:t>→</a:t>
              </a:r>
              <a:r>
                <a:rPr lang="en-GB"/>
                <a:t>2pyruvate</a:t>
              </a:r>
            </a:p>
            <a:p>
              <a:r>
                <a:rPr lang="en-GB"/>
                <a:t>2 ATP + NADH</a:t>
              </a:r>
            </a:p>
          </dgm:t>
        </dgm:pt>
      </mc:Fallback>
    </mc:AlternateContent>
    <dgm:pt modelId="{85E0ACB0-17FF-455A-BFBF-6FDF1901ED78}" type="parTrans" cxnId="{371B3F0C-CEB2-4035-A234-68E4654A7534}">
      <dgm:prSet/>
      <dgm:spPr/>
      <dgm:t>
        <a:bodyPr/>
        <a:lstStyle/>
        <a:p>
          <a:endParaRPr lang="en-GB"/>
        </a:p>
      </dgm:t>
    </dgm:pt>
    <dgm:pt modelId="{41B80227-C405-4C7F-A5E9-D7BE27AD1718}" type="sibTrans" cxnId="{371B3F0C-CEB2-4035-A234-68E4654A7534}">
      <dgm:prSet/>
      <dgm:spPr/>
      <dgm:t>
        <a:bodyPr/>
        <a:lstStyle/>
        <a:p>
          <a:endParaRPr lang="en-GB"/>
        </a:p>
      </dgm:t>
    </dgm:pt>
    <dgm:pt modelId="{20173125-9CE6-424D-8087-6AA6B7B09C11}">
      <dgm:prSet phldrT="[Text]"/>
      <dgm:spPr/>
      <dgm:t>
        <a:bodyPr/>
        <a:lstStyle/>
        <a:p>
          <a:r>
            <a:rPr lang="en-GB"/>
            <a:t>Krebs Cycle</a:t>
          </a:r>
        </a:p>
        <a:p>
          <a:r>
            <a:rPr lang="en-GB"/>
            <a:t>Mitochondrial matrix</a:t>
          </a:r>
        </a:p>
        <a:p>
          <a:r>
            <a:rPr lang="en-GB"/>
            <a:t>CO</a:t>
          </a:r>
          <a:r>
            <a:rPr lang="en-GB" baseline="-25000"/>
            <a:t>2 </a:t>
          </a:r>
          <a:r>
            <a:rPr lang="en-GB" baseline="0"/>
            <a:t>+ a small amount of ATP </a:t>
          </a:r>
        </a:p>
        <a:p>
          <a:r>
            <a:rPr lang="en-GB" baseline="0"/>
            <a:t>NADH + FADH</a:t>
          </a:r>
          <a:r>
            <a:rPr lang="en-GB" baseline="-25000"/>
            <a:t>2</a:t>
          </a:r>
          <a:endParaRPr lang="en-GB"/>
        </a:p>
      </dgm:t>
    </dgm:pt>
    <dgm:pt modelId="{49F9AA1E-620C-4931-8165-ED326C6717BB}" type="parTrans" cxnId="{C548F09B-FD3B-45DF-B414-6807C159D024}">
      <dgm:prSet/>
      <dgm:spPr/>
      <dgm:t>
        <a:bodyPr/>
        <a:lstStyle/>
        <a:p>
          <a:endParaRPr lang="en-GB"/>
        </a:p>
      </dgm:t>
    </dgm:pt>
    <dgm:pt modelId="{C6B522E3-51FC-4E3A-ABE5-930D1B245FF7}" type="sibTrans" cxnId="{C548F09B-FD3B-45DF-B414-6807C159D024}">
      <dgm:prSet/>
      <dgm:spPr/>
      <dgm:t>
        <a:bodyPr/>
        <a:lstStyle/>
        <a:p>
          <a:endParaRPr lang="en-GB"/>
        </a:p>
      </dgm:t>
    </dgm:pt>
    <dgm:pt modelId="{D42E9A99-6AF7-45CE-A656-9FA438FD4010}">
      <dgm:prSet phldrT="[Text]"/>
      <dgm:spPr/>
      <dgm:t>
        <a:bodyPr/>
        <a:lstStyle/>
        <a:p>
          <a:r>
            <a:rPr lang="en-GB"/>
            <a:t>Oxidative phosphorylation </a:t>
          </a:r>
        </a:p>
        <a:p>
          <a:r>
            <a:rPr lang="en-GB"/>
            <a:t>Inner mitochondrial membrane</a:t>
          </a:r>
        </a:p>
        <a:p>
          <a:r>
            <a:rPr lang="en-GB"/>
            <a:t>Oxygen is used</a:t>
          </a:r>
        </a:p>
        <a:p>
          <a:r>
            <a:rPr lang="en-GB"/>
            <a:t>Most ATP is produced</a:t>
          </a:r>
        </a:p>
      </dgm:t>
    </dgm:pt>
    <dgm:pt modelId="{C18BDA23-A23D-4664-818C-DAA5F68D1A03}" type="parTrans" cxnId="{18B04B4D-729F-4DEE-A424-53C07E8C97DE}">
      <dgm:prSet/>
      <dgm:spPr/>
      <dgm:t>
        <a:bodyPr/>
        <a:lstStyle/>
        <a:p>
          <a:endParaRPr lang="en-GB"/>
        </a:p>
      </dgm:t>
    </dgm:pt>
    <dgm:pt modelId="{A9FD2AD6-D158-4509-B287-C5134B9A21A3}" type="sibTrans" cxnId="{18B04B4D-729F-4DEE-A424-53C07E8C97DE}">
      <dgm:prSet/>
      <dgm:spPr/>
      <dgm:t>
        <a:bodyPr/>
        <a:lstStyle/>
        <a:p>
          <a:endParaRPr lang="en-GB"/>
        </a:p>
      </dgm:t>
    </dgm:pt>
    <dgm:pt modelId="{B5C73725-B862-4B14-A08B-DAB202114E7E}" type="pres">
      <dgm:prSet presAssocID="{2A191426-F96C-4D68-9302-E8E395E53E1F}" presName="Name0" presStyleCnt="0">
        <dgm:presLayoutVars>
          <dgm:dir/>
          <dgm:resizeHandles val="exact"/>
        </dgm:presLayoutVars>
      </dgm:prSet>
      <dgm:spPr/>
    </dgm:pt>
    <dgm:pt modelId="{434FFE49-0EC1-4833-8057-FA11466226C4}" type="pres">
      <dgm:prSet presAssocID="{CA897A41-33B8-497E-9830-E12B80901CC0}" presName="node" presStyleLbl="node1" presStyleIdx="0" presStyleCnt="3">
        <dgm:presLayoutVars>
          <dgm:bulletEnabled val="1"/>
        </dgm:presLayoutVars>
      </dgm:prSet>
      <dgm:spPr/>
    </dgm:pt>
    <dgm:pt modelId="{E45BE037-9826-45CA-AE8C-7A0486942382}" type="pres">
      <dgm:prSet presAssocID="{41B80227-C405-4C7F-A5E9-D7BE27AD1718}" presName="sibTrans" presStyleLbl="sibTrans2D1" presStyleIdx="0" presStyleCnt="2"/>
      <dgm:spPr/>
    </dgm:pt>
    <dgm:pt modelId="{F7A1EE04-ECA5-4169-8F41-8598C98B1672}" type="pres">
      <dgm:prSet presAssocID="{41B80227-C405-4C7F-A5E9-D7BE27AD1718}" presName="connectorText" presStyleLbl="sibTrans2D1" presStyleIdx="0" presStyleCnt="2"/>
      <dgm:spPr/>
    </dgm:pt>
    <dgm:pt modelId="{B5ECF832-E99D-4E4C-BF38-6B6C9728612A}" type="pres">
      <dgm:prSet presAssocID="{20173125-9CE6-424D-8087-6AA6B7B09C11}" presName="node" presStyleLbl="node1" presStyleIdx="1" presStyleCnt="3">
        <dgm:presLayoutVars>
          <dgm:bulletEnabled val="1"/>
        </dgm:presLayoutVars>
      </dgm:prSet>
      <dgm:spPr/>
    </dgm:pt>
    <dgm:pt modelId="{9FB28F98-921B-4DFD-84DA-11253F77559E}" type="pres">
      <dgm:prSet presAssocID="{C6B522E3-51FC-4E3A-ABE5-930D1B245FF7}" presName="sibTrans" presStyleLbl="sibTrans2D1" presStyleIdx="1" presStyleCnt="2"/>
      <dgm:spPr/>
    </dgm:pt>
    <dgm:pt modelId="{33958866-22BB-4096-8B85-A62907EF5427}" type="pres">
      <dgm:prSet presAssocID="{C6B522E3-51FC-4E3A-ABE5-930D1B245FF7}" presName="connectorText" presStyleLbl="sibTrans2D1" presStyleIdx="1" presStyleCnt="2"/>
      <dgm:spPr/>
    </dgm:pt>
    <dgm:pt modelId="{E793AC24-99A7-4BFB-B69F-439FD25C664C}" type="pres">
      <dgm:prSet presAssocID="{D42E9A99-6AF7-45CE-A656-9FA438FD4010}" presName="node" presStyleLbl="node1" presStyleIdx="2" presStyleCnt="3">
        <dgm:presLayoutVars>
          <dgm:bulletEnabled val="1"/>
        </dgm:presLayoutVars>
      </dgm:prSet>
      <dgm:spPr/>
    </dgm:pt>
  </dgm:ptLst>
  <dgm:cxnLst>
    <dgm:cxn modelId="{371B3F0C-CEB2-4035-A234-68E4654A7534}" srcId="{2A191426-F96C-4D68-9302-E8E395E53E1F}" destId="{CA897A41-33B8-497E-9830-E12B80901CC0}" srcOrd="0" destOrd="0" parTransId="{85E0ACB0-17FF-455A-BFBF-6FDF1901ED78}" sibTransId="{41B80227-C405-4C7F-A5E9-D7BE27AD1718}"/>
    <dgm:cxn modelId="{7035361F-6690-4015-A292-87F78BD226D7}" type="presOf" srcId="{41B80227-C405-4C7F-A5E9-D7BE27AD1718}" destId="{F7A1EE04-ECA5-4169-8F41-8598C98B1672}" srcOrd="1" destOrd="0" presId="urn:microsoft.com/office/officeart/2005/8/layout/process1"/>
    <dgm:cxn modelId="{18B04B4D-729F-4DEE-A424-53C07E8C97DE}" srcId="{2A191426-F96C-4D68-9302-E8E395E53E1F}" destId="{D42E9A99-6AF7-45CE-A656-9FA438FD4010}" srcOrd="2" destOrd="0" parTransId="{C18BDA23-A23D-4664-818C-DAA5F68D1A03}" sibTransId="{A9FD2AD6-D158-4509-B287-C5134B9A21A3}"/>
    <dgm:cxn modelId="{A7B2FB75-1D76-4746-9965-8F43DE85976F}" type="presOf" srcId="{D42E9A99-6AF7-45CE-A656-9FA438FD4010}" destId="{E793AC24-99A7-4BFB-B69F-439FD25C664C}" srcOrd="0" destOrd="0" presId="urn:microsoft.com/office/officeart/2005/8/layout/process1"/>
    <dgm:cxn modelId="{3D543957-7F45-44F9-8854-6FB19E5429B1}" type="presOf" srcId="{C6B522E3-51FC-4E3A-ABE5-930D1B245FF7}" destId="{33958866-22BB-4096-8B85-A62907EF5427}" srcOrd="1" destOrd="0" presId="urn:microsoft.com/office/officeart/2005/8/layout/process1"/>
    <dgm:cxn modelId="{98799792-CEE4-4B3A-917F-60C96B6FA3C4}" type="presOf" srcId="{2A191426-F96C-4D68-9302-E8E395E53E1F}" destId="{B5C73725-B862-4B14-A08B-DAB202114E7E}" srcOrd="0" destOrd="0" presId="urn:microsoft.com/office/officeart/2005/8/layout/process1"/>
    <dgm:cxn modelId="{C548F09B-FD3B-45DF-B414-6807C159D024}" srcId="{2A191426-F96C-4D68-9302-E8E395E53E1F}" destId="{20173125-9CE6-424D-8087-6AA6B7B09C11}" srcOrd="1" destOrd="0" parTransId="{49F9AA1E-620C-4931-8165-ED326C6717BB}" sibTransId="{C6B522E3-51FC-4E3A-ABE5-930D1B245FF7}"/>
    <dgm:cxn modelId="{E4AF14CD-E994-4FFC-A205-054F2FA9C050}" type="presOf" srcId="{20173125-9CE6-424D-8087-6AA6B7B09C11}" destId="{B5ECF832-E99D-4E4C-BF38-6B6C9728612A}" srcOrd="0" destOrd="0" presId="urn:microsoft.com/office/officeart/2005/8/layout/process1"/>
    <dgm:cxn modelId="{8D3A50D6-0A6E-46F0-9738-1D2918C65593}" type="presOf" srcId="{41B80227-C405-4C7F-A5E9-D7BE27AD1718}" destId="{E45BE037-9826-45CA-AE8C-7A0486942382}" srcOrd="0" destOrd="0" presId="urn:microsoft.com/office/officeart/2005/8/layout/process1"/>
    <dgm:cxn modelId="{DC8BD9EE-C5BD-4AE4-AFAF-677764B1F94B}" type="presOf" srcId="{C6B522E3-51FC-4E3A-ABE5-930D1B245FF7}" destId="{9FB28F98-921B-4DFD-84DA-11253F77559E}" srcOrd="0" destOrd="0" presId="urn:microsoft.com/office/officeart/2005/8/layout/process1"/>
    <dgm:cxn modelId="{B12051F5-3F90-4D06-B2D5-948F33013F91}" type="presOf" srcId="{CA897A41-33B8-497E-9830-E12B80901CC0}" destId="{434FFE49-0EC1-4833-8057-FA11466226C4}" srcOrd="0" destOrd="0" presId="urn:microsoft.com/office/officeart/2005/8/layout/process1"/>
    <dgm:cxn modelId="{2495450B-DF7F-45FC-B624-245EDFC7E67F}" type="presParOf" srcId="{B5C73725-B862-4B14-A08B-DAB202114E7E}" destId="{434FFE49-0EC1-4833-8057-FA11466226C4}" srcOrd="0" destOrd="0" presId="urn:microsoft.com/office/officeart/2005/8/layout/process1"/>
    <dgm:cxn modelId="{E90823D4-0795-45A8-973A-2557DD698818}" type="presParOf" srcId="{B5C73725-B862-4B14-A08B-DAB202114E7E}" destId="{E45BE037-9826-45CA-AE8C-7A0486942382}" srcOrd="1" destOrd="0" presId="urn:microsoft.com/office/officeart/2005/8/layout/process1"/>
    <dgm:cxn modelId="{739918AD-232E-4FFD-8BB3-8D872E1FD70E}" type="presParOf" srcId="{E45BE037-9826-45CA-AE8C-7A0486942382}" destId="{F7A1EE04-ECA5-4169-8F41-8598C98B1672}" srcOrd="0" destOrd="0" presId="urn:microsoft.com/office/officeart/2005/8/layout/process1"/>
    <dgm:cxn modelId="{069D1D82-285E-4D8F-8F47-80CBBD1215D6}" type="presParOf" srcId="{B5C73725-B862-4B14-A08B-DAB202114E7E}" destId="{B5ECF832-E99D-4E4C-BF38-6B6C9728612A}" srcOrd="2" destOrd="0" presId="urn:microsoft.com/office/officeart/2005/8/layout/process1"/>
    <dgm:cxn modelId="{2B237782-08CE-4957-9FE0-08FB57142342}" type="presParOf" srcId="{B5C73725-B862-4B14-A08B-DAB202114E7E}" destId="{9FB28F98-921B-4DFD-84DA-11253F77559E}" srcOrd="3" destOrd="0" presId="urn:microsoft.com/office/officeart/2005/8/layout/process1"/>
    <dgm:cxn modelId="{05D3A94D-5686-4457-8427-4BF487462945}" type="presParOf" srcId="{9FB28F98-921B-4DFD-84DA-11253F77559E}" destId="{33958866-22BB-4096-8B85-A62907EF5427}" srcOrd="0" destOrd="0" presId="urn:microsoft.com/office/officeart/2005/8/layout/process1"/>
    <dgm:cxn modelId="{786A3A23-3FE5-4293-9496-0DC99A89FA5B}" type="presParOf" srcId="{B5C73725-B862-4B14-A08B-DAB202114E7E}" destId="{E793AC24-99A7-4BFB-B69F-439FD25C664C}" srcOrd="4" destOrd="0" presId="urn:microsoft.com/office/officeart/2005/8/layout/process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D76FC0-A516-4336-9B9A-7DD440D5E9D4}">
      <dsp:nvSpPr>
        <dsp:cNvPr id="0" name=""/>
        <dsp:cNvSpPr/>
      </dsp:nvSpPr>
      <dsp:spPr>
        <a:xfrm>
          <a:off x="1974" y="207184"/>
          <a:ext cx="863078" cy="1137594"/>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Blood glucose rises</a:t>
          </a:r>
        </a:p>
      </dsp:txBody>
      <dsp:txXfrm>
        <a:off x="27253" y="232463"/>
        <a:ext cx="812520" cy="1087036"/>
      </dsp:txXfrm>
    </dsp:sp>
    <dsp:sp modelId="{9C348623-EC13-40D1-8E14-28CB16938D35}">
      <dsp:nvSpPr>
        <dsp:cNvPr id="0" name=""/>
        <dsp:cNvSpPr/>
      </dsp:nvSpPr>
      <dsp:spPr>
        <a:xfrm>
          <a:off x="951360" y="668959"/>
          <a:ext cx="182972" cy="214043"/>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951360" y="711768"/>
        <a:ext cx="128080" cy="128425"/>
      </dsp:txXfrm>
    </dsp:sp>
    <dsp:sp modelId="{83225121-BBEB-4AF9-B456-CDC5BB4F9624}">
      <dsp:nvSpPr>
        <dsp:cNvPr id="0" name=""/>
        <dsp:cNvSpPr/>
      </dsp:nvSpPr>
      <dsp:spPr>
        <a:xfrm>
          <a:off x="1210283" y="207184"/>
          <a:ext cx="863078" cy="1137594"/>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Beta cells release insulin</a:t>
          </a:r>
        </a:p>
      </dsp:txBody>
      <dsp:txXfrm>
        <a:off x="1235562" y="232463"/>
        <a:ext cx="812520" cy="1087036"/>
      </dsp:txXfrm>
    </dsp:sp>
    <dsp:sp modelId="{05E476EC-F98A-49DD-BEDA-4007B6011055}">
      <dsp:nvSpPr>
        <dsp:cNvPr id="0" name=""/>
        <dsp:cNvSpPr/>
      </dsp:nvSpPr>
      <dsp:spPr>
        <a:xfrm>
          <a:off x="2159669" y="668959"/>
          <a:ext cx="182972" cy="214043"/>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159669" y="711768"/>
        <a:ext cx="128080" cy="128425"/>
      </dsp:txXfrm>
    </dsp:sp>
    <dsp:sp modelId="{BABF2E95-F176-4F29-A35A-DD091E05E403}">
      <dsp:nvSpPr>
        <dsp:cNvPr id="0" name=""/>
        <dsp:cNvSpPr/>
      </dsp:nvSpPr>
      <dsp:spPr>
        <a:xfrm>
          <a:off x="2418593" y="207184"/>
          <a:ext cx="863078" cy="1137594"/>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Glucose enters and is stored as glycogen</a:t>
          </a:r>
        </a:p>
      </dsp:txBody>
      <dsp:txXfrm>
        <a:off x="2443872" y="232463"/>
        <a:ext cx="812520" cy="1087036"/>
      </dsp:txXfrm>
    </dsp:sp>
    <dsp:sp modelId="{7D404359-C4AF-40F7-98B5-C2B8E456D041}">
      <dsp:nvSpPr>
        <dsp:cNvPr id="0" name=""/>
        <dsp:cNvSpPr/>
      </dsp:nvSpPr>
      <dsp:spPr>
        <a:xfrm>
          <a:off x="3367979" y="668959"/>
          <a:ext cx="182972" cy="214043"/>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367979" y="711768"/>
        <a:ext cx="128080" cy="128425"/>
      </dsp:txXfrm>
    </dsp:sp>
    <dsp:sp modelId="{E8FDBB3C-CF01-437D-AF34-29C7CDB7BA45}">
      <dsp:nvSpPr>
        <dsp:cNvPr id="0" name=""/>
        <dsp:cNvSpPr/>
      </dsp:nvSpPr>
      <dsp:spPr>
        <a:xfrm>
          <a:off x="3626902" y="207184"/>
          <a:ext cx="863078" cy="1137594"/>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Blood glucose falls towards normal</a:t>
          </a:r>
        </a:p>
      </dsp:txBody>
      <dsp:txXfrm>
        <a:off x="3652181" y="232463"/>
        <a:ext cx="812520" cy="10870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BEBD26-1CD4-4876-AB6E-A492C41094DB}">
      <dsp:nvSpPr>
        <dsp:cNvPr id="0" name=""/>
        <dsp:cNvSpPr/>
      </dsp:nvSpPr>
      <dsp:spPr>
        <a:xfrm>
          <a:off x="2014" y="255564"/>
          <a:ext cx="880776" cy="1153954"/>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Blood glucose falls</a:t>
          </a:r>
        </a:p>
      </dsp:txBody>
      <dsp:txXfrm>
        <a:off x="27811" y="281361"/>
        <a:ext cx="829182" cy="1102360"/>
      </dsp:txXfrm>
    </dsp:sp>
    <dsp:sp modelId="{BB42AF9D-42E0-4978-B2A4-730E040B1DDF}">
      <dsp:nvSpPr>
        <dsp:cNvPr id="0" name=""/>
        <dsp:cNvSpPr/>
      </dsp:nvSpPr>
      <dsp:spPr>
        <a:xfrm>
          <a:off x="970868" y="723325"/>
          <a:ext cx="186724" cy="218432"/>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970868" y="767011"/>
        <a:ext cx="130707" cy="131060"/>
      </dsp:txXfrm>
    </dsp:sp>
    <dsp:sp modelId="{DECCD2A6-4061-43DD-9B30-C6F0BD1C13E5}">
      <dsp:nvSpPr>
        <dsp:cNvPr id="0" name=""/>
        <dsp:cNvSpPr/>
      </dsp:nvSpPr>
      <dsp:spPr>
        <a:xfrm>
          <a:off x="1235101" y="255564"/>
          <a:ext cx="880776" cy="1153954"/>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Alpha cells release glucagon</a:t>
          </a:r>
        </a:p>
      </dsp:txBody>
      <dsp:txXfrm>
        <a:off x="1260898" y="281361"/>
        <a:ext cx="829182" cy="1102360"/>
      </dsp:txXfrm>
    </dsp:sp>
    <dsp:sp modelId="{77529E8C-C88B-42A8-B3C0-969D7112E65E}">
      <dsp:nvSpPr>
        <dsp:cNvPr id="0" name=""/>
        <dsp:cNvSpPr/>
      </dsp:nvSpPr>
      <dsp:spPr>
        <a:xfrm>
          <a:off x="2203954" y="723325"/>
          <a:ext cx="186724" cy="218432"/>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203954" y="767011"/>
        <a:ext cx="130707" cy="131060"/>
      </dsp:txXfrm>
    </dsp:sp>
    <dsp:sp modelId="{6475C8D1-11FE-4768-87A2-2F8B86524080}">
      <dsp:nvSpPr>
        <dsp:cNvPr id="0" name=""/>
        <dsp:cNvSpPr/>
      </dsp:nvSpPr>
      <dsp:spPr>
        <a:xfrm>
          <a:off x="2468187" y="255564"/>
          <a:ext cx="880776" cy="1153954"/>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Liver breaks down glycogen and releases glucose</a:t>
          </a:r>
        </a:p>
      </dsp:txBody>
      <dsp:txXfrm>
        <a:off x="2493984" y="281361"/>
        <a:ext cx="829182" cy="1102360"/>
      </dsp:txXfrm>
    </dsp:sp>
    <dsp:sp modelId="{17F46052-F0DB-4858-94AC-F70B29FC2342}">
      <dsp:nvSpPr>
        <dsp:cNvPr id="0" name=""/>
        <dsp:cNvSpPr/>
      </dsp:nvSpPr>
      <dsp:spPr>
        <a:xfrm>
          <a:off x="3437041" y="723325"/>
          <a:ext cx="186724" cy="218432"/>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437041" y="767011"/>
        <a:ext cx="130707" cy="131060"/>
      </dsp:txXfrm>
    </dsp:sp>
    <dsp:sp modelId="{4F224B09-8933-4106-8DAB-E208748290E0}">
      <dsp:nvSpPr>
        <dsp:cNvPr id="0" name=""/>
        <dsp:cNvSpPr/>
      </dsp:nvSpPr>
      <dsp:spPr>
        <a:xfrm>
          <a:off x="3701274" y="255564"/>
          <a:ext cx="880776" cy="1153954"/>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Blood glucose rises towards normal</a:t>
          </a:r>
        </a:p>
      </dsp:txBody>
      <dsp:txXfrm>
        <a:off x="3727071" y="281361"/>
        <a:ext cx="829182" cy="11023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4FFE49-0EC1-4833-8057-FA11466226C4}">
      <dsp:nvSpPr>
        <dsp:cNvPr id="0" name=""/>
        <dsp:cNvSpPr/>
      </dsp:nvSpPr>
      <dsp:spPr>
        <a:xfrm>
          <a:off x="4763" y="647340"/>
          <a:ext cx="1423678" cy="15548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Glycolysis</a:t>
          </a:r>
        </a:p>
        <a:p>
          <a:pPr marL="0" lvl="0" indent="0" algn="ctr" defTabSz="533400">
            <a:lnSpc>
              <a:spcPct val="90000"/>
            </a:lnSpc>
            <a:spcBef>
              <a:spcPct val="0"/>
            </a:spcBef>
            <a:spcAft>
              <a:spcPct val="35000"/>
            </a:spcAft>
            <a:buNone/>
          </a:pPr>
          <a:r>
            <a:rPr lang="en-GB" sz="1200" kern="1200"/>
            <a:t>Cytoplasm</a:t>
          </a:r>
        </a:p>
        <a:p>
          <a:pPr marL="0" lvl="0" indent="0" algn="ctr" defTabSz="533400">
            <a:lnSpc>
              <a:spcPct val="90000"/>
            </a:lnSpc>
            <a:spcBef>
              <a:spcPct val="0"/>
            </a:spcBef>
            <a:spcAft>
              <a:spcPct val="35000"/>
            </a:spcAft>
            <a:buNone/>
          </a:pPr>
          <a:r>
            <a:rPr lang="en-GB" sz="1200" kern="1200"/>
            <a:t>Glucose</a:t>
          </a:r>
          <a14:m xmlns:a14="http://schemas.microsoft.com/office/drawing/2010/main">
            <m:oMath xmlns:m="http://schemas.openxmlformats.org/officeDocument/2006/math">
              <m:r>
                <a:rPr lang="en-GB" sz="1200" i="1" kern="1200">
                  <a:latin typeface="Cambria Math" panose="02040503050406030204" pitchFamily="18" charset="0"/>
                  <a:ea typeface="Cambria Math" panose="02040503050406030204" pitchFamily="18" charset="0"/>
                </a:rPr>
                <m:t>→</m:t>
              </m:r>
            </m:oMath>
          </a14:m>
          <a:r>
            <a:rPr lang="en-GB" sz="1200" kern="1200"/>
            <a:t>2pyruvate</a:t>
          </a:r>
        </a:p>
        <a:p>
          <a:pPr marL="0" lvl="0" indent="0" algn="ctr" defTabSz="533400">
            <a:lnSpc>
              <a:spcPct val="90000"/>
            </a:lnSpc>
            <a:spcBef>
              <a:spcPct val="0"/>
            </a:spcBef>
            <a:spcAft>
              <a:spcPct val="35000"/>
            </a:spcAft>
            <a:buNone/>
          </a:pPr>
          <a:r>
            <a:rPr lang="en-GB" sz="1200" kern="1200"/>
            <a:t>2 ATP + NADH</a:t>
          </a:r>
        </a:p>
      </dsp:txBody>
      <dsp:txXfrm>
        <a:off x="46461" y="689038"/>
        <a:ext cx="1340282" cy="1471449"/>
      </dsp:txXfrm>
    </dsp:sp>
    <dsp:sp modelId="{E45BE037-9826-45CA-AE8C-7A0486942382}">
      <dsp:nvSpPr>
        <dsp:cNvPr id="0" name=""/>
        <dsp:cNvSpPr/>
      </dsp:nvSpPr>
      <dsp:spPr>
        <a:xfrm>
          <a:off x="1570809" y="1248226"/>
          <a:ext cx="301819" cy="35307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1570809" y="1318840"/>
        <a:ext cx="211273" cy="211844"/>
      </dsp:txXfrm>
    </dsp:sp>
    <dsp:sp modelId="{B5ECF832-E99D-4E4C-BF38-6B6C9728612A}">
      <dsp:nvSpPr>
        <dsp:cNvPr id="0" name=""/>
        <dsp:cNvSpPr/>
      </dsp:nvSpPr>
      <dsp:spPr>
        <a:xfrm>
          <a:off x="1997912" y="647340"/>
          <a:ext cx="1423678" cy="15548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Krebs Cycle</a:t>
          </a:r>
        </a:p>
        <a:p>
          <a:pPr marL="0" lvl="0" indent="0" algn="ctr" defTabSz="533400">
            <a:lnSpc>
              <a:spcPct val="90000"/>
            </a:lnSpc>
            <a:spcBef>
              <a:spcPct val="0"/>
            </a:spcBef>
            <a:spcAft>
              <a:spcPct val="35000"/>
            </a:spcAft>
            <a:buNone/>
          </a:pPr>
          <a:r>
            <a:rPr lang="en-GB" sz="1200" kern="1200"/>
            <a:t>Mitochondrial matrix</a:t>
          </a:r>
        </a:p>
        <a:p>
          <a:pPr marL="0" lvl="0" indent="0" algn="ctr" defTabSz="533400">
            <a:lnSpc>
              <a:spcPct val="90000"/>
            </a:lnSpc>
            <a:spcBef>
              <a:spcPct val="0"/>
            </a:spcBef>
            <a:spcAft>
              <a:spcPct val="35000"/>
            </a:spcAft>
            <a:buNone/>
          </a:pPr>
          <a:r>
            <a:rPr lang="en-GB" sz="1200" kern="1200"/>
            <a:t>CO</a:t>
          </a:r>
          <a:r>
            <a:rPr lang="en-GB" sz="1200" kern="1200" baseline="-25000"/>
            <a:t>2 </a:t>
          </a:r>
          <a:r>
            <a:rPr lang="en-GB" sz="1200" kern="1200" baseline="0"/>
            <a:t>+ a small amount of ATP </a:t>
          </a:r>
        </a:p>
        <a:p>
          <a:pPr marL="0" lvl="0" indent="0" algn="ctr" defTabSz="533400">
            <a:lnSpc>
              <a:spcPct val="90000"/>
            </a:lnSpc>
            <a:spcBef>
              <a:spcPct val="0"/>
            </a:spcBef>
            <a:spcAft>
              <a:spcPct val="35000"/>
            </a:spcAft>
            <a:buNone/>
          </a:pPr>
          <a:r>
            <a:rPr lang="en-GB" sz="1200" kern="1200" baseline="0"/>
            <a:t>NADH + FADH</a:t>
          </a:r>
          <a:r>
            <a:rPr lang="en-GB" sz="1200" kern="1200" baseline="-25000"/>
            <a:t>2</a:t>
          </a:r>
          <a:endParaRPr lang="en-GB" sz="1200" kern="1200"/>
        </a:p>
      </dsp:txBody>
      <dsp:txXfrm>
        <a:off x="2039610" y="689038"/>
        <a:ext cx="1340282" cy="1471449"/>
      </dsp:txXfrm>
    </dsp:sp>
    <dsp:sp modelId="{9FB28F98-921B-4DFD-84DA-11253F77559E}">
      <dsp:nvSpPr>
        <dsp:cNvPr id="0" name=""/>
        <dsp:cNvSpPr/>
      </dsp:nvSpPr>
      <dsp:spPr>
        <a:xfrm>
          <a:off x="3563958" y="1248226"/>
          <a:ext cx="301819" cy="35307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563958" y="1318840"/>
        <a:ext cx="211273" cy="211844"/>
      </dsp:txXfrm>
    </dsp:sp>
    <dsp:sp modelId="{E793AC24-99A7-4BFB-B69F-439FD25C664C}">
      <dsp:nvSpPr>
        <dsp:cNvPr id="0" name=""/>
        <dsp:cNvSpPr/>
      </dsp:nvSpPr>
      <dsp:spPr>
        <a:xfrm>
          <a:off x="3991061" y="647340"/>
          <a:ext cx="1423678" cy="15548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Oxidative phosphorylation </a:t>
          </a:r>
        </a:p>
        <a:p>
          <a:pPr marL="0" lvl="0" indent="0" algn="ctr" defTabSz="533400">
            <a:lnSpc>
              <a:spcPct val="90000"/>
            </a:lnSpc>
            <a:spcBef>
              <a:spcPct val="0"/>
            </a:spcBef>
            <a:spcAft>
              <a:spcPct val="35000"/>
            </a:spcAft>
            <a:buNone/>
          </a:pPr>
          <a:r>
            <a:rPr lang="en-GB" sz="1200" kern="1200"/>
            <a:t>Inner mitochondrial membrane</a:t>
          </a:r>
        </a:p>
        <a:p>
          <a:pPr marL="0" lvl="0" indent="0" algn="ctr" defTabSz="533400">
            <a:lnSpc>
              <a:spcPct val="90000"/>
            </a:lnSpc>
            <a:spcBef>
              <a:spcPct val="0"/>
            </a:spcBef>
            <a:spcAft>
              <a:spcPct val="35000"/>
            </a:spcAft>
            <a:buNone/>
          </a:pPr>
          <a:r>
            <a:rPr lang="en-GB" sz="1200" kern="1200"/>
            <a:t>Oxygen is used</a:t>
          </a:r>
        </a:p>
        <a:p>
          <a:pPr marL="0" lvl="0" indent="0" algn="ctr" defTabSz="533400">
            <a:lnSpc>
              <a:spcPct val="90000"/>
            </a:lnSpc>
            <a:spcBef>
              <a:spcPct val="0"/>
            </a:spcBef>
            <a:spcAft>
              <a:spcPct val="35000"/>
            </a:spcAft>
            <a:buNone/>
          </a:pPr>
          <a:r>
            <a:rPr lang="en-GB" sz="1200" kern="1200"/>
            <a:t>Most ATP is produced</a:t>
          </a:r>
        </a:p>
      </dsp:txBody>
      <dsp:txXfrm>
        <a:off x="4032759" y="689038"/>
        <a:ext cx="1340282" cy="147144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1</Pages>
  <Words>2784</Words>
  <Characters>15871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Natalja Golub (2440433)</cp:lastModifiedBy>
  <cp:revision>10</cp:revision>
  <dcterms:created xsi:type="dcterms:W3CDTF">2026-07-31T13:32:00Z</dcterms:created>
  <dcterms:modified xsi:type="dcterms:W3CDTF">2026-07-31T15:36:00Z</dcterms:modified>
</cp:coreProperties>
</file>