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8BED7" w14:textId="77777777" w:rsidR="009426B2" w:rsidRPr="006C7CD8" w:rsidRDefault="009426B2" w:rsidP="009426B2">
      <w:pPr>
        <w:jc w:val="center"/>
        <w:rPr>
          <w:rFonts w:ascii="Arial" w:hAnsi="Arial" w:cs="Arial"/>
          <w:b/>
          <w:bCs/>
          <w:sz w:val="22"/>
          <w:szCs w:val="22"/>
        </w:rPr>
      </w:pPr>
    </w:p>
    <w:p w14:paraId="121DF734" w14:textId="77777777" w:rsidR="009426B2" w:rsidRPr="006C7CD8" w:rsidRDefault="009426B2" w:rsidP="009426B2">
      <w:pPr>
        <w:jc w:val="center"/>
        <w:rPr>
          <w:rFonts w:ascii="Arial" w:hAnsi="Arial" w:cs="Arial"/>
          <w:b/>
          <w:bCs/>
          <w:sz w:val="22"/>
          <w:szCs w:val="22"/>
        </w:rPr>
      </w:pPr>
    </w:p>
    <w:p w14:paraId="22A1491A" w14:textId="77777777" w:rsidR="009426B2" w:rsidRPr="006C7CD8" w:rsidRDefault="009426B2" w:rsidP="009426B2">
      <w:pPr>
        <w:jc w:val="center"/>
        <w:rPr>
          <w:rFonts w:ascii="Arial" w:hAnsi="Arial" w:cs="Arial"/>
          <w:b/>
          <w:bCs/>
          <w:sz w:val="22"/>
          <w:szCs w:val="22"/>
        </w:rPr>
      </w:pPr>
    </w:p>
    <w:p w14:paraId="207E41AA" w14:textId="77777777" w:rsidR="009426B2" w:rsidRPr="006C7CD8" w:rsidRDefault="009426B2" w:rsidP="009426B2">
      <w:pPr>
        <w:jc w:val="center"/>
        <w:rPr>
          <w:rFonts w:ascii="Arial" w:hAnsi="Arial" w:cs="Arial"/>
          <w:b/>
          <w:bCs/>
          <w:sz w:val="22"/>
          <w:szCs w:val="22"/>
        </w:rPr>
      </w:pPr>
    </w:p>
    <w:p w14:paraId="26A9DAB8" w14:textId="77777777" w:rsidR="009426B2" w:rsidRPr="006C7CD8" w:rsidRDefault="009426B2" w:rsidP="009426B2">
      <w:pPr>
        <w:jc w:val="center"/>
        <w:rPr>
          <w:rFonts w:ascii="Arial" w:hAnsi="Arial" w:cs="Arial"/>
          <w:b/>
          <w:bCs/>
          <w:sz w:val="22"/>
          <w:szCs w:val="22"/>
        </w:rPr>
      </w:pPr>
    </w:p>
    <w:p w14:paraId="5D389504" w14:textId="77777777" w:rsidR="009426B2" w:rsidRPr="006C7CD8" w:rsidRDefault="009426B2" w:rsidP="009426B2">
      <w:pPr>
        <w:jc w:val="center"/>
        <w:rPr>
          <w:rFonts w:ascii="Arial" w:hAnsi="Arial" w:cs="Arial"/>
          <w:b/>
          <w:bCs/>
          <w:sz w:val="22"/>
          <w:szCs w:val="22"/>
        </w:rPr>
      </w:pPr>
    </w:p>
    <w:p w14:paraId="5EB9A1ED" w14:textId="77777777" w:rsidR="009426B2" w:rsidRPr="006C7CD8" w:rsidRDefault="009426B2" w:rsidP="009426B2">
      <w:pPr>
        <w:jc w:val="center"/>
        <w:rPr>
          <w:rFonts w:ascii="Arial" w:hAnsi="Arial" w:cs="Arial"/>
          <w:b/>
          <w:bCs/>
          <w:sz w:val="22"/>
          <w:szCs w:val="22"/>
        </w:rPr>
      </w:pPr>
    </w:p>
    <w:p w14:paraId="1285FB62" w14:textId="77777777" w:rsidR="009426B2" w:rsidRPr="006C7CD8" w:rsidRDefault="009426B2" w:rsidP="009426B2">
      <w:pPr>
        <w:jc w:val="center"/>
        <w:rPr>
          <w:rFonts w:ascii="Arial" w:hAnsi="Arial" w:cs="Arial"/>
          <w:b/>
          <w:bCs/>
          <w:sz w:val="22"/>
          <w:szCs w:val="22"/>
        </w:rPr>
      </w:pPr>
    </w:p>
    <w:p w14:paraId="3909A2DD" w14:textId="77777777" w:rsidR="009426B2" w:rsidRPr="006C7CD8" w:rsidRDefault="009426B2" w:rsidP="009426B2">
      <w:pPr>
        <w:jc w:val="center"/>
        <w:rPr>
          <w:rFonts w:ascii="Arial" w:hAnsi="Arial" w:cs="Arial"/>
          <w:b/>
          <w:bCs/>
          <w:sz w:val="22"/>
          <w:szCs w:val="22"/>
        </w:rPr>
      </w:pPr>
    </w:p>
    <w:p w14:paraId="41B9BDF8" w14:textId="77777777" w:rsidR="009426B2" w:rsidRPr="006C7CD8" w:rsidRDefault="009426B2" w:rsidP="009426B2">
      <w:pPr>
        <w:jc w:val="center"/>
        <w:rPr>
          <w:rFonts w:ascii="Arial" w:hAnsi="Arial" w:cs="Arial"/>
          <w:b/>
          <w:bCs/>
          <w:sz w:val="22"/>
          <w:szCs w:val="22"/>
        </w:rPr>
      </w:pPr>
    </w:p>
    <w:p w14:paraId="0DB9AA17" w14:textId="77777777" w:rsidR="009426B2" w:rsidRPr="006C7CD8" w:rsidRDefault="009426B2" w:rsidP="009426B2">
      <w:pPr>
        <w:jc w:val="center"/>
        <w:rPr>
          <w:rFonts w:ascii="Arial" w:hAnsi="Arial" w:cs="Arial"/>
          <w:b/>
          <w:bCs/>
          <w:sz w:val="22"/>
          <w:szCs w:val="22"/>
        </w:rPr>
      </w:pPr>
    </w:p>
    <w:p w14:paraId="26BEE36A" w14:textId="77777777" w:rsidR="009426B2" w:rsidRPr="006C7CD8" w:rsidRDefault="009426B2" w:rsidP="009426B2">
      <w:pPr>
        <w:jc w:val="center"/>
        <w:rPr>
          <w:rFonts w:ascii="Arial" w:hAnsi="Arial" w:cs="Arial"/>
          <w:b/>
          <w:bCs/>
          <w:sz w:val="22"/>
          <w:szCs w:val="22"/>
        </w:rPr>
      </w:pPr>
    </w:p>
    <w:p w14:paraId="04270FAF" w14:textId="77777777" w:rsidR="009426B2" w:rsidRPr="006C7CD8" w:rsidRDefault="009426B2" w:rsidP="009426B2">
      <w:pPr>
        <w:jc w:val="center"/>
        <w:rPr>
          <w:rFonts w:ascii="Arial" w:hAnsi="Arial" w:cs="Arial"/>
          <w:b/>
          <w:bCs/>
          <w:sz w:val="22"/>
          <w:szCs w:val="22"/>
        </w:rPr>
      </w:pPr>
      <w:r w:rsidRPr="006C7CD8">
        <w:rPr>
          <w:rFonts w:ascii="Arial" w:hAnsi="Arial" w:cs="Arial"/>
          <w:b/>
          <w:bCs/>
          <w:sz w:val="22"/>
          <w:szCs w:val="22"/>
        </w:rPr>
        <w:t>5HR02 Talent Management and Workforce Planning</w:t>
      </w:r>
    </w:p>
    <w:p w14:paraId="69916C90" w14:textId="77777777" w:rsidR="009426B2" w:rsidRPr="006C7CD8" w:rsidRDefault="009426B2" w:rsidP="009426B2">
      <w:pPr>
        <w:jc w:val="center"/>
        <w:rPr>
          <w:rFonts w:ascii="Arial" w:hAnsi="Arial" w:cs="Arial"/>
          <w:b/>
          <w:bCs/>
          <w:sz w:val="22"/>
          <w:szCs w:val="22"/>
        </w:rPr>
      </w:pPr>
      <w:r w:rsidRPr="006C7CD8">
        <w:rPr>
          <w:rFonts w:ascii="Arial" w:hAnsi="Arial" w:cs="Arial"/>
          <w:b/>
          <w:bCs/>
          <w:sz w:val="22"/>
          <w:szCs w:val="22"/>
        </w:rPr>
        <w:t>by Keera Crabb (8936430)</w:t>
      </w:r>
    </w:p>
    <w:p w14:paraId="0AFEAECD" w14:textId="7D3025EA" w:rsidR="009426B2" w:rsidRPr="006C7CD8" w:rsidRDefault="009426B2" w:rsidP="009426B2">
      <w:pPr>
        <w:jc w:val="center"/>
        <w:rPr>
          <w:rFonts w:ascii="Arial" w:hAnsi="Arial" w:cs="Arial"/>
          <w:sz w:val="22"/>
          <w:szCs w:val="22"/>
        </w:rPr>
      </w:pPr>
      <w:r w:rsidRPr="006C7CD8">
        <w:rPr>
          <w:rFonts w:ascii="Arial" w:hAnsi="Arial" w:cs="Arial"/>
          <w:sz w:val="22"/>
          <w:szCs w:val="22"/>
        </w:rPr>
        <w:t>Word count: 4,1</w:t>
      </w:r>
      <w:r>
        <w:rPr>
          <w:rFonts w:ascii="Arial" w:hAnsi="Arial" w:cs="Arial"/>
          <w:sz w:val="22"/>
          <w:szCs w:val="22"/>
        </w:rPr>
        <w:t>23</w:t>
      </w:r>
    </w:p>
    <w:p w14:paraId="6784A3D2" w14:textId="77777777" w:rsidR="009426B2" w:rsidRPr="006C7CD8" w:rsidRDefault="009426B2" w:rsidP="009426B2">
      <w:pPr>
        <w:jc w:val="center"/>
        <w:rPr>
          <w:rFonts w:ascii="Arial" w:hAnsi="Arial" w:cs="Arial"/>
          <w:sz w:val="22"/>
          <w:szCs w:val="22"/>
        </w:rPr>
      </w:pPr>
    </w:p>
    <w:p w14:paraId="668D95B7" w14:textId="77777777" w:rsidR="009426B2" w:rsidRPr="006C7CD8" w:rsidRDefault="009426B2" w:rsidP="009426B2">
      <w:pPr>
        <w:jc w:val="center"/>
        <w:rPr>
          <w:rFonts w:ascii="Arial" w:hAnsi="Arial" w:cs="Arial"/>
          <w:sz w:val="22"/>
          <w:szCs w:val="22"/>
        </w:rPr>
      </w:pPr>
    </w:p>
    <w:p w14:paraId="60B572EF" w14:textId="77777777" w:rsidR="009426B2" w:rsidRPr="006C7CD8" w:rsidRDefault="009426B2" w:rsidP="009426B2">
      <w:pPr>
        <w:jc w:val="center"/>
        <w:rPr>
          <w:rFonts w:ascii="Arial" w:hAnsi="Arial" w:cs="Arial"/>
          <w:sz w:val="22"/>
          <w:szCs w:val="22"/>
        </w:rPr>
      </w:pPr>
    </w:p>
    <w:p w14:paraId="2C07126B" w14:textId="77777777" w:rsidR="009426B2" w:rsidRPr="006C7CD8" w:rsidRDefault="009426B2" w:rsidP="009426B2">
      <w:pPr>
        <w:jc w:val="center"/>
        <w:rPr>
          <w:rFonts w:ascii="Arial" w:hAnsi="Arial" w:cs="Arial"/>
          <w:sz w:val="22"/>
          <w:szCs w:val="22"/>
        </w:rPr>
      </w:pPr>
    </w:p>
    <w:p w14:paraId="265A5350" w14:textId="77777777" w:rsidR="009426B2" w:rsidRPr="006C7CD8" w:rsidRDefault="009426B2" w:rsidP="009426B2">
      <w:pPr>
        <w:jc w:val="center"/>
        <w:rPr>
          <w:rFonts w:ascii="Arial" w:hAnsi="Arial" w:cs="Arial"/>
          <w:sz w:val="22"/>
          <w:szCs w:val="22"/>
        </w:rPr>
      </w:pPr>
    </w:p>
    <w:p w14:paraId="723ADFA1" w14:textId="77777777" w:rsidR="009426B2" w:rsidRPr="006C7CD8" w:rsidRDefault="009426B2" w:rsidP="009426B2">
      <w:pPr>
        <w:jc w:val="center"/>
        <w:rPr>
          <w:rFonts w:ascii="Arial" w:hAnsi="Arial" w:cs="Arial"/>
          <w:sz w:val="22"/>
          <w:szCs w:val="22"/>
        </w:rPr>
      </w:pPr>
    </w:p>
    <w:p w14:paraId="57A20CD6" w14:textId="77777777" w:rsidR="009426B2" w:rsidRPr="006C7CD8" w:rsidRDefault="009426B2" w:rsidP="009426B2">
      <w:pPr>
        <w:jc w:val="center"/>
        <w:rPr>
          <w:rFonts w:ascii="Arial" w:hAnsi="Arial" w:cs="Arial"/>
          <w:sz w:val="22"/>
          <w:szCs w:val="22"/>
        </w:rPr>
      </w:pPr>
    </w:p>
    <w:p w14:paraId="7ED35690" w14:textId="77777777" w:rsidR="009426B2" w:rsidRPr="006C7CD8" w:rsidRDefault="009426B2" w:rsidP="009426B2">
      <w:pPr>
        <w:jc w:val="center"/>
        <w:rPr>
          <w:rFonts w:ascii="Arial" w:hAnsi="Arial" w:cs="Arial"/>
          <w:sz w:val="22"/>
          <w:szCs w:val="22"/>
        </w:rPr>
      </w:pPr>
    </w:p>
    <w:p w14:paraId="0CACD6F0" w14:textId="77777777" w:rsidR="009426B2" w:rsidRPr="006C7CD8" w:rsidRDefault="009426B2" w:rsidP="009426B2">
      <w:pPr>
        <w:jc w:val="center"/>
        <w:rPr>
          <w:rFonts w:ascii="Arial" w:hAnsi="Arial" w:cs="Arial"/>
          <w:sz w:val="22"/>
          <w:szCs w:val="22"/>
        </w:rPr>
      </w:pPr>
    </w:p>
    <w:p w14:paraId="5DBE7C25" w14:textId="77777777" w:rsidR="009426B2" w:rsidRPr="006C7CD8" w:rsidRDefault="009426B2" w:rsidP="009426B2">
      <w:pPr>
        <w:jc w:val="center"/>
        <w:rPr>
          <w:rFonts w:ascii="Arial" w:hAnsi="Arial" w:cs="Arial"/>
          <w:sz w:val="22"/>
          <w:szCs w:val="22"/>
        </w:rPr>
      </w:pPr>
    </w:p>
    <w:p w14:paraId="6FAD71CD" w14:textId="77777777" w:rsidR="009426B2" w:rsidRPr="006C7CD8" w:rsidRDefault="009426B2" w:rsidP="009426B2">
      <w:pPr>
        <w:jc w:val="center"/>
        <w:rPr>
          <w:rFonts w:ascii="Arial" w:hAnsi="Arial" w:cs="Arial"/>
          <w:sz w:val="22"/>
          <w:szCs w:val="22"/>
        </w:rPr>
      </w:pPr>
    </w:p>
    <w:p w14:paraId="6BF3C7EC" w14:textId="77777777" w:rsidR="009426B2" w:rsidRPr="006C7CD8" w:rsidRDefault="009426B2" w:rsidP="009426B2">
      <w:pPr>
        <w:jc w:val="center"/>
        <w:rPr>
          <w:rFonts w:ascii="Arial" w:hAnsi="Arial" w:cs="Arial"/>
          <w:sz w:val="22"/>
          <w:szCs w:val="22"/>
        </w:rPr>
      </w:pPr>
    </w:p>
    <w:p w14:paraId="02498BB8" w14:textId="77777777" w:rsidR="009426B2" w:rsidRPr="006C7CD8" w:rsidRDefault="009426B2" w:rsidP="009426B2">
      <w:pPr>
        <w:jc w:val="center"/>
        <w:rPr>
          <w:rFonts w:ascii="Arial" w:hAnsi="Arial" w:cs="Arial"/>
          <w:sz w:val="22"/>
          <w:szCs w:val="22"/>
        </w:rPr>
      </w:pPr>
    </w:p>
    <w:p w14:paraId="5A81C35F" w14:textId="77777777" w:rsidR="009426B2" w:rsidRDefault="009426B2" w:rsidP="009426B2">
      <w:pPr>
        <w:rPr>
          <w:rFonts w:ascii="Arial" w:hAnsi="Arial" w:cs="Arial"/>
          <w:b/>
          <w:bCs/>
          <w:sz w:val="22"/>
          <w:szCs w:val="22"/>
        </w:rPr>
      </w:pPr>
    </w:p>
    <w:p w14:paraId="3F30EFD3" w14:textId="77777777" w:rsidR="009426B2" w:rsidRDefault="009426B2" w:rsidP="009426B2">
      <w:pPr>
        <w:rPr>
          <w:rFonts w:ascii="Arial" w:hAnsi="Arial" w:cs="Arial"/>
          <w:b/>
          <w:bCs/>
          <w:sz w:val="22"/>
          <w:szCs w:val="22"/>
        </w:rPr>
      </w:pPr>
    </w:p>
    <w:p w14:paraId="536D5A1A" w14:textId="77777777" w:rsidR="009426B2" w:rsidRPr="006C7CD8" w:rsidRDefault="009426B2" w:rsidP="009426B2">
      <w:pPr>
        <w:rPr>
          <w:rFonts w:ascii="Arial" w:hAnsi="Arial" w:cs="Arial"/>
          <w:sz w:val="22"/>
          <w:szCs w:val="22"/>
        </w:rPr>
      </w:pPr>
      <w:r w:rsidRPr="006C7CD8">
        <w:rPr>
          <w:rFonts w:ascii="Arial" w:hAnsi="Arial" w:cs="Arial"/>
          <w:b/>
          <w:bCs/>
          <w:sz w:val="22"/>
          <w:szCs w:val="22"/>
        </w:rPr>
        <w:lastRenderedPageBreak/>
        <w:t xml:space="preserve">AC 1.1 </w:t>
      </w:r>
      <w:r w:rsidRPr="006C7CD8">
        <w:rPr>
          <w:rFonts w:ascii="Arial" w:hAnsi="Arial" w:cs="Arial"/>
          <w:sz w:val="22"/>
          <w:szCs w:val="22"/>
        </w:rPr>
        <w:t xml:space="preserve">As part of an initial review of </w:t>
      </w:r>
      <w:proofErr w:type="spellStart"/>
      <w:r w:rsidRPr="006C7CD8">
        <w:rPr>
          <w:rFonts w:ascii="Arial" w:hAnsi="Arial" w:cs="Arial"/>
          <w:sz w:val="22"/>
          <w:szCs w:val="22"/>
        </w:rPr>
        <w:t>ParcelCare’s</w:t>
      </w:r>
      <w:proofErr w:type="spellEnd"/>
      <w:r w:rsidRPr="006C7CD8">
        <w:rPr>
          <w:rFonts w:ascii="Arial" w:hAnsi="Arial" w:cs="Arial"/>
          <w:sz w:val="22"/>
          <w:szCs w:val="22"/>
        </w:rPr>
        <w:t xml:space="preserve"> workforce challenges, consideration has been given to current labour market conditions and the organisation’s position within an increasingly competitive logistics sector. CIPD (2025a) highlights ongoing labour shortages, rising pay expectations and continued competition from flexible and gig-economy work, particularly within operational logistics roles. These conditions mean organisations such as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must adopt more strategic approaches to attraction and retention.</w:t>
      </w:r>
    </w:p>
    <w:p w14:paraId="2526793B"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A core element of strategic positioning is competitor analysis. Armstrong and Taylor (2023) emphasise that organisations should assess their strengths and weaknesses as an employer, including pay, benefits, working conditions, training, career prospects and job security. Understanding how competitors structure workloads, manage shift patterns and support employee development enables employers to benchmark their offer and identify areas for meaningful </w:t>
      </w:r>
      <w:r>
        <w:rPr>
          <w:rFonts w:ascii="Arial" w:hAnsi="Arial" w:cs="Arial"/>
          <w:sz w:val="22"/>
          <w:szCs w:val="22"/>
        </w:rPr>
        <w:t>change</w:t>
      </w:r>
      <w:r w:rsidRPr="006C7CD8">
        <w:rPr>
          <w:rFonts w:ascii="Arial" w:hAnsi="Arial" w:cs="Arial"/>
          <w:sz w:val="22"/>
          <w:szCs w:val="22"/>
        </w:rPr>
        <w:t>. This is especially relevant in parcel delivery, where new</w:t>
      </w:r>
      <w:r>
        <w:rPr>
          <w:rFonts w:ascii="Arial" w:hAnsi="Arial" w:cs="Arial"/>
          <w:sz w:val="22"/>
          <w:szCs w:val="22"/>
        </w:rPr>
        <w:t xml:space="preserve"> candidates </w:t>
      </w:r>
      <w:r w:rsidRPr="006C7CD8">
        <w:rPr>
          <w:rFonts w:ascii="Arial" w:hAnsi="Arial" w:cs="Arial"/>
          <w:sz w:val="22"/>
          <w:szCs w:val="22"/>
        </w:rPr>
        <w:t>may compete on flexibility or incentives rather than long-term employment stability.</w:t>
      </w:r>
    </w:p>
    <w:p w14:paraId="5005817B"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Employer brand also plays a significant role in labour market competitiveness. Armstrong and Taylor (2023) describe employer brand as the organisation’s image, shaped by fair treatment, development opportunities, management quality and overall organisational reputation. CIPD (2025b) guidance reinforces that employer brands must be authentic and aligned with the real employee experience </w:t>
      </w:r>
      <w:proofErr w:type="gramStart"/>
      <w:r w:rsidRPr="006C7CD8">
        <w:rPr>
          <w:rFonts w:ascii="Arial" w:hAnsi="Arial" w:cs="Arial"/>
          <w:sz w:val="22"/>
          <w:szCs w:val="22"/>
        </w:rPr>
        <w:t>in order to</w:t>
      </w:r>
      <w:proofErr w:type="gramEnd"/>
      <w:r w:rsidRPr="006C7CD8">
        <w:rPr>
          <w:rFonts w:ascii="Arial" w:hAnsi="Arial" w:cs="Arial"/>
          <w:sz w:val="22"/>
          <w:szCs w:val="22"/>
        </w:rPr>
        <w:t xml:space="preserve"> attract and retain staff. For </w:t>
      </w:r>
      <w:proofErr w:type="spellStart"/>
      <w:r w:rsidRPr="006C7CD8">
        <w:rPr>
          <w:rFonts w:ascii="Arial" w:hAnsi="Arial" w:cs="Arial"/>
          <w:sz w:val="22"/>
          <w:szCs w:val="22"/>
        </w:rPr>
        <w:t>ParcelCare</w:t>
      </w:r>
      <w:proofErr w:type="spellEnd"/>
      <w:r w:rsidRPr="006C7CD8">
        <w:rPr>
          <w:rFonts w:ascii="Arial" w:hAnsi="Arial" w:cs="Arial"/>
          <w:sz w:val="22"/>
          <w:szCs w:val="22"/>
        </w:rPr>
        <w:t>, placing greater emphasis on secure employment, supportive management and realistic workload expectations would help strengthen its position compared with less secure, gig-based alternatives.</w:t>
      </w:r>
    </w:p>
    <w:p w14:paraId="7E453C99" w14:textId="77777777" w:rsidR="009426B2" w:rsidRPr="006C7CD8" w:rsidRDefault="009426B2" w:rsidP="009426B2">
      <w:pPr>
        <w:rPr>
          <w:rFonts w:ascii="Arial" w:hAnsi="Arial" w:cs="Arial"/>
          <w:sz w:val="22"/>
          <w:szCs w:val="22"/>
        </w:rPr>
      </w:pPr>
      <w:r w:rsidRPr="006C7CD8">
        <w:rPr>
          <w:rFonts w:ascii="Arial" w:hAnsi="Arial" w:cs="Arial"/>
          <w:sz w:val="22"/>
          <w:szCs w:val="22"/>
        </w:rPr>
        <w:t>Career progression is particularly important in high-turnover operational sectors. Research within the transport and logistics industry identifies job satisfaction, organisational commitment and workplace structures as key influences on employee retention, with job security and career development highlighted as major retention factors (</w:t>
      </w:r>
      <w:proofErr w:type="spellStart"/>
      <w:r w:rsidRPr="006C7CD8">
        <w:rPr>
          <w:rFonts w:ascii="Arial" w:hAnsi="Arial" w:cs="Arial"/>
          <w:sz w:val="22"/>
          <w:szCs w:val="22"/>
        </w:rPr>
        <w:t>Sishuwa</w:t>
      </w:r>
      <w:proofErr w:type="spellEnd"/>
      <w:r w:rsidRPr="006C7CD8">
        <w:rPr>
          <w:rFonts w:ascii="Arial" w:hAnsi="Arial" w:cs="Arial"/>
          <w:sz w:val="22"/>
          <w:szCs w:val="22"/>
        </w:rPr>
        <w:t xml:space="preserve"> and Phiri, 2020). Industry experts further support this, noting that logistics employers who provide visible development opportunities and internal progression routes are better placed to retain experienced operational staff (Northen, 2023). From the organisation’s perspective, clearly defined pathways from driver or warehouse roles into supervisory or management positions would enhance the employee value proposition (EVP) and support long-term workforce stability.</w:t>
      </w:r>
    </w:p>
    <w:p w14:paraId="4132AF85"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Employee wellbeing also contributes to labour market positioning. CIPD (2023a) identifies job quality, including manageable workloads and supportive working conditions, as central to employee satisfaction and retention. In physically demanding logistics roles, industry guidance highlights the importance of protected rest breaks to reduce fatigue and prevent injury (LinkedIn, 2025). Embedding these practices into shift design would reinforce </w:t>
      </w:r>
      <w:proofErr w:type="spellStart"/>
      <w:r w:rsidRPr="006C7CD8">
        <w:rPr>
          <w:rFonts w:ascii="Arial" w:hAnsi="Arial" w:cs="Arial"/>
          <w:sz w:val="22"/>
          <w:szCs w:val="22"/>
        </w:rPr>
        <w:t>ParcelCare’s</w:t>
      </w:r>
      <w:proofErr w:type="spellEnd"/>
      <w:r w:rsidRPr="006C7CD8">
        <w:rPr>
          <w:rFonts w:ascii="Arial" w:hAnsi="Arial" w:cs="Arial"/>
          <w:sz w:val="22"/>
          <w:szCs w:val="22"/>
        </w:rPr>
        <w:t xml:space="preserve"> reputation as a responsible and ethical employer.</w:t>
      </w:r>
    </w:p>
    <w:p w14:paraId="5084578F"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By combining competitor insight, a credible EVP, investment in progression and a strong approach to wellbeing,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can position itself more effectively within a highly competitive labour market.</w:t>
      </w:r>
    </w:p>
    <w:p w14:paraId="001FE56A" w14:textId="77777777" w:rsidR="009426B2" w:rsidRPr="006C7CD8" w:rsidRDefault="009426B2" w:rsidP="009426B2">
      <w:pPr>
        <w:rPr>
          <w:rFonts w:ascii="Arial" w:hAnsi="Arial" w:cs="Arial"/>
          <w:sz w:val="22"/>
          <w:szCs w:val="22"/>
        </w:rPr>
      </w:pPr>
      <w:r w:rsidRPr="006C7CD8">
        <w:rPr>
          <w:rFonts w:ascii="Arial" w:hAnsi="Arial" w:cs="Arial"/>
          <w:b/>
          <w:bCs/>
          <w:sz w:val="22"/>
          <w:szCs w:val="22"/>
        </w:rPr>
        <w:t xml:space="preserve">AC 1.2 </w:t>
      </w:r>
      <w:r w:rsidRPr="006C7CD8">
        <w:rPr>
          <w:rFonts w:ascii="Arial" w:hAnsi="Arial" w:cs="Arial"/>
          <w:sz w:val="22"/>
          <w:szCs w:val="22"/>
        </w:rPr>
        <w:t xml:space="preserve">Changing labour market conditions significantly influence </w:t>
      </w:r>
      <w:proofErr w:type="spellStart"/>
      <w:r w:rsidRPr="006C7CD8">
        <w:rPr>
          <w:rFonts w:ascii="Arial" w:hAnsi="Arial" w:cs="Arial"/>
          <w:sz w:val="22"/>
          <w:szCs w:val="22"/>
        </w:rPr>
        <w:t>ParcelCare’s</w:t>
      </w:r>
      <w:proofErr w:type="spellEnd"/>
      <w:r w:rsidRPr="006C7CD8">
        <w:rPr>
          <w:rFonts w:ascii="Arial" w:hAnsi="Arial" w:cs="Arial"/>
          <w:sz w:val="22"/>
          <w:szCs w:val="22"/>
        </w:rPr>
        <w:t xml:space="preserve"> resourcing decisions by affecting labour availability, pay expectations and the level of competition </w:t>
      </w:r>
      <w:r w:rsidRPr="006C7CD8">
        <w:rPr>
          <w:rFonts w:ascii="Arial" w:hAnsi="Arial" w:cs="Arial"/>
          <w:sz w:val="22"/>
          <w:szCs w:val="22"/>
        </w:rPr>
        <w:lastRenderedPageBreak/>
        <w:t>needed to secure talent. These shifts not only alter how the organisation approaches recruitment but also have wider implications for long-term workforce planning (CIPD, 2025c).</w:t>
      </w:r>
    </w:p>
    <w:p w14:paraId="62B0CC87"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A key factor is the tightness of the labour market. In situations where vacancies outnumber available candidates, recruitment becomes far more challenging, and skills shortages are more likely to occur (Taylor &amp; Woodhams, 2022). For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such conditions may restrict the supply of applicants for operational roles, prompting the organisation to adopt more flexible and competitive resourcing approaches. This may require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to reconsider how roles are structured, explore alternative labour pools or adjust its recruitment processes to remain competitive in a restricted labour market.</w:t>
      </w:r>
    </w:p>
    <w:p w14:paraId="33A339A7"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Labour shortages also have a clear impact on recruitment methods. Evidence from CIPD (2025c) indicates that when labour supply is restricted, employers often broaden their sourcing strategies, target alternative labour pools and adjust job advertisements to emphasise security, development opportunities and flexibility. In </w:t>
      </w:r>
      <w:proofErr w:type="spellStart"/>
      <w:r w:rsidRPr="006C7CD8">
        <w:rPr>
          <w:rFonts w:ascii="Arial" w:hAnsi="Arial" w:cs="Arial"/>
          <w:sz w:val="22"/>
          <w:szCs w:val="22"/>
        </w:rPr>
        <w:t>ParcelCare’s</w:t>
      </w:r>
      <w:proofErr w:type="spellEnd"/>
      <w:r w:rsidRPr="006C7CD8">
        <w:rPr>
          <w:rFonts w:ascii="Arial" w:hAnsi="Arial" w:cs="Arial"/>
          <w:sz w:val="22"/>
          <w:szCs w:val="22"/>
        </w:rPr>
        <w:t xml:space="preserve"> context, this may involve reaching out to underrepresented groups, </w:t>
      </w:r>
      <w:r>
        <w:rPr>
          <w:rFonts w:ascii="Arial" w:hAnsi="Arial" w:cs="Arial"/>
          <w:sz w:val="22"/>
          <w:szCs w:val="22"/>
        </w:rPr>
        <w:t>multigenerational candidates</w:t>
      </w:r>
      <w:r w:rsidRPr="006C7CD8">
        <w:rPr>
          <w:rFonts w:ascii="Arial" w:hAnsi="Arial" w:cs="Arial"/>
          <w:sz w:val="22"/>
          <w:szCs w:val="22"/>
        </w:rPr>
        <w:t>, or candidates seeking part-time or flexible work. Increased competition may also require faster hiring processes or the adoption of digital screening tools to avoid losing candidates to rival employers.</w:t>
      </w:r>
    </w:p>
    <w:p w14:paraId="17E77F08"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Changing labour market conditions also influence retention and development decisions. Employers operating in tight markets frequently place greater emphasis on retention initiatives, development pathways and reorganising roles to reduce reliance on hard-to-fill positions (Taylor &amp; Woodhams, 2022). Improvements to shift </w:t>
      </w:r>
      <w:r>
        <w:rPr>
          <w:rFonts w:ascii="Arial" w:hAnsi="Arial" w:cs="Arial"/>
          <w:sz w:val="22"/>
          <w:szCs w:val="22"/>
        </w:rPr>
        <w:t>patterns</w:t>
      </w:r>
      <w:r w:rsidRPr="006C7CD8">
        <w:rPr>
          <w:rFonts w:ascii="Arial" w:hAnsi="Arial" w:cs="Arial"/>
          <w:sz w:val="22"/>
          <w:szCs w:val="22"/>
        </w:rPr>
        <w:t>, managerial support and career progression pathways can reduce turnover pressures and help maintain operational stability during periods of labour shortage.</w:t>
      </w:r>
    </w:p>
    <w:p w14:paraId="270114B3"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Taylor and Woodhams (2022) advise there </w:t>
      </w:r>
      <w:proofErr w:type="gramStart"/>
      <w:r w:rsidRPr="006C7CD8">
        <w:rPr>
          <w:rFonts w:ascii="Arial" w:hAnsi="Arial" w:cs="Arial"/>
          <w:sz w:val="22"/>
          <w:szCs w:val="22"/>
        </w:rPr>
        <w:t>is</w:t>
      </w:r>
      <w:proofErr w:type="gramEnd"/>
      <w:r w:rsidRPr="006C7CD8">
        <w:rPr>
          <w:rFonts w:ascii="Arial" w:hAnsi="Arial" w:cs="Arial"/>
          <w:sz w:val="22"/>
          <w:szCs w:val="22"/>
        </w:rPr>
        <w:t xml:space="preserve"> also a notable impact on workforce planning. Workforce planning frameworks emphasise the need to forecast future demand, assess internal supply, identify gaps and decide how to address them. Shifts in demographic trends, reduced migration and rapid technological change will influence the types of skills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requires. For example, developments in automation may lead to greater demand for digitally skilled employees, while demographic changes may reduce the availability of labour (Garrity, 2025).</w:t>
      </w:r>
    </w:p>
    <w:p w14:paraId="6F83D2BE"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Finally, broader PESTLE factors create further resourcing considerations. Economic pressures such as rising living costs influence wage expectations, legal requirements shape staffing decisions, and social trends towards greater flexibility affect job design (CIPD, 2025c). These external forces mean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must review its resourcing strategy regularly to remain competitive.</w:t>
      </w:r>
    </w:p>
    <w:p w14:paraId="2F38BA50" w14:textId="77777777" w:rsidR="009426B2" w:rsidRPr="006C7CD8" w:rsidRDefault="009426B2" w:rsidP="009426B2">
      <w:pPr>
        <w:rPr>
          <w:rFonts w:ascii="Arial" w:hAnsi="Arial" w:cs="Arial"/>
          <w:sz w:val="22"/>
          <w:szCs w:val="22"/>
        </w:rPr>
      </w:pPr>
      <w:r w:rsidRPr="006C7CD8">
        <w:rPr>
          <w:rFonts w:ascii="Arial" w:hAnsi="Arial" w:cs="Arial"/>
          <w:b/>
          <w:bCs/>
          <w:sz w:val="22"/>
          <w:szCs w:val="22"/>
        </w:rPr>
        <w:t xml:space="preserve">AC 2.1 </w:t>
      </w:r>
      <w:r w:rsidRPr="006C7CD8">
        <w:rPr>
          <w:rFonts w:ascii="Arial" w:hAnsi="Arial" w:cs="Arial"/>
          <w:sz w:val="22"/>
          <w:szCs w:val="22"/>
        </w:rPr>
        <w:t xml:space="preserve">Effective workforce planning has a significant impact on an organisation’s ability to ensure it has the right skills, capacity and capability both now and in the </w:t>
      </w:r>
      <w:r>
        <w:rPr>
          <w:rFonts w:ascii="Arial" w:hAnsi="Arial" w:cs="Arial"/>
          <w:sz w:val="22"/>
          <w:szCs w:val="22"/>
        </w:rPr>
        <w:t>long-term</w:t>
      </w:r>
      <w:r w:rsidRPr="006C7CD8">
        <w:rPr>
          <w:rFonts w:ascii="Arial" w:hAnsi="Arial" w:cs="Arial"/>
          <w:sz w:val="22"/>
          <w:szCs w:val="22"/>
        </w:rPr>
        <w:t>. The absence of structured workforce planning increases the risk of reactive recruitment, skills shortages and rising labour costs, particularly during peak delivery periods. Workforce planning enables a more strategic and evidence-based approach by forecasting labour demand, analysing workforce supply, identifying gaps and developing targeted strategies to address them (CIPD, 2025d).</w:t>
      </w:r>
    </w:p>
    <w:p w14:paraId="2E504922" w14:textId="77777777" w:rsidR="009426B2" w:rsidRPr="006C7CD8" w:rsidRDefault="009426B2" w:rsidP="009426B2">
      <w:pPr>
        <w:rPr>
          <w:rFonts w:ascii="Arial" w:hAnsi="Arial" w:cs="Arial"/>
          <w:sz w:val="22"/>
          <w:szCs w:val="22"/>
        </w:rPr>
      </w:pPr>
      <w:r w:rsidRPr="006C7CD8">
        <w:rPr>
          <w:rFonts w:ascii="Arial" w:hAnsi="Arial" w:cs="Arial"/>
          <w:sz w:val="22"/>
          <w:szCs w:val="22"/>
        </w:rPr>
        <w:lastRenderedPageBreak/>
        <w:t xml:space="preserve">One of the key benefits of effective workforce planning is the ability to better anticipate future labour demand. By analysing parcel volumes, seasonal peaks, long-term business plans and productivity targets,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would be better positioned to anticipate when additional drivers, warehouse operatives or support roles are required. Hirsh (2019) highlights that workforce planning is about preparing for future scenarios rather than reacting to immediate pressures. This forward-looking approach reduces last-minute recruitment, reliance on agency staff and operational disruption.</w:t>
      </w:r>
    </w:p>
    <w:p w14:paraId="59126E6C" w14:textId="77777777" w:rsidR="009426B2" w:rsidRPr="006C7CD8" w:rsidRDefault="009426B2" w:rsidP="009426B2">
      <w:pPr>
        <w:rPr>
          <w:rFonts w:ascii="Arial" w:hAnsi="Arial" w:cs="Arial"/>
          <w:sz w:val="22"/>
          <w:szCs w:val="22"/>
        </w:rPr>
      </w:pPr>
      <w:r w:rsidRPr="006C7CD8">
        <w:rPr>
          <w:rFonts w:ascii="Arial" w:hAnsi="Arial" w:cs="Arial"/>
          <w:sz w:val="22"/>
          <w:szCs w:val="22"/>
        </w:rPr>
        <w:t>Workforce planning also improves</w:t>
      </w:r>
      <w:r>
        <w:rPr>
          <w:rFonts w:ascii="Arial" w:hAnsi="Arial" w:cs="Arial"/>
          <w:sz w:val="22"/>
          <w:szCs w:val="22"/>
        </w:rPr>
        <w:t xml:space="preserve"> the</w:t>
      </w:r>
      <w:r w:rsidRPr="006C7CD8">
        <w:rPr>
          <w:rFonts w:ascii="Arial" w:hAnsi="Arial" w:cs="Arial"/>
          <w:sz w:val="22"/>
          <w:szCs w:val="22"/>
        </w:rPr>
        <w:t xml:space="preserve"> understanding of internal and external labour supply. This includes analysing workforce demographics, turnover trends, skill levels and local labour market availability (CIPD, 2025d). Larder (2025) notes that many organisations continue to ‘fly blind’ without structured workforce planning, making it difficult to align skills with operational needs and increasing the likelihood of capability gaps. Analysing supply would support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to make informed decisions about whether skills should be developed internally or sourced externally.</w:t>
      </w:r>
    </w:p>
    <w:p w14:paraId="3323139B"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A further impact is the ability to identify and analyse workforce gaps. Mapping current capability against future operational requirements allows organisations to pinpoint where shortages are likely to arise. Britnell (2019) </w:t>
      </w:r>
      <w:r>
        <w:rPr>
          <w:rFonts w:ascii="Arial" w:hAnsi="Arial" w:cs="Arial"/>
          <w:sz w:val="22"/>
          <w:szCs w:val="22"/>
        </w:rPr>
        <w:t>states</w:t>
      </w:r>
      <w:r w:rsidRPr="006C7CD8">
        <w:rPr>
          <w:rFonts w:ascii="Arial" w:hAnsi="Arial" w:cs="Arial"/>
          <w:sz w:val="22"/>
          <w:szCs w:val="22"/>
        </w:rPr>
        <w:t xml:space="preserve"> that many organisations lack visibility of their existing capability, leading to unresolved skills risks. Identifying these gaps early would allow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to intervene through development, recruitment or role redesign before service delivery is affected.</w:t>
      </w:r>
    </w:p>
    <w:p w14:paraId="63B3EA23"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Once gaps are identified, workforce planning supports the development of targeted strategies to address them. Evidence suggests that reskilling and capability development are increasingly critical as organisations face ongoing labour shortages and skills change (Soliman, 2025).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could invest in training, clearer progression pathways, improved shift allocation or the use of automation to supplement labour where shortages persist.</w:t>
      </w:r>
    </w:p>
    <w:p w14:paraId="082A2FD6"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This approach reflects workforce planning practice within Carmarthenshire County Council, where workforce planning is used to forecast service demand, analyse workforce supply and identify critical roles and skills gaps before they impact service delivery (Carmarthenshire County Council, 2024). Applying similar principles would enable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to move away from reactive recruitment and towards more structured, evidence-based resourcing decisions.</w:t>
      </w:r>
    </w:p>
    <w:p w14:paraId="5579E687" w14:textId="77777777" w:rsidR="009426B2" w:rsidRPr="006C7CD8" w:rsidRDefault="009426B2" w:rsidP="009426B2">
      <w:pPr>
        <w:rPr>
          <w:rFonts w:ascii="Arial" w:hAnsi="Arial" w:cs="Arial"/>
          <w:sz w:val="22"/>
          <w:szCs w:val="22"/>
        </w:rPr>
      </w:pPr>
      <w:r w:rsidRPr="006C7CD8">
        <w:rPr>
          <w:rFonts w:ascii="Arial" w:hAnsi="Arial" w:cs="Arial"/>
          <w:b/>
          <w:bCs/>
          <w:sz w:val="22"/>
          <w:szCs w:val="22"/>
        </w:rPr>
        <w:t>AC 2.2</w:t>
      </w:r>
      <w:r w:rsidRPr="006C7CD8">
        <w:rPr>
          <w:rFonts w:ascii="Arial" w:hAnsi="Arial" w:cs="Arial"/>
          <w:sz w:val="22"/>
          <w:szCs w:val="22"/>
        </w:rPr>
        <w:t xml:space="preserve"> Workforce planning relies on a range of techniques to help organisations anticipate future labour demand, assess internal capability and determine how best to address workforce gaps. Where workforce planning has not previously been undertaken,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risk relying on reactive recruitment, leading to staffing shortages, increased labour costs and operational pressure during peak delivery periods. Using a combination of techniques allows leaders to make more informed and sustainable resourcing decisions rather than relying on short-term fixes (</w:t>
      </w:r>
      <w:proofErr w:type="spellStart"/>
      <w:r w:rsidRPr="006C7CD8">
        <w:rPr>
          <w:rFonts w:ascii="Arial" w:hAnsi="Arial" w:cs="Arial"/>
          <w:sz w:val="22"/>
          <w:szCs w:val="22"/>
        </w:rPr>
        <w:t>Orgvue</w:t>
      </w:r>
      <w:proofErr w:type="spellEnd"/>
      <w:r w:rsidRPr="006C7CD8">
        <w:rPr>
          <w:rFonts w:ascii="Arial" w:hAnsi="Arial" w:cs="Arial"/>
          <w:sz w:val="22"/>
          <w:szCs w:val="22"/>
        </w:rPr>
        <w:t>, 2024).</w:t>
      </w:r>
    </w:p>
    <w:p w14:paraId="408DB551"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One commonly used technique is managerial judgement, where managers draw on their operational experience to </w:t>
      </w:r>
      <w:r>
        <w:rPr>
          <w:rFonts w:ascii="Arial" w:hAnsi="Arial" w:cs="Arial"/>
          <w:sz w:val="22"/>
          <w:szCs w:val="22"/>
        </w:rPr>
        <w:t>predict</w:t>
      </w:r>
      <w:r w:rsidRPr="006C7CD8">
        <w:rPr>
          <w:rFonts w:ascii="Arial" w:hAnsi="Arial" w:cs="Arial"/>
          <w:sz w:val="22"/>
          <w:szCs w:val="22"/>
        </w:rPr>
        <w:t xml:space="preserve"> staffing needs. Armstrong and Taylor (2023) </w:t>
      </w:r>
      <w:r>
        <w:rPr>
          <w:rFonts w:ascii="Arial" w:hAnsi="Arial" w:cs="Arial"/>
          <w:sz w:val="22"/>
          <w:szCs w:val="22"/>
        </w:rPr>
        <w:t>say</w:t>
      </w:r>
      <w:r w:rsidRPr="006C7CD8">
        <w:rPr>
          <w:rFonts w:ascii="Arial" w:hAnsi="Arial" w:cs="Arial"/>
          <w:sz w:val="22"/>
          <w:szCs w:val="22"/>
        </w:rPr>
        <w:t xml:space="preserve"> that managers often have valuable insight into working patterns, service pressures and seasonal fluctuations.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could </w:t>
      </w:r>
      <w:r>
        <w:rPr>
          <w:rFonts w:ascii="Arial" w:hAnsi="Arial" w:cs="Arial"/>
          <w:sz w:val="22"/>
          <w:szCs w:val="22"/>
        </w:rPr>
        <w:t>predict</w:t>
      </w:r>
      <w:r w:rsidRPr="006C7CD8">
        <w:rPr>
          <w:rFonts w:ascii="Arial" w:hAnsi="Arial" w:cs="Arial"/>
          <w:sz w:val="22"/>
          <w:szCs w:val="22"/>
        </w:rPr>
        <w:t xml:space="preserve"> delivery surges, such as seasonal peaks or promotional periods. However, reliance on judgement alone is limited by subjectivity and </w:t>
      </w:r>
      <w:r w:rsidRPr="006C7CD8">
        <w:rPr>
          <w:rFonts w:ascii="Arial" w:hAnsi="Arial" w:cs="Arial"/>
          <w:sz w:val="22"/>
          <w:szCs w:val="22"/>
        </w:rPr>
        <w:lastRenderedPageBreak/>
        <w:t>inconsistency. CIPD (2025d) caution that judgement-based forecasting can overlook wider labour market trends or emerging skills risks if it is not supported by data.</w:t>
      </w:r>
    </w:p>
    <w:p w14:paraId="1771A9F6"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A more evidence-based technique is trend analysis, which examines historical data such as turnover, absence, vacancy rates and recruitment timelines. This approach enables organisations to identify recurring workforce pressures and emerging risks. Data like driver turnover, agency spend, or absence rates, means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can assess where staffing pressures are most acute. However, trend analysis assumes that future conditions will reflect past patterns. As Roper (2024) notes, recent labour market uncertainty means historical data may be less reliable if used in isolation.</w:t>
      </w:r>
    </w:p>
    <w:p w14:paraId="7E920B6B" w14:textId="77777777" w:rsidR="009426B2" w:rsidRPr="006C7CD8" w:rsidRDefault="009426B2" w:rsidP="009426B2">
      <w:pPr>
        <w:rPr>
          <w:rFonts w:ascii="Arial" w:hAnsi="Arial" w:cs="Arial"/>
          <w:sz w:val="22"/>
          <w:szCs w:val="22"/>
        </w:rPr>
      </w:pPr>
      <w:r w:rsidRPr="006C7CD8">
        <w:rPr>
          <w:rFonts w:ascii="Arial" w:hAnsi="Arial" w:cs="Arial"/>
          <w:sz w:val="22"/>
          <w:szCs w:val="22"/>
        </w:rPr>
        <w:t>Scenario planning offers a more strategic technique by modelling multiple future workforce scenarios based on economic, technological or labour market uncertainty. This approach allows organisations to test assumptions and explore the workforce impact of different outcomes. Scenario planning could support preparation for sustained labour shortages, rising operational costs or increased automation. While highly valuable, this technique requires analytical capability and time investment, which may present challenges for organisations new to workforce planning (CIPD, 2025d).</w:t>
      </w:r>
    </w:p>
    <w:p w14:paraId="43CD0BE5"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A further technique is the use of skills audits, which assess current employee capability against future requirements. This enables organisations to identify skills gaps that may be addressed through development rather than external recruitment. For </w:t>
      </w:r>
      <w:proofErr w:type="spellStart"/>
      <w:r w:rsidRPr="006C7CD8">
        <w:rPr>
          <w:rFonts w:ascii="Arial" w:hAnsi="Arial" w:cs="Arial"/>
          <w:sz w:val="22"/>
          <w:szCs w:val="22"/>
        </w:rPr>
        <w:t>ParcelCare</w:t>
      </w:r>
      <w:proofErr w:type="spellEnd"/>
      <w:r w:rsidRPr="006C7CD8">
        <w:rPr>
          <w:rFonts w:ascii="Arial" w:hAnsi="Arial" w:cs="Arial"/>
          <w:sz w:val="22"/>
          <w:szCs w:val="22"/>
        </w:rPr>
        <w:t>, this could support internal progression into supervisory roles, strengthening retention while reducing recruitment risk. However, skills audits rely on accurate role definitions and consistent performance data to be effective (Nemcova, 2025).</w:t>
      </w:r>
    </w:p>
    <w:p w14:paraId="2C4E2C21"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Overall, no single technique is sufficient in isolation. For </w:t>
      </w:r>
      <w:proofErr w:type="spellStart"/>
      <w:r w:rsidRPr="006C7CD8">
        <w:rPr>
          <w:rFonts w:ascii="Arial" w:hAnsi="Arial" w:cs="Arial"/>
          <w:sz w:val="22"/>
          <w:szCs w:val="22"/>
        </w:rPr>
        <w:t>ParcelCare</w:t>
      </w:r>
      <w:proofErr w:type="spellEnd"/>
      <w:r w:rsidRPr="006C7CD8">
        <w:rPr>
          <w:rFonts w:ascii="Arial" w:hAnsi="Arial" w:cs="Arial"/>
          <w:sz w:val="22"/>
          <w:szCs w:val="22"/>
        </w:rPr>
        <w:t>, combining managerial insight with data analysis, scenario planning and skills audits would provide senior leaders with greater visibility, reduce resourcing risk and support more proactive, cost-effective workforce planning decisions</w:t>
      </w:r>
    </w:p>
    <w:p w14:paraId="4DFFC2F5" w14:textId="77777777" w:rsidR="009426B2" w:rsidRPr="006C7CD8" w:rsidRDefault="009426B2" w:rsidP="009426B2">
      <w:pPr>
        <w:rPr>
          <w:rFonts w:ascii="Arial" w:hAnsi="Arial" w:cs="Arial"/>
          <w:sz w:val="22"/>
          <w:szCs w:val="22"/>
        </w:rPr>
      </w:pPr>
      <w:r w:rsidRPr="006C7CD8">
        <w:rPr>
          <w:rFonts w:ascii="Arial" w:hAnsi="Arial" w:cs="Arial"/>
          <w:b/>
          <w:bCs/>
          <w:sz w:val="22"/>
          <w:szCs w:val="22"/>
        </w:rPr>
        <w:t>AC 2.3</w:t>
      </w:r>
      <w:r w:rsidRPr="006C7CD8">
        <w:rPr>
          <w:rFonts w:ascii="Arial" w:hAnsi="Arial" w:cs="Arial"/>
          <w:sz w:val="22"/>
          <w:szCs w:val="22"/>
        </w:rPr>
        <w:t xml:space="preserve">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currently advertises vacancies on its website and relies </w:t>
      </w:r>
      <w:proofErr w:type="gramStart"/>
      <w:r w:rsidRPr="006C7CD8">
        <w:rPr>
          <w:rFonts w:ascii="Arial" w:hAnsi="Arial" w:cs="Arial"/>
          <w:sz w:val="22"/>
          <w:szCs w:val="22"/>
        </w:rPr>
        <w:t>on line</w:t>
      </w:r>
      <w:proofErr w:type="gramEnd"/>
      <w:r w:rsidRPr="006C7CD8">
        <w:rPr>
          <w:rFonts w:ascii="Arial" w:hAnsi="Arial" w:cs="Arial"/>
          <w:sz w:val="22"/>
          <w:szCs w:val="22"/>
        </w:rPr>
        <w:t xml:space="preserve"> manager interviews as its primary selection method. While both approaches are widely used, evaluating their strengths and limitations is essential before expanding the organisation’s recruitment and selection strategy.</w:t>
      </w:r>
    </w:p>
    <w:p w14:paraId="67E70A17"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Advertising vacancies on the organisation’s website is a low-cost method that allows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to retain full control over employer branding and job messaging. This approach is particularly effective for attracting candidates who are already familiar with the organisation or actively seeking work (CIPD, 2025e). However, a key limitation is its restricted reach. Website-only advertising depends on candidates finding the site themselves, which can significantly narrow the talent pool and limit access to passive jobseekers. This is increasingly problematic in tight labour markets where competition for operational roles is high.</w:t>
      </w:r>
    </w:p>
    <w:p w14:paraId="257B1370" w14:textId="77777777" w:rsidR="009426B2" w:rsidRPr="006C7CD8" w:rsidRDefault="009426B2" w:rsidP="009426B2">
      <w:pPr>
        <w:rPr>
          <w:rFonts w:ascii="Arial" w:hAnsi="Arial" w:cs="Arial"/>
          <w:sz w:val="22"/>
          <w:szCs w:val="22"/>
        </w:rPr>
      </w:pPr>
      <w:r w:rsidRPr="006C7CD8">
        <w:rPr>
          <w:rFonts w:ascii="Arial" w:hAnsi="Arial" w:cs="Arial"/>
          <w:sz w:val="22"/>
          <w:szCs w:val="22"/>
        </w:rPr>
        <w:t>To broaden attraction, social media recruitment, such as LinkedIn or Facebook, offers a useful additional method (Personnel Today, 2016). Social</w:t>
      </w:r>
      <w:r>
        <w:rPr>
          <w:rFonts w:ascii="Arial" w:hAnsi="Arial" w:cs="Arial"/>
          <w:sz w:val="22"/>
          <w:szCs w:val="22"/>
        </w:rPr>
        <w:t xml:space="preserve"> media</w:t>
      </w:r>
      <w:r w:rsidRPr="006C7CD8">
        <w:rPr>
          <w:rFonts w:ascii="Arial" w:hAnsi="Arial" w:cs="Arial"/>
          <w:sz w:val="22"/>
          <w:szCs w:val="22"/>
        </w:rPr>
        <w:t xml:space="preserve"> platforms allow organisations to target specific audiences, promote organisational culture and enhance employer brand visibility (CIPD, 2025e). </w:t>
      </w:r>
      <w:r>
        <w:rPr>
          <w:rFonts w:ascii="Arial" w:hAnsi="Arial" w:cs="Arial"/>
          <w:sz w:val="22"/>
          <w:szCs w:val="22"/>
        </w:rPr>
        <w:t>Unfortunately, there are disadvantages when using this approach</w:t>
      </w:r>
      <w:r w:rsidRPr="006C7CD8">
        <w:rPr>
          <w:rFonts w:ascii="Arial" w:hAnsi="Arial" w:cs="Arial"/>
          <w:sz w:val="22"/>
          <w:szCs w:val="22"/>
        </w:rPr>
        <w:t xml:space="preserve">. Social media recruitment requires regular content management and </w:t>
      </w:r>
      <w:r w:rsidRPr="006C7CD8">
        <w:rPr>
          <w:rFonts w:ascii="Arial" w:hAnsi="Arial" w:cs="Arial"/>
          <w:sz w:val="22"/>
          <w:szCs w:val="22"/>
        </w:rPr>
        <w:lastRenderedPageBreak/>
        <w:t xml:space="preserve">monitoring to remain effective, and </w:t>
      </w:r>
      <w:r>
        <w:rPr>
          <w:rFonts w:ascii="Arial" w:hAnsi="Arial" w:cs="Arial"/>
          <w:sz w:val="22"/>
          <w:szCs w:val="22"/>
        </w:rPr>
        <w:t>visibility through individual’s specific algorithms</w:t>
      </w:r>
      <w:r w:rsidRPr="006C7CD8">
        <w:rPr>
          <w:rFonts w:ascii="Arial" w:hAnsi="Arial" w:cs="Arial"/>
          <w:sz w:val="22"/>
          <w:szCs w:val="22"/>
        </w:rPr>
        <w:t xml:space="preserve"> can limit who sees job adverts. It can also generate high volumes of unsuitable applications, increasing administrative workload (Moore, 2023). These limitations mean social media should </w:t>
      </w:r>
      <w:proofErr w:type="spellStart"/>
      <w:r w:rsidRPr="006C7CD8">
        <w:rPr>
          <w:rFonts w:ascii="Arial" w:hAnsi="Arial" w:cs="Arial"/>
          <w:sz w:val="22"/>
          <w:szCs w:val="22"/>
        </w:rPr>
        <w:t>comp</w:t>
      </w:r>
      <w:r>
        <w:rPr>
          <w:rFonts w:ascii="Arial" w:hAnsi="Arial" w:cs="Arial"/>
          <w:sz w:val="22"/>
          <w:szCs w:val="22"/>
        </w:rPr>
        <w:t>lime</w:t>
      </w:r>
      <w:r w:rsidRPr="006C7CD8">
        <w:rPr>
          <w:rFonts w:ascii="Arial" w:hAnsi="Arial" w:cs="Arial"/>
          <w:sz w:val="22"/>
          <w:szCs w:val="22"/>
        </w:rPr>
        <w:t>nt</w:t>
      </w:r>
      <w:proofErr w:type="spellEnd"/>
      <w:r w:rsidRPr="006C7CD8">
        <w:rPr>
          <w:rFonts w:ascii="Arial" w:hAnsi="Arial" w:cs="Arial"/>
          <w:sz w:val="22"/>
          <w:szCs w:val="22"/>
        </w:rPr>
        <w:t>, rather than replace, other recruitment channels.</w:t>
      </w:r>
    </w:p>
    <w:p w14:paraId="7DA5658F"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Turning to selection methods, interviews remain a common and valuable tool. Interviews allow managers to explore candidates’ experience, motivation and communication skills. However, Armstrong and Taylor (2023) caution that interviews are </w:t>
      </w:r>
      <w:r>
        <w:rPr>
          <w:rFonts w:ascii="Arial" w:hAnsi="Arial" w:cs="Arial"/>
          <w:sz w:val="22"/>
          <w:szCs w:val="22"/>
        </w:rPr>
        <w:t>open</w:t>
      </w:r>
      <w:r w:rsidRPr="006C7CD8">
        <w:rPr>
          <w:rFonts w:ascii="Arial" w:hAnsi="Arial" w:cs="Arial"/>
          <w:sz w:val="22"/>
          <w:szCs w:val="22"/>
        </w:rPr>
        <w:t xml:space="preserve"> to bias and inconsistency unless they are structured and supported by objective assessment criteria. Unstructured interviews</w:t>
      </w:r>
      <w:proofErr w:type="gramStart"/>
      <w:r w:rsidRPr="006C7CD8">
        <w:rPr>
          <w:rFonts w:ascii="Arial" w:hAnsi="Arial" w:cs="Arial"/>
          <w:sz w:val="22"/>
          <w:szCs w:val="22"/>
        </w:rPr>
        <w:t>, in particular, have</w:t>
      </w:r>
      <w:proofErr w:type="gramEnd"/>
      <w:r w:rsidRPr="006C7CD8">
        <w:rPr>
          <w:rFonts w:ascii="Arial" w:hAnsi="Arial" w:cs="Arial"/>
          <w:sz w:val="22"/>
          <w:szCs w:val="22"/>
        </w:rPr>
        <w:t xml:space="preserve"> relatively low predictive validity and may encourage decision-making based on intuition rather than evidence, reducing fairness and reliability.</w:t>
      </w:r>
    </w:p>
    <w:p w14:paraId="4D360FCA"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In comparison, work trials provide a strong selection method by assessing candidates’ ability to perform actual job tasks. Armstrong and Taylor (2023) </w:t>
      </w:r>
      <w:r>
        <w:rPr>
          <w:rFonts w:ascii="Arial" w:hAnsi="Arial" w:cs="Arial"/>
          <w:sz w:val="22"/>
          <w:szCs w:val="22"/>
        </w:rPr>
        <w:t>state</w:t>
      </w:r>
      <w:r w:rsidRPr="006C7CD8">
        <w:rPr>
          <w:rFonts w:ascii="Arial" w:hAnsi="Arial" w:cs="Arial"/>
          <w:sz w:val="22"/>
          <w:szCs w:val="22"/>
        </w:rPr>
        <w:t xml:space="preserve"> that work sample tests replicate key aspects of the role and demonstrate </w:t>
      </w:r>
      <w:r>
        <w:rPr>
          <w:rFonts w:ascii="Arial" w:hAnsi="Arial" w:cs="Arial"/>
          <w:sz w:val="22"/>
          <w:szCs w:val="22"/>
        </w:rPr>
        <w:t>‘</w:t>
      </w:r>
      <w:r w:rsidRPr="006C7CD8">
        <w:rPr>
          <w:rFonts w:ascii="Arial" w:hAnsi="Arial" w:cs="Arial"/>
          <w:sz w:val="22"/>
          <w:szCs w:val="22"/>
        </w:rPr>
        <w:t>high predictive validity</w:t>
      </w:r>
      <w:r>
        <w:rPr>
          <w:rFonts w:ascii="Arial" w:hAnsi="Arial" w:cs="Arial"/>
          <w:sz w:val="22"/>
          <w:szCs w:val="22"/>
        </w:rPr>
        <w:t>’</w:t>
      </w:r>
      <w:r w:rsidRPr="006C7CD8">
        <w:rPr>
          <w:rFonts w:ascii="Arial" w:hAnsi="Arial" w:cs="Arial"/>
          <w:sz w:val="22"/>
          <w:szCs w:val="22"/>
        </w:rPr>
        <w:t xml:space="preserve">, particularly where specific and measurable skills are required. This makes them especially suitable for </w:t>
      </w:r>
      <w:proofErr w:type="spellStart"/>
      <w:r w:rsidRPr="006C7CD8">
        <w:rPr>
          <w:rFonts w:ascii="Arial" w:hAnsi="Arial" w:cs="Arial"/>
          <w:sz w:val="22"/>
          <w:szCs w:val="22"/>
        </w:rPr>
        <w:t>ParcelCare’s</w:t>
      </w:r>
      <w:proofErr w:type="spellEnd"/>
      <w:r w:rsidRPr="006C7CD8">
        <w:rPr>
          <w:rFonts w:ascii="Arial" w:hAnsi="Arial" w:cs="Arial"/>
          <w:sz w:val="22"/>
          <w:szCs w:val="22"/>
        </w:rPr>
        <w:t xml:space="preserve"> delivery and warehouse roles, where safe driving, manual handling and time management can be observed directly (Lewis, 2021). CIPD guidance supports this, noting that work samples are among the strongest predictors of future job performance (CIPD, 2024a). However, work trials must be carefully designed to avoid legal risks, as unpaid or extended trials may breach minimum wage legislation (Solo, 2025).</w:t>
      </w:r>
    </w:p>
    <w:p w14:paraId="2E08A781" w14:textId="77777777" w:rsidR="009426B2" w:rsidRPr="006C7CD8" w:rsidRDefault="009426B2" w:rsidP="009426B2">
      <w:pPr>
        <w:rPr>
          <w:rFonts w:ascii="Arial" w:hAnsi="Arial" w:cs="Arial"/>
          <w:sz w:val="22"/>
          <w:szCs w:val="22"/>
        </w:rPr>
      </w:pPr>
      <w:r w:rsidRPr="006C7CD8">
        <w:rPr>
          <w:rFonts w:ascii="Arial" w:hAnsi="Arial" w:cs="Arial"/>
          <w:b/>
          <w:bCs/>
          <w:sz w:val="22"/>
          <w:szCs w:val="22"/>
        </w:rPr>
        <w:t xml:space="preserve">AC 3.1 </w:t>
      </w:r>
      <w:r w:rsidRPr="006C7CD8">
        <w:rPr>
          <w:rFonts w:ascii="Arial" w:hAnsi="Arial" w:cs="Arial"/>
          <w:sz w:val="22"/>
          <w:szCs w:val="22"/>
        </w:rPr>
        <w:t xml:space="preserve">Where employee turnover exceeds internal targets, it is important to look </w:t>
      </w:r>
      <w:r>
        <w:rPr>
          <w:rFonts w:ascii="Arial" w:hAnsi="Arial" w:cs="Arial"/>
          <w:sz w:val="22"/>
          <w:szCs w:val="22"/>
        </w:rPr>
        <w:t>past</w:t>
      </w:r>
      <w:r w:rsidRPr="006C7CD8">
        <w:rPr>
          <w:rFonts w:ascii="Arial" w:hAnsi="Arial" w:cs="Arial"/>
          <w:sz w:val="22"/>
          <w:szCs w:val="22"/>
        </w:rPr>
        <w:t xml:space="preserve"> </w:t>
      </w:r>
      <w:r>
        <w:rPr>
          <w:rFonts w:ascii="Arial" w:hAnsi="Arial" w:cs="Arial"/>
          <w:sz w:val="22"/>
          <w:szCs w:val="22"/>
        </w:rPr>
        <w:t>what those headline figures are saying and</w:t>
      </w:r>
      <w:r w:rsidRPr="006C7CD8">
        <w:rPr>
          <w:rFonts w:ascii="Arial" w:hAnsi="Arial" w:cs="Arial"/>
          <w:sz w:val="22"/>
          <w:szCs w:val="22"/>
        </w:rPr>
        <w:t xml:space="preserve"> understand why employees are choosing to leave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Turnover data alone does not indicate whether exits were preventable or driven by factors outside organisational control. CIPD (2024b) shows that average UK employee turnover has remained elevated in recent years, reinforcing the need for organisations such as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to analyse turnover more critically rather than treating it as inevitable.</w:t>
      </w:r>
    </w:p>
    <w:p w14:paraId="1D0EC1A7" w14:textId="77777777" w:rsidR="009426B2" w:rsidRPr="006C7CD8" w:rsidRDefault="009426B2" w:rsidP="009426B2">
      <w:pPr>
        <w:rPr>
          <w:rFonts w:ascii="Arial" w:hAnsi="Arial" w:cs="Arial"/>
          <w:sz w:val="22"/>
          <w:szCs w:val="22"/>
        </w:rPr>
      </w:pPr>
      <w:r w:rsidRPr="006C7CD8">
        <w:rPr>
          <w:rFonts w:ascii="Arial" w:hAnsi="Arial" w:cs="Arial"/>
          <w:sz w:val="22"/>
          <w:szCs w:val="22"/>
        </w:rPr>
        <w:t>A key distinction is between avoidable and unavoidable turnover. Unavoidable turnover includes exits that are largely outside organisational control, such as retirement, long-term ill health or relocation. While this type of turnover still requires monitoring for workforce planning purposes, it does not usually indicate organisational failure. In contrast, avoidable turnover refers to resignations that the organisation could reasonably influence, for example through improvements to leadership, workload design, pay, progression or wellbeing support (CIPD, 2024c). High levels of avoidable turnover are particularly costly, as they often involve the loss of experienced employees whose departure may have been prevented. This is supported by Rusi and Viollet (2024), who identify job satisfaction, organisational commitment and working conditions as key predictors of voluntary turnover.</w:t>
      </w:r>
    </w:p>
    <w:p w14:paraId="5A27E993" w14:textId="77777777" w:rsidR="009426B2" w:rsidRPr="006C7CD8" w:rsidRDefault="009426B2" w:rsidP="009426B2">
      <w:pPr>
        <w:rPr>
          <w:rFonts w:ascii="Arial" w:hAnsi="Arial" w:cs="Arial"/>
          <w:sz w:val="22"/>
          <w:szCs w:val="22"/>
        </w:rPr>
      </w:pPr>
      <w:r w:rsidRPr="006C7CD8">
        <w:rPr>
          <w:rFonts w:ascii="Arial" w:hAnsi="Arial" w:cs="Arial"/>
          <w:sz w:val="22"/>
          <w:szCs w:val="22"/>
        </w:rPr>
        <w:t>This distinction is especially relevant in logistics and delivery environments. ONS (2023) data shows that transport and storage remain a sector characterised by relatively high workforce movement, reflecting the physically demanding nature of roles and the availability of alternative employment. Industry experts further highlight that feeling undervalued, workload pressure and limited progression are common contributors to avoidable turnover within logistics organisations (Hi Lo Staffing, 2024).</w:t>
      </w:r>
    </w:p>
    <w:p w14:paraId="4838984D"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Turnover can also be analysed through push and pull factors. Push factors are internal aspects of the organisation that drive employees away, such as excessive workloads, </w:t>
      </w:r>
      <w:r w:rsidRPr="006C7CD8">
        <w:rPr>
          <w:rFonts w:ascii="Arial" w:hAnsi="Arial" w:cs="Arial"/>
          <w:sz w:val="22"/>
          <w:szCs w:val="22"/>
        </w:rPr>
        <w:lastRenderedPageBreak/>
        <w:t xml:space="preserve">insufficient rest breaks, weak leadership or lack of development opportunities. Thomas (2019) identifies unsupportive leadership and poor employee wellbeing as significant drivers of disengagement and voluntary turnover. In operational roles like those at </w:t>
      </w:r>
      <w:proofErr w:type="spellStart"/>
      <w:r w:rsidRPr="006C7CD8">
        <w:rPr>
          <w:rFonts w:ascii="Arial" w:hAnsi="Arial" w:cs="Arial"/>
          <w:sz w:val="22"/>
          <w:szCs w:val="22"/>
        </w:rPr>
        <w:t>ParcelCare</w:t>
      </w:r>
      <w:proofErr w:type="spellEnd"/>
      <w:r w:rsidRPr="006C7CD8">
        <w:rPr>
          <w:rFonts w:ascii="Arial" w:hAnsi="Arial" w:cs="Arial"/>
          <w:sz w:val="22"/>
          <w:szCs w:val="22"/>
        </w:rPr>
        <w:t>, unmanaged workload intensity may therefore act as a strong push factor.</w:t>
      </w:r>
    </w:p>
    <w:p w14:paraId="3E378B07"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Pull factors, by contrast, attract employees towards external opportunities. These may include higher pay, improved </w:t>
      </w:r>
      <w:proofErr w:type="spellStart"/>
      <w:r w:rsidRPr="006C7CD8">
        <w:rPr>
          <w:rFonts w:ascii="Arial" w:hAnsi="Arial" w:cs="Arial"/>
          <w:sz w:val="22"/>
          <w:szCs w:val="22"/>
        </w:rPr>
        <w:t>worklife</w:t>
      </w:r>
      <w:proofErr w:type="spellEnd"/>
      <w:r w:rsidRPr="006C7CD8">
        <w:rPr>
          <w:rFonts w:ascii="Arial" w:hAnsi="Arial" w:cs="Arial"/>
          <w:sz w:val="22"/>
          <w:szCs w:val="22"/>
        </w:rPr>
        <w:t xml:space="preserve"> balance or clearer career progression elsewhere. Research from Bevan (2023) suggests that employees are often pushed out by dissatisfaction before being pulled by external opportunities, particularly during periods of labour shortage.</w:t>
      </w:r>
    </w:p>
    <w:p w14:paraId="73DD6933" w14:textId="77777777" w:rsidR="009426B2" w:rsidRPr="006C7CD8" w:rsidRDefault="009426B2" w:rsidP="009426B2">
      <w:pPr>
        <w:rPr>
          <w:rFonts w:ascii="Arial" w:hAnsi="Arial" w:cs="Arial"/>
          <w:sz w:val="22"/>
          <w:szCs w:val="22"/>
        </w:rPr>
      </w:pPr>
      <w:r>
        <w:rPr>
          <w:rFonts w:ascii="Arial" w:hAnsi="Arial" w:cs="Arial"/>
          <w:sz w:val="22"/>
          <w:szCs w:val="22"/>
        </w:rPr>
        <w:t>Differentiating</w:t>
      </w:r>
      <w:r w:rsidRPr="006C7CD8">
        <w:rPr>
          <w:rFonts w:ascii="Arial" w:hAnsi="Arial" w:cs="Arial"/>
          <w:sz w:val="22"/>
          <w:szCs w:val="22"/>
        </w:rPr>
        <w:t xml:space="preserve"> between avoidable and unavoidable turnover, alongside analysing push and pull factors, enables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to focus retention efforts on areas within its control, rather than accepting high turnover as an unavoidable feature of the sector.</w:t>
      </w:r>
    </w:p>
    <w:p w14:paraId="1019CBAE" w14:textId="77777777" w:rsidR="009426B2" w:rsidRPr="006C7CD8" w:rsidRDefault="009426B2" w:rsidP="009426B2">
      <w:pPr>
        <w:rPr>
          <w:rFonts w:ascii="Arial" w:hAnsi="Arial" w:cs="Arial"/>
          <w:sz w:val="22"/>
          <w:szCs w:val="22"/>
        </w:rPr>
      </w:pPr>
      <w:r w:rsidRPr="006C7CD8">
        <w:rPr>
          <w:rFonts w:ascii="Arial" w:hAnsi="Arial" w:cs="Arial"/>
          <w:b/>
          <w:bCs/>
          <w:sz w:val="22"/>
          <w:szCs w:val="22"/>
        </w:rPr>
        <w:t>AC 3.2</w:t>
      </w:r>
      <w:r w:rsidRPr="006C7CD8">
        <w:rPr>
          <w:rFonts w:ascii="Arial" w:hAnsi="Arial" w:cs="Arial"/>
          <w:sz w:val="22"/>
          <w:szCs w:val="22"/>
        </w:rPr>
        <w:t xml:space="preserve"> Retention of warehouse staff presents a significant challenge for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due to intense labour market competition and the physically demanding nature of roles. A range of retention approaches can be used, including realistic job previews, induction, job enrichment and reward, each addressing retention in different ways.</w:t>
      </w:r>
    </w:p>
    <w:p w14:paraId="48A79951" w14:textId="77777777" w:rsidR="009426B2" w:rsidRPr="006C7CD8" w:rsidRDefault="009426B2" w:rsidP="009426B2">
      <w:pPr>
        <w:rPr>
          <w:rFonts w:ascii="Arial" w:hAnsi="Arial" w:cs="Arial"/>
          <w:sz w:val="22"/>
          <w:szCs w:val="22"/>
        </w:rPr>
      </w:pPr>
      <w:r w:rsidRPr="006C7CD8">
        <w:rPr>
          <w:rFonts w:ascii="Arial" w:hAnsi="Arial" w:cs="Arial"/>
          <w:sz w:val="22"/>
          <w:szCs w:val="22"/>
        </w:rPr>
        <w:t>Realistic job previews (RJPs) aim to provide candidates with an honest picture of the role before appointment, including workload, physical demands and shift patterns. Research suggests that RJPs reduce early turnover by aligning expectations and minimising job shock (Robson, 2024). For warehouse roles, this may include explaining manual handling requirements or peak-period pressures. While RJPs may deter some applicants, they tend to improve retention by attracting candidates who are better suited to the role, making them particularly effective in high-turnover operational environments (Armstrong and Taylor, 2023).</w:t>
      </w:r>
    </w:p>
    <w:p w14:paraId="60B1A0B9"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Induction focuses on supporting employees once they join the organisation. Effective induction helps new starters understand organisational values, health and safety requirements and performance expectations, supporting early engagement and confidence (CIPD, 2023b). </w:t>
      </w:r>
      <w:r>
        <w:rPr>
          <w:rFonts w:ascii="Arial" w:hAnsi="Arial" w:cs="Arial"/>
          <w:sz w:val="22"/>
          <w:szCs w:val="22"/>
        </w:rPr>
        <w:t xml:space="preserve">A </w:t>
      </w:r>
      <w:r w:rsidRPr="006C7CD8">
        <w:rPr>
          <w:rFonts w:ascii="Arial" w:hAnsi="Arial" w:cs="Arial"/>
          <w:sz w:val="22"/>
          <w:szCs w:val="22"/>
        </w:rPr>
        <w:t xml:space="preserve">structured warehouse induction </w:t>
      </w:r>
      <w:r>
        <w:rPr>
          <w:rFonts w:ascii="Arial" w:hAnsi="Arial" w:cs="Arial"/>
          <w:sz w:val="22"/>
          <w:szCs w:val="22"/>
        </w:rPr>
        <w:t xml:space="preserve">in </w:t>
      </w:r>
      <w:proofErr w:type="spellStart"/>
      <w:r>
        <w:rPr>
          <w:rFonts w:ascii="Arial" w:hAnsi="Arial" w:cs="Arial"/>
          <w:sz w:val="22"/>
          <w:szCs w:val="22"/>
        </w:rPr>
        <w:t>ParcelCare</w:t>
      </w:r>
      <w:proofErr w:type="spellEnd"/>
      <w:r>
        <w:rPr>
          <w:rFonts w:ascii="Arial" w:hAnsi="Arial" w:cs="Arial"/>
          <w:sz w:val="22"/>
          <w:szCs w:val="22"/>
        </w:rPr>
        <w:t xml:space="preserve"> </w:t>
      </w:r>
      <w:r w:rsidRPr="006C7CD8">
        <w:rPr>
          <w:rFonts w:ascii="Arial" w:hAnsi="Arial" w:cs="Arial"/>
          <w:sz w:val="22"/>
          <w:szCs w:val="22"/>
        </w:rPr>
        <w:t>could reduce early exits linked to uncertainty or lack of support. However, induction alone is often insufficient for long-term retention unless reinforced by ongoing development and supportive management.</w:t>
      </w:r>
    </w:p>
    <w:p w14:paraId="196FD36B" w14:textId="77777777" w:rsidR="009426B2" w:rsidRPr="006C7CD8" w:rsidRDefault="009426B2" w:rsidP="009426B2">
      <w:pPr>
        <w:rPr>
          <w:rFonts w:ascii="Arial" w:hAnsi="Arial" w:cs="Arial"/>
          <w:sz w:val="22"/>
          <w:szCs w:val="22"/>
        </w:rPr>
      </w:pPr>
      <w:r w:rsidRPr="006C7CD8">
        <w:rPr>
          <w:rFonts w:ascii="Arial" w:hAnsi="Arial" w:cs="Arial"/>
          <w:sz w:val="22"/>
          <w:szCs w:val="22"/>
        </w:rPr>
        <w:t>Job enrichment addresses retention by improving the quality of work itself. This approach involves increasing autonomy, task variety or responsibility, which can enhance motivation and job satisfaction (Armstrong and Taylor, 2023). In a warehouse context, this might include multi-skilling across picking, loading and inventory tasks or involving employees in problem-solving activities. While job enrichment can strengthen engagement and retention, its impact may be limited where roles remain physically demanding or tightly controlled.</w:t>
      </w:r>
    </w:p>
    <w:p w14:paraId="720E6D29"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Reward is still a key consideration when seeking to retain staff, particularly in competitive labour markets. Competitive pay, shift premiums and attendance bonuses can help retain warehouse staff by addressing financial pull factors (CIPD, 2023c). However, evidence suggests that reward alone does not sustain long-term retention if working conditions or progression opportunities are weak (Taylor and Woodhams, 2022). For </w:t>
      </w:r>
      <w:proofErr w:type="spellStart"/>
      <w:r w:rsidRPr="006C7CD8">
        <w:rPr>
          <w:rFonts w:ascii="Arial" w:hAnsi="Arial" w:cs="Arial"/>
          <w:sz w:val="22"/>
          <w:szCs w:val="22"/>
        </w:rPr>
        <w:t>ParcelCare</w:t>
      </w:r>
      <w:proofErr w:type="spellEnd"/>
      <w:r w:rsidRPr="006C7CD8">
        <w:rPr>
          <w:rFonts w:ascii="Arial" w:hAnsi="Arial" w:cs="Arial"/>
          <w:sz w:val="22"/>
          <w:szCs w:val="22"/>
        </w:rPr>
        <w:t>, reward strategies are most effective when combined with development and wellbeing initiatives.</w:t>
      </w:r>
    </w:p>
    <w:p w14:paraId="2E7EAE10"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While reward may address short-term retention pressures, approaches such as realistic job previews and induction help prevent early turnover, and job enrichment supports longer-term </w:t>
      </w:r>
      <w:r w:rsidRPr="006C7CD8">
        <w:rPr>
          <w:rFonts w:ascii="Arial" w:hAnsi="Arial" w:cs="Arial"/>
          <w:sz w:val="22"/>
          <w:szCs w:val="22"/>
        </w:rPr>
        <w:lastRenderedPageBreak/>
        <w:t>engagement. A blended approach is therefore most effective for retaining warehouse staff in a highly competitive labour market.</w:t>
      </w:r>
    </w:p>
    <w:p w14:paraId="4CE87281" w14:textId="77777777" w:rsidR="009426B2" w:rsidRPr="006C7CD8" w:rsidRDefault="009426B2" w:rsidP="009426B2">
      <w:pPr>
        <w:rPr>
          <w:rFonts w:ascii="Arial" w:hAnsi="Arial" w:cs="Arial"/>
          <w:sz w:val="22"/>
          <w:szCs w:val="22"/>
        </w:rPr>
      </w:pPr>
      <w:r w:rsidRPr="006C7CD8">
        <w:rPr>
          <w:rFonts w:ascii="Arial" w:hAnsi="Arial" w:cs="Arial"/>
          <w:b/>
          <w:bCs/>
          <w:sz w:val="22"/>
          <w:szCs w:val="22"/>
        </w:rPr>
        <w:t>AC 3.3</w:t>
      </w:r>
      <w:r w:rsidRPr="006C7CD8">
        <w:rPr>
          <w:rFonts w:ascii="Arial" w:hAnsi="Arial" w:cs="Arial"/>
          <w:sz w:val="22"/>
          <w:szCs w:val="22"/>
        </w:rPr>
        <w:t xml:space="preserve"> Dysfunctional employee turnover occurs when organisations lose employees whose exit creates operational, financial or capability-related harm. This type of turnover is particularly problematic where employees hold valuable organisational knowledge, established skills or experience that cannot be quickly or easily replaced. While some employee turnover is unavoidable, such as retirement or long-term ill health, dysfunctional turnover represents a preventable risk that can undermine performance if not actively managed (CIPD, 2024b).</w:t>
      </w:r>
    </w:p>
    <w:p w14:paraId="0C7D9EC6"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One of the most significant impacts of dysfunctional turnover is financial cost. Direct costs arise from recruitment advertising, agency fees, interview time, onboarding, induction and initial training of replacement employees (Price, 2025). Research indicates that replacing an employee can cost a substantial proportion of their annual salary, particularly where specialist or experienced roles are involved (O’Reilly, 2025).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may experience this through repeated turnover in warehouse or driver roles which increases recruitment frequency, placing ongoing pressure on budgets and HR capacity.</w:t>
      </w:r>
    </w:p>
    <w:p w14:paraId="4A40D896" w14:textId="77777777" w:rsidR="009426B2" w:rsidRPr="006C7CD8" w:rsidRDefault="009426B2" w:rsidP="009426B2">
      <w:pPr>
        <w:rPr>
          <w:rFonts w:ascii="Arial" w:hAnsi="Arial" w:cs="Arial"/>
          <w:sz w:val="22"/>
          <w:szCs w:val="22"/>
        </w:rPr>
      </w:pPr>
      <w:r w:rsidRPr="006C7CD8">
        <w:rPr>
          <w:rFonts w:ascii="Arial" w:hAnsi="Arial" w:cs="Arial"/>
          <w:sz w:val="22"/>
          <w:szCs w:val="22"/>
        </w:rPr>
        <w:t>In addition to direct costs, dysfunctional turnover generates considerable indirect costs. When experienced employees leave, productivity often declines as work is redistributed or remains unfilled. New starters typically require time to reach full operational effectiveness, during which errors, inefficiencies and service delays are more likely (Walker, 2024). This can have a direct impact on customer satisfaction and operational reliability, particularly in time-sensitive delivery environments.</w:t>
      </w:r>
    </w:p>
    <w:p w14:paraId="34C1D759" w14:textId="77777777" w:rsidR="009426B2" w:rsidRPr="006C7CD8" w:rsidRDefault="009426B2" w:rsidP="009426B2">
      <w:pPr>
        <w:rPr>
          <w:rFonts w:ascii="Arial" w:hAnsi="Arial" w:cs="Arial"/>
          <w:sz w:val="22"/>
          <w:szCs w:val="22"/>
        </w:rPr>
      </w:pPr>
      <w:r w:rsidRPr="006C7CD8">
        <w:rPr>
          <w:rFonts w:ascii="Arial" w:hAnsi="Arial" w:cs="Arial"/>
          <w:sz w:val="22"/>
          <w:szCs w:val="22"/>
        </w:rPr>
        <w:t>The loss of skills, knowledge and experience is another critical impact. Employees who have developed role-specific knowledge, route familiarity or informal problem-solving skills take this expertise with them when they leave. CIPD highlight that such losses weaken organisational capability and reduce the return on investment in training and development (CIPD, 2024b).</w:t>
      </w:r>
    </w:p>
    <w:p w14:paraId="0B6F378B"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Dysfunctional turnover also affects employee morale and organisational culture. High levels of turnover can increase workload pressure on remaining staff, reduce team stability and impact the fostering of psychological safety in the workplace (CIPD, 2024d). </w:t>
      </w:r>
      <w:proofErr w:type="spellStart"/>
      <w:r w:rsidRPr="006C7CD8">
        <w:rPr>
          <w:rFonts w:ascii="Arial" w:hAnsi="Arial" w:cs="Arial"/>
          <w:sz w:val="22"/>
          <w:szCs w:val="22"/>
        </w:rPr>
        <w:t>Cholteeva</w:t>
      </w:r>
      <w:proofErr w:type="spellEnd"/>
      <w:r w:rsidRPr="006C7CD8">
        <w:rPr>
          <w:rFonts w:ascii="Arial" w:hAnsi="Arial" w:cs="Arial"/>
          <w:sz w:val="22"/>
          <w:szCs w:val="22"/>
        </w:rPr>
        <w:t xml:space="preserve"> (2022) suggests that sustained turnover is associated with declining trust, lower morale and increased intentions to leave among remaining employees, creating a self-reinforcing cycle of attrition.</w:t>
      </w:r>
    </w:p>
    <w:p w14:paraId="44B28A8A" w14:textId="77777777" w:rsidR="009426B2" w:rsidRPr="006C7CD8" w:rsidRDefault="009426B2" w:rsidP="009426B2">
      <w:pPr>
        <w:rPr>
          <w:rFonts w:ascii="Arial" w:hAnsi="Arial" w:cs="Arial"/>
          <w:sz w:val="22"/>
          <w:szCs w:val="22"/>
        </w:rPr>
      </w:pPr>
      <w:r w:rsidRPr="006C7CD8">
        <w:rPr>
          <w:rFonts w:ascii="Arial" w:hAnsi="Arial" w:cs="Arial"/>
          <w:sz w:val="22"/>
          <w:szCs w:val="22"/>
        </w:rPr>
        <w:t>Finally, dysfunctional turnover undermines workforce planning and organisational resilience. Constant replacement of experienced staff limits the organisation’s ability to build internal talent pipelines, develop future supervisors and plan effectively for growth or change (</w:t>
      </w:r>
      <w:proofErr w:type="spellStart"/>
      <w:r w:rsidRPr="006C7CD8">
        <w:rPr>
          <w:rFonts w:ascii="Arial" w:hAnsi="Arial" w:cs="Arial"/>
          <w:sz w:val="22"/>
          <w:szCs w:val="22"/>
        </w:rPr>
        <w:t>ThriveTech</w:t>
      </w:r>
      <w:proofErr w:type="spellEnd"/>
      <w:r w:rsidRPr="006C7CD8">
        <w:rPr>
          <w:rFonts w:ascii="Arial" w:hAnsi="Arial" w:cs="Arial"/>
          <w:sz w:val="22"/>
          <w:szCs w:val="22"/>
        </w:rPr>
        <w:t>, 2025).</w:t>
      </w:r>
    </w:p>
    <w:p w14:paraId="1079AF12" w14:textId="77777777" w:rsidR="009426B2" w:rsidRPr="006C7CD8" w:rsidRDefault="009426B2" w:rsidP="009426B2">
      <w:pPr>
        <w:rPr>
          <w:rFonts w:ascii="Arial" w:hAnsi="Arial" w:cs="Arial"/>
          <w:sz w:val="22"/>
          <w:szCs w:val="22"/>
        </w:rPr>
      </w:pPr>
      <w:r w:rsidRPr="006C7CD8">
        <w:rPr>
          <w:rFonts w:ascii="Arial" w:hAnsi="Arial" w:cs="Arial"/>
          <w:b/>
          <w:bCs/>
          <w:sz w:val="22"/>
          <w:szCs w:val="22"/>
        </w:rPr>
        <w:t>AC 4.1</w:t>
      </w:r>
      <w:r w:rsidRPr="006C7CD8">
        <w:rPr>
          <w:rFonts w:ascii="Arial" w:hAnsi="Arial" w:cs="Arial"/>
          <w:sz w:val="22"/>
          <w:szCs w:val="22"/>
        </w:rPr>
        <w:t xml:space="preserve">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currently employs most of its delivery drivers on permanent, full-time contracts. These contracts remain appropriate for the organisation’s core delivery operations, as they provide stability, predictability and a clear employment relationship. Permanent employees are subject to stronger mutual obligations around attendance, performance, conduct and availability, which supports service reliability, customer satisfaction and compliance with health and safety requirements (ACAS, 2025). Daniels </w:t>
      </w:r>
      <w:r w:rsidRPr="006C7CD8">
        <w:rPr>
          <w:rFonts w:ascii="Arial" w:hAnsi="Arial" w:cs="Arial"/>
          <w:sz w:val="22"/>
          <w:szCs w:val="22"/>
        </w:rPr>
        <w:lastRenderedPageBreak/>
        <w:t>(2022) highlights that permanent contracts offer employers greater managerial control, clearer reporting arrangements and stronger behavioural expectations, all of which are particularly important in operational, safety-critical roles such as delivery driving.</w:t>
      </w:r>
    </w:p>
    <w:p w14:paraId="273DFE56"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However, permanent full-time contracts also create fixed labour costs. Where delivery demand fluctuates significantly, this can result in inefficiencies, including overstaffing during quieter periods or excessive overtime during peaks. Daniels (2022) notes that traditional employment models can become misaligned with business need where work volumes vary, increasing cost pressure and operational risk. For </w:t>
      </w:r>
      <w:proofErr w:type="spellStart"/>
      <w:r w:rsidRPr="006C7CD8">
        <w:rPr>
          <w:rFonts w:ascii="Arial" w:hAnsi="Arial" w:cs="Arial"/>
          <w:sz w:val="22"/>
          <w:szCs w:val="22"/>
        </w:rPr>
        <w:t>ParcelCare</w:t>
      </w:r>
      <w:proofErr w:type="spellEnd"/>
      <w:r w:rsidRPr="006C7CD8">
        <w:rPr>
          <w:rFonts w:ascii="Arial" w:hAnsi="Arial" w:cs="Arial"/>
          <w:sz w:val="22"/>
          <w:szCs w:val="22"/>
        </w:rPr>
        <w:t>, reliance on permanent contracts alone may therefore limit flexibility and responsiveness.</w:t>
      </w:r>
    </w:p>
    <w:p w14:paraId="1052F6F2"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One alternative arrangement is the use of fixed-term contracts. Fixed-term employees retain employee status, meaning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can apply the same work practice standards, sickness absence procedures and performance expectations as for permanent staff (CIPD, 2024e). These contracts are particularly suitable for predictable surges in demand, such as Christmas or promotional periods, allowing capacity to be increased without long-term commitment. From a financial perspective, fixed-term contracts support cost control by aligning labour spend with known operational need. However, Daniels (2022) cautions that repeated use of short-term contracts can weaken employee engagement and increase training and induction costs if turnover is high.</w:t>
      </w:r>
    </w:p>
    <w:p w14:paraId="59D86340"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A further option is zero-hours contracts, which usually create worker rather than employee status. Zero-hours arrangements provide maximum flexibility, enabling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to respond quickly to fluctuating delivery volumes, sickness absence or short-notice operational pressures (CIPD, 2024f). These contracts reduce guaranteed wage costs and may appeal to individuals seeking flexible work patterns. Daniels (2022) emphasises that zero-hours contracts reduce mutuality of obligation, meaning workers are less committed to accept work and employers have reduced control over availability. This can create risks around reliability, continuity and workforce engagement, particularly in time-sensitive delivery environments.</w:t>
      </w:r>
    </w:p>
    <w:p w14:paraId="5D647713"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These flexible arrangements also reflect wider gig-economy models, where work is delivered through non-standard contracts. While such models can support short-term capacity, they often shift risk from the organisation to the individual and may raise ethical, reputational and legal considerations (Daniels, 2022). For </w:t>
      </w:r>
      <w:proofErr w:type="spellStart"/>
      <w:r w:rsidRPr="006C7CD8">
        <w:rPr>
          <w:rFonts w:ascii="Arial" w:hAnsi="Arial" w:cs="Arial"/>
          <w:sz w:val="22"/>
          <w:szCs w:val="22"/>
        </w:rPr>
        <w:t>ParcelCare</w:t>
      </w:r>
      <w:proofErr w:type="spellEnd"/>
      <w:r w:rsidRPr="006C7CD8">
        <w:rPr>
          <w:rFonts w:ascii="Arial" w:hAnsi="Arial" w:cs="Arial"/>
          <w:sz w:val="22"/>
          <w:szCs w:val="22"/>
        </w:rPr>
        <w:t>, over-reliance on such arrangements could undermine service consistency and retention.</w:t>
      </w:r>
    </w:p>
    <w:p w14:paraId="7238F229" w14:textId="77777777" w:rsidR="009426B2" w:rsidRPr="006C7CD8" w:rsidRDefault="009426B2" w:rsidP="009426B2">
      <w:pPr>
        <w:rPr>
          <w:rFonts w:ascii="Arial" w:hAnsi="Arial" w:cs="Arial"/>
          <w:sz w:val="22"/>
          <w:szCs w:val="22"/>
        </w:rPr>
      </w:pPr>
      <w:proofErr w:type="gramStart"/>
      <w:r w:rsidRPr="006C7CD8">
        <w:rPr>
          <w:rFonts w:ascii="Arial" w:hAnsi="Arial" w:cs="Arial"/>
          <w:sz w:val="22"/>
          <w:szCs w:val="22"/>
        </w:rPr>
        <w:t>It would appear that permanent</w:t>
      </w:r>
      <w:proofErr w:type="gramEnd"/>
      <w:r w:rsidRPr="006C7CD8">
        <w:rPr>
          <w:rFonts w:ascii="Arial" w:hAnsi="Arial" w:cs="Arial"/>
          <w:sz w:val="22"/>
          <w:szCs w:val="22"/>
        </w:rPr>
        <w:t xml:space="preserve"> full-time contracts remain suitable for </w:t>
      </w:r>
      <w:proofErr w:type="spellStart"/>
      <w:r w:rsidRPr="006C7CD8">
        <w:rPr>
          <w:rFonts w:ascii="Arial" w:hAnsi="Arial" w:cs="Arial"/>
          <w:sz w:val="22"/>
          <w:szCs w:val="22"/>
        </w:rPr>
        <w:t>ParcelCare’s</w:t>
      </w:r>
      <w:proofErr w:type="spellEnd"/>
      <w:r w:rsidRPr="006C7CD8">
        <w:rPr>
          <w:rFonts w:ascii="Arial" w:hAnsi="Arial" w:cs="Arial"/>
          <w:sz w:val="22"/>
          <w:szCs w:val="22"/>
        </w:rPr>
        <w:t xml:space="preserve"> core delivery workforce, ensuring stability, accountability and service quality. Fixed-term contracts offer controlled flexibility for predictable peaks, while zero-hours contracts can provide short-term responsiveness.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w:t>
      </w:r>
      <w:r>
        <w:rPr>
          <w:rFonts w:ascii="Arial" w:hAnsi="Arial" w:cs="Arial"/>
          <w:sz w:val="22"/>
          <w:szCs w:val="22"/>
        </w:rPr>
        <w:t>using a blended approach to contracts could</w:t>
      </w:r>
      <w:r w:rsidRPr="006C7CD8">
        <w:rPr>
          <w:rFonts w:ascii="Arial" w:hAnsi="Arial" w:cs="Arial"/>
          <w:sz w:val="22"/>
          <w:szCs w:val="22"/>
        </w:rPr>
        <w:t xml:space="preserve"> better match workforce capacity to demand while balancing financial control, operational reliability and employee relations.</w:t>
      </w:r>
    </w:p>
    <w:p w14:paraId="0DAEFC12" w14:textId="77777777" w:rsidR="009426B2" w:rsidRPr="006C7CD8" w:rsidRDefault="009426B2" w:rsidP="009426B2">
      <w:pPr>
        <w:rPr>
          <w:rFonts w:ascii="Arial" w:hAnsi="Arial" w:cs="Arial"/>
          <w:sz w:val="22"/>
          <w:szCs w:val="22"/>
        </w:rPr>
      </w:pPr>
      <w:r w:rsidRPr="006C7CD8">
        <w:rPr>
          <w:rFonts w:ascii="Arial" w:hAnsi="Arial" w:cs="Arial"/>
          <w:b/>
          <w:bCs/>
          <w:sz w:val="22"/>
          <w:szCs w:val="22"/>
        </w:rPr>
        <w:t xml:space="preserve">AC 4.2 </w:t>
      </w:r>
      <w:r w:rsidRPr="006C7CD8">
        <w:rPr>
          <w:rFonts w:ascii="Arial" w:hAnsi="Arial" w:cs="Arial"/>
          <w:sz w:val="22"/>
          <w:szCs w:val="22"/>
        </w:rPr>
        <w:t xml:space="preserve">Effective onboarding plays a critical role in supporting new employees to integrate successfully into an organisation and perform effectively in their roles (Newhouse, 2022). While </w:t>
      </w:r>
      <w:proofErr w:type="spellStart"/>
      <w:r w:rsidRPr="006C7CD8">
        <w:rPr>
          <w:rFonts w:ascii="Arial" w:hAnsi="Arial" w:cs="Arial"/>
          <w:sz w:val="22"/>
          <w:szCs w:val="22"/>
        </w:rPr>
        <w:t>ParcelCare</w:t>
      </w:r>
      <w:proofErr w:type="spellEnd"/>
      <w:r w:rsidRPr="006C7CD8">
        <w:rPr>
          <w:rFonts w:ascii="Arial" w:hAnsi="Arial" w:cs="Arial"/>
          <w:sz w:val="22"/>
          <w:szCs w:val="22"/>
        </w:rPr>
        <w:t xml:space="preserve"> currently adopts an ad hoc approach focused on administration and health and safety, evidence suggests that a more structured onboarding process delivers significant organisational and employee benefits (Taylor and Woodhams, 2022).</w:t>
      </w:r>
    </w:p>
    <w:p w14:paraId="0D08E4AE" w14:textId="77777777" w:rsidR="009426B2" w:rsidRPr="006C7CD8" w:rsidRDefault="009426B2" w:rsidP="009426B2">
      <w:pPr>
        <w:rPr>
          <w:rFonts w:ascii="Arial" w:hAnsi="Arial" w:cs="Arial"/>
          <w:sz w:val="22"/>
          <w:szCs w:val="22"/>
        </w:rPr>
      </w:pPr>
      <w:r w:rsidRPr="006C7CD8">
        <w:rPr>
          <w:rFonts w:ascii="Arial" w:hAnsi="Arial" w:cs="Arial"/>
          <w:sz w:val="22"/>
          <w:szCs w:val="22"/>
        </w:rPr>
        <w:lastRenderedPageBreak/>
        <w:t>Onboarding goes beyond completing paperwork or basic induction tasks. It includes pre-employment communication, clear role information, clarification of expectations, socialisation into the organisation and access to ongoing support and development (CIPD, 2023d). Taylor and Woodhams (2022) emphasise that onboarding helps employees understand not only what is expected of them, but how work is done within the organisation, including informal norms, behaviours and standards.</w:t>
      </w:r>
    </w:p>
    <w:p w14:paraId="2939AC26" w14:textId="77777777" w:rsidR="009426B2" w:rsidRPr="006C7CD8" w:rsidRDefault="009426B2" w:rsidP="009426B2">
      <w:pPr>
        <w:rPr>
          <w:rFonts w:ascii="Arial" w:hAnsi="Arial" w:cs="Arial"/>
          <w:sz w:val="22"/>
          <w:szCs w:val="22"/>
        </w:rPr>
      </w:pPr>
      <w:r w:rsidRPr="006C7CD8">
        <w:rPr>
          <w:rFonts w:ascii="Arial" w:hAnsi="Arial" w:cs="Arial"/>
          <w:sz w:val="22"/>
          <w:szCs w:val="22"/>
        </w:rPr>
        <w:t>One of the most significant benefits of effective onboarding is improved retention. Poor or inconsistent onboarding increases the risk of what Taylor and Woodhams (2022) describe as an ‘induction crisis’, where employees feel uncertain, unsupported or overwhelmed, leading to poor performance or early exit.</w:t>
      </w:r>
    </w:p>
    <w:p w14:paraId="248DE57A"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In contrast, structured onboarding helps reduce early turnover by building confidence, clarity and engagement during the critical first months of employment. This is particularly important for </w:t>
      </w:r>
      <w:proofErr w:type="spellStart"/>
      <w:r w:rsidRPr="006C7CD8">
        <w:rPr>
          <w:rFonts w:ascii="Arial" w:hAnsi="Arial" w:cs="Arial"/>
          <w:sz w:val="22"/>
          <w:szCs w:val="22"/>
        </w:rPr>
        <w:t>ParcelCare</w:t>
      </w:r>
      <w:proofErr w:type="spellEnd"/>
      <w:r w:rsidRPr="006C7CD8">
        <w:rPr>
          <w:rFonts w:ascii="Arial" w:hAnsi="Arial" w:cs="Arial"/>
          <w:sz w:val="22"/>
          <w:szCs w:val="22"/>
        </w:rPr>
        <w:t>, where early turnover among operational staff can be costly and disruptive.</w:t>
      </w:r>
    </w:p>
    <w:p w14:paraId="72A95195" w14:textId="77777777" w:rsidR="009426B2" w:rsidRPr="006C7CD8" w:rsidRDefault="009426B2" w:rsidP="009426B2">
      <w:pPr>
        <w:rPr>
          <w:rFonts w:ascii="Arial" w:hAnsi="Arial" w:cs="Arial"/>
          <w:sz w:val="22"/>
          <w:szCs w:val="22"/>
        </w:rPr>
      </w:pPr>
      <w:r w:rsidRPr="006C7CD8">
        <w:rPr>
          <w:rFonts w:ascii="Arial" w:hAnsi="Arial" w:cs="Arial"/>
          <w:sz w:val="22"/>
          <w:szCs w:val="22"/>
        </w:rPr>
        <w:t>Effective onboarding also accelerates time to competence. When employees receive clear role information, training and support from the outset, they reach full productivity more quickly. CIPD guidance highlights that onboarding improves role effectiveness by ensuring employees understand systems, processes and performance expectations early on (CIPD, 2023d). This reduces errors, reliance on colleagues and operational inefficiencies.</w:t>
      </w:r>
    </w:p>
    <w:p w14:paraId="64ABC048" w14:textId="77777777" w:rsidR="009426B2" w:rsidRPr="006C7CD8" w:rsidRDefault="009426B2" w:rsidP="009426B2">
      <w:pPr>
        <w:rPr>
          <w:rFonts w:ascii="Arial" w:hAnsi="Arial" w:cs="Arial"/>
          <w:sz w:val="22"/>
          <w:szCs w:val="22"/>
        </w:rPr>
      </w:pPr>
      <w:r w:rsidRPr="006C7CD8">
        <w:rPr>
          <w:rFonts w:ascii="Arial" w:hAnsi="Arial" w:cs="Arial"/>
          <w:sz w:val="22"/>
          <w:szCs w:val="22"/>
        </w:rPr>
        <w:t>Another key benefit is improved employee experience and engagement. Onboarding supports social integration by helping new starters build relationships, understand organisational culture and feel part of the team. The CIPD Profession Map identifies employee experience as a key driver of engagement, wellbeing and retention, with onboarding shaping employees’ early perceptions of the organisation (CIPD, 2025f). Feeling welcomed and supported increases commitment and discretionary effort.</w:t>
      </w:r>
    </w:p>
    <w:p w14:paraId="2BFC6D70" w14:textId="77777777" w:rsidR="009426B2" w:rsidRPr="006C7CD8" w:rsidRDefault="009426B2" w:rsidP="009426B2">
      <w:pPr>
        <w:rPr>
          <w:rFonts w:ascii="Arial" w:hAnsi="Arial" w:cs="Arial"/>
          <w:sz w:val="22"/>
          <w:szCs w:val="22"/>
        </w:rPr>
      </w:pPr>
      <w:r w:rsidRPr="006C7CD8">
        <w:rPr>
          <w:rFonts w:ascii="Arial" w:hAnsi="Arial" w:cs="Arial"/>
          <w:sz w:val="22"/>
          <w:szCs w:val="22"/>
        </w:rPr>
        <w:t>Technology can further enhance onboarding effectiveness. Digital onboarding tools allow organisations to provide consistent pre-start information, automate administrative processes and deliver learning in a structured way, freeing managers to focus on support and coaching (CIPD, 2024g). Newhouse (2022) also highlights that effective onboarding strengthens employer reputation and supports long-term performance, particularly in competitive labour markets.</w:t>
      </w:r>
    </w:p>
    <w:p w14:paraId="0DFF2F04" w14:textId="77777777" w:rsidR="009426B2" w:rsidRPr="006C7CD8" w:rsidRDefault="009426B2" w:rsidP="009426B2">
      <w:pPr>
        <w:rPr>
          <w:rFonts w:ascii="Arial" w:hAnsi="Arial" w:cs="Arial"/>
          <w:sz w:val="22"/>
          <w:szCs w:val="22"/>
        </w:rPr>
      </w:pPr>
      <w:r w:rsidRPr="006C7CD8">
        <w:rPr>
          <w:rFonts w:ascii="Arial" w:hAnsi="Arial" w:cs="Arial"/>
          <w:sz w:val="22"/>
          <w:szCs w:val="22"/>
        </w:rPr>
        <w:t xml:space="preserve">Investing in effective onboarding supports faster integration, improved performance, stronger retention and a more positive employee experience. For </w:t>
      </w:r>
      <w:proofErr w:type="spellStart"/>
      <w:r w:rsidRPr="006C7CD8">
        <w:rPr>
          <w:rFonts w:ascii="Arial" w:hAnsi="Arial" w:cs="Arial"/>
          <w:sz w:val="22"/>
          <w:szCs w:val="22"/>
        </w:rPr>
        <w:t>ParcelCare</w:t>
      </w:r>
      <w:proofErr w:type="spellEnd"/>
      <w:r w:rsidRPr="006C7CD8">
        <w:rPr>
          <w:rFonts w:ascii="Arial" w:hAnsi="Arial" w:cs="Arial"/>
          <w:sz w:val="22"/>
          <w:szCs w:val="22"/>
        </w:rPr>
        <w:t>, a structured onboarding approach would reduce early turnover risks, enhance operational stability and demonstrate commitment to its workforce.</w:t>
      </w:r>
    </w:p>
    <w:p w14:paraId="11BB7151" w14:textId="77777777" w:rsidR="009426B2" w:rsidRPr="006C7CD8" w:rsidRDefault="009426B2" w:rsidP="009426B2">
      <w:pPr>
        <w:rPr>
          <w:rFonts w:ascii="Arial" w:hAnsi="Arial" w:cs="Arial"/>
          <w:sz w:val="22"/>
          <w:szCs w:val="22"/>
        </w:rPr>
      </w:pPr>
    </w:p>
    <w:p w14:paraId="5EF6E121" w14:textId="77777777" w:rsidR="009426B2" w:rsidRPr="006C7CD8" w:rsidRDefault="009426B2" w:rsidP="009426B2">
      <w:pPr>
        <w:rPr>
          <w:rFonts w:ascii="Arial" w:hAnsi="Arial" w:cs="Arial"/>
          <w:sz w:val="22"/>
          <w:szCs w:val="22"/>
        </w:rPr>
      </w:pPr>
    </w:p>
    <w:p w14:paraId="40278B60" w14:textId="77777777" w:rsidR="009426B2" w:rsidRPr="006C7CD8" w:rsidRDefault="009426B2" w:rsidP="009426B2">
      <w:pPr>
        <w:rPr>
          <w:rFonts w:ascii="Arial" w:hAnsi="Arial" w:cs="Arial"/>
          <w:sz w:val="22"/>
          <w:szCs w:val="22"/>
        </w:rPr>
      </w:pPr>
    </w:p>
    <w:p w14:paraId="481ABA4A" w14:textId="77777777" w:rsidR="009426B2" w:rsidRPr="006C7CD8" w:rsidRDefault="009426B2" w:rsidP="009426B2">
      <w:pPr>
        <w:rPr>
          <w:rFonts w:ascii="Arial" w:hAnsi="Arial" w:cs="Arial"/>
          <w:sz w:val="22"/>
          <w:szCs w:val="22"/>
        </w:rPr>
      </w:pPr>
    </w:p>
    <w:p w14:paraId="44698F9C" w14:textId="77777777" w:rsidR="009426B2" w:rsidRPr="006C7CD8" w:rsidRDefault="009426B2" w:rsidP="009426B2">
      <w:pPr>
        <w:rPr>
          <w:rFonts w:ascii="Arial" w:hAnsi="Arial" w:cs="Arial"/>
          <w:b/>
          <w:bCs/>
          <w:sz w:val="22"/>
          <w:szCs w:val="22"/>
        </w:rPr>
      </w:pPr>
    </w:p>
    <w:p w14:paraId="11BFB5A2" w14:textId="77777777" w:rsidR="009426B2" w:rsidRDefault="009426B2" w:rsidP="009426B2">
      <w:pPr>
        <w:rPr>
          <w:rFonts w:ascii="Arial" w:hAnsi="Arial" w:cs="Arial"/>
          <w:b/>
          <w:bCs/>
          <w:sz w:val="22"/>
          <w:szCs w:val="22"/>
        </w:rPr>
      </w:pPr>
    </w:p>
    <w:p w14:paraId="267CCA2F" w14:textId="56A84DDB" w:rsidR="009426B2" w:rsidRPr="006C7CD8" w:rsidRDefault="009426B2" w:rsidP="009426B2">
      <w:pPr>
        <w:rPr>
          <w:rFonts w:ascii="Arial" w:hAnsi="Arial" w:cs="Arial"/>
          <w:b/>
          <w:bCs/>
          <w:sz w:val="22"/>
          <w:szCs w:val="22"/>
        </w:rPr>
      </w:pPr>
      <w:r w:rsidRPr="006C7CD8">
        <w:rPr>
          <w:rFonts w:ascii="Arial" w:hAnsi="Arial" w:cs="Arial"/>
          <w:b/>
          <w:bCs/>
          <w:sz w:val="22"/>
          <w:szCs w:val="22"/>
        </w:rPr>
        <w:lastRenderedPageBreak/>
        <w:t>References</w:t>
      </w:r>
    </w:p>
    <w:p w14:paraId="1C653708" w14:textId="77777777" w:rsidR="009426B2" w:rsidRPr="006C7CD8" w:rsidRDefault="009426B2" w:rsidP="009426B2">
      <w:pPr>
        <w:rPr>
          <w:rFonts w:ascii="Arial" w:hAnsi="Arial" w:cs="Arial"/>
          <w:sz w:val="22"/>
          <w:szCs w:val="22"/>
        </w:rPr>
      </w:pPr>
      <w:r w:rsidRPr="00592A27">
        <w:rPr>
          <w:rFonts w:ascii="Arial" w:hAnsi="Arial" w:cs="Arial"/>
          <w:b/>
          <w:bCs/>
          <w:sz w:val="22"/>
          <w:szCs w:val="22"/>
        </w:rPr>
        <w:t>ACAS (2025)</w:t>
      </w:r>
      <w:r>
        <w:rPr>
          <w:rFonts w:ascii="Arial" w:hAnsi="Arial" w:cs="Arial"/>
          <w:b/>
          <w:bCs/>
          <w:sz w:val="22"/>
          <w:szCs w:val="22"/>
        </w:rPr>
        <w:t>.</w:t>
      </w:r>
      <w:r w:rsidRPr="00592A27">
        <w:rPr>
          <w:rFonts w:ascii="Arial" w:hAnsi="Arial" w:cs="Arial"/>
          <w:b/>
          <w:bCs/>
          <w:sz w:val="22"/>
          <w:szCs w:val="22"/>
        </w:rPr>
        <w:t xml:space="preserve"> </w:t>
      </w:r>
      <w:r w:rsidRPr="00592A27">
        <w:rPr>
          <w:rFonts w:ascii="Arial" w:hAnsi="Arial" w:cs="Arial"/>
          <w:i/>
          <w:iCs/>
          <w:sz w:val="22"/>
          <w:szCs w:val="22"/>
        </w:rPr>
        <w:t xml:space="preserve">Written or verbally agreed terms. </w:t>
      </w:r>
      <w:r w:rsidRPr="00592A27">
        <w:rPr>
          <w:rFonts w:ascii="Arial" w:hAnsi="Arial" w:cs="Arial"/>
          <w:sz w:val="22"/>
          <w:szCs w:val="22"/>
        </w:rPr>
        <w:t xml:space="preserve">Available at: </w:t>
      </w:r>
      <w:hyperlink r:id="rId4" w:history="1">
        <w:r w:rsidRPr="00592A27">
          <w:rPr>
            <w:rStyle w:val="Hyperlink"/>
            <w:rFonts w:ascii="Arial" w:hAnsi="Arial" w:cs="Arial"/>
            <w:sz w:val="22"/>
            <w:szCs w:val="22"/>
          </w:rPr>
          <w:t>https://www.acas.org.uk/employment-contracts-and-the-law/types-of-terms-in-a-contract</w:t>
        </w:r>
      </w:hyperlink>
      <w:r w:rsidRPr="00592A27">
        <w:rPr>
          <w:rFonts w:ascii="Arial" w:hAnsi="Arial" w:cs="Arial"/>
          <w:sz w:val="22"/>
          <w:szCs w:val="22"/>
        </w:rPr>
        <w:t xml:space="preserve"> (Accessed: </w:t>
      </w:r>
      <w:r>
        <w:rPr>
          <w:rFonts w:ascii="Arial" w:hAnsi="Arial" w:cs="Arial"/>
          <w:sz w:val="22"/>
          <w:szCs w:val="22"/>
        </w:rPr>
        <w:t xml:space="preserve">10 December </w:t>
      </w:r>
      <w:r w:rsidRPr="00592A27">
        <w:rPr>
          <w:rFonts w:ascii="Arial" w:hAnsi="Arial" w:cs="Arial"/>
          <w:sz w:val="22"/>
          <w:szCs w:val="22"/>
        </w:rPr>
        <w:t>2025)</w:t>
      </w:r>
    </w:p>
    <w:p w14:paraId="71FCEC18" w14:textId="77777777" w:rsidR="009426B2" w:rsidRPr="00A75D23" w:rsidRDefault="009426B2" w:rsidP="009426B2">
      <w:pPr>
        <w:rPr>
          <w:rFonts w:ascii="Arial" w:hAnsi="Arial" w:cs="Arial"/>
          <w:sz w:val="22"/>
          <w:szCs w:val="22"/>
        </w:rPr>
      </w:pPr>
      <w:r w:rsidRPr="00A75D23">
        <w:rPr>
          <w:rFonts w:ascii="Arial" w:hAnsi="Arial" w:cs="Arial"/>
          <w:b/>
          <w:bCs/>
          <w:sz w:val="22"/>
          <w:szCs w:val="22"/>
        </w:rPr>
        <w:t xml:space="preserve">Armstrong, M., &amp; Taylor, S. (2023). </w:t>
      </w:r>
      <w:r w:rsidRPr="00A75D23">
        <w:rPr>
          <w:rFonts w:ascii="Arial" w:hAnsi="Arial" w:cs="Arial"/>
          <w:i/>
          <w:iCs/>
          <w:sz w:val="22"/>
          <w:szCs w:val="22"/>
        </w:rPr>
        <w:t>Armstrong’s Handbook of Human Resource Management Practice</w:t>
      </w:r>
      <w:r w:rsidRPr="00A75D23">
        <w:rPr>
          <w:rFonts w:ascii="Arial" w:hAnsi="Arial" w:cs="Arial"/>
          <w:sz w:val="22"/>
          <w:szCs w:val="22"/>
        </w:rPr>
        <w:t>. 16th ed. London: Kogan Page.</w:t>
      </w:r>
    </w:p>
    <w:p w14:paraId="0EFA4BC8" w14:textId="77777777" w:rsidR="009426B2" w:rsidRPr="006C7CD8" w:rsidRDefault="009426B2" w:rsidP="009426B2">
      <w:pPr>
        <w:rPr>
          <w:rFonts w:ascii="Arial" w:hAnsi="Arial" w:cs="Arial"/>
          <w:sz w:val="22"/>
          <w:szCs w:val="22"/>
        </w:rPr>
      </w:pPr>
      <w:r w:rsidRPr="00922499">
        <w:rPr>
          <w:rFonts w:ascii="Arial" w:hAnsi="Arial" w:cs="Arial"/>
          <w:b/>
          <w:bCs/>
          <w:sz w:val="22"/>
          <w:szCs w:val="22"/>
        </w:rPr>
        <w:t>Bevan, S. (2023).</w:t>
      </w:r>
      <w:r w:rsidRPr="00922499">
        <w:rPr>
          <w:rFonts w:ascii="Arial" w:hAnsi="Arial" w:cs="Arial"/>
          <w:sz w:val="22"/>
          <w:szCs w:val="22"/>
        </w:rPr>
        <w:t xml:space="preserve"> </w:t>
      </w:r>
      <w:r w:rsidRPr="00922499">
        <w:rPr>
          <w:rFonts w:ascii="Arial" w:hAnsi="Arial" w:cs="Arial"/>
          <w:i/>
          <w:iCs/>
          <w:sz w:val="22"/>
          <w:szCs w:val="22"/>
        </w:rPr>
        <w:t xml:space="preserve">The 'Great Resignation': is the grass always greener? </w:t>
      </w:r>
      <w:r w:rsidRPr="00922499">
        <w:rPr>
          <w:rFonts w:ascii="Arial" w:hAnsi="Arial" w:cs="Arial"/>
          <w:sz w:val="22"/>
          <w:szCs w:val="22"/>
        </w:rPr>
        <w:t>Institute for Employment Studies. Available</w:t>
      </w:r>
      <w:r w:rsidRPr="00922499">
        <w:rPr>
          <w:rFonts w:ascii="Arial" w:hAnsi="Arial" w:cs="Arial"/>
          <w:i/>
          <w:iCs/>
          <w:sz w:val="22"/>
          <w:szCs w:val="22"/>
        </w:rPr>
        <w:t xml:space="preserve"> </w:t>
      </w:r>
      <w:r w:rsidRPr="00922499">
        <w:rPr>
          <w:rFonts w:ascii="Arial" w:hAnsi="Arial" w:cs="Arial"/>
          <w:sz w:val="22"/>
          <w:szCs w:val="22"/>
        </w:rPr>
        <w:t xml:space="preserve">at: </w:t>
      </w:r>
      <w:hyperlink r:id="rId5" w:history="1">
        <w:r w:rsidRPr="00922499">
          <w:rPr>
            <w:rStyle w:val="Hyperlink"/>
            <w:rFonts w:ascii="Arial" w:hAnsi="Arial" w:cs="Arial"/>
            <w:sz w:val="22"/>
            <w:szCs w:val="22"/>
          </w:rPr>
          <w:t>https://www.employment-studies.co.uk/news/great-resignation-grass-always-greener</w:t>
        </w:r>
      </w:hyperlink>
      <w:r w:rsidRPr="00922499">
        <w:rPr>
          <w:rFonts w:ascii="Arial" w:hAnsi="Arial" w:cs="Arial"/>
          <w:sz w:val="22"/>
          <w:szCs w:val="22"/>
        </w:rPr>
        <w:t xml:space="preserve"> (Accessed: 6 December 2025)</w:t>
      </w:r>
    </w:p>
    <w:p w14:paraId="333A0343" w14:textId="77777777" w:rsidR="009426B2" w:rsidRPr="008D5824" w:rsidRDefault="009426B2" w:rsidP="009426B2">
      <w:pPr>
        <w:rPr>
          <w:rFonts w:ascii="Arial" w:hAnsi="Arial" w:cs="Arial"/>
          <w:i/>
          <w:iCs/>
          <w:sz w:val="22"/>
          <w:szCs w:val="22"/>
        </w:rPr>
      </w:pPr>
      <w:r w:rsidRPr="008D5824">
        <w:rPr>
          <w:rFonts w:ascii="Arial" w:hAnsi="Arial" w:cs="Arial"/>
          <w:b/>
          <w:bCs/>
          <w:sz w:val="22"/>
          <w:szCs w:val="22"/>
        </w:rPr>
        <w:t>Britnell, O. (2019).</w:t>
      </w:r>
      <w:r w:rsidRPr="008D5824">
        <w:rPr>
          <w:rFonts w:ascii="Arial" w:hAnsi="Arial" w:cs="Arial"/>
          <w:sz w:val="22"/>
          <w:szCs w:val="22"/>
        </w:rPr>
        <w:t xml:space="preserve"> </w:t>
      </w:r>
      <w:r w:rsidRPr="008D5824">
        <w:rPr>
          <w:rFonts w:ascii="Arial" w:hAnsi="Arial" w:cs="Arial"/>
          <w:i/>
          <w:iCs/>
          <w:sz w:val="22"/>
          <w:szCs w:val="22"/>
        </w:rPr>
        <w:t>The many merits of workforce planning</w:t>
      </w:r>
      <w:r w:rsidRPr="008D5824">
        <w:rPr>
          <w:rFonts w:ascii="Arial" w:hAnsi="Arial" w:cs="Arial"/>
          <w:sz w:val="22"/>
          <w:szCs w:val="22"/>
        </w:rPr>
        <w:t xml:space="preserve">. CIPD. </w:t>
      </w:r>
      <w:r>
        <w:rPr>
          <w:rFonts w:ascii="Arial" w:hAnsi="Arial" w:cs="Arial"/>
          <w:sz w:val="22"/>
          <w:szCs w:val="22"/>
        </w:rPr>
        <w:t>[</w:t>
      </w:r>
      <w:r w:rsidRPr="008D5824">
        <w:rPr>
          <w:rFonts w:ascii="Arial" w:hAnsi="Arial" w:cs="Arial"/>
          <w:sz w:val="22"/>
          <w:szCs w:val="22"/>
        </w:rPr>
        <w:t>Podcast</w:t>
      </w:r>
      <w:r>
        <w:rPr>
          <w:rFonts w:ascii="Arial" w:hAnsi="Arial" w:cs="Arial"/>
          <w:sz w:val="22"/>
          <w:szCs w:val="22"/>
        </w:rPr>
        <w:t>]</w:t>
      </w:r>
      <w:r w:rsidRPr="008D5824">
        <w:rPr>
          <w:rFonts w:ascii="Arial" w:hAnsi="Arial" w:cs="Arial"/>
          <w:sz w:val="22"/>
          <w:szCs w:val="22"/>
        </w:rPr>
        <w:t xml:space="preserve">. Available at: </w:t>
      </w:r>
      <w:hyperlink r:id="rId6" w:history="1">
        <w:r w:rsidRPr="008D5824">
          <w:rPr>
            <w:rStyle w:val="Hyperlink"/>
            <w:rFonts w:ascii="Arial" w:hAnsi="Arial" w:cs="Arial"/>
            <w:sz w:val="22"/>
            <w:szCs w:val="22"/>
          </w:rPr>
          <w:t>https://www.cipd.org/uk/knowledge/podcasts/workforce-planning/</w:t>
        </w:r>
      </w:hyperlink>
      <w:r w:rsidRPr="008D5824">
        <w:rPr>
          <w:rFonts w:ascii="Arial" w:hAnsi="Arial" w:cs="Arial"/>
          <w:sz w:val="22"/>
          <w:szCs w:val="22"/>
        </w:rPr>
        <w:t xml:space="preserve"> (Accessed: 3 December 2025)</w:t>
      </w:r>
    </w:p>
    <w:p w14:paraId="539BDF61" w14:textId="77777777" w:rsidR="009426B2" w:rsidRPr="00CF27EF" w:rsidRDefault="009426B2" w:rsidP="009426B2">
      <w:pPr>
        <w:rPr>
          <w:rFonts w:ascii="Arial" w:hAnsi="Arial" w:cs="Arial"/>
          <w:i/>
          <w:iCs/>
          <w:sz w:val="22"/>
          <w:szCs w:val="22"/>
        </w:rPr>
      </w:pPr>
      <w:r w:rsidRPr="00CF27EF">
        <w:rPr>
          <w:rFonts w:ascii="Arial" w:hAnsi="Arial" w:cs="Arial"/>
          <w:b/>
          <w:bCs/>
          <w:sz w:val="22"/>
          <w:szCs w:val="22"/>
        </w:rPr>
        <w:t>Carmarthenshire County Council (2025).</w:t>
      </w:r>
      <w:r w:rsidRPr="00CF27EF">
        <w:rPr>
          <w:rFonts w:ascii="Arial" w:hAnsi="Arial" w:cs="Arial"/>
          <w:sz w:val="22"/>
          <w:szCs w:val="22"/>
        </w:rPr>
        <w:t xml:space="preserve"> </w:t>
      </w:r>
      <w:r w:rsidRPr="00CF27EF">
        <w:rPr>
          <w:rFonts w:ascii="Arial" w:hAnsi="Arial" w:cs="Arial"/>
          <w:i/>
          <w:iCs/>
          <w:sz w:val="22"/>
          <w:szCs w:val="22"/>
        </w:rPr>
        <w:t xml:space="preserve">Workforce and Succession Planning. </w:t>
      </w:r>
      <w:proofErr w:type="spellStart"/>
      <w:r w:rsidRPr="00CF27EF">
        <w:rPr>
          <w:rFonts w:ascii="Arial" w:hAnsi="Arial" w:cs="Arial"/>
          <w:i/>
          <w:iCs/>
          <w:sz w:val="22"/>
          <w:szCs w:val="22"/>
        </w:rPr>
        <w:t>Iinternal</w:t>
      </w:r>
      <w:proofErr w:type="spellEnd"/>
      <w:r w:rsidRPr="00CF27EF">
        <w:rPr>
          <w:rFonts w:ascii="Arial" w:hAnsi="Arial" w:cs="Arial"/>
          <w:i/>
          <w:iCs/>
          <w:sz w:val="22"/>
          <w:szCs w:val="22"/>
        </w:rPr>
        <w:t xml:space="preserve"> Website]. </w:t>
      </w:r>
      <w:r w:rsidRPr="00CF27EF">
        <w:rPr>
          <w:rFonts w:ascii="Arial" w:hAnsi="Arial" w:cs="Arial"/>
          <w:sz w:val="22"/>
          <w:szCs w:val="22"/>
        </w:rPr>
        <w:t>Available at: Carmarthenshire County Council Intranet. (Accessed: 3 December 2025)</w:t>
      </w:r>
    </w:p>
    <w:p w14:paraId="1DD5755D" w14:textId="77777777" w:rsidR="009426B2" w:rsidRPr="007E0595" w:rsidRDefault="009426B2" w:rsidP="009426B2">
      <w:pPr>
        <w:rPr>
          <w:rFonts w:ascii="Arial" w:hAnsi="Arial" w:cs="Arial"/>
          <w:b/>
          <w:bCs/>
          <w:i/>
          <w:iCs/>
          <w:sz w:val="22"/>
          <w:szCs w:val="22"/>
        </w:rPr>
      </w:pPr>
      <w:proofErr w:type="spellStart"/>
      <w:r w:rsidRPr="007E0595">
        <w:rPr>
          <w:rFonts w:ascii="Arial" w:hAnsi="Arial" w:cs="Arial"/>
          <w:b/>
          <w:bCs/>
          <w:sz w:val="22"/>
          <w:szCs w:val="22"/>
        </w:rPr>
        <w:t>Cholteeva</w:t>
      </w:r>
      <w:proofErr w:type="spellEnd"/>
      <w:r w:rsidRPr="007E0595">
        <w:rPr>
          <w:rFonts w:ascii="Arial" w:hAnsi="Arial" w:cs="Arial"/>
          <w:b/>
          <w:bCs/>
          <w:sz w:val="22"/>
          <w:szCs w:val="22"/>
        </w:rPr>
        <w:t>, Y. (2022).</w:t>
      </w:r>
      <w:r w:rsidRPr="007E0595">
        <w:rPr>
          <w:rFonts w:ascii="Arial" w:hAnsi="Arial" w:cs="Arial"/>
          <w:sz w:val="22"/>
          <w:szCs w:val="22"/>
        </w:rPr>
        <w:t xml:space="preserve"> </w:t>
      </w:r>
      <w:r w:rsidRPr="007542F9">
        <w:rPr>
          <w:rFonts w:ascii="Arial" w:hAnsi="Arial" w:cs="Arial"/>
          <w:i/>
          <w:iCs/>
          <w:sz w:val="22"/>
          <w:szCs w:val="22"/>
        </w:rPr>
        <w:t>High employee turnover damaging company culture, research suggests</w:t>
      </w:r>
      <w:r w:rsidRPr="007E0595">
        <w:rPr>
          <w:rFonts w:ascii="Arial" w:hAnsi="Arial" w:cs="Arial"/>
          <w:sz w:val="22"/>
          <w:szCs w:val="22"/>
        </w:rPr>
        <w:t xml:space="preserve">. People Management. Available at: </w:t>
      </w:r>
      <w:hyperlink r:id="rId7" w:history="1">
        <w:r w:rsidRPr="007E0595">
          <w:rPr>
            <w:rStyle w:val="Hyperlink"/>
            <w:rFonts w:ascii="Arial" w:hAnsi="Arial" w:cs="Arial"/>
            <w:sz w:val="22"/>
            <w:szCs w:val="22"/>
          </w:rPr>
          <w:t>https://www.peoplemanagement.co.uk/article/1795419/high-employee-turnover-damaging-company-culture-research-suggests</w:t>
        </w:r>
      </w:hyperlink>
      <w:r w:rsidRPr="007E0595">
        <w:rPr>
          <w:rFonts w:ascii="Arial" w:hAnsi="Arial" w:cs="Arial"/>
          <w:sz w:val="22"/>
          <w:szCs w:val="22"/>
        </w:rPr>
        <w:t xml:space="preserve"> (Accessed: 10 December 2025)</w:t>
      </w:r>
    </w:p>
    <w:p w14:paraId="2104448F" w14:textId="77777777" w:rsidR="009426B2" w:rsidRPr="006C7CD8" w:rsidRDefault="009426B2" w:rsidP="009426B2">
      <w:pPr>
        <w:rPr>
          <w:rFonts w:ascii="Arial" w:hAnsi="Arial" w:cs="Arial"/>
          <w:sz w:val="22"/>
          <w:szCs w:val="22"/>
        </w:rPr>
      </w:pPr>
      <w:r w:rsidRPr="00384F3A">
        <w:rPr>
          <w:rFonts w:ascii="Arial" w:hAnsi="Arial" w:cs="Arial"/>
          <w:b/>
          <w:bCs/>
          <w:sz w:val="22"/>
          <w:szCs w:val="22"/>
        </w:rPr>
        <w:t>CIPD (2025a).</w:t>
      </w:r>
      <w:r w:rsidRPr="00384F3A">
        <w:rPr>
          <w:rFonts w:ascii="Arial" w:hAnsi="Arial" w:cs="Arial"/>
          <w:sz w:val="22"/>
          <w:szCs w:val="22"/>
        </w:rPr>
        <w:t xml:space="preserve"> </w:t>
      </w:r>
      <w:r w:rsidRPr="00384F3A">
        <w:rPr>
          <w:rFonts w:ascii="Arial" w:hAnsi="Arial" w:cs="Arial"/>
          <w:i/>
          <w:iCs/>
          <w:sz w:val="22"/>
          <w:szCs w:val="22"/>
        </w:rPr>
        <w:t>Labour Market Outlook.</w:t>
      </w:r>
      <w:r>
        <w:rPr>
          <w:rFonts w:ascii="Arial" w:hAnsi="Arial" w:cs="Arial"/>
          <w:i/>
          <w:iCs/>
          <w:sz w:val="22"/>
          <w:szCs w:val="22"/>
        </w:rPr>
        <w:t xml:space="preserve"> </w:t>
      </w:r>
      <w:r w:rsidRPr="00384F3A">
        <w:rPr>
          <w:rFonts w:ascii="Arial" w:hAnsi="Arial" w:cs="Arial"/>
          <w:sz w:val="22"/>
          <w:szCs w:val="22"/>
        </w:rPr>
        <w:t xml:space="preserve">Available at: </w:t>
      </w:r>
      <w:hyperlink r:id="rId8" w:history="1">
        <w:r w:rsidRPr="00384F3A">
          <w:rPr>
            <w:rStyle w:val="Hyperlink"/>
            <w:rFonts w:ascii="Arial" w:hAnsi="Arial" w:cs="Arial"/>
            <w:sz w:val="22"/>
            <w:szCs w:val="22"/>
          </w:rPr>
          <w:t>https://www.cipd.org/uk/knowledge/reports/labour-market-outlook/</w:t>
        </w:r>
      </w:hyperlink>
      <w:r w:rsidRPr="00384F3A">
        <w:rPr>
          <w:rFonts w:ascii="Arial" w:hAnsi="Arial" w:cs="Arial"/>
          <w:sz w:val="22"/>
          <w:szCs w:val="22"/>
        </w:rPr>
        <w:t xml:space="preserve"> (Accessed: 27 November 2025)</w:t>
      </w:r>
      <w:r w:rsidRPr="006C7CD8">
        <w:rPr>
          <w:rFonts w:ascii="Arial" w:hAnsi="Arial" w:cs="Arial"/>
          <w:sz w:val="22"/>
          <w:szCs w:val="22"/>
        </w:rPr>
        <w:t xml:space="preserve"> </w:t>
      </w:r>
    </w:p>
    <w:p w14:paraId="3BC6D846" w14:textId="77777777" w:rsidR="009426B2" w:rsidRPr="006C7CD8" w:rsidRDefault="009426B2" w:rsidP="009426B2">
      <w:pPr>
        <w:rPr>
          <w:rFonts w:ascii="Arial" w:hAnsi="Arial" w:cs="Arial"/>
          <w:sz w:val="22"/>
          <w:szCs w:val="22"/>
        </w:rPr>
      </w:pPr>
      <w:r w:rsidRPr="00402BC9">
        <w:rPr>
          <w:rFonts w:ascii="Arial" w:hAnsi="Arial" w:cs="Arial"/>
          <w:b/>
          <w:bCs/>
          <w:sz w:val="22"/>
          <w:szCs w:val="22"/>
        </w:rPr>
        <w:t>CIPD (2025b).</w:t>
      </w:r>
      <w:r>
        <w:rPr>
          <w:rFonts w:ascii="Arial" w:hAnsi="Arial" w:cs="Arial"/>
          <w:sz w:val="22"/>
          <w:szCs w:val="22"/>
        </w:rPr>
        <w:t xml:space="preserve"> </w:t>
      </w:r>
      <w:r w:rsidRPr="00722AB8">
        <w:rPr>
          <w:rFonts w:ascii="Arial" w:hAnsi="Arial" w:cs="Arial"/>
          <w:i/>
          <w:iCs/>
          <w:sz w:val="22"/>
          <w:szCs w:val="22"/>
        </w:rPr>
        <w:t xml:space="preserve">Employer </w:t>
      </w:r>
      <w:r>
        <w:rPr>
          <w:rFonts w:ascii="Arial" w:hAnsi="Arial" w:cs="Arial"/>
          <w:i/>
          <w:iCs/>
          <w:sz w:val="22"/>
          <w:szCs w:val="22"/>
        </w:rPr>
        <w:t>brand</w:t>
      </w:r>
      <w:r>
        <w:rPr>
          <w:rFonts w:ascii="Arial" w:hAnsi="Arial" w:cs="Arial"/>
          <w:sz w:val="22"/>
          <w:szCs w:val="22"/>
        </w:rPr>
        <w:t xml:space="preserve">. Available at: </w:t>
      </w:r>
      <w:hyperlink r:id="rId9" w:history="1">
        <w:r w:rsidRPr="004A297B">
          <w:rPr>
            <w:rStyle w:val="Hyperlink"/>
            <w:rFonts w:ascii="Arial" w:hAnsi="Arial" w:cs="Arial"/>
            <w:sz w:val="22"/>
            <w:szCs w:val="22"/>
          </w:rPr>
          <w:t>https://www.cipd.org/uk/knowledge/factsheets/recruitment-brand-factsheet/</w:t>
        </w:r>
      </w:hyperlink>
      <w:r>
        <w:rPr>
          <w:rFonts w:ascii="Arial" w:hAnsi="Arial" w:cs="Arial"/>
          <w:sz w:val="22"/>
          <w:szCs w:val="22"/>
        </w:rPr>
        <w:t xml:space="preserve"> (Accessed: 27 November 2025)</w:t>
      </w:r>
      <w:r w:rsidRPr="006C7CD8">
        <w:rPr>
          <w:rFonts w:ascii="Arial" w:hAnsi="Arial" w:cs="Arial"/>
          <w:sz w:val="22"/>
          <w:szCs w:val="22"/>
        </w:rPr>
        <w:t xml:space="preserve"> </w:t>
      </w:r>
    </w:p>
    <w:p w14:paraId="5663C35B" w14:textId="77777777" w:rsidR="009426B2" w:rsidRPr="006C7CD8" w:rsidRDefault="009426B2" w:rsidP="009426B2">
      <w:pPr>
        <w:rPr>
          <w:rFonts w:ascii="Arial" w:hAnsi="Arial" w:cs="Arial"/>
          <w:sz w:val="22"/>
          <w:szCs w:val="22"/>
        </w:rPr>
      </w:pPr>
      <w:r w:rsidRPr="00402BC9">
        <w:rPr>
          <w:rFonts w:ascii="Arial" w:hAnsi="Arial" w:cs="Arial"/>
          <w:b/>
          <w:bCs/>
          <w:sz w:val="22"/>
          <w:szCs w:val="22"/>
        </w:rPr>
        <w:t>CIPD (2023a).</w:t>
      </w:r>
      <w:r w:rsidRPr="00402BC9">
        <w:rPr>
          <w:rFonts w:ascii="Arial" w:hAnsi="Arial" w:cs="Arial"/>
          <w:sz w:val="22"/>
          <w:szCs w:val="22"/>
        </w:rPr>
        <w:t xml:space="preserve"> </w:t>
      </w:r>
      <w:r w:rsidRPr="00402BC9">
        <w:rPr>
          <w:rFonts w:ascii="Arial" w:hAnsi="Arial" w:cs="Arial"/>
          <w:i/>
          <w:iCs/>
          <w:sz w:val="22"/>
          <w:szCs w:val="22"/>
        </w:rPr>
        <w:t>Good Work Index 2023</w:t>
      </w:r>
      <w:r w:rsidRPr="00402BC9">
        <w:rPr>
          <w:rFonts w:ascii="Arial" w:hAnsi="Arial" w:cs="Arial"/>
          <w:sz w:val="22"/>
          <w:szCs w:val="22"/>
        </w:rPr>
        <w:t xml:space="preserve">. Available at: </w:t>
      </w:r>
      <w:hyperlink r:id="rId10" w:history="1">
        <w:r w:rsidRPr="00402BC9">
          <w:rPr>
            <w:rStyle w:val="Hyperlink"/>
            <w:rFonts w:ascii="Arial" w:hAnsi="Arial" w:cs="Arial"/>
            <w:sz w:val="22"/>
            <w:szCs w:val="22"/>
          </w:rPr>
          <w:t>https://www.cipd.org/globalassets/media/knowledge/knowledge-hub/reports/2023-pdfs/2023-good-work-index-report-8407.pdf</w:t>
        </w:r>
      </w:hyperlink>
      <w:r w:rsidRPr="00402BC9">
        <w:rPr>
          <w:rFonts w:ascii="Arial" w:hAnsi="Arial" w:cs="Arial"/>
          <w:sz w:val="22"/>
          <w:szCs w:val="22"/>
        </w:rPr>
        <w:t xml:space="preserve"> (Accessed: 27 November 2025)</w:t>
      </w:r>
    </w:p>
    <w:p w14:paraId="4C4A504D" w14:textId="77777777" w:rsidR="009426B2" w:rsidRPr="003E16AA" w:rsidRDefault="009426B2" w:rsidP="009426B2">
      <w:pPr>
        <w:rPr>
          <w:rFonts w:ascii="Arial" w:hAnsi="Arial" w:cs="Arial"/>
          <w:sz w:val="22"/>
          <w:szCs w:val="22"/>
        </w:rPr>
      </w:pPr>
      <w:r w:rsidRPr="003E16AA">
        <w:rPr>
          <w:rFonts w:ascii="Arial" w:hAnsi="Arial" w:cs="Arial"/>
          <w:b/>
          <w:bCs/>
          <w:sz w:val="22"/>
          <w:szCs w:val="22"/>
        </w:rPr>
        <w:t>CIPD (2025c).</w:t>
      </w:r>
      <w:r w:rsidRPr="003E16AA">
        <w:rPr>
          <w:rFonts w:ascii="Arial" w:hAnsi="Arial" w:cs="Arial"/>
          <w:sz w:val="22"/>
          <w:szCs w:val="22"/>
        </w:rPr>
        <w:t xml:space="preserve"> </w:t>
      </w:r>
      <w:r w:rsidRPr="003E16AA">
        <w:rPr>
          <w:rFonts w:ascii="Arial" w:hAnsi="Arial" w:cs="Arial"/>
          <w:i/>
          <w:iCs/>
          <w:sz w:val="22"/>
          <w:szCs w:val="22"/>
        </w:rPr>
        <w:t>Understanding the Economy and Labour Market.</w:t>
      </w:r>
      <w:r w:rsidRPr="003E16AA">
        <w:rPr>
          <w:rFonts w:ascii="Arial" w:hAnsi="Arial" w:cs="Arial"/>
          <w:sz w:val="22"/>
          <w:szCs w:val="22"/>
        </w:rPr>
        <w:t xml:space="preserve"> Available at: </w:t>
      </w:r>
      <w:hyperlink r:id="rId11" w:history="1">
        <w:r w:rsidRPr="003E16AA">
          <w:rPr>
            <w:rStyle w:val="Hyperlink"/>
            <w:rFonts w:ascii="Arial" w:hAnsi="Arial" w:cs="Arial"/>
            <w:sz w:val="22"/>
            <w:szCs w:val="22"/>
          </w:rPr>
          <w:t>https://www.cipd.org/uk/knowledge/factsheets/economy-labour-market-factsheet/</w:t>
        </w:r>
      </w:hyperlink>
      <w:r w:rsidRPr="003E16AA">
        <w:rPr>
          <w:rFonts w:ascii="Arial" w:hAnsi="Arial" w:cs="Arial"/>
          <w:sz w:val="22"/>
          <w:szCs w:val="22"/>
        </w:rPr>
        <w:t xml:space="preserve"> (Accessed: 27 November 2025)</w:t>
      </w:r>
    </w:p>
    <w:p w14:paraId="59F7766F" w14:textId="77777777" w:rsidR="009426B2" w:rsidRPr="00AC160E" w:rsidRDefault="009426B2" w:rsidP="009426B2">
      <w:pPr>
        <w:rPr>
          <w:rFonts w:ascii="Arial" w:hAnsi="Arial" w:cs="Arial"/>
          <w:sz w:val="22"/>
          <w:szCs w:val="22"/>
        </w:rPr>
      </w:pPr>
      <w:r w:rsidRPr="00AC160E">
        <w:rPr>
          <w:rFonts w:ascii="Arial" w:hAnsi="Arial" w:cs="Arial"/>
          <w:b/>
          <w:bCs/>
          <w:sz w:val="22"/>
          <w:szCs w:val="22"/>
        </w:rPr>
        <w:t>CIPD (2025d).</w:t>
      </w:r>
      <w:r w:rsidRPr="00AC160E">
        <w:rPr>
          <w:rFonts w:ascii="Arial" w:hAnsi="Arial" w:cs="Arial"/>
          <w:sz w:val="22"/>
          <w:szCs w:val="22"/>
        </w:rPr>
        <w:t xml:space="preserve"> </w:t>
      </w:r>
      <w:r w:rsidRPr="00AC160E">
        <w:rPr>
          <w:rFonts w:ascii="Arial" w:hAnsi="Arial" w:cs="Arial"/>
          <w:i/>
          <w:iCs/>
          <w:sz w:val="22"/>
          <w:szCs w:val="22"/>
        </w:rPr>
        <w:t>Workforce planning.</w:t>
      </w:r>
      <w:r w:rsidRPr="00AC160E">
        <w:rPr>
          <w:rFonts w:ascii="Arial" w:hAnsi="Arial" w:cs="Arial"/>
          <w:sz w:val="22"/>
          <w:szCs w:val="22"/>
        </w:rPr>
        <w:t xml:space="preserve"> Available at: </w:t>
      </w:r>
      <w:hyperlink r:id="rId12" w:history="1">
        <w:r w:rsidRPr="00AC160E">
          <w:rPr>
            <w:rStyle w:val="Hyperlink"/>
            <w:rFonts w:ascii="Arial" w:hAnsi="Arial" w:cs="Arial"/>
            <w:sz w:val="22"/>
            <w:szCs w:val="22"/>
          </w:rPr>
          <w:t>https://www.cipd.org/uk/knowledge/factsheets/workforce-planning-factsheet/</w:t>
        </w:r>
      </w:hyperlink>
      <w:r w:rsidRPr="00AC160E">
        <w:rPr>
          <w:rFonts w:ascii="Arial" w:hAnsi="Arial" w:cs="Arial"/>
          <w:sz w:val="22"/>
          <w:szCs w:val="22"/>
        </w:rPr>
        <w:t xml:space="preserve"> (Accessed: 27 November 2025)</w:t>
      </w:r>
    </w:p>
    <w:p w14:paraId="05875FB6" w14:textId="77777777" w:rsidR="009426B2" w:rsidRPr="00A04E88" w:rsidRDefault="009426B2" w:rsidP="009426B2">
      <w:pPr>
        <w:rPr>
          <w:rFonts w:ascii="Arial" w:hAnsi="Arial" w:cs="Arial"/>
          <w:sz w:val="22"/>
          <w:szCs w:val="22"/>
        </w:rPr>
      </w:pPr>
      <w:r w:rsidRPr="00A04E88">
        <w:rPr>
          <w:rFonts w:ascii="Arial" w:hAnsi="Arial" w:cs="Arial"/>
          <w:b/>
          <w:bCs/>
          <w:sz w:val="22"/>
          <w:szCs w:val="22"/>
        </w:rPr>
        <w:t>CIPD (2025e).</w:t>
      </w:r>
      <w:r>
        <w:rPr>
          <w:rFonts w:ascii="Arial" w:hAnsi="Arial" w:cs="Arial"/>
          <w:b/>
          <w:bCs/>
          <w:sz w:val="22"/>
          <w:szCs w:val="22"/>
        </w:rPr>
        <w:t xml:space="preserve"> </w:t>
      </w:r>
      <w:r>
        <w:rPr>
          <w:rFonts w:ascii="Arial" w:hAnsi="Arial" w:cs="Arial"/>
          <w:i/>
          <w:iCs/>
          <w:sz w:val="22"/>
          <w:szCs w:val="22"/>
        </w:rPr>
        <w:t xml:space="preserve">Recruitment: An introduction. </w:t>
      </w:r>
      <w:r>
        <w:rPr>
          <w:rFonts w:ascii="Arial" w:hAnsi="Arial" w:cs="Arial"/>
          <w:sz w:val="22"/>
          <w:szCs w:val="22"/>
        </w:rPr>
        <w:t xml:space="preserve">Available at: </w:t>
      </w:r>
      <w:hyperlink r:id="rId13" w:history="1">
        <w:r w:rsidRPr="004A297B">
          <w:rPr>
            <w:rStyle w:val="Hyperlink"/>
            <w:rFonts w:ascii="Arial" w:hAnsi="Arial" w:cs="Arial"/>
            <w:sz w:val="22"/>
            <w:szCs w:val="22"/>
          </w:rPr>
          <w:t>https://www.cipd.org/uk/knowledge/factsheets/recruitment-factsheet/</w:t>
        </w:r>
      </w:hyperlink>
      <w:r>
        <w:rPr>
          <w:rFonts w:ascii="Arial" w:hAnsi="Arial" w:cs="Arial"/>
          <w:sz w:val="22"/>
          <w:szCs w:val="22"/>
        </w:rPr>
        <w:t xml:space="preserve"> (Accessed: 1 December 2025)</w:t>
      </w:r>
    </w:p>
    <w:p w14:paraId="356F855C" w14:textId="77777777" w:rsidR="009426B2" w:rsidRPr="006C7CD8" w:rsidRDefault="009426B2" w:rsidP="009426B2">
      <w:pPr>
        <w:rPr>
          <w:rFonts w:ascii="Arial" w:hAnsi="Arial" w:cs="Arial"/>
          <w:sz w:val="22"/>
          <w:szCs w:val="22"/>
        </w:rPr>
      </w:pPr>
      <w:r w:rsidRPr="000E60F3">
        <w:rPr>
          <w:rFonts w:ascii="Arial" w:hAnsi="Arial" w:cs="Arial"/>
          <w:b/>
          <w:bCs/>
          <w:sz w:val="22"/>
          <w:szCs w:val="22"/>
        </w:rPr>
        <w:t>CIPD (2024a).</w:t>
      </w:r>
      <w:r w:rsidRPr="000E60F3">
        <w:rPr>
          <w:rFonts w:ascii="Arial" w:hAnsi="Arial" w:cs="Arial"/>
          <w:sz w:val="22"/>
          <w:szCs w:val="22"/>
        </w:rPr>
        <w:t xml:space="preserve"> </w:t>
      </w:r>
      <w:r w:rsidRPr="000E60F3">
        <w:rPr>
          <w:rFonts w:ascii="Arial" w:hAnsi="Arial" w:cs="Arial"/>
          <w:i/>
          <w:iCs/>
          <w:sz w:val="22"/>
          <w:szCs w:val="22"/>
        </w:rPr>
        <w:t>Selection methods</w:t>
      </w:r>
      <w:r w:rsidRPr="000E60F3">
        <w:rPr>
          <w:rFonts w:ascii="Arial" w:hAnsi="Arial" w:cs="Arial"/>
          <w:sz w:val="22"/>
          <w:szCs w:val="22"/>
        </w:rPr>
        <w:t xml:space="preserve">. </w:t>
      </w:r>
      <w:r>
        <w:rPr>
          <w:rFonts w:ascii="Arial" w:hAnsi="Arial" w:cs="Arial"/>
          <w:sz w:val="22"/>
          <w:szCs w:val="22"/>
        </w:rPr>
        <w:t xml:space="preserve">Available at: </w:t>
      </w:r>
      <w:hyperlink r:id="rId14" w:history="1">
        <w:r w:rsidRPr="004A297B">
          <w:rPr>
            <w:rStyle w:val="Hyperlink"/>
            <w:rFonts w:ascii="Arial" w:hAnsi="Arial" w:cs="Arial"/>
            <w:sz w:val="22"/>
            <w:szCs w:val="22"/>
          </w:rPr>
          <w:t>https://www.cipd.org/uk/knowledge/factsheets/selection-factsheet/</w:t>
        </w:r>
      </w:hyperlink>
      <w:r>
        <w:rPr>
          <w:rFonts w:ascii="Arial" w:hAnsi="Arial" w:cs="Arial"/>
          <w:sz w:val="22"/>
          <w:szCs w:val="22"/>
        </w:rPr>
        <w:t xml:space="preserve"> (Accessed: 1 December 2025)</w:t>
      </w:r>
    </w:p>
    <w:p w14:paraId="125BF5C3" w14:textId="77777777" w:rsidR="009426B2" w:rsidRPr="004F2196" w:rsidRDefault="009426B2" w:rsidP="009426B2">
      <w:pPr>
        <w:rPr>
          <w:rFonts w:ascii="Arial" w:hAnsi="Arial" w:cs="Arial"/>
          <w:i/>
          <w:iCs/>
          <w:sz w:val="22"/>
          <w:szCs w:val="22"/>
        </w:rPr>
      </w:pPr>
      <w:r w:rsidRPr="004F2196">
        <w:rPr>
          <w:rFonts w:ascii="Arial" w:hAnsi="Arial" w:cs="Arial"/>
          <w:b/>
          <w:bCs/>
          <w:sz w:val="22"/>
          <w:szCs w:val="22"/>
        </w:rPr>
        <w:lastRenderedPageBreak/>
        <w:t>CIPD (2024b).</w:t>
      </w:r>
      <w:r>
        <w:rPr>
          <w:rFonts w:ascii="Arial" w:hAnsi="Arial" w:cs="Arial"/>
          <w:sz w:val="22"/>
          <w:szCs w:val="22"/>
        </w:rPr>
        <w:t xml:space="preserve"> </w:t>
      </w:r>
      <w:r w:rsidRPr="004F2196">
        <w:rPr>
          <w:rFonts w:ascii="Arial" w:hAnsi="Arial" w:cs="Arial"/>
          <w:i/>
          <w:iCs/>
          <w:sz w:val="22"/>
          <w:szCs w:val="22"/>
        </w:rPr>
        <w:t>Benchmarking employee turnover: What are the latest trends and insights?</w:t>
      </w:r>
      <w:r>
        <w:rPr>
          <w:rFonts w:ascii="Arial" w:hAnsi="Arial" w:cs="Arial"/>
          <w:i/>
          <w:iCs/>
          <w:sz w:val="22"/>
          <w:szCs w:val="22"/>
        </w:rPr>
        <w:t xml:space="preserve"> </w:t>
      </w:r>
      <w:r w:rsidRPr="004F2196">
        <w:rPr>
          <w:rFonts w:ascii="Arial" w:hAnsi="Arial" w:cs="Arial"/>
          <w:sz w:val="22"/>
          <w:szCs w:val="22"/>
        </w:rPr>
        <w:t xml:space="preserve">Available at: </w:t>
      </w:r>
      <w:hyperlink r:id="rId15" w:history="1">
        <w:r w:rsidRPr="004F2196">
          <w:rPr>
            <w:rStyle w:val="Hyperlink"/>
            <w:rFonts w:ascii="Arial" w:hAnsi="Arial" w:cs="Arial"/>
            <w:sz w:val="22"/>
            <w:szCs w:val="22"/>
          </w:rPr>
          <w:t>https://www.cipd.org/uk/views-and-insights/thought-leadership/cipd-voice/benchmarking-employee-turnover/</w:t>
        </w:r>
      </w:hyperlink>
      <w:r w:rsidRPr="006C7CD8">
        <w:rPr>
          <w:rFonts w:ascii="Arial" w:hAnsi="Arial" w:cs="Arial"/>
          <w:sz w:val="22"/>
          <w:szCs w:val="22"/>
        </w:rPr>
        <w:t xml:space="preserve"> </w:t>
      </w:r>
      <w:r>
        <w:rPr>
          <w:rFonts w:ascii="Arial" w:hAnsi="Arial" w:cs="Arial"/>
          <w:sz w:val="22"/>
          <w:szCs w:val="22"/>
        </w:rPr>
        <w:t>(Accessed: 4 December 2025)</w:t>
      </w:r>
    </w:p>
    <w:p w14:paraId="6CEFFD6C" w14:textId="77777777" w:rsidR="009426B2" w:rsidRPr="006C7CD8" w:rsidRDefault="009426B2" w:rsidP="009426B2">
      <w:pPr>
        <w:rPr>
          <w:rFonts w:ascii="Arial" w:hAnsi="Arial" w:cs="Arial"/>
          <w:sz w:val="22"/>
          <w:szCs w:val="22"/>
        </w:rPr>
      </w:pPr>
      <w:r w:rsidRPr="00145138">
        <w:rPr>
          <w:rFonts w:ascii="Arial" w:hAnsi="Arial" w:cs="Arial"/>
          <w:b/>
          <w:bCs/>
          <w:sz w:val="22"/>
          <w:szCs w:val="22"/>
        </w:rPr>
        <w:t>CIPD (2024c).</w:t>
      </w:r>
      <w:r w:rsidRPr="00145138">
        <w:rPr>
          <w:rFonts w:ascii="Arial" w:hAnsi="Arial" w:cs="Arial"/>
          <w:sz w:val="22"/>
          <w:szCs w:val="22"/>
        </w:rPr>
        <w:t xml:space="preserve"> </w:t>
      </w:r>
      <w:r w:rsidRPr="00145138">
        <w:rPr>
          <w:rFonts w:ascii="Arial" w:hAnsi="Arial" w:cs="Arial"/>
          <w:i/>
          <w:iCs/>
          <w:sz w:val="22"/>
          <w:szCs w:val="22"/>
        </w:rPr>
        <w:t>Employee turnover and retention</w:t>
      </w:r>
      <w:r w:rsidRPr="00145138">
        <w:rPr>
          <w:rFonts w:ascii="Arial" w:hAnsi="Arial" w:cs="Arial"/>
          <w:sz w:val="22"/>
          <w:szCs w:val="22"/>
        </w:rPr>
        <w:t xml:space="preserve">. Available at: </w:t>
      </w:r>
      <w:hyperlink r:id="rId16" w:history="1">
        <w:r w:rsidRPr="00145138">
          <w:rPr>
            <w:rStyle w:val="Hyperlink"/>
            <w:rFonts w:ascii="Arial" w:hAnsi="Arial" w:cs="Arial"/>
            <w:sz w:val="22"/>
            <w:szCs w:val="22"/>
          </w:rPr>
          <w:t>https://www.cipd.org/uk/knowledge/factsheets/turnover-retention-factsheet/</w:t>
        </w:r>
      </w:hyperlink>
      <w:r w:rsidRPr="006C7CD8">
        <w:rPr>
          <w:rFonts w:ascii="Arial" w:hAnsi="Arial" w:cs="Arial"/>
          <w:sz w:val="22"/>
          <w:szCs w:val="22"/>
        </w:rPr>
        <w:t xml:space="preserve"> </w:t>
      </w:r>
      <w:r>
        <w:rPr>
          <w:rFonts w:ascii="Arial" w:hAnsi="Arial" w:cs="Arial"/>
          <w:sz w:val="22"/>
          <w:szCs w:val="22"/>
        </w:rPr>
        <w:t>(Accessed: 4 December 2025)</w:t>
      </w:r>
    </w:p>
    <w:p w14:paraId="4DDA124B" w14:textId="77777777" w:rsidR="009426B2" w:rsidRPr="006C7CD8" w:rsidRDefault="009426B2" w:rsidP="009426B2">
      <w:pPr>
        <w:rPr>
          <w:rFonts w:ascii="Arial" w:hAnsi="Arial" w:cs="Arial"/>
          <w:sz w:val="22"/>
          <w:szCs w:val="22"/>
        </w:rPr>
      </w:pPr>
      <w:r w:rsidRPr="00CC324B">
        <w:rPr>
          <w:rFonts w:ascii="Arial" w:hAnsi="Arial" w:cs="Arial"/>
          <w:b/>
          <w:bCs/>
          <w:sz w:val="22"/>
          <w:szCs w:val="22"/>
        </w:rPr>
        <w:t>CIPD (2023b).</w:t>
      </w:r>
      <w:r w:rsidRPr="00CC324B">
        <w:rPr>
          <w:rFonts w:ascii="Arial" w:hAnsi="Arial" w:cs="Arial"/>
          <w:sz w:val="22"/>
          <w:szCs w:val="22"/>
        </w:rPr>
        <w:t xml:space="preserve"> </w:t>
      </w:r>
      <w:r w:rsidRPr="00CC324B">
        <w:rPr>
          <w:rFonts w:ascii="Arial" w:hAnsi="Arial" w:cs="Arial"/>
          <w:i/>
          <w:iCs/>
          <w:sz w:val="22"/>
          <w:szCs w:val="22"/>
        </w:rPr>
        <w:t>Induction factsheet</w:t>
      </w:r>
      <w:r w:rsidRPr="00CC324B">
        <w:rPr>
          <w:rFonts w:ascii="Arial" w:hAnsi="Arial" w:cs="Arial"/>
          <w:sz w:val="22"/>
          <w:szCs w:val="22"/>
        </w:rPr>
        <w:t xml:space="preserve">. </w:t>
      </w:r>
      <w:r>
        <w:rPr>
          <w:rFonts w:ascii="Arial" w:hAnsi="Arial" w:cs="Arial"/>
          <w:sz w:val="22"/>
          <w:szCs w:val="22"/>
        </w:rPr>
        <w:t xml:space="preserve">Available at: </w:t>
      </w:r>
      <w:hyperlink r:id="rId17" w:history="1">
        <w:r w:rsidRPr="004A297B">
          <w:rPr>
            <w:rStyle w:val="Hyperlink"/>
            <w:rFonts w:ascii="Arial" w:hAnsi="Arial" w:cs="Arial"/>
            <w:sz w:val="22"/>
            <w:szCs w:val="22"/>
          </w:rPr>
          <w:t>https://www.cipd.org/uk/knowledge/factsheets/induction-factsheet/</w:t>
        </w:r>
      </w:hyperlink>
      <w:r>
        <w:rPr>
          <w:rFonts w:ascii="Arial" w:hAnsi="Arial" w:cs="Arial"/>
          <w:sz w:val="22"/>
          <w:szCs w:val="22"/>
        </w:rPr>
        <w:t xml:space="preserve"> (Accessed: 6 December 2025)</w:t>
      </w:r>
    </w:p>
    <w:p w14:paraId="41FC9D0A" w14:textId="77777777" w:rsidR="009426B2" w:rsidRPr="006C7CD8" w:rsidRDefault="009426B2" w:rsidP="009426B2">
      <w:pPr>
        <w:rPr>
          <w:rFonts w:ascii="Arial" w:hAnsi="Arial" w:cs="Arial"/>
          <w:sz w:val="22"/>
          <w:szCs w:val="22"/>
        </w:rPr>
      </w:pPr>
      <w:r w:rsidRPr="00547E67">
        <w:rPr>
          <w:rFonts w:ascii="Arial" w:hAnsi="Arial" w:cs="Arial"/>
          <w:b/>
          <w:bCs/>
          <w:sz w:val="22"/>
          <w:szCs w:val="22"/>
        </w:rPr>
        <w:t>CIPD (2023c).</w:t>
      </w:r>
      <w:r w:rsidRPr="00547E67">
        <w:rPr>
          <w:rFonts w:ascii="Arial" w:hAnsi="Arial" w:cs="Arial"/>
          <w:sz w:val="22"/>
          <w:szCs w:val="22"/>
        </w:rPr>
        <w:t xml:space="preserve"> </w:t>
      </w:r>
      <w:r w:rsidRPr="00547E67">
        <w:rPr>
          <w:rFonts w:ascii="Arial" w:hAnsi="Arial" w:cs="Arial"/>
          <w:i/>
          <w:iCs/>
          <w:sz w:val="22"/>
          <w:szCs w:val="22"/>
        </w:rPr>
        <w:t>Reward</w:t>
      </w:r>
      <w:r>
        <w:rPr>
          <w:rFonts w:ascii="Arial" w:hAnsi="Arial" w:cs="Arial"/>
          <w:i/>
          <w:iCs/>
          <w:sz w:val="22"/>
          <w:szCs w:val="22"/>
        </w:rPr>
        <w:t>: an introduction.</w:t>
      </w:r>
      <w:r w:rsidRPr="00547E67">
        <w:rPr>
          <w:rFonts w:ascii="Arial" w:hAnsi="Arial" w:cs="Arial"/>
          <w:sz w:val="22"/>
          <w:szCs w:val="22"/>
        </w:rPr>
        <w:t xml:space="preserve"> </w:t>
      </w:r>
      <w:r>
        <w:rPr>
          <w:rFonts w:ascii="Arial" w:hAnsi="Arial" w:cs="Arial"/>
          <w:sz w:val="22"/>
          <w:szCs w:val="22"/>
        </w:rPr>
        <w:t xml:space="preserve">Available at: </w:t>
      </w:r>
      <w:hyperlink r:id="rId18" w:history="1">
        <w:r w:rsidRPr="004A297B">
          <w:rPr>
            <w:rStyle w:val="Hyperlink"/>
            <w:rFonts w:ascii="Arial" w:hAnsi="Arial" w:cs="Arial"/>
            <w:sz w:val="22"/>
            <w:szCs w:val="22"/>
          </w:rPr>
          <w:t>https://www.cipd.org/uk/knowledge/factsheets/reward-factsheet/</w:t>
        </w:r>
      </w:hyperlink>
      <w:r>
        <w:rPr>
          <w:rFonts w:ascii="Arial" w:hAnsi="Arial" w:cs="Arial"/>
          <w:sz w:val="22"/>
          <w:szCs w:val="22"/>
        </w:rPr>
        <w:t xml:space="preserve"> (Accessed: 6 December 2025)</w:t>
      </w:r>
    </w:p>
    <w:p w14:paraId="132161A7" w14:textId="77777777" w:rsidR="009426B2" w:rsidRPr="006C7CD8" w:rsidRDefault="009426B2" w:rsidP="009426B2">
      <w:pPr>
        <w:rPr>
          <w:rFonts w:ascii="Arial" w:hAnsi="Arial" w:cs="Arial"/>
          <w:sz w:val="22"/>
          <w:szCs w:val="22"/>
        </w:rPr>
      </w:pPr>
      <w:r w:rsidRPr="00D66268">
        <w:rPr>
          <w:rFonts w:ascii="Arial" w:hAnsi="Arial" w:cs="Arial"/>
          <w:b/>
          <w:bCs/>
          <w:sz w:val="22"/>
          <w:szCs w:val="22"/>
        </w:rPr>
        <w:t>CIPD (2024d).</w:t>
      </w:r>
      <w:r w:rsidRPr="00D66268">
        <w:rPr>
          <w:rFonts w:ascii="Arial" w:hAnsi="Arial" w:cs="Arial"/>
          <w:sz w:val="22"/>
          <w:szCs w:val="22"/>
        </w:rPr>
        <w:t xml:space="preserve"> </w:t>
      </w:r>
      <w:r w:rsidRPr="00D66268">
        <w:rPr>
          <w:rFonts w:ascii="Arial" w:hAnsi="Arial" w:cs="Arial"/>
          <w:i/>
          <w:iCs/>
          <w:sz w:val="22"/>
          <w:szCs w:val="22"/>
        </w:rPr>
        <w:t xml:space="preserve">Trust and psychological safety: An evidence review. </w:t>
      </w:r>
      <w:r>
        <w:rPr>
          <w:rFonts w:ascii="Arial" w:hAnsi="Arial" w:cs="Arial"/>
          <w:sz w:val="22"/>
          <w:szCs w:val="22"/>
        </w:rPr>
        <w:t xml:space="preserve">Available at: </w:t>
      </w:r>
      <w:hyperlink r:id="rId19" w:history="1">
        <w:r w:rsidRPr="00D66268">
          <w:rPr>
            <w:rStyle w:val="Hyperlink"/>
            <w:rFonts w:ascii="Arial" w:hAnsi="Arial" w:cs="Arial"/>
            <w:sz w:val="22"/>
            <w:szCs w:val="22"/>
          </w:rPr>
          <w:t>https://www.cipd.org/globalassets/media/knowledge/knowledge-hub/evidence-reviews/2024-pdfs/8542-psych-safety-trust-practice-summary.pdf</w:t>
        </w:r>
      </w:hyperlink>
      <w:r w:rsidRPr="006C7CD8">
        <w:rPr>
          <w:rFonts w:ascii="Arial" w:hAnsi="Arial" w:cs="Arial"/>
          <w:sz w:val="22"/>
          <w:szCs w:val="22"/>
        </w:rPr>
        <w:t xml:space="preserve"> </w:t>
      </w:r>
      <w:r>
        <w:rPr>
          <w:rFonts w:ascii="Arial" w:hAnsi="Arial" w:cs="Arial"/>
          <w:sz w:val="22"/>
          <w:szCs w:val="22"/>
        </w:rPr>
        <w:t>(Accessed: 6 December 2025)</w:t>
      </w:r>
    </w:p>
    <w:p w14:paraId="02ABEF0E" w14:textId="77777777" w:rsidR="009426B2" w:rsidRPr="004D5269" w:rsidRDefault="009426B2" w:rsidP="009426B2">
      <w:pPr>
        <w:rPr>
          <w:rFonts w:ascii="Arial" w:hAnsi="Arial" w:cs="Arial"/>
          <w:i/>
          <w:iCs/>
          <w:sz w:val="22"/>
          <w:szCs w:val="22"/>
        </w:rPr>
      </w:pPr>
      <w:r w:rsidRPr="004D5269">
        <w:rPr>
          <w:rFonts w:ascii="Arial" w:hAnsi="Arial" w:cs="Arial"/>
          <w:b/>
          <w:bCs/>
          <w:sz w:val="22"/>
          <w:szCs w:val="22"/>
        </w:rPr>
        <w:t>CIPD (2024e).</w:t>
      </w:r>
      <w:r w:rsidRPr="006657FD">
        <w:rPr>
          <w:rFonts w:ascii="Arial" w:hAnsi="Arial" w:cs="Arial"/>
          <w:sz w:val="22"/>
          <w:szCs w:val="22"/>
        </w:rPr>
        <w:t xml:space="preserve"> </w:t>
      </w:r>
      <w:r w:rsidRPr="004D5269">
        <w:rPr>
          <w:rFonts w:ascii="Arial" w:hAnsi="Arial" w:cs="Arial"/>
          <w:i/>
          <w:iCs/>
          <w:sz w:val="22"/>
          <w:szCs w:val="22"/>
        </w:rPr>
        <w:t>Fixed-term contracts: Guide for employers</w:t>
      </w:r>
      <w:r w:rsidRPr="006657FD">
        <w:rPr>
          <w:rFonts w:ascii="Arial" w:hAnsi="Arial" w:cs="Arial"/>
          <w:sz w:val="22"/>
          <w:szCs w:val="22"/>
        </w:rPr>
        <w:t xml:space="preserve">. </w:t>
      </w:r>
      <w:r>
        <w:rPr>
          <w:rFonts w:ascii="Arial" w:hAnsi="Arial" w:cs="Arial"/>
          <w:sz w:val="22"/>
          <w:szCs w:val="22"/>
        </w:rPr>
        <w:t xml:space="preserve">Available at: </w:t>
      </w:r>
      <w:hyperlink r:id="rId20" w:history="1">
        <w:r w:rsidRPr="004A297B">
          <w:rPr>
            <w:rStyle w:val="Hyperlink"/>
            <w:rFonts w:ascii="Arial" w:hAnsi="Arial" w:cs="Arial"/>
            <w:sz w:val="22"/>
            <w:szCs w:val="22"/>
          </w:rPr>
          <w:t>https://www.cipd.org/uk/knowledge/guides/fixed-term-contracts-guide/</w:t>
        </w:r>
      </w:hyperlink>
      <w:r>
        <w:rPr>
          <w:rFonts w:ascii="Arial" w:hAnsi="Arial" w:cs="Arial"/>
          <w:sz w:val="22"/>
          <w:szCs w:val="22"/>
        </w:rPr>
        <w:t xml:space="preserve"> (Accessed: 9 December 2025)</w:t>
      </w:r>
    </w:p>
    <w:p w14:paraId="18FEA615" w14:textId="77777777" w:rsidR="009426B2" w:rsidRPr="006C7CD8" w:rsidRDefault="009426B2" w:rsidP="009426B2">
      <w:pPr>
        <w:rPr>
          <w:rFonts w:ascii="Arial" w:hAnsi="Arial" w:cs="Arial"/>
          <w:sz w:val="22"/>
          <w:szCs w:val="22"/>
        </w:rPr>
      </w:pPr>
      <w:r w:rsidRPr="00CC5003">
        <w:rPr>
          <w:rFonts w:ascii="Arial" w:hAnsi="Arial" w:cs="Arial"/>
          <w:b/>
          <w:bCs/>
          <w:sz w:val="22"/>
          <w:szCs w:val="22"/>
        </w:rPr>
        <w:t>CIPD (2024f).</w:t>
      </w:r>
      <w:r w:rsidRPr="00ED126A">
        <w:rPr>
          <w:rFonts w:ascii="Arial" w:hAnsi="Arial" w:cs="Arial"/>
          <w:sz w:val="22"/>
          <w:szCs w:val="22"/>
        </w:rPr>
        <w:t xml:space="preserve"> </w:t>
      </w:r>
      <w:r w:rsidRPr="00ED126A">
        <w:rPr>
          <w:rFonts w:ascii="Arial" w:hAnsi="Arial" w:cs="Arial"/>
          <w:i/>
          <w:iCs/>
          <w:sz w:val="22"/>
          <w:szCs w:val="22"/>
        </w:rPr>
        <w:t>Zero-hours contracts</w:t>
      </w:r>
      <w:r w:rsidRPr="00ED126A">
        <w:rPr>
          <w:rFonts w:ascii="Arial" w:hAnsi="Arial" w:cs="Arial"/>
          <w:sz w:val="22"/>
          <w:szCs w:val="22"/>
        </w:rPr>
        <w:t xml:space="preserve">. </w:t>
      </w:r>
      <w:r>
        <w:rPr>
          <w:rFonts w:ascii="Arial" w:hAnsi="Arial" w:cs="Arial"/>
          <w:sz w:val="22"/>
          <w:szCs w:val="22"/>
        </w:rPr>
        <w:t xml:space="preserve">Available at: </w:t>
      </w:r>
      <w:hyperlink r:id="rId21" w:history="1">
        <w:r w:rsidRPr="004A297B">
          <w:rPr>
            <w:rStyle w:val="Hyperlink"/>
            <w:rFonts w:ascii="Arial" w:hAnsi="Arial" w:cs="Arial"/>
            <w:sz w:val="22"/>
            <w:szCs w:val="22"/>
          </w:rPr>
          <w:t>https://www.cipd.org/uk/knowledge/factsheets/zero-hours-factsheet/</w:t>
        </w:r>
      </w:hyperlink>
      <w:r>
        <w:rPr>
          <w:rFonts w:ascii="Arial" w:hAnsi="Arial" w:cs="Arial"/>
          <w:sz w:val="22"/>
          <w:szCs w:val="22"/>
        </w:rPr>
        <w:t xml:space="preserve"> (Accessed: 9 December 2025)</w:t>
      </w:r>
    </w:p>
    <w:p w14:paraId="7C363DBB" w14:textId="77777777" w:rsidR="009426B2" w:rsidRPr="006C7CD8" w:rsidRDefault="009426B2" w:rsidP="009426B2">
      <w:pPr>
        <w:rPr>
          <w:rFonts w:ascii="Arial" w:hAnsi="Arial" w:cs="Arial"/>
          <w:sz w:val="22"/>
          <w:szCs w:val="22"/>
        </w:rPr>
      </w:pPr>
      <w:r w:rsidRPr="0063751B">
        <w:rPr>
          <w:rFonts w:ascii="Arial" w:hAnsi="Arial" w:cs="Arial"/>
          <w:b/>
          <w:bCs/>
          <w:sz w:val="22"/>
          <w:szCs w:val="22"/>
        </w:rPr>
        <w:t>CIPD (2023d).</w:t>
      </w:r>
      <w:r w:rsidRPr="0063751B">
        <w:rPr>
          <w:rFonts w:ascii="Arial" w:hAnsi="Arial" w:cs="Arial"/>
          <w:sz w:val="22"/>
          <w:szCs w:val="22"/>
        </w:rPr>
        <w:t xml:space="preserve"> </w:t>
      </w:r>
      <w:r w:rsidRPr="0063751B">
        <w:rPr>
          <w:rFonts w:ascii="Arial" w:hAnsi="Arial" w:cs="Arial"/>
          <w:i/>
          <w:iCs/>
          <w:sz w:val="22"/>
          <w:szCs w:val="22"/>
        </w:rPr>
        <w:t>Employee experience</w:t>
      </w:r>
      <w:r w:rsidRPr="0063751B">
        <w:rPr>
          <w:rFonts w:ascii="Arial" w:hAnsi="Arial" w:cs="Arial"/>
          <w:sz w:val="22"/>
          <w:szCs w:val="22"/>
        </w:rPr>
        <w:t xml:space="preserve">. Available at: </w:t>
      </w:r>
      <w:hyperlink r:id="rId22" w:history="1">
        <w:r w:rsidRPr="0063751B">
          <w:rPr>
            <w:rStyle w:val="Hyperlink"/>
            <w:rFonts w:ascii="Arial" w:hAnsi="Arial" w:cs="Arial"/>
            <w:sz w:val="22"/>
            <w:szCs w:val="22"/>
          </w:rPr>
          <w:t>https://www.cipd.org/uk/the-people-profession/the-profession-map/explore-the-profession-map/specialist-knowledge/employee-experience/</w:t>
        </w:r>
      </w:hyperlink>
      <w:r w:rsidRPr="006C7CD8">
        <w:rPr>
          <w:rFonts w:ascii="Arial" w:hAnsi="Arial" w:cs="Arial"/>
          <w:sz w:val="22"/>
          <w:szCs w:val="22"/>
        </w:rPr>
        <w:t xml:space="preserve"> </w:t>
      </w:r>
      <w:r>
        <w:rPr>
          <w:rFonts w:ascii="Arial" w:hAnsi="Arial" w:cs="Arial"/>
          <w:sz w:val="22"/>
          <w:szCs w:val="22"/>
        </w:rPr>
        <w:t>(Accessed: 9 December 2025)</w:t>
      </w:r>
    </w:p>
    <w:p w14:paraId="47EB386D" w14:textId="77777777" w:rsidR="009426B2" w:rsidRPr="006C7CD8" w:rsidRDefault="009426B2" w:rsidP="009426B2">
      <w:pPr>
        <w:rPr>
          <w:rFonts w:ascii="Arial" w:hAnsi="Arial" w:cs="Arial"/>
          <w:sz w:val="22"/>
          <w:szCs w:val="22"/>
        </w:rPr>
      </w:pPr>
      <w:r w:rsidRPr="000C0698">
        <w:rPr>
          <w:rFonts w:ascii="Arial" w:hAnsi="Arial" w:cs="Arial"/>
          <w:b/>
          <w:bCs/>
          <w:sz w:val="22"/>
          <w:szCs w:val="22"/>
        </w:rPr>
        <w:t>CIPD (2025f).</w:t>
      </w:r>
      <w:r w:rsidRPr="000C0698">
        <w:rPr>
          <w:rFonts w:ascii="Arial" w:hAnsi="Arial" w:cs="Arial"/>
          <w:sz w:val="22"/>
          <w:szCs w:val="22"/>
        </w:rPr>
        <w:t xml:space="preserve"> </w:t>
      </w:r>
      <w:r w:rsidRPr="000C0698">
        <w:rPr>
          <w:rFonts w:ascii="Arial" w:hAnsi="Arial" w:cs="Arial"/>
          <w:i/>
          <w:iCs/>
          <w:sz w:val="22"/>
          <w:szCs w:val="22"/>
        </w:rPr>
        <w:t xml:space="preserve">The Profession Map. </w:t>
      </w:r>
      <w:r w:rsidRPr="000C0698">
        <w:rPr>
          <w:rFonts w:ascii="Arial" w:hAnsi="Arial" w:cs="Arial"/>
          <w:sz w:val="22"/>
          <w:szCs w:val="22"/>
        </w:rPr>
        <w:t xml:space="preserve">Available at: </w:t>
      </w:r>
      <w:hyperlink r:id="rId23" w:history="1">
        <w:r w:rsidRPr="000C0698">
          <w:rPr>
            <w:rStyle w:val="Hyperlink"/>
            <w:rFonts w:ascii="Arial" w:hAnsi="Arial" w:cs="Arial"/>
            <w:sz w:val="22"/>
            <w:szCs w:val="22"/>
          </w:rPr>
          <w:t>https://www.cipd.org/uk/the-people-profession/the-profession-map/</w:t>
        </w:r>
      </w:hyperlink>
      <w:r w:rsidRPr="000C0698">
        <w:rPr>
          <w:rFonts w:ascii="Arial" w:hAnsi="Arial" w:cs="Arial"/>
          <w:sz w:val="22"/>
          <w:szCs w:val="22"/>
        </w:rPr>
        <w:t xml:space="preserve"> (Accessed: 9 December 2025)</w:t>
      </w:r>
    </w:p>
    <w:p w14:paraId="25E0936D" w14:textId="77777777" w:rsidR="009426B2" w:rsidRPr="006C7CD8" w:rsidRDefault="009426B2" w:rsidP="009426B2">
      <w:pPr>
        <w:rPr>
          <w:rFonts w:ascii="Arial" w:hAnsi="Arial" w:cs="Arial"/>
          <w:sz w:val="22"/>
          <w:szCs w:val="22"/>
        </w:rPr>
      </w:pPr>
      <w:r w:rsidRPr="00D94D11">
        <w:rPr>
          <w:rFonts w:ascii="Arial" w:hAnsi="Arial" w:cs="Arial"/>
          <w:b/>
          <w:bCs/>
          <w:sz w:val="22"/>
          <w:szCs w:val="22"/>
        </w:rPr>
        <w:t>CIPD (2024g).</w:t>
      </w:r>
      <w:r w:rsidRPr="00D94D11">
        <w:rPr>
          <w:rFonts w:ascii="Arial" w:hAnsi="Arial" w:cs="Arial"/>
          <w:sz w:val="22"/>
          <w:szCs w:val="22"/>
        </w:rPr>
        <w:t xml:space="preserve"> </w:t>
      </w:r>
      <w:r w:rsidRPr="00D94D11">
        <w:rPr>
          <w:rFonts w:ascii="Arial" w:hAnsi="Arial" w:cs="Arial"/>
          <w:i/>
          <w:iCs/>
          <w:sz w:val="22"/>
          <w:szCs w:val="22"/>
        </w:rPr>
        <w:t>Using technology to improve hiring and onboarding</w:t>
      </w:r>
      <w:r w:rsidRPr="00D94D11">
        <w:rPr>
          <w:rFonts w:ascii="Arial" w:hAnsi="Arial" w:cs="Arial"/>
          <w:sz w:val="22"/>
          <w:szCs w:val="22"/>
        </w:rPr>
        <w:t xml:space="preserve">. </w:t>
      </w:r>
      <w:r>
        <w:rPr>
          <w:rFonts w:ascii="Arial" w:hAnsi="Arial" w:cs="Arial"/>
          <w:sz w:val="22"/>
          <w:szCs w:val="22"/>
        </w:rPr>
        <w:t>Available at:</w:t>
      </w:r>
      <w:r w:rsidRPr="00D94D11">
        <w:rPr>
          <w:rFonts w:ascii="Arial" w:hAnsi="Arial" w:cs="Arial"/>
          <w:sz w:val="22"/>
          <w:szCs w:val="22"/>
        </w:rPr>
        <w:t xml:space="preserve"> </w:t>
      </w:r>
      <w:hyperlink r:id="rId24" w:history="1">
        <w:r w:rsidRPr="00D94D11">
          <w:rPr>
            <w:rStyle w:val="Hyperlink"/>
            <w:rFonts w:ascii="Arial" w:hAnsi="Arial" w:cs="Arial"/>
            <w:sz w:val="22"/>
            <w:szCs w:val="22"/>
          </w:rPr>
          <w:t>https://www.cipd.org/uk/views-and-insights/thought-leadership/insight/using-technology-to-improve-hiring-and-onboarding/</w:t>
        </w:r>
      </w:hyperlink>
      <w:r w:rsidRPr="006C7CD8">
        <w:rPr>
          <w:rFonts w:ascii="Arial" w:hAnsi="Arial" w:cs="Arial"/>
          <w:sz w:val="22"/>
          <w:szCs w:val="22"/>
        </w:rPr>
        <w:t xml:space="preserve"> </w:t>
      </w:r>
      <w:r>
        <w:rPr>
          <w:rFonts w:ascii="Arial" w:hAnsi="Arial" w:cs="Arial"/>
          <w:sz w:val="22"/>
          <w:szCs w:val="22"/>
        </w:rPr>
        <w:t>(Accessed: 6 December 2025)</w:t>
      </w:r>
    </w:p>
    <w:p w14:paraId="338490AB" w14:textId="77777777" w:rsidR="009426B2" w:rsidRPr="00A75D23" w:rsidRDefault="009426B2" w:rsidP="009426B2">
      <w:pPr>
        <w:rPr>
          <w:rFonts w:ascii="Arial" w:hAnsi="Arial" w:cs="Arial"/>
          <w:sz w:val="22"/>
          <w:szCs w:val="22"/>
        </w:rPr>
      </w:pPr>
      <w:r w:rsidRPr="00A75D23">
        <w:rPr>
          <w:rFonts w:ascii="Arial" w:hAnsi="Arial" w:cs="Arial"/>
          <w:b/>
          <w:bCs/>
          <w:sz w:val="22"/>
          <w:szCs w:val="22"/>
        </w:rPr>
        <w:t xml:space="preserve">Daniels, K. (2022). </w:t>
      </w:r>
      <w:r w:rsidRPr="00A75D23">
        <w:rPr>
          <w:rFonts w:ascii="Arial" w:hAnsi="Arial" w:cs="Arial"/>
          <w:i/>
          <w:iCs/>
          <w:sz w:val="22"/>
          <w:szCs w:val="22"/>
        </w:rPr>
        <w:t>Introduction to Employment Law</w:t>
      </w:r>
      <w:r w:rsidRPr="00A75D23">
        <w:rPr>
          <w:rFonts w:ascii="Arial" w:hAnsi="Arial" w:cs="Arial"/>
          <w:sz w:val="22"/>
          <w:szCs w:val="22"/>
        </w:rPr>
        <w:t>. 6th ed. London: Kogan Page.</w:t>
      </w:r>
    </w:p>
    <w:p w14:paraId="7FAEC250" w14:textId="77777777" w:rsidR="009426B2" w:rsidRPr="006C7CD8" w:rsidRDefault="009426B2" w:rsidP="009426B2">
      <w:pPr>
        <w:rPr>
          <w:rFonts w:ascii="Arial" w:hAnsi="Arial" w:cs="Arial"/>
          <w:sz w:val="22"/>
          <w:szCs w:val="22"/>
        </w:rPr>
      </w:pPr>
      <w:r w:rsidRPr="00FB46AA">
        <w:rPr>
          <w:rFonts w:ascii="Arial" w:hAnsi="Arial" w:cs="Arial"/>
          <w:b/>
          <w:bCs/>
          <w:sz w:val="22"/>
          <w:szCs w:val="22"/>
        </w:rPr>
        <w:t>Garrity, S. (2025)</w:t>
      </w:r>
      <w:r w:rsidRPr="00FB46AA">
        <w:rPr>
          <w:rFonts w:ascii="Arial" w:hAnsi="Arial" w:cs="Arial"/>
          <w:sz w:val="22"/>
          <w:szCs w:val="22"/>
        </w:rPr>
        <w:t xml:space="preserve">. </w:t>
      </w:r>
      <w:r w:rsidRPr="00FB46AA">
        <w:rPr>
          <w:rFonts w:ascii="Arial" w:hAnsi="Arial" w:cs="Arial"/>
          <w:i/>
          <w:iCs/>
          <w:sz w:val="22"/>
          <w:szCs w:val="22"/>
        </w:rPr>
        <w:t>Workforce planning is not just for Christmas</w:t>
      </w:r>
      <w:r w:rsidRPr="00FB46AA">
        <w:rPr>
          <w:rFonts w:ascii="Arial" w:hAnsi="Arial" w:cs="Arial"/>
          <w:sz w:val="22"/>
          <w:szCs w:val="22"/>
        </w:rPr>
        <w:t xml:space="preserve">. </w:t>
      </w:r>
      <w:r>
        <w:rPr>
          <w:rFonts w:ascii="Arial" w:hAnsi="Arial" w:cs="Arial"/>
          <w:sz w:val="22"/>
          <w:szCs w:val="22"/>
        </w:rPr>
        <w:t xml:space="preserve">Personnel Today. </w:t>
      </w:r>
      <w:r w:rsidRPr="00FB46AA">
        <w:rPr>
          <w:rFonts w:ascii="Arial" w:hAnsi="Arial" w:cs="Arial"/>
          <w:sz w:val="22"/>
          <w:szCs w:val="22"/>
        </w:rPr>
        <w:t xml:space="preserve">Available at: </w:t>
      </w:r>
      <w:hyperlink r:id="rId25" w:history="1">
        <w:r w:rsidRPr="004A297B">
          <w:rPr>
            <w:rStyle w:val="Hyperlink"/>
            <w:rFonts w:ascii="Arial" w:hAnsi="Arial" w:cs="Arial"/>
            <w:sz w:val="22"/>
            <w:szCs w:val="22"/>
          </w:rPr>
          <w:t>https://www.personneltoday.com/hr/workforce-planning-is-not-just-for-christmas/</w:t>
        </w:r>
      </w:hyperlink>
      <w:r>
        <w:rPr>
          <w:rFonts w:ascii="Arial" w:hAnsi="Arial" w:cs="Arial"/>
          <w:sz w:val="22"/>
          <w:szCs w:val="22"/>
        </w:rPr>
        <w:t xml:space="preserve"> </w:t>
      </w:r>
      <w:r w:rsidRPr="00FB46AA">
        <w:rPr>
          <w:rFonts w:ascii="Arial" w:hAnsi="Arial" w:cs="Arial"/>
          <w:sz w:val="22"/>
          <w:szCs w:val="22"/>
        </w:rPr>
        <w:t>(Accessed: 1 December 2025)</w:t>
      </w:r>
    </w:p>
    <w:p w14:paraId="6E61813A" w14:textId="77777777" w:rsidR="009426B2" w:rsidRPr="006C7CD8" w:rsidRDefault="009426B2" w:rsidP="009426B2">
      <w:pPr>
        <w:rPr>
          <w:rFonts w:ascii="Arial" w:hAnsi="Arial" w:cs="Arial"/>
          <w:sz w:val="22"/>
          <w:szCs w:val="22"/>
        </w:rPr>
      </w:pPr>
      <w:r w:rsidRPr="00946FCF">
        <w:rPr>
          <w:rFonts w:ascii="Arial" w:hAnsi="Arial" w:cs="Arial"/>
          <w:b/>
          <w:bCs/>
          <w:sz w:val="22"/>
          <w:szCs w:val="22"/>
        </w:rPr>
        <w:t>Hi Lo Staffing (2024).</w:t>
      </w:r>
      <w:r w:rsidRPr="00946FCF">
        <w:rPr>
          <w:rFonts w:ascii="Arial" w:hAnsi="Arial" w:cs="Arial"/>
          <w:sz w:val="22"/>
          <w:szCs w:val="22"/>
        </w:rPr>
        <w:t xml:space="preserve"> </w:t>
      </w:r>
      <w:r w:rsidRPr="00946FCF">
        <w:rPr>
          <w:rFonts w:ascii="Arial" w:hAnsi="Arial" w:cs="Arial"/>
          <w:i/>
          <w:iCs/>
          <w:sz w:val="22"/>
          <w:szCs w:val="22"/>
        </w:rPr>
        <w:t>Beyond the numbers: the real impact of turnover in logistics</w:t>
      </w:r>
      <w:r w:rsidRPr="00946FCF">
        <w:rPr>
          <w:rFonts w:ascii="Arial" w:hAnsi="Arial" w:cs="Arial"/>
          <w:sz w:val="22"/>
          <w:szCs w:val="22"/>
        </w:rPr>
        <w:t>.</w:t>
      </w:r>
      <w:r>
        <w:rPr>
          <w:rFonts w:ascii="Arial" w:hAnsi="Arial" w:cs="Arial"/>
          <w:sz w:val="22"/>
          <w:szCs w:val="22"/>
        </w:rPr>
        <w:t xml:space="preserve"> LinkedIn. Available at: </w:t>
      </w:r>
      <w:hyperlink r:id="rId26" w:history="1">
        <w:r w:rsidRPr="004A297B">
          <w:rPr>
            <w:rStyle w:val="Hyperlink"/>
            <w:rFonts w:ascii="Arial" w:hAnsi="Arial" w:cs="Arial"/>
            <w:sz w:val="22"/>
            <w:szCs w:val="22"/>
          </w:rPr>
          <w:t>https://www.linkedin.com/pulse/beyond-numbers-real-impact-turnover-logistics-hilo-staffing-d0kfe</w:t>
        </w:r>
      </w:hyperlink>
      <w:r w:rsidRPr="006C7CD8">
        <w:rPr>
          <w:rFonts w:ascii="Arial" w:hAnsi="Arial" w:cs="Arial"/>
          <w:sz w:val="22"/>
          <w:szCs w:val="22"/>
        </w:rPr>
        <w:t xml:space="preserve"> </w:t>
      </w:r>
      <w:r>
        <w:rPr>
          <w:rFonts w:ascii="Arial" w:hAnsi="Arial" w:cs="Arial"/>
          <w:sz w:val="22"/>
          <w:szCs w:val="22"/>
        </w:rPr>
        <w:t>(Accessed: 4 December 2025)</w:t>
      </w:r>
    </w:p>
    <w:p w14:paraId="2DA78C2D" w14:textId="77777777" w:rsidR="009426B2" w:rsidRPr="006C7CD8" w:rsidRDefault="009426B2" w:rsidP="009426B2">
      <w:pPr>
        <w:rPr>
          <w:rFonts w:ascii="Arial" w:hAnsi="Arial" w:cs="Arial"/>
          <w:sz w:val="22"/>
          <w:szCs w:val="22"/>
        </w:rPr>
      </w:pPr>
      <w:r w:rsidRPr="004672C8">
        <w:rPr>
          <w:rFonts w:ascii="Arial" w:hAnsi="Arial" w:cs="Arial"/>
          <w:b/>
          <w:bCs/>
          <w:sz w:val="22"/>
          <w:szCs w:val="22"/>
        </w:rPr>
        <w:t>Hirsh, W. (2019)</w:t>
      </w:r>
      <w:r>
        <w:rPr>
          <w:rFonts w:ascii="Arial" w:hAnsi="Arial" w:cs="Arial"/>
          <w:sz w:val="22"/>
          <w:szCs w:val="22"/>
        </w:rPr>
        <w:t xml:space="preserve">. </w:t>
      </w:r>
      <w:r w:rsidRPr="004672C8">
        <w:rPr>
          <w:rFonts w:ascii="Arial" w:hAnsi="Arial" w:cs="Arial"/>
          <w:i/>
          <w:iCs/>
          <w:sz w:val="22"/>
          <w:szCs w:val="22"/>
        </w:rPr>
        <w:t>The Many Merits of Workforce Planning</w:t>
      </w:r>
      <w:r w:rsidRPr="004672C8">
        <w:rPr>
          <w:rFonts w:ascii="Arial" w:hAnsi="Arial" w:cs="Arial"/>
          <w:sz w:val="22"/>
          <w:szCs w:val="22"/>
        </w:rPr>
        <w:t xml:space="preserve">. CIPD. [Podcast] Available at: </w:t>
      </w:r>
      <w:hyperlink r:id="rId27" w:history="1">
        <w:r w:rsidRPr="004672C8">
          <w:rPr>
            <w:rStyle w:val="Hyperlink"/>
            <w:rFonts w:ascii="Arial" w:hAnsi="Arial" w:cs="Arial"/>
            <w:sz w:val="22"/>
            <w:szCs w:val="22"/>
          </w:rPr>
          <w:t>https://www.cipd.org/uk/knowledge/podcasts/many-merits-workforce-planning/</w:t>
        </w:r>
      </w:hyperlink>
      <w:r w:rsidRPr="004672C8">
        <w:rPr>
          <w:rFonts w:ascii="Arial" w:hAnsi="Arial" w:cs="Arial"/>
          <w:sz w:val="22"/>
          <w:szCs w:val="22"/>
        </w:rPr>
        <w:t xml:space="preserve">  (Accessed: 3 December 2025)</w:t>
      </w:r>
    </w:p>
    <w:p w14:paraId="0FB968CD" w14:textId="77777777" w:rsidR="009426B2" w:rsidRPr="006C7CD8" w:rsidRDefault="009426B2" w:rsidP="009426B2">
      <w:pPr>
        <w:rPr>
          <w:rFonts w:ascii="Arial" w:hAnsi="Arial" w:cs="Arial"/>
          <w:sz w:val="22"/>
          <w:szCs w:val="22"/>
        </w:rPr>
      </w:pPr>
      <w:r w:rsidRPr="00170AA7">
        <w:rPr>
          <w:rFonts w:ascii="Arial" w:hAnsi="Arial" w:cs="Arial"/>
          <w:b/>
          <w:bCs/>
          <w:sz w:val="22"/>
          <w:szCs w:val="22"/>
        </w:rPr>
        <w:lastRenderedPageBreak/>
        <w:t>Lardner, S. (2025).</w:t>
      </w:r>
      <w:r w:rsidRPr="00170AA7">
        <w:rPr>
          <w:rFonts w:ascii="Arial" w:hAnsi="Arial" w:cs="Arial"/>
          <w:sz w:val="22"/>
          <w:szCs w:val="22"/>
        </w:rPr>
        <w:t xml:space="preserve"> </w:t>
      </w:r>
      <w:r w:rsidRPr="00170AA7">
        <w:rPr>
          <w:rFonts w:ascii="Arial" w:hAnsi="Arial" w:cs="Arial"/>
          <w:i/>
          <w:iCs/>
          <w:sz w:val="22"/>
          <w:szCs w:val="22"/>
        </w:rPr>
        <w:t>How to stop flying blind with workforce planning</w:t>
      </w:r>
      <w:r w:rsidRPr="00170AA7">
        <w:rPr>
          <w:rFonts w:ascii="Arial" w:hAnsi="Arial" w:cs="Arial"/>
          <w:sz w:val="22"/>
          <w:szCs w:val="22"/>
        </w:rPr>
        <w:t xml:space="preserve">. Personnel Today. Available at: </w:t>
      </w:r>
      <w:hyperlink r:id="rId28" w:history="1">
        <w:r w:rsidRPr="00170AA7">
          <w:rPr>
            <w:rStyle w:val="Hyperlink"/>
            <w:rFonts w:ascii="Arial" w:hAnsi="Arial" w:cs="Arial"/>
            <w:sz w:val="22"/>
            <w:szCs w:val="22"/>
          </w:rPr>
          <w:t>https://www.personneltoday.com/hr/how-to-stop-flying-blind-with-workforce-planning/</w:t>
        </w:r>
      </w:hyperlink>
      <w:r w:rsidRPr="00170AA7">
        <w:rPr>
          <w:rFonts w:ascii="Arial" w:hAnsi="Arial" w:cs="Arial"/>
          <w:sz w:val="22"/>
          <w:szCs w:val="22"/>
        </w:rPr>
        <w:t>? (Accessed: 3 December 2025)</w:t>
      </w:r>
    </w:p>
    <w:p w14:paraId="56F63AC4" w14:textId="77777777" w:rsidR="009426B2" w:rsidRPr="006C7CD8" w:rsidRDefault="009426B2" w:rsidP="009426B2">
      <w:pPr>
        <w:rPr>
          <w:rFonts w:ascii="Arial" w:hAnsi="Arial" w:cs="Arial"/>
          <w:sz w:val="22"/>
          <w:szCs w:val="22"/>
        </w:rPr>
      </w:pPr>
      <w:r w:rsidRPr="00517E1B">
        <w:rPr>
          <w:rFonts w:ascii="Arial" w:hAnsi="Arial" w:cs="Arial"/>
          <w:b/>
          <w:bCs/>
          <w:sz w:val="22"/>
          <w:szCs w:val="22"/>
        </w:rPr>
        <w:t>Lewis, A. (2021).</w:t>
      </w:r>
      <w:r w:rsidRPr="00517E1B">
        <w:rPr>
          <w:rFonts w:ascii="Arial" w:hAnsi="Arial" w:cs="Arial"/>
          <w:sz w:val="22"/>
          <w:szCs w:val="22"/>
        </w:rPr>
        <w:t xml:space="preserve"> </w:t>
      </w:r>
      <w:r w:rsidRPr="00517E1B">
        <w:rPr>
          <w:rFonts w:ascii="Arial" w:hAnsi="Arial" w:cs="Arial"/>
          <w:i/>
          <w:iCs/>
          <w:sz w:val="22"/>
          <w:szCs w:val="22"/>
        </w:rPr>
        <w:t>Unpaid work trials: legitimate recruitment practice or exploitation?</w:t>
      </w:r>
      <w:r w:rsidRPr="00517E1B">
        <w:rPr>
          <w:rFonts w:ascii="Arial" w:hAnsi="Arial" w:cs="Arial"/>
          <w:sz w:val="22"/>
          <w:szCs w:val="22"/>
        </w:rPr>
        <w:t xml:space="preserve"> Personnel Today. Available at: </w:t>
      </w:r>
      <w:hyperlink r:id="rId29" w:history="1">
        <w:r w:rsidRPr="00517E1B">
          <w:rPr>
            <w:rStyle w:val="Hyperlink"/>
            <w:rFonts w:ascii="Arial" w:hAnsi="Arial" w:cs="Arial"/>
            <w:sz w:val="22"/>
            <w:szCs w:val="22"/>
          </w:rPr>
          <w:t>https://www.personneltoday.com/hr/unpaid-work-trial-periods-national-minimum-wage-nmw/</w:t>
        </w:r>
      </w:hyperlink>
      <w:r w:rsidRPr="00517E1B">
        <w:rPr>
          <w:rFonts w:ascii="Arial" w:hAnsi="Arial" w:cs="Arial"/>
          <w:sz w:val="22"/>
          <w:szCs w:val="22"/>
        </w:rPr>
        <w:t xml:space="preserve"> (Accessed: 4 December 2025)</w:t>
      </w:r>
    </w:p>
    <w:p w14:paraId="3F39572E" w14:textId="77777777" w:rsidR="009426B2" w:rsidRPr="006C7CD8" w:rsidRDefault="009426B2" w:rsidP="009426B2">
      <w:pPr>
        <w:rPr>
          <w:rFonts w:ascii="Arial" w:hAnsi="Arial" w:cs="Arial"/>
          <w:sz w:val="22"/>
          <w:szCs w:val="22"/>
        </w:rPr>
      </w:pPr>
      <w:r w:rsidRPr="00F867AA">
        <w:rPr>
          <w:rFonts w:ascii="Arial" w:hAnsi="Arial" w:cs="Arial"/>
          <w:b/>
          <w:bCs/>
          <w:sz w:val="22"/>
          <w:szCs w:val="22"/>
        </w:rPr>
        <w:t>LinkedIn (2025).</w:t>
      </w:r>
      <w:r w:rsidRPr="00F867AA">
        <w:rPr>
          <w:rFonts w:ascii="Arial" w:hAnsi="Arial" w:cs="Arial"/>
          <w:sz w:val="22"/>
          <w:szCs w:val="22"/>
        </w:rPr>
        <w:t xml:space="preserve"> </w:t>
      </w:r>
      <w:r w:rsidRPr="00F867AA">
        <w:rPr>
          <w:rFonts w:ascii="Arial" w:hAnsi="Arial" w:cs="Arial"/>
          <w:i/>
          <w:iCs/>
          <w:sz w:val="22"/>
          <w:szCs w:val="22"/>
        </w:rPr>
        <w:t>How can warehouse workers take breaks to prevent burnout and injury?</w:t>
      </w:r>
      <w:r w:rsidRPr="00F867AA">
        <w:rPr>
          <w:rFonts w:ascii="Arial" w:hAnsi="Arial" w:cs="Arial"/>
          <w:sz w:val="22"/>
          <w:szCs w:val="22"/>
        </w:rPr>
        <w:t xml:space="preserve"> Available at: </w:t>
      </w:r>
      <w:hyperlink r:id="rId30" w:history="1">
        <w:r w:rsidRPr="00F867AA">
          <w:rPr>
            <w:rStyle w:val="Hyperlink"/>
            <w:rFonts w:ascii="Arial" w:hAnsi="Arial" w:cs="Arial"/>
            <w:sz w:val="22"/>
            <w:szCs w:val="22"/>
          </w:rPr>
          <w:t>https://www.linkedin.com/advice/0/how-can-warehouse-workers-take-breaks-prevent-sfigf</w:t>
        </w:r>
      </w:hyperlink>
      <w:r w:rsidRPr="00F867AA">
        <w:rPr>
          <w:rFonts w:ascii="Arial" w:hAnsi="Arial" w:cs="Arial"/>
          <w:sz w:val="22"/>
          <w:szCs w:val="22"/>
        </w:rPr>
        <w:t xml:space="preserve">?  (Accessed: </w:t>
      </w:r>
      <w:r>
        <w:rPr>
          <w:rFonts w:ascii="Arial" w:hAnsi="Arial" w:cs="Arial"/>
          <w:sz w:val="22"/>
          <w:szCs w:val="22"/>
        </w:rPr>
        <w:t>6 December 2025)</w:t>
      </w:r>
    </w:p>
    <w:p w14:paraId="15D261B8" w14:textId="77777777" w:rsidR="009426B2" w:rsidRPr="006C7CD8" w:rsidRDefault="009426B2" w:rsidP="009426B2">
      <w:pPr>
        <w:rPr>
          <w:rFonts w:ascii="Arial" w:hAnsi="Arial" w:cs="Arial"/>
          <w:sz w:val="22"/>
          <w:szCs w:val="22"/>
        </w:rPr>
      </w:pPr>
      <w:r w:rsidRPr="00EB64DF">
        <w:rPr>
          <w:rFonts w:ascii="Arial" w:hAnsi="Arial" w:cs="Arial"/>
          <w:b/>
          <w:bCs/>
          <w:sz w:val="22"/>
          <w:szCs w:val="22"/>
        </w:rPr>
        <w:t xml:space="preserve">Moore, T. (2023). </w:t>
      </w:r>
      <w:r w:rsidRPr="00EB64DF">
        <w:rPr>
          <w:rFonts w:ascii="Arial" w:hAnsi="Arial" w:cs="Arial"/>
          <w:i/>
          <w:iCs/>
          <w:sz w:val="22"/>
          <w:szCs w:val="22"/>
        </w:rPr>
        <w:t>The pros and cons of recruiting through social media</w:t>
      </w:r>
      <w:r w:rsidRPr="00EB64DF">
        <w:rPr>
          <w:rFonts w:ascii="Arial" w:hAnsi="Arial" w:cs="Arial"/>
          <w:sz w:val="22"/>
          <w:szCs w:val="22"/>
        </w:rPr>
        <w:t xml:space="preserve">. That’s Good HR. Available at: </w:t>
      </w:r>
      <w:hyperlink r:id="rId31" w:history="1">
        <w:r w:rsidRPr="00EB64DF">
          <w:rPr>
            <w:rStyle w:val="Hyperlink"/>
            <w:rFonts w:ascii="Arial" w:hAnsi="Arial" w:cs="Arial"/>
            <w:sz w:val="22"/>
            <w:szCs w:val="22"/>
          </w:rPr>
          <w:t>https://thatsgoodhr.com/the-pros-and-cons-of-recruiting-through-social-media/</w:t>
        </w:r>
      </w:hyperlink>
      <w:r w:rsidRPr="006C7CD8">
        <w:rPr>
          <w:rFonts w:ascii="Arial" w:hAnsi="Arial" w:cs="Arial"/>
          <w:sz w:val="22"/>
          <w:szCs w:val="22"/>
        </w:rPr>
        <w:t xml:space="preserve"> </w:t>
      </w:r>
      <w:r>
        <w:rPr>
          <w:rFonts w:ascii="Arial" w:hAnsi="Arial" w:cs="Arial"/>
          <w:sz w:val="22"/>
          <w:szCs w:val="22"/>
        </w:rPr>
        <w:t>(Accessed: 4 December 2025)</w:t>
      </w:r>
    </w:p>
    <w:p w14:paraId="42FB99CC" w14:textId="77777777" w:rsidR="009426B2" w:rsidRPr="006C7CD8" w:rsidRDefault="009426B2" w:rsidP="009426B2">
      <w:pPr>
        <w:rPr>
          <w:rFonts w:ascii="Arial" w:hAnsi="Arial" w:cs="Arial"/>
          <w:sz w:val="22"/>
          <w:szCs w:val="22"/>
        </w:rPr>
      </w:pPr>
      <w:r w:rsidRPr="00363012">
        <w:rPr>
          <w:rFonts w:ascii="Arial" w:hAnsi="Arial" w:cs="Arial"/>
          <w:b/>
          <w:bCs/>
          <w:sz w:val="22"/>
          <w:szCs w:val="22"/>
        </w:rPr>
        <w:t>Nemcova, M. (2025).</w:t>
      </w:r>
      <w:r w:rsidRPr="00363012">
        <w:rPr>
          <w:rFonts w:ascii="Arial" w:hAnsi="Arial" w:cs="Arial"/>
          <w:sz w:val="22"/>
          <w:szCs w:val="22"/>
        </w:rPr>
        <w:t xml:space="preserve"> </w:t>
      </w:r>
      <w:r w:rsidRPr="00363012">
        <w:rPr>
          <w:rFonts w:ascii="Arial" w:hAnsi="Arial" w:cs="Arial"/>
          <w:i/>
          <w:iCs/>
          <w:sz w:val="22"/>
          <w:szCs w:val="22"/>
        </w:rPr>
        <w:t>How to conduct a skills audit at your organization</w:t>
      </w:r>
      <w:r w:rsidRPr="00363012">
        <w:rPr>
          <w:rFonts w:ascii="Arial" w:hAnsi="Arial" w:cs="Arial"/>
          <w:sz w:val="22"/>
          <w:szCs w:val="22"/>
        </w:rPr>
        <w:t xml:space="preserve">. AIHR. Available at: </w:t>
      </w:r>
      <w:hyperlink r:id="rId32" w:history="1">
        <w:r w:rsidRPr="00363012">
          <w:rPr>
            <w:rStyle w:val="Hyperlink"/>
            <w:rFonts w:ascii="Arial" w:hAnsi="Arial" w:cs="Arial"/>
            <w:sz w:val="22"/>
            <w:szCs w:val="22"/>
          </w:rPr>
          <w:t>https://www.aihr.com/blog/skills-audit/</w:t>
        </w:r>
      </w:hyperlink>
      <w:r w:rsidRPr="00363012">
        <w:rPr>
          <w:rFonts w:ascii="Arial" w:hAnsi="Arial" w:cs="Arial"/>
          <w:sz w:val="22"/>
          <w:szCs w:val="22"/>
        </w:rPr>
        <w:t xml:space="preserve"> (Accessed: </w:t>
      </w:r>
      <w:r>
        <w:rPr>
          <w:rFonts w:ascii="Arial" w:hAnsi="Arial" w:cs="Arial"/>
          <w:sz w:val="22"/>
          <w:szCs w:val="22"/>
        </w:rPr>
        <w:t>4 December 2025)</w:t>
      </w:r>
    </w:p>
    <w:p w14:paraId="49480BAA" w14:textId="77777777" w:rsidR="009426B2" w:rsidRPr="006C7CD8" w:rsidRDefault="009426B2" w:rsidP="009426B2">
      <w:pPr>
        <w:rPr>
          <w:rFonts w:ascii="Arial" w:hAnsi="Arial" w:cs="Arial"/>
          <w:sz w:val="22"/>
          <w:szCs w:val="22"/>
        </w:rPr>
      </w:pPr>
      <w:r w:rsidRPr="00363012">
        <w:rPr>
          <w:rFonts w:ascii="Arial" w:hAnsi="Arial" w:cs="Arial"/>
          <w:b/>
          <w:bCs/>
          <w:sz w:val="22"/>
          <w:szCs w:val="22"/>
        </w:rPr>
        <w:t>Newhouse, M. (2022).</w:t>
      </w:r>
      <w:r w:rsidRPr="00363012">
        <w:rPr>
          <w:rFonts w:ascii="Arial" w:hAnsi="Arial" w:cs="Arial"/>
          <w:sz w:val="22"/>
          <w:szCs w:val="22"/>
        </w:rPr>
        <w:t xml:space="preserve"> </w:t>
      </w:r>
      <w:r w:rsidRPr="00363012">
        <w:rPr>
          <w:rFonts w:ascii="Arial" w:hAnsi="Arial" w:cs="Arial"/>
          <w:i/>
          <w:iCs/>
          <w:sz w:val="22"/>
          <w:szCs w:val="22"/>
        </w:rPr>
        <w:t>Why effective onboarding is more important than ever</w:t>
      </w:r>
      <w:r w:rsidRPr="00363012">
        <w:rPr>
          <w:rFonts w:ascii="Arial" w:hAnsi="Arial" w:cs="Arial"/>
          <w:sz w:val="22"/>
          <w:szCs w:val="22"/>
        </w:rPr>
        <w:t xml:space="preserve">. </w:t>
      </w:r>
      <w:r>
        <w:rPr>
          <w:rFonts w:ascii="Arial" w:hAnsi="Arial" w:cs="Arial"/>
          <w:sz w:val="22"/>
          <w:szCs w:val="22"/>
        </w:rPr>
        <w:t xml:space="preserve">Forbes. </w:t>
      </w:r>
      <w:r w:rsidRPr="00363012">
        <w:rPr>
          <w:rFonts w:ascii="Arial" w:hAnsi="Arial" w:cs="Arial"/>
          <w:sz w:val="22"/>
          <w:szCs w:val="22"/>
        </w:rPr>
        <w:t>Available at:</w:t>
      </w:r>
      <w:r>
        <w:rPr>
          <w:rFonts w:ascii="Arial" w:hAnsi="Arial" w:cs="Arial"/>
          <w:sz w:val="22"/>
          <w:szCs w:val="22"/>
        </w:rPr>
        <w:t xml:space="preserve"> </w:t>
      </w:r>
      <w:hyperlink r:id="rId33" w:history="1">
        <w:r w:rsidRPr="004A297B">
          <w:rPr>
            <w:rStyle w:val="Hyperlink"/>
            <w:rFonts w:ascii="Arial" w:hAnsi="Arial" w:cs="Arial"/>
            <w:sz w:val="22"/>
            <w:szCs w:val="22"/>
          </w:rPr>
          <w:t>https://www.forbes.com/councils/forbeshumanresourcescouncil/2020/12/02/why-effective-onboarding-is-more-important-than-ever/</w:t>
        </w:r>
      </w:hyperlink>
      <w:r w:rsidRPr="006C7CD8">
        <w:rPr>
          <w:rFonts w:ascii="Arial" w:hAnsi="Arial" w:cs="Arial"/>
          <w:sz w:val="22"/>
          <w:szCs w:val="22"/>
        </w:rPr>
        <w:t xml:space="preserve"> </w:t>
      </w:r>
      <w:r>
        <w:rPr>
          <w:rFonts w:ascii="Arial" w:hAnsi="Arial" w:cs="Arial"/>
          <w:sz w:val="22"/>
          <w:szCs w:val="22"/>
        </w:rPr>
        <w:t>(Accessed: 9 December 2025)</w:t>
      </w:r>
    </w:p>
    <w:p w14:paraId="6BF44974" w14:textId="77777777" w:rsidR="009426B2" w:rsidRPr="00C57606" w:rsidRDefault="009426B2" w:rsidP="009426B2">
      <w:pPr>
        <w:rPr>
          <w:rFonts w:ascii="Arial" w:hAnsi="Arial" w:cs="Arial"/>
          <w:sz w:val="22"/>
          <w:szCs w:val="22"/>
        </w:rPr>
      </w:pPr>
      <w:r w:rsidRPr="00C57606">
        <w:rPr>
          <w:rFonts w:ascii="Arial" w:hAnsi="Arial" w:cs="Arial"/>
          <w:b/>
          <w:bCs/>
          <w:sz w:val="22"/>
          <w:szCs w:val="22"/>
        </w:rPr>
        <w:t>Northern, S. (2023)</w:t>
      </w:r>
      <w:r>
        <w:rPr>
          <w:rFonts w:ascii="Arial" w:hAnsi="Arial" w:cs="Arial"/>
          <w:sz w:val="22"/>
          <w:szCs w:val="22"/>
        </w:rPr>
        <w:t xml:space="preserve">. </w:t>
      </w:r>
      <w:r w:rsidRPr="00C57606">
        <w:rPr>
          <w:rFonts w:ascii="Arial" w:hAnsi="Arial" w:cs="Arial"/>
          <w:i/>
          <w:iCs/>
          <w:sz w:val="22"/>
          <w:szCs w:val="22"/>
        </w:rPr>
        <w:t>Strategies for retaining employees in the logistics sector</w:t>
      </w:r>
      <w:r w:rsidRPr="00C57606">
        <w:rPr>
          <w:rFonts w:ascii="Arial" w:hAnsi="Arial" w:cs="Arial"/>
          <w:sz w:val="22"/>
          <w:szCs w:val="22"/>
        </w:rPr>
        <w:t xml:space="preserve">. </w:t>
      </w:r>
      <w:r>
        <w:rPr>
          <w:rFonts w:ascii="Arial" w:hAnsi="Arial" w:cs="Arial"/>
          <w:sz w:val="22"/>
          <w:szCs w:val="22"/>
        </w:rPr>
        <w:t xml:space="preserve">Walden University. </w:t>
      </w:r>
      <w:r w:rsidRPr="00C57606">
        <w:rPr>
          <w:rFonts w:ascii="Arial" w:hAnsi="Arial" w:cs="Arial"/>
          <w:sz w:val="22"/>
          <w:szCs w:val="22"/>
        </w:rPr>
        <w:t xml:space="preserve">Available at: </w:t>
      </w:r>
      <w:hyperlink r:id="rId34" w:history="1">
        <w:r w:rsidRPr="00C57606">
          <w:rPr>
            <w:rStyle w:val="Hyperlink"/>
            <w:rFonts w:ascii="Arial" w:hAnsi="Arial" w:cs="Arial"/>
            <w:sz w:val="22"/>
            <w:szCs w:val="22"/>
          </w:rPr>
          <w:t>https://scholarworks.waldenu.edu/cgi/viewcontent.cgi?article=15658&amp;context=dissertations</w:t>
        </w:r>
      </w:hyperlink>
      <w:r w:rsidRPr="00C57606">
        <w:rPr>
          <w:rFonts w:ascii="Arial" w:hAnsi="Arial" w:cs="Arial"/>
          <w:sz w:val="22"/>
          <w:szCs w:val="22"/>
        </w:rPr>
        <w:t xml:space="preserve"> (Accessed:</w:t>
      </w:r>
      <w:r>
        <w:rPr>
          <w:rFonts w:ascii="Arial" w:hAnsi="Arial" w:cs="Arial"/>
          <w:sz w:val="22"/>
          <w:szCs w:val="22"/>
        </w:rPr>
        <w:t xml:space="preserve"> 7 December 2025)</w:t>
      </w:r>
    </w:p>
    <w:p w14:paraId="15B2D909" w14:textId="77777777" w:rsidR="009426B2" w:rsidRPr="006C7CD8" w:rsidRDefault="009426B2" w:rsidP="009426B2">
      <w:pPr>
        <w:rPr>
          <w:rFonts w:ascii="Arial" w:hAnsi="Arial" w:cs="Arial"/>
          <w:sz w:val="22"/>
          <w:szCs w:val="22"/>
        </w:rPr>
      </w:pPr>
      <w:r w:rsidRPr="00CD24EF">
        <w:rPr>
          <w:rFonts w:ascii="Arial" w:hAnsi="Arial" w:cs="Arial"/>
          <w:b/>
          <w:bCs/>
          <w:sz w:val="22"/>
          <w:szCs w:val="22"/>
        </w:rPr>
        <w:t>Office for National Statistics (ONS) (2023).</w:t>
      </w:r>
      <w:r w:rsidRPr="00CD24EF">
        <w:rPr>
          <w:rFonts w:ascii="Arial" w:hAnsi="Arial" w:cs="Arial"/>
          <w:sz w:val="22"/>
          <w:szCs w:val="22"/>
        </w:rPr>
        <w:t xml:space="preserve"> </w:t>
      </w:r>
      <w:r w:rsidRPr="00CD24EF">
        <w:rPr>
          <w:rFonts w:ascii="Arial" w:hAnsi="Arial" w:cs="Arial"/>
          <w:i/>
          <w:iCs/>
          <w:sz w:val="22"/>
          <w:szCs w:val="22"/>
        </w:rPr>
        <w:t xml:space="preserve">Employees in Great Britain by industry: 2023. </w:t>
      </w:r>
      <w:r w:rsidRPr="00CD24EF">
        <w:rPr>
          <w:rFonts w:ascii="Arial" w:hAnsi="Arial" w:cs="Arial"/>
          <w:sz w:val="22"/>
          <w:szCs w:val="22"/>
        </w:rPr>
        <w:t xml:space="preserve">Available at: </w:t>
      </w:r>
      <w:hyperlink r:id="rId35" w:history="1">
        <w:r w:rsidRPr="00CD24EF">
          <w:rPr>
            <w:rStyle w:val="Hyperlink"/>
            <w:rFonts w:ascii="Arial" w:hAnsi="Arial" w:cs="Arial"/>
            <w:sz w:val="22"/>
            <w:szCs w:val="22"/>
          </w:rPr>
          <w:t>https://www.ons.gov.uk/employmentandlabourmarket/peopleinwork/employmentandemployeetypes/bulletins/employeesintheukbyindustry/2023</w:t>
        </w:r>
      </w:hyperlink>
      <w:r w:rsidRPr="00CD24EF">
        <w:rPr>
          <w:rFonts w:ascii="Arial" w:hAnsi="Arial" w:cs="Arial"/>
          <w:sz w:val="22"/>
          <w:szCs w:val="22"/>
        </w:rPr>
        <w:t xml:space="preserve"> (Accessed: 4 December 2025)</w:t>
      </w:r>
    </w:p>
    <w:p w14:paraId="093CE558" w14:textId="77777777" w:rsidR="009426B2" w:rsidRPr="00160986" w:rsidRDefault="009426B2" w:rsidP="009426B2">
      <w:pPr>
        <w:rPr>
          <w:rFonts w:ascii="Arial" w:hAnsi="Arial" w:cs="Arial"/>
          <w:i/>
          <w:iCs/>
          <w:sz w:val="22"/>
          <w:szCs w:val="22"/>
        </w:rPr>
      </w:pPr>
      <w:r w:rsidRPr="00F61492">
        <w:rPr>
          <w:rFonts w:ascii="Arial" w:hAnsi="Arial" w:cs="Arial"/>
          <w:b/>
          <w:bCs/>
          <w:sz w:val="22"/>
          <w:szCs w:val="22"/>
        </w:rPr>
        <w:t>O’Reilly, D. (2025)</w:t>
      </w:r>
      <w:r>
        <w:rPr>
          <w:rFonts w:ascii="Arial" w:hAnsi="Arial" w:cs="Arial"/>
          <w:b/>
          <w:bCs/>
          <w:sz w:val="22"/>
          <w:szCs w:val="22"/>
        </w:rPr>
        <w:t>.</w:t>
      </w:r>
      <w:r w:rsidRPr="00F61492">
        <w:rPr>
          <w:rFonts w:ascii="Arial" w:hAnsi="Arial" w:cs="Arial"/>
          <w:sz w:val="22"/>
          <w:szCs w:val="22"/>
        </w:rPr>
        <w:t xml:space="preserve"> </w:t>
      </w:r>
      <w:r w:rsidRPr="00160986">
        <w:rPr>
          <w:rFonts w:ascii="Arial" w:hAnsi="Arial" w:cs="Arial"/>
          <w:i/>
          <w:iCs/>
          <w:sz w:val="22"/>
          <w:szCs w:val="22"/>
        </w:rPr>
        <w:t>Employee Turnover Rate: Definition &amp; Calculation</w:t>
      </w:r>
      <w:r>
        <w:rPr>
          <w:rFonts w:ascii="Arial" w:hAnsi="Arial" w:cs="Arial"/>
          <w:i/>
          <w:iCs/>
          <w:sz w:val="22"/>
          <w:szCs w:val="22"/>
        </w:rPr>
        <w:t xml:space="preserve">. </w:t>
      </w:r>
      <w:r>
        <w:rPr>
          <w:rFonts w:ascii="Arial" w:hAnsi="Arial" w:cs="Arial"/>
          <w:sz w:val="22"/>
          <w:szCs w:val="22"/>
        </w:rPr>
        <w:t xml:space="preserve">Forbes. </w:t>
      </w:r>
      <w:r w:rsidRPr="00F61492">
        <w:rPr>
          <w:rFonts w:ascii="Arial" w:hAnsi="Arial" w:cs="Arial"/>
          <w:sz w:val="22"/>
          <w:szCs w:val="22"/>
        </w:rPr>
        <w:t xml:space="preserve">Available at: </w:t>
      </w:r>
      <w:hyperlink r:id="rId36" w:history="1">
        <w:r w:rsidRPr="00F61492">
          <w:rPr>
            <w:rStyle w:val="Hyperlink"/>
            <w:rFonts w:ascii="Arial" w:hAnsi="Arial" w:cs="Arial"/>
            <w:sz w:val="22"/>
            <w:szCs w:val="22"/>
          </w:rPr>
          <w:t>https://www.forbes.com/advisor/business/employee-turnover-rate/</w:t>
        </w:r>
      </w:hyperlink>
      <w:r w:rsidRPr="006C7CD8">
        <w:rPr>
          <w:rFonts w:ascii="Arial" w:hAnsi="Arial" w:cs="Arial"/>
          <w:sz w:val="22"/>
          <w:szCs w:val="22"/>
        </w:rPr>
        <w:t xml:space="preserve"> </w:t>
      </w:r>
      <w:r>
        <w:rPr>
          <w:rFonts w:ascii="Arial" w:hAnsi="Arial" w:cs="Arial"/>
          <w:sz w:val="22"/>
          <w:szCs w:val="22"/>
        </w:rPr>
        <w:t>(Accessed: 4 December 2025)</w:t>
      </w:r>
    </w:p>
    <w:p w14:paraId="003727DB" w14:textId="77777777" w:rsidR="009426B2" w:rsidRPr="006C7CD8" w:rsidRDefault="009426B2" w:rsidP="009426B2">
      <w:pPr>
        <w:rPr>
          <w:rFonts w:ascii="Arial" w:hAnsi="Arial" w:cs="Arial"/>
          <w:sz w:val="22"/>
          <w:szCs w:val="22"/>
        </w:rPr>
      </w:pPr>
      <w:proofErr w:type="spellStart"/>
      <w:r w:rsidRPr="00160986">
        <w:rPr>
          <w:rFonts w:ascii="Arial" w:hAnsi="Arial" w:cs="Arial"/>
          <w:b/>
          <w:bCs/>
          <w:sz w:val="22"/>
          <w:szCs w:val="22"/>
        </w:rPr>
        <w:t>Orgvue</w:t>
      </w:r>
      <w:proofErr w:type="spellEnd"/>
      <w:r w:rsidRPr="00160986">
        <w:rPr>
          <w:rFonts w:ascii="Arial" w:hAnsi="Arial" w:cs="Arial"/>
          <w:b/>
          <w:bCs/>
          <w:sz w:val="22"/>
          <w:szCs w:val="22"/>
        </w:rPr>
        <w:t xml:space="preserve"> (2024)</w:t>
      </w:r>
      <w:r>
        <w:rPr>
          <w:rFonts w:ascii="Arial" w:hAnsi="Arial" w:cs="Arial"/>
          <w:b/>
          <w:bCs/>
          <w:sz w:val="22"/>
          <w:szCs w:val="22"/>
        </w:rPr>
        <w:t>.</w:t>
      </w:r>
      <w:r w:rsidRPr="00160986">
        <w:rPr>
          <w:rFonts w:ascii="Arial" w:hAnsi="Arial" w:cs="Arial"/>
          <w:sz w:val="22"/>
          <w:szCs w:val="22"/>
        </w:rPr>
        <w:t xml:space="preserve"> </w:t>
      </w:r>
      <w:r w:rsidRPr="00160986">
        <w:rPr>
          <w:rFonts w:ascii="Arial" w:hAnsi="Arial" w:cs="Arial"/>
          <w:i/>
          <w:iCs/>
          <w:sz w:val="22"/>
          <w:szCs w:val="22"/>
        </w:rPr>
        <w:t>Workforce planning framework</w:t>
      </w:r>
      <w:r w:rsidRPr="00160986">
        <w:rPr>
          <w:rFonts w:ascii="Arial" w:hAnsi="Arial" w:cs="Arial"/>
          <w:sz w:val="22"/>
          <w:szCs w:val="22"/>
        </w:rPr>
        <w:t xml:space="preserve">. Available at: </w:t>
      </w:r>
      <w:hyperlink r:id="rId37" w:history="1">
        <w:r w:rsidRPr="004A297B">
          <w:rPr>
            <w:rStyle w:val="Hyperlink"/>
            <w:rFonts w:ascii="Arial" w:hAnsi="Arial" w:cs="Arial"/>
            <w:sz w:val="22"/>
            <w:szCs w:val="22"/>
          </w:rPr>
          <w:t>https://www.orgvue.com/resources/articles/workforce-planning-framework/</w:t>
        </w:r>
      </w:hyperlink>
      <w:r>
        <w:rPr>
          <w:rFonts w:ascii="Arial" w:hAnsi="Arial" w:cs="Arial"/>
          <w:sz w:val="22"/>
          <w:szCs w:val="22"/>
        </w:rPr>
        <w:t xml:space="preserve"> (Accessed: 1 December 2025)</w:t>
      </w:r>
    </w:p>
    <w:p w14:paraId="5F00A997" w14:textId="77777777" w:rsidR="009426B2" w:rsidRPr="006C7CD8" w:rsidRDefault="009426B2" w:rsidP="009426B2">
      <w:pPr>
        <w:rPr>
          <w:rFonts w:ascii="Arial" w:hAnsi="Arial" w:cs="Arial"/>
          <w:sz w:val="22"/>
          <w:szCs w:val="22"/>
        </w:rPr>
      </w:pPr>
      <w:r w:rsidRPr="006A6020">
        <w:rPr>
          <w:rFonts w:ascii="Arial" w:hAnsi="Arial" w:cs="Arial"/>
          <w:b/>
          <w:bCs/>
          <w:sz w:val="22"/>
          <w:szCs w:val="22"/>
        </w:rPr>
        <w:t>Price, A. (2025).</w:t>
      </w:r>
      <w:r w:rsidRPr="006A6020">
        <w:rPr>
          <w:rFonts w:ascii="Arial" w:hAnsi="Arial" w:cs="Arial"/>
          <w:sz w:val="22"/>
          <w:szCs w:val="22"/>
        </w:rPr>
        <w:t xml:space="preserve"> </w:t>
      </w:r>
      <w:r w:rsidRPr="006A6020">
        <w:rPr>
          <w:rFonts w:ascii="Arial" w:hAnsi="Arial" w:cs="Arial"/>
          <w:i/>
          <w:iCs/>
          <w:sz w:val="22"/>
          <w:szCs w:val="22"/>
        </w:rPr>
        <w:t>Employee turnover costs: what you need to know</w:t>
      </w:r>
      <w:r w:rsidRPr="006A6020">
        <w:rPr>
          <w:rFonts w:ascii="Arial" w:hAnsi="Arial" w:cs="Arial"/>
          <w:sz w:val="22"/>
          <w:szCs w:val="22"/>
        </w:rPr>
        <w:t xml:space="preserve">. </w:t>
      </w:r>
      <w:proofErr w:type="spellStart"/>
      <w:r>
        <w:rPr>
          <w:rFonts w:ascii="Arial" w:hAnsi="Arial" w:cs="Arial"/>
          <w:sz w:val="22"/>
          <w:szCs w:val="22"/>
        </w:rPr>
        <w:t>BrightHR</w:t>
      </w:r>
      <w:proofErr w:type="spellEnd"/>
      <w:r>
        <w:rPr>
          <w:rFonts w:ascii="Arial" w:hAnsi="Arial" w:cs="Arial"/>
          <w:sz w:val="22"/>
          <w:szCs w:val="22"/>
        </w:rPr>
        <w:t xml:space="preserve">. </w:t>
      </w:r>
      <w:r w:rsidRPr="006A6020">
        <w:rPr>
          <w:rFonts w:ascii="Arial" w:hAnsi="Arial" w:cs="Arial"/>
          <w:sz w:val="22"/>
          <w:szCs w:val="22"/>
        </w:rPr>
        <w:t xml:space="preserve">Available at: </w:t>
      </w:r>
      <w:hyperlink r:id="rId38" w:history="1">
        <w:r w:rsidRPr="006A6020">
          <w:rPr>
            <w:rStyle w:val="Hyperlink"/>
            <w:rFonts w:ascii="Arial" w:hAnsi="Arial" w:cs="Arial"/>
            <w:sz w:val="22"/>
            <w:szCs w:val="22"/>
          </w:rPr>
          <w:t>https://www.brighthr.com/articles/culture-and-performance/staff-turnover/employee-turnover-costs/</w:t>
        </w:r>
      </w:hyperlink>
      <w:r w:rsidRPr="006C7CD8">
        <w:rPr>
          <w:rFonts w:ascii="Arial" w:hAnsi="Arial" w:cs="Arial"/>
          <w:sz w:val="22"/>
          <w:szCs w:val="22"/>
        </w:rPr>
        <w:t xml:space="preserve"> </w:t>
      </w:r>
      <w:r>
        <w:rPr>
          <w:rFonts w:ascii="Arial" w:hAnsi="Arial" w:cs="Arial"/>
          <w:sz w:val="22"/>
          <w:szCs w:val="22"/>
        </w:rPr>
        <w:t>(Accessed: 3 December 2025)</w:t>
      </w:r>
    </w:p>
    <w:p w14:paraId="3776E611" w14:textId="77777777" w:rsidR="009426B2" w:rsidRPr="00664E88" w:rsidRDefault="009426B2" w:rsidP="009426B2">
      <w:pPr>
        <w:rPr>
          <w:rFonts w:ascii="Arial" w:hAnsi="Arial" w:cs="Arial"/>
          <w:sz w:val="22"/>
          <w:szCs w:val="22"/>
        </w:rPr>
      </w:pPr>
      <w:r w:rsidRPr="00E50788">
        <w:rPr>
          <w:rFonts w:ascii="Arial" w:hAnsi="Arial" w:cs="Arial"/>
          <w:b/>
          <w:bCs/>
          <w:sz w:val="22"/>
          <w:szCs w:val="22"/>
        </w:rPr>
        <w:t>Personnel Today (2016).</w:t>
      </w:r>
      <w:r w:rsidRPr="00E50788">
        <w:rPr>
          <w:rFonts w:ascii="Arial" w:hAnsi="Arial" w:cs="Arial"/>
          <w:sz w:val="22"/>
          <w:szCs w:val="22"/>
        </w:rPr>
        <w:t xml:space="preserve"> </w:t>
      </w:r>
      <w:r w:rsidRPr="00E50788">
        <w:rPr>
          <w:rFonts w:ascii="Arial" w:hAnsi="Arial" w:cs="Arial"/>
          <w:i/>
          <w:iCs/>
          <w:sz w:val="22"/>
          <w:szCs w:val="22"/>
        </w:rPr>
        <w:t>Seven in 10 organisations use social media to hire.</w:t>
      </w:r>
      <w:r w:rsidRPr="00E50788">
        <w:rPr>
          <w:rFonts w:ascii="Arial" w:hAnsi="Arial" w:cs="Arial"/>
          <w:sz w:val="22"/>
          <w:szCs w:val="22"/>
        </w:rPr>
        <w:t xml:space="preserve"> Available at: </w:t>
      </w:r>
      <w:hyperlink r:id="rId39" w:history="1">
        <w:r w:rsidRPr="00E50788">
          <w:rPr>
            <w:rStyle w:val="Hyperlink"/>
            <w:rFonts w:ascii="Arial" w:hAnsi="Arial" w:cs="Arial"/>
            <w:sz w:val="22"/>
            <w:szCs w:val="22"/>
          </w:rPr>
          <w:t>https://www.personneltoday.com/hr/seven-in-10-organisations-use-social-media-to-hire/</w:t>
        </w:r>
      </w:hyperlink>
      <w:r w:rsidRPr="00E50788">
        <w:rPr>
          <w:rFonts w:ascii="Arial" w:hAnsi="Arial" w:cs="Arial"/>
          <w:sz w:val="22"/>
          <w:szCs w:val="22"/>
        </w:rPr>
        <w:t xml:space="preserve"> </w:t>
      </w:r>
      <w:r w:rsidRPr="00664E88">
        <w:rPr>
          <w:rFonts w:ascii="Arial" w:hAnsi="Arial" w:cs="Arial"/>
          <w:sz w:val="22"/>
          <w:szCs w:val="22"/>
        </w:rPr>
        <w:t>(Accessed: 3 December 2025)</w:t>
      </w:r>
    </w:p>
    <w:p w14:paraId="6764E4BA" w14:textId="77777777" w:rsidR="009426B2" w:rsidRPr="00664E88" w:rsidRDefault="009426B2" w:rsidP="009426B2">
      <w:pPr>
        <w:rPr>
          <w:rFonts w:ascii="Arial" w:hAnsi="Arial" w:cs="Arial"/>
          <w:i/>
          <w:iCs/>
          <w:sz w:val="22"/>
          <w:szCs w:val="22"/>
        </w:rPr>
      </w:pPr>
      <w:r w:rsidRPr="00664E88">
        <w:rPr>
          <w:rFonts w:ascii="Arial" w:hAnsi="Arial" w:cs="Arial"/>
          <w:b/>
          <w:bCs/>
          <w:sz w:val="22"/>
          <w:szCs w:val="22"/>
        </w:rPr>
        <w:t>Robson, F. (2024).</w:t>
      </w:r>
      <w:r w:rsidRPr="00664E88">
        <w:rPr>
          <w:rFonts w:ascii="Arial" w:hAnsi="Arial" w:cs="Arial"/>
          <w:sz w:val="22"/>
          <w:szCs w:val="22"/>
        </w:rPr>
        <w:t xml:space="preserve"> </w:t>
      </w:r>
      <w:r w:rsidRPr="00664E88">
        <w:rPr>
          <w:rFonts w:ascii="Arial" w:hAnsi="Arial" w:cs="Arial"/>
          <w:i/>
          <w:iCs/>
          <w:sz w:val="22"/>
          <w:szCs w:val="22"/>
        </w:rPr>
        <w:t>How to Maximise Job Retention by Providing Realistic Job Previews?</w:t>
      </w:r>
    </w:p>
    <w:p w14:paraId="24A7A982" w14:textId="77777777" w:rsidR="009426B2" w:rsidRPr="006C7CD8" w:rsidRDefault="009426B2" w:rsidP="009426B2">
      <w:pPr>
        <w:rPr>
          <w:rFonts w:ascii="Arial" w:hAnsi="Arial" w:cs="Arial"/>
          <w:sz w:val="22"/>
          <w:szCs w:val="22"/>
        </w:rPr>
      </w:pPr>
      <w:r>
        <w:rPr>
          <w:rFonts w:ascii="Arial" w:hAnsi="Arial" w:cs="Arial"/>
          <w:sz w:val="22"/>
          <w:szCs w:val="22"/>
        </w:rPr>
        <w:lastRenderedPageBreak/>
        <w:t xml:space="preserve">The HR Observer. </w:t>
      </w:r>
      <w:r w:rsidRPr="00664E88">
        <w:rPr>
          <w:rFonts w:ascii="Arial" w:hAnsi="Arial" w:cs="Arial"/>
          <w:sz w:val="22"/>
          <w:szCs w:val="22"/>
        </w:rPr>
        <w:t xml:space="preserve">Available at: </w:t>
      </w:r>
      <w:hyperlink r:id="rId40" w:history="1">
        <w:r w:rsidRPr="00664E88">
          <w:rPr>
            <w:rStyle w:val="Hyperlink"/>
            <w:rFonts w:ascii="Arial" w:hAnsi="Arial" w:cs="Arial"/>
            <w:sz w:val="22"/>
            <w:szCs w:val="22"/>
          </w:rPr>
          <w:t>https://www.thehrobserver.com/indepth/how-to-maximise-job-retention-by-providing-realistic-job-previews/</w:t>
        </w:r>
      </w:hyperlink>
      <w:r w:rsidRPr="006C7CD8">
        <w:rPr>
          <w:rFonts w:ascii="Arial" w:hAnsi="Arial" w:cs="Arial"/>
          <w:sz w:val="22"/>
          <w:szCs w:val="22"/>
        </w:rPr>
        <w:t xml:space="preserve"> </w:t>
      </w:r>
      <w:r>
        <w:rPr>
          <w:rFonts w:ascii="Arial" w:hAnsi="Arial" w:cs="Arial"/>
          <w:sz w:val="22"/>
          <w:szCs w:val="22"/>
        </w:rPr>
        <w:t>(Accessed: 4 December 2025)</w:t>
      </w:r>
    </w:p>
    <w:p w14:paraId="4F1EB652" w14:textId="77777777" w:rsidR="009426B2" w:rsidRPr="006C7CD8" w:rsidRDefault="009426B2" w:rsidP="009426B2">
      <w:pPr>
        <w:rPr>
          <w:rFonts w:ascii="Arial" w:hAnsi="Arial" w:cs="Arial"/>
          <w:sz w:val="22"/>
          <w:szCs w:val="22"/>
        </w:rPr>
      </w:pPr>
      <w:r w:rsidRPr="0020090C">
        <w:rPr>
          <w:rFonts w:ascii="Arial" w:hAnsi="Arial" w:cs="Arial"/>
          <w:b/>
          <w:bCs/>
          <w:sz w:val="22"/>
          <w:szCs w:val="22"/>
        </w:rPr>
        <w:t>Roper, J. (2024).</w:t>
      </w:r>
      <w:r w:rsidRPr="0020090C">
        <w:rPr>
          <w:rFonts w:ascii="Arial" w:hAnsi="Arial" w:cs="Arial"/>
          <w:sz w:val="22"/>
          <w:szCs w:val="22"/>
        </w:rPr>
        <w:t xml:space="preserve"> </w:t>
      </w:r>
      <w:r w:rsidRPr="0020090C">
        <w:rPr>
          <w:rFonts w:ascii="Arial" w:hAnsi="Arial" w:cs="Arial"/>
          <w:i/>
          <w:iCs/>
          <w:sz w:val="22"/>
          <w:szCs w:val="22"/>
        </w:rPr>
        <w:t>Why does HR struggle with strategic workforce planning?</w:t>
      </w:r>
      <w:r w:rsidRPr="0020090C">
        <w:rPr>
          <w:rFonts w:ascii="Arial" w:hAnsi="Arial" w:cs="Arial"/>
          <w:sz w:val="22"/>
          <w:szCs w:val="22"/>
        </w:rPr>
        <w:t xml:space="preserve"> </w:t>
      </w:r>
      <w:r>
        <w:rPr>
          <w:rFonts w:ascii="Arial" w:hAnsi="Arial" w:cs="Arial"/>
          <w:sz w:val="22"/>
          <w:szCs w:val="22"/>
        </w:rPr>
        <w:t xml:space="preserve">People Management. </w:t>
      </w:r>
      <w:r w:rsidRPr="0020090C">
        <w:rPr>
          <w:rFonts w:ascii="Arial" w:hAnsi="Arial" w:cs="Arial"/>
          <w:sz w:val="22"/>
          <w:szCs w:val="22"/>
        </w:rPr>
        <w:t xml:space="preserve">Available at: </w:t>
      </w:r>
      <w:hyperlink r:id="rId41" w:history="1">
        <w:r w:rsidRPr="0020090C">
          <w:rPr>
            <w:rStyle w:val="Hyperlink"/>
            <w:rFonts w:ascii="Arial" w:hAnsi="Arial" w:cs="Arial"/>
            <w:sz w:val="22"/>
            <w:szCs w:val="22"/>
          </w:rPr>
          <w:t>https://www.peoplemanagement.co.uk/article/1885722/why-does-hr-struggle-strategic-workforce-planning</w:t>
        </w:r>
      </w:hyperlink>
      <w:r w:rsidRPr="0020090C">
        <w:rPr>
          <w:rFonts w:ascii="Arial" w:hAnsi="Arial" w:cs="Arial"/>
          <w:sz w:val="22"/>
          <w:szCs w:val="22"/>
        </w:rPr>
        <w:t>? (</w:t>
      </w:r>
      <w:r>
        <w:rPr>
          <w:rFonts w:ascii="Arial" w:hAnsi="Arial" w:cs="Arial"/>
          <w:sz w:val="22"/>
          <w:szCs w:val="22"/>
        </w:rPr>
        <w:t>Accessed: 25 November 2025)</w:t>
      </w:r>
    </w:p>
    <w:p w14:paraId="68453650" w14:textId="77777777" w:rsidR="009426B2" w:rsidRPr="003C7669" w:rsidRDefault="009426B2" w:rsidP="009426B2">
      <w:pPr>
        <w:rPr>
          <w:rFonts w:ascii="Arial" w:hAnsi="Arial" w:cs="Arial"/>
          <w:sz w:val="22"/>
          <w:szCs w:val="22"/>
        </w:rPr>
      </w:pPr>
      <w:r w:rsidRPr="006F6311">
        <w:rPr>
          <w:rFonts w:ascii="Arial" w:hAnsi="Arial" w:cs="Arial"/>
          <w:b/>
          <w:bCs/>
          <w:sz w:val="22"/>
          <w:szCs w:val="22"/>
        </w:rPr>
        <w:t>Rusi, R. and Viollet, S. (2024).</w:t>
      </w:r>
      <w:r w:rsidRPr="006F6311">
        <w:rPr>
          <w:rFonts w:ascii="Arial" w:hAnsi="Arial" w:cs="Arial"/>
          <w:sz w:val="22"/>
          <w:szCs w:val="22"/>
        </w:rPr>
        <w:t xml:space="preserve"> </w:t>
      </w:r>
      <w:r w:rsidRPr="006F6311">
        <w:rPr>
          <w:rFonts w:ascii="Arial" w:hAnsi="Arial" w:cs="Arial"/>
          <w:i/>
          <w:iCs/>
          <w:sz w:val="22"/>
          <w:szCs w:val="22"/>
        </w:rPr>
        <w:t>Factors Affecting Employee Turnover: A Systematic Literature Review</w:t>
      </w:r>
      <w:r>
        <w:rPr>
          <w:rFonts w:ascii="Arial" w:hAnsi="Arial" w:cs="Arial"/>
          <w:i/>
          <w:iCs/>
          <w:sz w:val="22"/>
          <w:szCs w:val="22"/>
        </w:rPr>
        <w:t xml:space="preserve">. </w:t>
      </w:r>
      <w:r>
        <w:rPr>
          <w:rFonts w:ascii="Arial" w:hAnsi="Arial" w:cs="Arial"/>
          <w:sz w:val="22"/>
          <w:szCs w:val="22"/>
        </w:rPr>
        <w:t xml:space="preserve">University of Tirana. Available at: </w:t>
      </w:r>
      <w:hyperlink r:id="rId42" w:history="1">
        <w:r w:rsidRPr="003C7669">
          <w:rPr>
            <w:rStyle w:val="Hyperlink"/>
            <w:rFonts w:ascii="Arial" w:hAnsi="Arial" w:cs="Arial"/>
            <w:sz w:val="22"/>
            <w:szCs w:val="22"/>
          </w:rPr>
          <w:t>https://www.researchgate.net/publication/383741842_Factors_Affecting_Employee_Turnover_A_Systematic_Literature_Review</w:t>
        </w:r>
      </w:hyperlink>
      <w:r w:rsidRPr="006C7CD8">
        <w:rPr>
          <w:rFonts w:ascii="Arial" w:hAnsi="Arial" w:cs="Arial"/>
          <w:i/>
          <w:iCs/>
          <w:sz w:val="22"/>
          <w:szCs w:val="22"/>
        </w:rPr>
        <w:t xml:space="preserve"> </w:t>
      </w:r>
      <w:r>
        <w:rPr>
          <w:rFonts w:ascii="Arial" w:hAnsi="Arial" w:cs="Arial"/>
          <w:sz w:val="22"/>
          <w:szCs w:val="22"/>
        </w:rPr>
        <w:t>(Accessed: 1 December 2025)</w:t>
      </w:r>
    </w:p>
    <w:p w14:paraId="424182B0" w14:textId="77777777" w:rsidR="009426B2" w:rsidRPr="000A0FDD" w:rsidRDefault="009426B2" w:rsidP="009426B2">
      <w:pPr>
        <w:rPr>
          <w:rFonts w:ascii="Arial" w:hAnsi="Arial" w:cs="Arial"/>
          <w:sz w:val="22"/>
          <w:szCs w:val="22"/>
        </w:rPr>
      </w:pPr>
      <w:proofErr w:type="spellStart"/>
      <w:r w:rsidRPr="000A0FDD">
        <w:rPr>
          <w:rFonts w:ascii="Arial" w:hAnsi="Arial" w:cs="Arial"/>
          <w:b/>
          <w:bCs/>
          <w:sz w:val="22"/>
          <w:szCs w:val="22"/>
        </w:rPr>
        <w:t>Sishuwa</w:t>
      </w:r>
      <w:proofErr w:type="spellEnd"/>
      <w:r w:rsidRPr="000A0FDD">
        <w:rPr>
          <w:rFonts w:ascii="Arial" w:hAnsi="Arial" w:cs="Arial"/>
          <w:b/>
          <w:bCs/>
          <w:sz w:val="22"/>
          <w:szCs w:val="22"/>
        </w:rPr>
        <w:t>, Y. and Phiri, J. (2020).</w:t>
      </w:r>
      <w:r w:rsidRPr="000A0FDD">
        <w:rPr>
          <w:rFonts w:ascii="Arial" w:hAnsi="Arial" w:cs="Arial"/>
          <w:sz w:val="22"/>
          <w:szCs w:val="22"/>
        </w:rPr>
        <w:t xml:space="preserve"> </w:t>
      </w:r>
      <w:r w:rsidRPr="00D96F36">
        <w:rPr>
          <w:rFonts w:ascii="Arial" w:hAnsi="Arial" w:cs="Arial"/>
          <w:i/>
          <w:iCs/>
          <w:sz w:val="22"/>
          <w:szCs w:val="22"/>
        </w:rPr>
        <w:t xml:space="preserve">Factors Influencing Employee Retention in the Transport and Logistics Industry. </w:t>
      </w:r>
      <w:r w:rsidRPr="00D96F36">
        <w:rPr>
          <w:rFonts w:ascii="Arial" w:hAnsi="Arial" w:cs="Arial"/>
          <w:sz w:val="22"/>
          <w:szCs w:val="22"/>
        </w:rPr>
        <w:t>Open Journal of Social Sciences.</w:t>
      </w:r>
      <w:r w:rsidRPr="000A0FDD">
        <w:rPr>
          <w:rFonts w:ascii="Arial" w:hAnsi="Arial" w:cs="Arial"/>
          <w:sz w:val="22"/>
          <w:szCs w:val="22"/>
        </w:rPr>
        <w:t xml:space="preserve"> </w:t>
      </w:r>
      <w:r>
        <w:rPr>
          <w:rFonts w:ascii="Arial" w:hAnsi="Arial" w:cs="Arial"/>
          <w:sz w:val="22"/>
          <w:szCs w:val="22"/>
        </w:rPr>
        <w:t xml:space="preserve">Available at: </w:t>
      </w:r>
      <w:hyperlink r:id="rId43" w:history="1">
        <w:r w:rsidRPr="004A297B">
          <w:rPr>
            <w:rStyle w:val="Hyperlink"/>
            <w:rFonts w:ascii="Arial" w:hAnsi="Arial" w:cs="Arial"/>
            <w:sz w:val="22"/>
            <w:szCs w:val="22"/>
          </w:rPr>
          <w:t>https://www.researchgate.net/publication/342072869_Factors_Influencing_Employee_Retention_in_the_Transport_and_Logistics_Industry</w:t>
        </w:r>
      </w:hyperlink>
      <w:r>
        <w:rPr>
          <w:rFonts w:ascii="Arial" w:hAnsi="Arial" w:cs="Arial"/>
          <w:sz w:val="22"/>
          <w:szCs w:val="22"/>
        </w:rPr>
        <w:t xml:space="preserve"> (Accessed: 3 December 2025)</w:t>
      </w:r>
    </w:p>
    <w:p w14:paraId="663F7BCB" w14:textId="77777777" w:rsidR="009426B2" w:rsidRPr="00A05706" w:rsidRDefault="009426B2" w:rsidP="009426B2">
      <w:pPr>
        <w:rPr>
          <w:rFonts w:ascii="Arial" w:hAnsi="Arial" w:cs="Arial"/>
          <w:b/>
          <w:bCs/>
          <w:i/>
          <w:iCs/>
          <w:sz w:val="22"/>
          <w:szCs w:val="22"/>
        </w:rPr>
      </w:pPr>
      <w:r w:rsidRPr="00A05706">
        <w:rPr>
          <w:rFonts w:ascii="Arial" w:hAnsi="Arial" w:cs="Arial"/>
          <w:b/>
          <w:bCs/>
          <w:sz w:val="22"/>
          <w:szCs w:val="22"/>
        </w:rPr>
        <w:t>Soliman, I. (2025)</w:t>
      </w:r>
      <w:r w:rsidRPr="000A0FDD">
        <w:rPr>
          <w:rFonts w:ascii="Arial" w:hAnsi="Arial" w:cs="Arial"/>
          <w:sz w:val="22"/>
          <w:szCs w:val="22"/>
        </w:rPr>
        <w:t xml:space="preserve"> </w:t>
      </w:r>
      <w:r w:rsidRPr="00A05706">
        <w:rPr>
          <w:rFonts w:ascii="Arial" w:hAnsi="Arial" w:cs="Arial"/>
          <w:i/>
          <w:iCs/>
          <w:sz w:val="22"/>
          <w:szCs w:val="22"/>
        </w:rPr>
        <w:t xml:space="preserve">Reskilling trumps wellbeing as top HR challenge for 2025, study shows. </w:t>
      </w:r>
      <w:r w:rsidRPr="00A05706">
        <w:rPr>
          <w:rFonts w:ascii="Arial" w:hAnsi="Arial" w:cs="Arial"/>
          <w:sz w:val="22"/>
          <w:szCs w:val="22"/>
        </w:rPr>
        <w:t xml:space="preserve">People Management. </w:t>
      </w:r>
      <w:r w:rsidRPr="000A0FDD">
        <w:rPr>
          <w:rFonts w:ascii="Arial" w:hAnsi="Arial" w:cs="Arial"/>
          <w:sz w:val="22"/>
          <w:szCs w:val="22"/>
        </w:rPr>
        <w:t xml:space="preserve">Available at: </w:t>
      </w:r>
      <w:hyperlink r:id="rId44" w:history="1">
        <w:r w:rsidRPr="000A0FDD">
          <w:rPr>
            <w:rStyle w:val="Hyperlink"/>
            <w:rFonts w:ascii="Arial" w:hAnsi="Arial" w:cs="Arial"/>
            <w:sz w:val="22"/>
            <w:szCs w:val="22"/>
          </w:rPr>
          <w:t>https://www.peoplemanagement.co.uk/article/1914280/reskilling-trumps-wellbeing-top-hr-challenge-2025-study-shows</w:t>
        </w:r>
      </w:hyperlink>
      <w:r w:rsidRPr="000A0FDD">
        <w:rPr>
          <w:rFonts w:ascii="Arial" w:hAnsi="Arial" w:cs="Arial"/>
          <w:sz w:val="22"/>
          <w:szCs w:val="22"/>
        </w:rPr>
        <w:t xml:space="preserve">?  (Accessed: </w:t>
      </w:r>
      <w:r>
        <w:rPr>
          <w:rFonts w:ascii="Arial" w:hAnsi="Arial" w:cs="Arial"/>
          <w:sz w:val="22"/>
          <w:szCs w:val="22"/>
        </w:rPr>
        <w:t>6 December 2025)</w:t>
      </w:r>
    </w:p>
    <w:p w14:paraId="2C7CFD21" w14:textId="77777777" w:rsidR="009426B2" w:rsidRPr="000A0FDD" w:rsidRDefault="009426B2" w:rsidP="009426B2">
      <w:pPr>
        <w:rPr>
          <w:rFonts w:ascii="Arial" w:hAnsi="Arial" w:cs="Arial"/>
          <w:sz w:val="22"/>
          <w:szCs w:val="22"/>
        </w:rPr>
      </w:pPr>
      <w:r w:rsidRPr="000A0FDD">
        <w:rPr>
          <w:rFonts w:ascii="Arial" w:hAnsi="Arial" w:cs="Arial"/>
          <w:b/>
          <w:bCs/>
          <w:sz w:val="22"/>
          <w:szCs w:val="22"/>
        </w:rPr>
        <w:t>Solo, A. (2025)</w:t>
      </w:r>
      <w:r w:rsidRPr="000A0FDD">
        <w:rPr>
          <w:rFonts w:ascii="Arial" w:hAnsi="Arial" w:cs="Arial"/>
          <w:sz w:val="22"/>
          <w:szCs w:val="22"/>
        </w:rPr>
        <w:t xml:space="preserve"> </w:t>
      </w:r>
      <w:r w:rsidRPr="000A0FDD">
        <w:rPr>
          <w:rFonts w:ascii="Arial" w:hAnsi="Arial" w:cs="Arial"/>
          <w:i/>
          <w:iCs/>
          <w:sz w:val="22"/>
          <w:szCs w:val="22"/>
        </w:rPr>
        <w:t>Unpaid Work Trial Shifts in the UK: What Employers Can and Can’t Do</w:t>
      </w:r>
      <w:r w:rsidRPr="000A0FDD">
        <w:rPr>
          <w:rFonts w:ascii="Arial" w:hAnsi="Arial" w:cs="Arial"/>
          <w:sz w:val="22"/>
          <w:szCs w:val="22"/>
        </w:rPr>
        <w:t xml:space="preserve">. Available at: </w:t>
      </w:r>
      <w:hyperlink r:id="rId45" w:history="1">
        <w:r w:rsidRPr="000A0FDD">
          <w:rPr>
            <w:rStyle w:val="Hyperlink"/>
            <w:rFonts w:ascii="Arial" w:hAnsi="Arial" w:cs="Arial"/>
            <w:sz w:val="22"/>
            <w:szCs w:val="22"/>
          </w:rPr>
          <w:t>https://sprintlaw.co.uk/articles/unpaid-work-trial-shifts-in-the-uk-what-employers-can-and-cant-do/</w:t>
        </w:r>
      </w:hyperlink>
      <w:r w:rsidRPr="000A0FDD">
        <w:rPr>
          <w:rFonts w:ascii="Arial" w:hAnsi="Arial" w:cs="Arial"/>
          <w:sz w:val="22"/>
          <w:szCs w:val="22"/>
        </w:rPr>
        <w:t xml:space="preserve"> </w:t>
      </w:r>
      <w:r>
        <w:rPr>
          <w:rFonts w:ascii="Arial" w:hAnsi="Arial" w:cs="Arial"/>
          <w:sz w:val="22"/>
          <w:szCs w:val="22"/>
        </w:rPr>
        <w:t>(Accessed: 4 December 2025)</w:t>
      </w:r>
    </w:p>
    <w:p w14:paraId="5207A16C" w14:textId="77777777" w:rsidR="009426B2" w:rsidRPr="000A0FDD" w:rsidRDefault="009426B2" w:rsidP="009426B2">
      <w:pPr>
        <w:rPr>
          <w:rFonts w:ascii="Arial" w:hAnsi="Arial" w:cs="Arial"/>
          <w:sz w:val="22"/>
          <w:szCs w:val="22"/>
        </w:rPr>
      </w:pPr>
      <w:r w:rsidRPr="000A0FDD">
        <w:rPr>
          <w:rFonts w:ascii="Arial" w:hAnsi="Arial" w:cs="Arial"/>
          <w:b/>
          <w:bCs/>
          <w:sz w:val="22"/>
          <w:szCs w:val="22"/>
        </w:rPr>
        <w:t>Taylor, S. and Woodhams, C. (2022).</w:t>
      </w:r>
      <w:r w:rsidRPr="000A0FDD">
        <w:rPr>
          <w:rFonts w:ascii="Arial" w:hAnsi="Arial" w:cs="Arial"/>
          <w:sz w:val="22"/>
          <w:szCs w:val="22"/>
        </w:rPr>
        <w:t xml:space="preserve"> </w:t>
      </w:r>
      <w:r w:rsidRPr="000A0FDD">
        <w:rPr>
          <w:rFonts w:ascii="Arial" w:hAnsi="Arial" w:cs="Arial"/>
          <w:i/>
          <w:iCs/>
          <w:sz w:val="22"/>
          <w:szCs w:val="22"/>
        </w:rPr>
        <w:t>Human Resource Management</w:t>
      </w:r>
      <w:r w:rsidRPr="000A0FDD">
        <w:rPr>
          <w:rFonts w:ascii="Arial" w:hAnsi="Arial" w:cs="Arial"/>
          <w:sz w:val="22"/>
          <w:szCs w:val="22"/>
        </w:rPr>
        <w:t>. 3rd ed. New York: Kogan Page.</w:t>
      </w:r>
    </w:p>
    <w:p w14:paraId="09C87C30" w14:textId="77777777" w:rsidR="009426B2" w:rsidRPr="000A0FDD" w:rsidRDefault="009426B2" w:rsidP="009426B2">
      <w:pPr>
        <w:rPr>
          <w:rFonts w:ascii="Arial" w:hAnsi="Arial" w:cs="Arial"/>
          <w:sz w:val="22"/>
          <w:szCs w:val="22"/>
        </w:rPr>
      </w:pPr>
      <w:r w:rsidRPr="00D57D27">
        <w:rPr>
          <w:rFonts w:ascii="Arial" w:hAnsi="Arial" w:cs="Arial"/>
          <w:b/>
          <w:bCs/>
          <w:sz w:val="22"/>
          <w:szCs w:val="22"/>
        </w:rPr>
        <w:t>Thomas, J. (2019).</w:t>
      </w:r>
      <w:r w:rsidRPr="000A0FDD">
        <w:rPr>
          <w:rFonts w:ascii="Arial" w:hAnsi="Arial" w:cs="Arial"/>
          <w:sz w:val="22"/>
          <w:szCs w:val="22"/>
        </w:rPr>
        <w:t xml:space="preserve"> </w:t>
      </w:r>
      <w:r w:rsidRPr="000A0FDD">
        <w:rPr>
          <w:rFonts w:ascii="Arial" w:hAnsi="Arial" w:cs="Arial"/>
          <w:i/>
          <w:iCs/>
          <w:sz w:val="22"/>
          <w:szCs w:val="22"/>
        </w:rPr>
        <w:t>Retaining talent with leadership that cares</w:t>
      </w:r>
      <w:r w:rsidRPr="000A0FDD">
        <w:rPr>
          <w:rFonts w:ascii="Arial" w:hAnsi="Arial" w:cs="Arial"/>
          <w:sz w:val="22"/>
          <w:szCs w:val="22"/>
        </w:rPr>
        <w:t xml:space="preserve">. </w:t>
      </w:r>
      <w:r>
        <w:rPr>
          <w:rFonts w:ascii="Arial" w:hAnsi="Arial" w:cs="Arial"/>
          <w:sz w:val="22"/>
          <w:szCs w:val="22"/>
        </w:rPr>
        <w:t xml:space="preserve">HR Magazine. </w:t>
      </w:r>
      <w:r w:rsidRPr="000A0FDD">
        <w:rPr>
          <w:rFonts w:ascii="Arial" w:hAnsi="Arial" w:cs="Arial"/>
          <w:sz w:val="22"/>
          <w:szCs w:val="22"/>
        </w:rPr>
        <w:t xml:space="preserve">Available at: </w:t>
      </w:r>
      <w:hyperlink r:id="rId46" w:history="1">
        <w:r w:rsidRPr="000A0FDD">
          <w:rPr>
            <w:rStyle w:val="Hyperlink"/>
            <w:rFonts w:ascii="Arial" w:hAnsi="Arial" w:cs="Arial"/>
            <w:sz w:val="22"/>
            <w:szCs w:val="22"/>
          </w:rPr>
          <w:t>https://www.hrmagazine.co.uk/content/features/retaining-talent-with-leadership-that-cares</w:t>
        </w:r>
      </w:hyperlink>
      <w:r w:rsidRPr="000A0FDD">
        <w:rPr>
          <w:rFonts w:ascii="Arial" w:hAnsi="Arial" w:cs="Arial"/>
          <w:sz w:val="22"/>
          <w:szCs w:val="22"/>
        </w:rPr>
        <w:t xml:space="preserve"> </w:t>
      </w:r>
      <w:r>
        <w:rPr>
          <w:rFonts w:ascii="Arial" w:hAnsi="Arial" w:cs="Arial"/>
          <w:sz w:val="22"/>
          <w:szCs w:val="22"/>
        </w:rPr>
        <w:t>(Accessed: 3 December 2025)</w:t>
      </w:r>
    </w:p>
    <w:p w14:paraId="6B50E9A5" w14:textId="77777777" w:rsidR="009426B2" w:rsidRPr="000A0FDD" w:rsidRDefault="009426B2" w:rsidP="009426B2">
      <w:pPr>
        <w:rPr>
          <w:rFonts w:ascii="Arial" w:hAnsi="Arial" w:cs="Arial"/>
          <w:sz w:val="22"/>
          <w:szCs w:val="22"/>
        </w:rPr>
      </w:pPr>
      <w:proofErr w:type="spellStart"/>
      <w:r w:rsidRPr="00835394">
        <w:rPr>
          <w:rFonts w:ascii="Arial" w:hAnsi="Arial" w:cs="Arial"/>
          <w:b/>
          <w:bCs/>
          <w:sz w:val="22"/>
          <w:szCs w:val="22"/>
        </w:rPr>
        <w:t>ThriveTech</w:t>
      </w:r>
      <w:proofErr w:type="spellEnd"/>
      <w:r w:rsidRPr="00835394">
        <w:rPr>
          <w:rFonts w:ascii="Arial" w:hAnsi="Arial" w:cs="Arial"/>
          <w:b/>
          <w:bCs/>
          <w:sz w:val="22"/>
          <w:szCs w:val="22"/>
        </w:rPr>
        <w:t xml:space="preserve"> (2025).</w:t>
      </w:r>
      <w:r w:rsidRPr="000A0FDD">
        <w:rPr>
          <w:rFonts w:ascii="Arial" w:hAnsi="Arial" w:cs="Arial"/>
          <w:sz w:val="22"/>
          <w:szCs w:val="22"/>
        </w:rPr>
        <w:t xml:space="preserve"> </w:t>
      </w:r>
      <w:r w:rsidRPr="000A0FDD">
        <w:rPr>
          <w:rFonts w:ascii="Arial" w:hAnsi="Arial" w:cs="Arial"/>
          <w:i/>
          <w:iCs/>
          <w:sz w:val="22"/>
          <w:szCs w:val="22"/>
        </w:rPr>
        <w:t>How to calculate and improve employee turnover rate</w:t>
      </w:r>
      <w:r w:rsidRPr="000A0FDD">
        <w:rPr>
          <w:rFonts w:ascii="Arial" w:hAnsi="Arial" w:cs="Arial"/>
          <w:sz w:val="22"/>
          <w:szCs w:val="22"/>
        </w:rPr>
        <w:t xml:space="preserve">. Available at: </w:t>
      </w:r>
      <w:hyperlink r:id="rId47" w:history="1">
        <w:r w:rsidRPr="000A0FDD">
          <w:rPr>
            <w:rStyle w:val="Hyperlink"/>
            <w:rFonts w:ascii="Arial" w:hAnsi="Arial" w:cs="Arial"/>
            <w:sz w:val="22"/>
            <w:szCs w:val="22"/>
          </w:rPr>
          <w:t>https://www.thrivetech.co/resources/how-to-calculate-and-improve-employee-turnover-rate</w:t>
        </w:r>
      </w:hyperlink>
      <w:r w:rsidRPr="000A0FDD">
        <w:rPr>
          <w:rFonts w:ascii="Arial" w:hAnsi="Arial" w:cs="Arial"/>
          <w:sz w:val="22"/>
          <w:szCs w:val="22"/>
        </w:rPr>
        <w:t xml:space="preserve"> </w:t>
      </w:r>
      <w:r>
        <w:rPr>
          <w:rFonts w:ascii="Arial" w:hAnsi="Arial" w:cs="Arial"/>
          <w:sz w:val="22"/>
          <w:szCs w:val="22"/>
        </w:rPr>
        <w:t>(Accessed: 4 December 2025)</w:t>
      </w:r>
    </w:p>
    <w:p w14:paraId="1A203F3A" w14:textId="77777777" w:rsidR="009426B2" w:rsidRPr="006C7CD8" w:rsidRDefault="009426B2" w:rsidP="009426B2">
      <w:pPr>
        <w:rPr>
          <w:rFonts w:ascii="Arial" w:hAnsi="Arial" w:cs="Arial"/>
          <w:sz w:val="22"/>
          <w:szCs w:val="22"/>
        </w:rPr>
      </w:pPr>
      <w:r w:rsidRPr="00835394">
        <w:rPr>
          <w:rFonts w:ascii="Arial" w:hAnsi="Arial" w:cs="Arial"/>
          <w:b/>
          <w:bCs/>
          <w:sz w:val="22"/>
          <w:szCs w:val="22"/>
        </w:rPr>
        <w:t>Walker, S. (2024).</w:t>
      </w:r>
      <w:r>
        <w:rPr>
          <w:rFonts w:ascii="Arial" w:hAnsi="Arial" w:cs="Arial"/>
          <w:sz w:val="22"/>
          <w:szCs w:val="22"/>
        </w:rPr>
        <w:t xml:space="preserve"> </w:t>
      </w:r>
      <w:r w:rsidRPr="005872A7">
        <w:rPr>
          <w:rFonts w:ascii="Arial" w:hAnsi="Arial" w:cs="Arial"/>
          <w:i/>
          <w:iCs/>
          <w:sz w:val="22"/>
          <w:szCs w:val="22"/>
        </w:rPr>
        <w:t>A Guide to Staff Turnover: Meanings &amp; Calculations</w:t>
      </w:r>
      <w:r>
        <w:rPr>
          <w:rFonts w:ascii="Arial" w:hAnsi="Arial" w:cs="Arial"/>
          <w:i/>
          <w:iCs/>
          <w:sz w:val="22"/>
          <w:szCs w:val="22"/>
        </w:rPr>
        <w:t xml:space="preserve">. </w:t>
      </w:r>
      <w:r>
        <w:rPr>
          <w:rFonts w:ascii="Arial" w:hAnsi="Arial" w:cs="Arial"/>
          <w:sz w:val="22"/>
          <w:szCs w:val="22"/>
        </w:rPr>
        <w:t xml:space="preserve">People HR. </w:t>
      </w:r>
      <w:r w:rsidRPr="000A0FDD">
        <w:rPr>
          <w:rFonts w:ascii="Arial" w:hAnsi="Arial" w:cs="Arial"/>
          <w:sz w:val="22"/>
          <w:szCs w:val="22"/>
        </w:rPr>
        <w:t xml:space="preserve">Available at: </w:t>
      </w:r>
      <w:hyperlink r:id="rId48" w:history="1">
        <w:r w:rsidRPr="000A0FDD">
          <w:rPr>
            <w:rStyle w:val="Hyperlink"/>
            <w:rFonts w:ascii="Arial" w:hAnsi="Arial" w:cs="Arial"/>
            <w:sz w:val="22"/>
            <w:szCs w:val="22"/>
          </w:rPr>
          <w:t>https://www.peoplehr.com/en-gb/resources/blog/staff-turnover/</w:t>
        </w:r>
      </w:hyperlink>
      <w:r w:rsidRPr="006C7CD8">
        <w:rPr>
          <w:rFonts w:ascii="Arial" w:hAnsi="Arial" w:cs="Arial"/>
          <w:sz w:val="22"/>
          <w:szCs w:val="22"/>
        </w:rPr>
        <w:t xml:space="preserve"> </w:t>
      </w:r>
      <w:r>
        <w:rPr>
          <w:rFonts w:ascii="Arial" w:hAnsi="Arial" w:cs="Arial"/>
          <w:sz w:val="22"/>
          <w:szCs w:val="22"/>
        </w:rPr>
        <w:t>(Accessed: 9 December 2025)</w:t>
      </w:r>
    </w:p>
    <w:p w14:paraId="651B8057" w14:textId="77777777" w:rsidR="0038731C" w:rsidRDefault="0038731C"/>
    <w:sectPr w:rsidR="003873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31C"/>
    <w:rsid w:val="001659BF"/>
    <w:rsid w:val="0038731C"/>
    <w:rsid w:val="00942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DA533"/>
  <w15:chartTrackingRefBased/>
  <w15:docId w15:val="{6B55DE08-BD4A-46D5-AB3A-EF85A27C6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6B2"/>
  </w:style>
  <w:style w:type="paragraph" w:styleId="Heading1">
    <w:name w:val="heading 1"/>
    <w:basedOn w:val="Normal"/>
    <w:next w:val="Normal"/>
    <w:link w:val="Heading1Char"/>
    <w:uiPriority w:val="9"/>
    <w:qFormat/>
    <w:rsid w:val="003873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73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73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73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73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73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73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73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73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73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73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73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73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73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73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73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731C"/>
    <w:rPr>
      <w:rFonts w:eastAsiaTheme="majorEastAsia" w:cstheme="majorBidi"/>
      <w:color w:val="272727" w:themeColor="text1" w:themeTint="D8"/>
    </w:rPr>
  </w:style>
  <w:style w:type="paragraph" w:styleId="Title">
    <w:name w:val="Title"/>
    <w:basedOn w:val="Normal"/>
    <w:next w:val="Normal"/>
    <w:link w:val="TitleChar"/>
    <w:uiPriority w:val="10"/>
    <w:qFormat/>
    <w:rsid w:val="003873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73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73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73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731C"/>
    <w:pPr>
      <w:spacing w:before="160"/>
      <w:jc w:val="center"/>
    </w:pPr>
    <w:rPr>
      <w:i/>
      <w:iCs/>
      <w:color w:val="404040" w:themeColor="text1" w:themeTint="BF"/>
    </w:rPr>
  </w:style>
  <w:style w:type="character" w:customStyle="1" w:styleId="QuoteChar">
    <w:name w:val="Quote Char"/>
    <w:basedOn w:val="DefaultParagraphFont"/>
    <w:link w:val="Quote"/>
    <w:uiPriority w:val="29"/>
    <w:rsid w:val="0038731C"/>
    <w:rPr>
      <w:i/>
      <w:iCs/>
      <w:color w:val="404040" w:themeColor="text1" w:themeTint="BF"/>
    </w:rPr>
  </w:style>
  <w:style w:type="paragraph" w:styleId="ListParagraph">
    <w:name w:val="List Paragraph"/>
    <w:basedOn w:val="Normal"/>
    <w:uiPriority w:val="34"/>
    <w:qFormat/>
    <w:rsid w:val="0038731C"/>
    <w:pPr>
      <w:ind w:left="720"/>
      <w:contextualSpacing/>
    </w:pPr>
  </w:style>
  <w:style w:type="character" w:styleId="IntenseEmphasis">
    <w:name w:val="Intense Emphasis"/>
    <w:basedOn w:val="DefaultParagraphFont"/>
    <w:uiPriority w:val="21"/>
    <w:qFormat/>
    <w:rsid w:val="0038731C"/>
    <w:rPr>
      <w:i/>
      <w:iCs/>
      <w:color w:val="0F4761" w:themeColor="accent1" w:themeShade="BF"/>
    </w:rPr>
  </w:style>
  <w:style w:type="paragraph" w:styleId="IntenseQuote">
    <w:name w:val="Intense Quote"/>
    <w:basedOn w:val="Normal"/>
    <w:next w:val="Normal"/>
    <w:link w:val="IntenseQuoteChar"/>
    <w:uiPriority w:val="30"/>
    <w:qFormat/>
    <w:rsid w:val="003873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731C"/>
    <w:rPr>
      <w:i/>
      <w:iCs/>
      <w:color w:val="0F4761" w:themeColor="accent1" w:themeShade="BF"/>
    </w:rPr>
  </w:style>
  <w:style w:type="character" w:styleId="IntenseReference">
    <w:name w:val="Intense Reference"/>
    <w:basedOn w:val="DefaultParagraphFont"/>
    <w:uiPriority w:val="32"/>
    <w:qFormat/>
    <w:rsid w:val="0038731C"/>
    <w:rPr>
      <w:b/>
      <w:bCs/>
      <w:smallCaps/>
      <w:color w:val="0F4761" w:themeColor="accent1" w:themeShade="BF"/>
      <w:spacing w:val="5"/>
    </w:rPr>
  </w:style>
  <w:style w:type="character" w:styleId="Hyperlink">
    <w:name w:val="Hyperlink"/>
    <w:basedOn w:val="DefaultParagraphFont"/>
    <w:uiPriority w:val="99"/>
    <w:unhideWhenUsed/>
    <w:rsid w:val="0038731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recruitment-factsheet/" TargetMode="External"/><Relationship Id="rId18" Type="http://schemas.openxmlformats.org/officeDocument/2006/relationships/hyperlink" Target="https://www.cipd.org/uk/knowledge/factsheets/reward-factsheet/" TargetMode="External"/><Relationship Id="rId26" Type="http://schemas.openxmlformats.org/officeDocument/2006/relationships/hyperlink" Target="https://www.linkedin.com/pulse/beyond-numbers-real-impact-turnover-logistics-hilo-staffing-d0kfe" TargetMode="External"/><Relationship Id="rId39" Type="http://schemas.openxmlformats.org/officeDocument/2006/relationships/hyperlink" Target="https://www.personneltoday.com/hr/seven-in-10-organisations-use-social-media-to-hire/" TargetMode="External"/><Relationship Id="rId3" Type="http://schemas.openxmlformats.org/officeDocument/2006/relationships/webSettings" Target="webSettings.xml"/><Relationship Id="rId21" Type="http://schemas.openxmlformats.org/officeDocument/2006/relationships/hyperlink" Target="https://www.cipd.org/uk/knowledge/factsheets/zero-hours-factsheet/" TargetMode="External"/><Relationship Id="rId34" Type="http://schemas.openxmlformats.org/officeDocument/2006/relationships/hyperlink" Target="https://scholarworks.waldenu.edu/cgi/viewcontent.cgi?article=15658&amp;context=dissertations" TargetMode="External"/><Relationship Id="rId42" Type="http://schemas.openxmlformats.org/officeDocument/2006/relationships/hyperlink" Target="https://www.researchgate.net/publication/383741842_Factors_Affecting_Employee_Turnover_A_Systematic_Literature_Review" TargetMode="External"/><Relationship Id="rId47" Type="http://schemas.openxmlformats.org/officeDocument/2006/relationships/hyperlink" Target="https://www.thrivetech.co/resources/how-to-calculate-and-improve-employee-turnover-rate" TargetMode="External"/><Relationship Id="rId50" Type="http://schemas.openxmlformats.org/officeDocument/2006/relationships/theme" Target="theme/theme1.xml"/><Relationship Id="rId7" Type="http://schemas.openxmlformats.org/officeDocument/2006/relationships/hyperlink" Target="https://www.peoplemanagement.co.uk/article/1795419/high-employee-turnover-damaging-company-culture-research-suggests" TargetMode="External"/><Relationship Id="rId12" Type="http://schemas.openxmlformats.org/officeDocument/2006/relationships/hyperlink" Target="https://www.cipd.org/uk/knowledge/factsheets/workforce-planning-factsheet/" TargetMode="External"/><Relationship Id="rId17" Type="http://schemas.openxmlformats.org/officeDocument/2006/relationships/hyperlink" Target="https://www.cipd.org/uk/knowledge/factsheets/induction-factsheet/" TargetMode="External"/><Relationship Id="rId25" Type="http://schemas.openxmlformats.org/officeDocument/2006/relationships/hyperlink" Target="https://www.personneltoday.com/hr/workforce-planning-is-not-just-for-christmas/" TargetMode="External"/><Relationship Id="rId33" Type="http://schemas.openxmlformats.org/officeDocument/2006/relationships/hyperlink" Target="https://www.forbes.com/councils/forbeshumanresourcescouncil/2020/12/02/why-effective-onboarding-is-more-important-than-ever/" TargetMode="External"/><Relationship Id="rId38" Type="http://schemas.openxmlformats.org/officeDocument/2006/relationships/hyperlink" Target="https://www.brighthr.com/articles/culture-and-performance/staff-turnover/employee-turnover-costs/" TargetMode="External"/><Relationship Id="rId46" Type="http://schemas.openxmlformats.org/officeDocument/2006/relationships/hyperlink" Target="https://www.hrmagazine.co.uk/content/features/retaining-talent-with-leadership-that-cares" TargetMode="External"/><Relationship Id="rId2" Type="http://schemas.openxmlformats.org/officeDocument/2006/relationships/settings" Target="settings.xml"/><Relationship Id="rId16" Type="http://schemas.openxmlformats.org/officeDocument/2006/relationships/hyperlink" Target="https://www.cipd.org/uk/knowledge/factsheets/turnover-retention-factsheet/" TargetMode="External"/><Relationship Id="rId20" Type="http://schemas.openxmlformats.org/officeDocument/2006/relationships/hyperlink" Target="https://www.cipd.org/uk/knowledge/guides/fixed-term-contracts-guide/" TargetMode="External"/><Relationship Id="rId29" Type="http://schemas.openxmlformats.org/officeDocument/2006/relationships/hyperlink" Target="https://www.personneltoday.com/hr/unpaid-work-trial-periods-national-minimum-wage-nmw/" TargetMode="External"/><Relationship Id="rId41" Type="http://schemas.openxmlformats.org/officeDocument/2006/relationships/hyperlink" Target="https://www.peoplemanagement.co.uk/article/1885722/why-does-hr-struggle-strategic-workforce-planning" TargetMode="External"/><Relationship Id="rId1" Type="http://schemas.openxmlformats.org/officeDocument/2006/relationships/styles" Target="styles.xml"/><Relationship Id="rId6" Type="http://schemas.openxmlformats.org/officeDocument/2006/relationships/hyperlink" Target="https://www.cipd.org/uk/knowledge/podcasts/workforce-planning/" TargetMode="External"/><Relationship Id="rId11" Type="http://schemas.openxmlformats.org/officeDocument/2006/relationships/hyperlink" Target="https://www.cipd.org/uk/knowledge/factsheets/economy-labour-market-factsheet/" TargetMode="External"/><Relationship Id="rId24" Type="http://schemas.openxmlformats.org/officeDocument/2006/relationships/hyperlink" Target="https://www.cipd.org/uk/views-and-insights/thought-leadership/insight/using-technology-to-improve-hiring-and-onboarding/" TargetMode="External"/><Relationship Id="rId32" Type="http://schemas.openxmlformats.org/officeDocument/2006/relationships/hyperlink" Target="https://www.aihr.com/blog/skills-audit/" TargetMode="External"/><Relationship Id="rId37" Type="http://schemas.openxmlformats.org/officeDocument/2006/relationships/hyperlink" Target="https://www.orgvue.com/resources/articles/workforce-planning-framework/" TargetMode="External"/><Relationship Id="rId40" Type="http://schemas.openxmlformats.org/officeDocument/2006/relationships/hyperlink" Target="https://www.thehrobserver.com/indepth/how-to-maximise-job-retention-by-providing-realistic-job-previews/" TargetMode="External"/><Relationship Id="rId45" Type="http://schemas.openxmlformats.org/officeDocument/2006/relationships/hyperlink" Target="https://sprintlaw.co.uk/articles/unpaid-work-trial-shifts-in-the-uk-what-employers-can-and-cant-do/" TargetMode="External"/><Relationship Id="rId5" Type="http://schemas.openxmlformats.org/officeDocument/2006/relationships/hyperlink" Target="https://www.employment-studies.co.uk/news/great-resignation-grass-always-greener" TargetMode="External"/><Relationship Id="rId15" Type="http://schemas.openxmlformats.org/officeDocument/2006/relationships/hyperlink" Target="https://www.cipd.org/uk/views-and-insights/thought-leadership/cipd-voice/benchmarking-employee-turnover/" TargetMode="External"/><Relationship Id="rId23" Type="http://schemas.openxmlformats.org/officeDocument/2006/relationships/hyperlink" Target="https://www.cipd.org/uk/the-people-profession/the-profession-map/" TargetMode="External"/><Relationship Id="rId28" Type="http://schemas.openxmlformats.org/officeDocument/2006/relationships/hyperlink" Target="https://www.personneltoday.com/hr/how-to-stop-flying-blind-with-workforce-planning/" TargetMode="External"/><Relationship Id="rId36" Type="http://schemas.openxmlformats.org/officeDocument/2006/relationships/hyperlink" Target="https://www.forbes.com/advisor/business/employee-turnover-rate/" TargetMode="External"/><Relationship Id="rId49" Type="http://schemas.openxmlformats.org/officeDocument/2006/relationships/fontTable" Target="fontTable.xml"/><Relationship Id="rId10" Type="http://schemas.openxmlformats.org/officeDocument/2006/relationships/hyperlink" Target="https://www.cipd.org/globalassets/media/knowledge/knowledge-hub/reports/2023-pdfs/2023-good-work-index-report-8407.pdf" TargetMode="External"/><Relationship Id="rId19" Type="http://schemas.openxmlformats.org/officeDocument/2006/relationships/hyperlink" Target="https://www.cipd.org/globalassets/media/knowledge/knowledge-hub/evidence-reviews/2024-pdfs/8542-psych-safety-trust-practice-summary.pdf" TargetMode="External"/><Relationship Id="rId31" Type="http://schemas.openxmlformats.org/officeDocument/2006/relationships/hyperlink" Target="https://thatsgoodhr.com/the-pros-and-cons-of-recruiting-through-social-media/" TargetMode="External"/><Relationship Id="rId44" Type="http://schemas.openxmlformats.org/officeDocument/2006/relationships/hyperlink" Target="https://www.peoplemanagement.co.uk/article/1914280/reskilling-trumps-wellbeing-top-hr-challenge-2025-study-shows" TargetMode="External"/><Relationship Id="rId4" Type="http://schemas.openxmlformats.org/officeDocument/2006/relationships/hyperlink" Target="https://www.acas.org.uk/employment-contracts-and-the-law/types-of-terms-in-a-contract" TargetMode="External"/><Relationship Id="rId9" Type="http://schemas.openxmlformats.org/officeDocument/2006/relationships/hyperlink" Target="https://www.cipd.org/uk/knowledge/factsheets/recruitment-brand-factsheet/" TargetMode="External"/><Relationship Id="rId14" Type="http://schemas.openxmlformats.org/officeDocument/2006/relationships/hyperlink" Target="https://www.cipd.org/uk/knowledge/factsheets/selection-factsheet/" TargetMode="External"/><Relationship Id="rId22" Type="http://schemas.openxmlformats.org/officeDocument/2006/relationships/hyperlink" Target="https://www.cipd.org/uk/the-people-profession/the-profession-map/explore-the-profession-map/specialist-knowledge/employee-experience/" TargetMode="External"/><Relationship Id="rId27" Type="http://schemas.openxmlformats.org/officeDocument/2006/relationships/hyperlink" Target="https://www.cipd.org/uk/knowledge/podcasts/many-merits-workforce-planning/" TargetMode="External"/><Relationship Id="rId30" Type="http://schemas.openxmlformats.org/officeDocument/2006/relationships/hyperlink" Target="https://www.linkedin.com/advice/0/how-can-warehouse-workers-take-breaks-prevent-sfigf" TargetMode="External"/><Relationship Id="rId35" Type="http://schemas.openxmlformats.org/officeDocument/2006/relationships/hyperlink" Target="https://www.ons.gov.uk/employmentandlabourmarket/peopleinwork/employmentandemployeetypes/bulletins/employeesintheukbyindustry/2023" TargetMode="External"/><Relationship Id="rId43" Type="http://schemas.openxmlformats.org/officeDocument/2006/relationships/hyperlink" Target="https://www.researchgate.net/publication/342072869_Factors_Influencing_Employee_Retention_in_the_Transport_and_Logistics_Industry" TargetMode="External"/><Relationship Id="rId48" Type="http://schemas.openxmlformats.org/officeDocument/2006/relationships/hyperlink" Target="https://www.peoplehr.com/en-gb/resources/blog/staff-turnover/" TargetMode="External"/><Relationship Id="rId8" Type="http://schemas.openxmlformats.org/officeDocument/2006/relationships/hyperlink" Target="https://www.cipd.org/uk/knowledge/reports/labour-market-outl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5555</Words>
  <Characters>39998</Characters>
  <Application>Microsoft Office Word</Application>
  <DocSecurity>0</DocSecurity>
  <Lines>634</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Keera Crabb</dc:creator>
  <cp:keywords/>
  <dc:description/>
  <cp:lastModifiedBy>Keera Crabb</cp:lastModifiedBy>
  <cp:revision>1</cp:revision>
  <dcterms:created xsi:type="dcterms:W3CDTF">2025-12-13T12:21:00Z</dcterms:created>
  <dcterms:modified xsi:type="dcterms:W3CDTF">2025-12-13T12:36:00Z</dcterms:modified>
</cp:coreProperties>
</file>