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AD06E3">
      <w:pPr>
        <w:jc w:val="center"/>
      </w:pPr>
    </w:p>
    <w:p w14:paraId="5F3D5678">
      <w:pPr>
        <w:jc w:val="center"/>
      </w:pPr>
    </w:p>
    <w:p w14:paraId="44DA00DF">
      <w:pPr>
        <w:jc w:val="center"/>
      </w:pPr>
    </w:p>
    <w:p w14:paraId="0ABDD8B0">
      <w:pPr>
        <w:jc w:val="both"/>
        <w:rPr>
          <w:rFonts w:hint="default"/>
          <w:b/>
          <w:bCs/>
          <w:sz w:val="32"/>
          <w:szCs w:val="32"/>
          <w:lang w:val="en-US"/>
        </w:rPr>
      </w:pPr>
      <w:r>
        <w:rPr>
          <w:rFonts w:hint="default"/>
          <w:b/>
          <w:bCs/>
          <w:sz w:val="32"/>
          <w:szCs w:val="32"/>
          <w:lang w:val="en-US"/>
        </w:rPr>
        <w:t>Module Code: BMSW6104 Strategic Management for SMEs</w:t>
      </w:r>
    </w:p>
    <w:p w14:paraId="4FAB019C">
      <w:pPr>
        <w:jc w:val="center"/>
        <w:rPr>
          <w:rFonts w:hint="default"/>
          <w:b/>
          <w:bCs/>
          <w:sz w:val="32"/>
          <w:szCs w:val="32"/>
          <w:lang w:val="en-US"/>
        </w:rPr>
      </w:pPr>
      <w:r>
        <w:rPr>
          <w:rFonts w:hint="default"/>
          <w:b/>
          <w:bCs/>
          <w:sz w:val="32"/>
          <w:szCs w:val="32"/>
          <w:lang w:val="en-US"/>
        </w:rPr>
        <w:t>Student Name: Natalia Cojocaru</w:t>
      </w:r>
    </w:p>
    <w:p w14:paraId="69D31171">
      <w:pPr>
        <w:jc w:val="center"/>
        <w:rPr>
          <w:b/>
          <w:bCs/>
          <w:sz w:val="32"/>
          <w:szCs w:val="32"/>
          <w:lang w:val="en-US"/>
        </w:rPr>
      </w:pPr>
      <w:r>
        <w:rPr>
          <w:rFonts w:hint="default"/>
          <w:b/>
          <w:bCs/>
          <w:sz w:val="32"/>
          <w:szCs w:val="32"/>
          <w:lang w:val="en-US"/>
        </w:rPr>
        <w:t xml:space="preserve">Student ID Number: </w:t>
      </w:r>
      <w:r>
        <w:rPr>
          <w:b/>
          <w:bCs/>
          <w:sz w:val="32"/>
          <w:szCs w:val="32"/>
          <w:lang w:val="en-US"/>
        </w:rPr>
        <w:t>2119063</w:t>
      </w:r>
    </w:p>
    <w:p w14:paraId="1CEF2ABB">
      <w:pPr>
        <w:jc w:val="center"/>
        <w:rPr>
          <w:rFonts w:hint="default"/>
          <w:b/>
          <w:bCs/>
          <w:sz w:val="32"/>
          <w:szCs w:val="32"/>
          <w:lang w:val="en-US"/>
        </w:rPr>
      </w:pPr>
      <w:r>
        <w:rPr>
          <w:rFonts w:hint="default"/>
          <w:b/>
          <w:bCs/>
          <w:sz w:val="32"/>
          <w:szCs w:val="32"/>
          <w:lang w:val="en-US"/>
        </w:rPr>
        <w:t>Task 1: Strategic Plan</w:t>
      </w:r>
    </w:p>
    <w:p w14:paraId="0ED9A55B">
      <w:pPr>
        <w:jc w:val="center"/>
        <w:rPr>
          <w:rFonts w:hint="default"/>
          <w:b/>
          <w:bCs/>
          <w:sz w:val="32"/>
          <w:szCs w:val="32"/>
          <w:lang w:val="en-US"/>
        </w:rPr>
      </w:pPr>
      <w:r>
        <w:rPr>
          <w:rFonts w:hint="default"/>
          <w:b/>
          <w:bCs/>
          <w:sz w:val="32"/>
          <w:szCs w:val="32"/>
          <w:lang w:val="en-US"/>
        </w:rPr>
        <w:t>Lecturer’s name:</w:t>
      </w:r>
      <w:bookmarkStart w:id="26" w:name="_GoBack"/>
      <w:bookmarkEnd w:id="26"/>
      <w:r>
        <w:rPr>
          <w:rFonts w:hint="default"/>
          <w:b/>
          <w:bCs/>
          <w:sz w:val="32"/>
          <w:szCs w:val="32"/>
          <w:lang w:val="en-US"/>
        </w:rPr>
        <w:t xml:space="preserve"> Abdullah Nasser</w:t>
      </w:r>
    </w:p>
    <w:p w14:paraId="5681E4AB">
      <w:pPr>
        <w:jc w:val="center"/>
        <w:rPr>
          <w:b/>
          <w:bCs/>
          <w:sz w:val="32"/>
          <w:szCs w:val="32"/>
        </w:rPr>
      </w:pPr>
    </w:p>
    <w:p w14:paraId="1CBF190A">
      <w:pPr>
        <w:jc w:val="center"/>
        <w:rPr>
          <w:b/>
          <w:bCs/>
          <w:sz w:val="32"/>
          <w:szCs w:val="32"/>
        </w:rPr>
      </w:pPr>
    </w:p>
    <w:p w14:paraId="62EF1962">
      <w:pPr>
        <w:jc w:val="center"/>
      </w:pPr>
    </w:p>
    <w:p w14:paraId="65F197B8">
      <w:pPr>
        <w:jc w:val="center"/>
      </w:pPr>
    </w:p>
    <w:p w14:paraId="14689BAA">
      <w:pPr>
        <w:jc w:val="center"/>
      </w:pPr>
    </w:p>
    <w:p w14:paraId="5F3CA0B3">
      <w:pPr>
        <w:jc w:val="center"/>
      </w:pPr>
    </w:p>
    <w:p w14:paraId="496DFD8E">
      <w:pPr>
        <w:jc w:val="center"/>
      </w:pPr>
    </w:p>
    <w:p w14:paraId="26797EAB">
      <w:pPr>
        <w:jc w:val="center"/>
      </w:pPr>
    </w:p>
    <w:p w14:paraId="12D4485C">
      <w:pPr>
        <w:jc w:val="center"/>
      </w:pPr>
    </w:p>
    <w:p w14:paraId="1CA6163F"/>
    <w:p w14:paraId="3B8F1E36">
      <w:pPr>
        <w:ind w:firstLine="794"/>
        <w:jc w:val="left"/>
      </w:pPr>
      <w:r>
        <w:br w:type="page"/>
      </w:r>
    </w:p>
    <w:sdt>
      <w:sdtPr>
        <w:rPr>
          <w:rFonts w:asciiTheme="minorHAnsi" w:hAnsiTheme="minorHAnsi" w:eastAsiaTheme="minorHAnsi" w:cstheme="minorBidi"/>
          <w:color w:val="auto"/>
          <w:kern w:val="2"/>
          <w:sz w:val="22"/>
          <w:szCs w:val="22"/>
          <w14:ligatures w14:val="standardContextual"/>
        </w:rPr>
        <w:id w:val="1930924634"/>
        <w:docPartObj>
          <w:docPartGallery w:val="Table of Contents"/>
          <w:docPartUnique/>
        </w:docPartObj>
      </w:sdtPr>
      <w:sdtEndPr>
        <w:rPr>
          <w:rFonts w:ascii="Arial" w:hAnsi="Arial" w:cs="Arial" w:eastAsiaTheme="minorHAnsi"/>
          <w:b w:val="0"/>
          <w:color w:val="000000" w:themeColor="text1"/>
          <w:kern w:val="0"/>
          <w:sz w:val="24"/>
          <w:szCs w:val="24"/>
          <w14:textFill>
            <w14:solidFill>
              <w14:schemeClr w14:val="tx1"/>
            </w14:solidFill>
          </w14:textFill>
          <w14:ligatures w14:val="none"/>
        </w:rPr>
      </w:sdtEndPr>
      <w:sdtContent>
        <w:p w14:paraId="7D4A834F">
          <w:pPr>
            <w:pStyle w:val="15"/>
          </w:pPr>
          <w:r>
            <w:t>CONTENTS</w:t>
          </w:r>
        </w:p>
        <w:p w14:paraId="1334DC9C">
          <w:pPr>
            <w:pStyle w:val="9"/>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TOC \o "1-3" \h \z \u </w:instrText>
          </w:r>
          <w:r>
            <w:fldChar w:fldCharType="separate"/>
          </w:r>
          <w:r>
            <w:fldChar w:fldCharType="begin"/>
          </w:r>
          <w:r>
            <w:instrText xml:space="preserve"> HYPERLINK \l "_Toc171275115" </w:instrText>
          </w:r>
          <w:r>
            <w:fldChar w:fldCharType="separate"/>
          </w:r>
          <w:r>
            <w:rPr>
              <w:rStyle w:val="8"/>
            </w:rPr>
            <w:t>OVERVIEW OF THE CASE STUDY BASED ON SME’S CONTEXT</w:t>
          </w:r>
          <w:r>
            <w:tab/>
          </w:r>
          <w:r>
            <w:fldChar w:fldCharType="begin"/>
          </w:r>
          <w:r>
            <w:instrText xml:space="preserve"> PAGEREF _Toc171275115 \h </w:instrText>
          </w:r>
          <w:r>
            <w:fldChar w:fldCharType="separate"/>
          </w:r>
          <w:r>
            <w:t>3</w:t>
          </w:r>
          <w:r>
            <w:fldChar w:fldCharType="end"/>
          </w:r>
          <w:r>
            <w:fldChar w:fldCharType="end"/>
          </w:r>
        </w:p>
        <w:p w14:paraId="6E000B62">
          <w:pPr>
            <w:pStyle w:val="9"/>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"_Toc171275116" </w:instrText>
          </w:r>
          <w:r>
            <w:fldChar w:fldCharType="separate"/>
          </w:r>
          <w:r>
            <w:rPr>
              <w:rStyle w:val="8"/>
            </w:rPr>
            <w:t>THE ORGANISATIONS CURRENT STRATEGIC DIRECTION</w:t>
          </w:r>
          <w:r>
            <w:tab/>
          </w:r>
          <w:r>
            <w:fldChar w:fldCharType="begin"/>
          </w:r>
          <w:r>
            <w:instrText xml:space="preserve"> PAGEREF _Toc171275116 \h </w:instrText>
          </w:r>
          <w:r>
            <w:fldChar w:fldCharType="separate"/>
          </w:r>
          <w:r>
            <w:t>3</w:t>
          </w:r>
          <w:r>
            <w:fldChar w:fldCharType="end"/>
          </w:r>
          <w:r>
            <w:fldChar w:fldCharType="end"/>
          </w:r>
        </w:p>
        <w:p w14:paraId="12C1B015">
          <w:pPr>
            <w:pStyle w:val="9"/>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"_Toc171275117" </w:instrText>
          </w:r>
          <w:r>
            <w:fldChar w:fldCharType="separate"/>
          </w:r>
          <w:r>
            <w:rPr>
              <w:rStyle w:val="8"/>
            </w:rPr>
            <w:t>PESTLE</w:t>
          </w:r>
          <w:r>
            <w:tab/>
          </w:r>
          <w:r>
            <w:fldChar w:fldCharType="begin"/>
          </w:r>
          <w:r>
            <w:instrText xml:space="preserve"> PAGEREF _Toc171275117 \h </w:instrText>
          </w:r>
          <w:r>
            <w:fldChar w:fldCharType="separate"/>
          </w:r>
          <w:r>
            <w:t>4</w:t>
          </w:r>
          <w:r>
            <w:fldChar w:fldCharType="end"/>
          </w:r>
          <w:r>
            <w:fldChar w:fldCharType="end"/>
          </w:r>
        </w:p>
        <w:p w14:paraId="2B8CC450">
          <w:pPr>
            <w:pStyle w:val="10"/>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"_Toc171275118" </w:instrText>
          </w:r>
          <w:r>
            <w:fldChar w:fldCharType="separate"/>
          </w:r>
          <w:r>
            <w:rPr>
              <w:rStyle w:val="8"/>
            </w:rPr>
            <w:t>Political factors</w:t>
          </w:r>
          <w:r>
            <w:tab/>
          </w:r>
          <w:r>
            <w:fldChar w:fldCharType="begin"/>
          </w:r>
          <w:r>
            <w:instrText xml:space="preserve"> PAGEREF _Toc171275118 \h </w:instrText>
          </w:r>
          <w:r>
            <w:fldChar w:fldCharType="separate"/>
          </w:r>
          <w:r>
            <w:t>4</w:t>
          </w:r>
          <w:r>
            <w:fldChar w:fldCharType="end"/>
          </w:r>
          <w:r>
            <w:fldChar w:fldCharType="end"/>
          </w:r>
        </w:p>
        <w:p w14:paraId="5253EAC2">
          <w:pPr>
            <w:pStyle w:val="10"/>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"_Toc171275119" </w:instrText>
          </w:r>
          <w:r>
            <w:fldChar w:fldCharType="separate"/>
          </w:r>
          <w:r>
            <w:rPr>
              <w:rStyle w:val="8"/>
            </w:rPr>
            <w:t>Economic factors</w:t>
          </w:r>
          <w:r>
            <w:tab/>
          </w:r>
          <w:r>
            <w:fldChar w:fldCharType="begin"/>
          </w:r>
          <w:r>
            <w:instrText xml:space="preserve"> PAGEREF _Toc171275119 \h </w:instrText>
          </w:r>
          <w:r>
            <w:fldChar w:fldCharType="separate"/>
          </w:r>
          <w:r>
            <w:t>5</w:t>
          </w:r>
          <w:r>
            <w:fldChar w:fldCharType="end"/>
          </w:r>
          <w:r>
            <w:fldChar w:fldCharType="end"/>
          </w:r>
        </w:p>
        <w:p w14:paraId="7861E911">
          <w:pPr>
            <w:pStyle w:val="10"/>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"_Toc171275120" </w:instrText>
          </w:r>
          <w:r>
            <w:fldChar w:fldCharType="separate"/>
          </w:r>
          <w:r>
            <w:rPr>
              <w:rStyle w:val="8"/>
            </w:rPr>
            <w:t>Social factors</w:t>
          </w:r>
          <w:r>
            <w:tab/>
          </w:r>
          <w:r>
            <w:fldChar w:fldCharType="begin"/>
          </w:r>
          <w:r>
            <w:instrText xml:space="preserve"> PAGEREF _Toc171275120 \h </w:instrText>
          </w:r>
          <w:r>
            <w:fldChar w:fldCharType="separate"/>
          </w:r>
          <w:r>
            <w:t>5</w:t>
          </w:r>
          <w:r>
            <w:fldChar w:fldCharType="end"/>
          </w:r>
          <w:r>
            <w:fldChar w:fldCharType="end"/>
          </w:r>
        </w:p>
        <w:p w14:paraId="5F373426">
          <w:pPr>
            <w:pStyle w:val="10"/>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"_Toc171275121" </w:instrText>
          </w:r>
          <w:r>
            <w:fldChar w:fldCharType="separate"/>
          </w:r>
          <w:r>
            <w:rPr>
              <w:rStyle w:val="8"/>
            </w:rPr>
            <w:t>Technological factors</w:t>
          </w:r>
          <w:r>
            <w:tab/>
          </w:r>
          <w:r>
            <w:fldChar w:fldCharType="begin"/>
          </w:r>
          <w:r>
            <w:instrText xml:space="preserve"> PAGEREF _Toc171275121 \h </w:instrText>
          </w:r>
          <w:r>
            <w:fldChar w:fldCharType="separate"/>
          </w:r>
          <w:r>
            <w:t>6</w:t>
          </w:r>
          <w:r>
            <w:fldChar w:fldCharType="end"/>
          </w:r>
          <w:r>
            <w:fldChar w:fldCharType="end"/>
          </w:r>
        </w:p>
        <w:p w14:paraId="63D88320">
          <w:pPr>
            <w:pStyle w:val="10"/>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"_Toc171275122" </w:instrText>
          </w:r>
          <w:r>
            <w:fldChar w:fldCharType="separate"/>
          </w:r>
          <w:r>
            <w:rPr>
              <w:rStyle w:val="8"/>
            </w:rPr>
            <w:t>Legal factors</w:t>
          </w:r>
          <w:r>
            <w:tab/>
          </w:r>
          <w:r>
            <w:fldChar w:fldCharType="begin"/>
          </w:r>
          <w:r>
            <w:instrText xml:space="preserve"> PAGEREF _Toc171275122 \h </w:instrText>
          </w:r>
          <w:r>
            <w:fldChar w:fldCharType="separate"/>
          </w:r>
          <w:r>
            <w:t>6</w:t>
          </w:r>
          <w:r>
            <w:fldChar w:fldCharType="end"/>
          </w:r>
          <w:r>
            <w:fldChar w:fldCharType="end"/>
          </w:r>
        </w:p>
        <w:p w14:paraId="042B3CFE">
          <w:pPr>
            <w:pStyle w:val="10"/>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"_Toc171275123" </w:instrText>
          </w:r>
          <w:r>
            <w:fldChar w:fldCharType="separate"/>
          </w:r>
          <w:r>
            <w:rPr>
              <w:rStyle w:val="8"/>
            </w:rPr>
            <w:t>Environmental factors</w:t>
          </w:r>
          <w:r>
            <w:tab/>
          </w:r>
          <w:r>
            <w:fldChar w:fldCharType="begin"/>
          </w:r>
          <w:r>
            <w:instrText xml:space="preserve"> PAGEREF _Toc171275123 \h </w:instrText>
          </w:r>
          <w:r>
            <w:fldChar w:fldCharType="separate"/>
          </w:r>
          <w:r>
            <w:t>7</w:t>
          </w:r>
          <w:r>
            <w:fldChar w:fldCharType="end"/>
          </w:r>
          <w:r>
            <w:fldChar w:fldCharType="end"/>
          </w:r>
        </w:p>
        <w:p w14:paraId="09CF9200">
          <w:pPr>
            <w:pStyle w:val="9"/>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"_Toc171275124" </w:instrText>
          </w:r>
          <w:r>
            <w:fldChar w:fldCharType="separate"/>
          </w:r>
          <w:r>
            <w:rPr>
              <w:rStyle w:val="8"/>
            </w:rPr>
            <w:t>SWOT</w:t>
          </w:r>
          <w:r>
            <w:tab/>
          </w:r>
          <w:r>
            <w:fldChar w:fldCharType="begin"/>
          </w:r>
          <w:r>
            <w:instrText xml:space="preserve"> PAGEREF _Toc171275124 \h </w:instrText>
          </w:r>
          <w:r>
            <w:fldChar w:fldCharType="separate"/>
          </w:r>
          <w:r>
            <w:t>7</w:t>
          </w:r>
          <w:r>
            <w:fldChar w:fldCharType="end"/>
          </w:r>
          <w:r>
            <w:fldChar w:fldCharType="end"/>
          </w:r>
        </w:p>
        <w:p w14:paraId="7B20C68A">
          <w:pPr>
            <w:pStyle w:val="10"/>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"_Toc171275125" </w:instrText>
          </w:r>
          <w:r>
            <w:fldChar w:fldCharType="separate"/>
          </w:r>
          <w:r>
            <w:rPr>
              <w:rStyle w:val="8"/>
            </w:rPr>
            <w:t>Strengths</w:t>
          </w:r>
          <w:r>
            <w:tab/>
          </w:r>
          <w:r>
            <w:fldChar w:fldCharType="begin"/>
          </w:r>
          <w:r>
            <w:instrText xml:space="preserve"> PAGEREF _Toc171275125 \h </w:instrText>
          </w:r>
          <w:r>
            <w:fldChar w:fldCharType="separate"/>
          </w:r>
          <w:r>
            <w:t>7</w:t>
          </w:r>
          <w:r>
            <w:fldChar w:fldCharType="end"/>
          </w:r>
          <w:r>
            <w:fldChar w:fldCharType="end"/>
          </w:r>
        </w:p>
        <w:p w14:paraId="336D9358">
          <w:pPr>
            <w:pStyle w:val="10"/>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"_Toc171275126" </w:instrText>
          </w:r>
          <w:r>
            <w:fldChar w:fldCharType="separate"/>
          </w:r>
          <w:r>
            <w:rPr>
              <w:rStyle w:val="8"/>
            </w:rPr>
            <w:t>Weaknesses</w:t>
          </w:r>
          <w:r>
            <w:tab/>
          </w:r>
          <w:r>
            <w:fldChar w:fldCharType="begin"/>
          </w:r>
          <w:r>
            <w:instrText xml:space="preserve"> PAGEREF _Toc171275126 \h </w:instrText>
          </w:r>
          <w:r>
            <w:fldChar w:fldCharType="separate"/>
          </w:r>
          <w:r>
            <w:t>8</w:t>
          </w:r>
          <w:r>
            <w:fldChar w:fldCharType="end"/>
          </w:r>
          <w:r>
            <w:fldChar w:fldCharType="end"/>
          </w:r>
        </w:p>
        <w:p w14:paraId="0DBA7083">
          <w:pPr>
            <w:pStyle w:val="10"/>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"_Toc171275127" </w:instrText>
          </w:r>
          <w:r>
            <w:fldChar w:fldCharType="separate"/>
          </w:r>
          <w:r>
            <w:rPr>
              <w:rStyle w:val="8"/>
            </w:rPr>
            <w:t>Opportunities</w:t>
          </w:r>
          <w:r>
            <w:tab/>
          </w:r>
          <w:r>
            <w:fldChar w:fldCharType="begin"/>
          </w:r>
          <w:r>
            <w:instrText xml:space="preserve"> PAGEREF _Toc171275127 \h </w:instrText>
          </w:r>
          <w:r>
            <w:fldChar w:fldCharType="separate"/>
          </w:r>
          <w:r>
            <w:t>8</w:t>
          </w:r>
          <w:r>
            <w:fldChar w:fldCharType="end"/>
          </w:r>
          <w:r>
            <w:fldChar w:fldCharType="end"/>
          </w:r>
        </w:p>
        <w:p w14:paraId="447B0763">
          <w:pPr>
            <w:pStyle w:val="10"/>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"_Toc171275128" </w:instrText>
          </w:r>
          <w:r>
            <w:fldChar w:fldCharType="separate"/>
          </w:r>
          <w:r>
            <w:rPr>
              <w:rStyle w:val="8"/>
            </w:rPr>
            <w:t>Threats</w:t>
          </w:r>
          <w:r>
            <w:tab/>
          </w:r>
          <w:r>
            <w:fldChar w:fldCharType="begin"/>
          </w:r>
          <w:r>
            <w:instrText xml:space="preserve"> PAGEREF _Toc171275128 \h </w:instrText>
          </w:r>
          <w:r>
            <w:fldChar w:fldCharType="separate"/>
          </w:r>
          <w:r>
            <w:t>8</w:t>
          </w:r>
          <w:r>
            <w:fldChar w:fldCharType="end"/>
          </w:r>
          <w:r>
            <w:fldChar w:fldCharType="end"/>
          </w:r>
        </w:p>
        <w:p w14:paraId="3ED74AD7">
          <w:pPr>
            <w:pStyle w:val="9"/>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"_Toc171275129" </w:instrText>
          </w:r>
          <w:r>
            <w:fldChar w:fldCharType="separate"/>
          </w:r>
          <w:r>
            <w:rPr>
              <w:rStyle w:val="8"/>
            </w:rPr>
            <w:t>STAKEHOLDER ANALYSIS</w:t>
          </w:r>
          <w:r>
            <w:tab/>
          </w:r>
          <w:r>
            <w:fldChar w:fldCharType="begin"/>
          </w:r>
          <w:r>
            <w:instrText xml:space="preserve"> PAGEREF _Toc171275129 \h </w:instrText>
          </w:r>
          <w:r>
            <w:fldChar w:fldCharType="separate"/>
          </w:r>
          <w:r>
            <w:t>9</w:t>
          </w:r>
          <w:r>
            <w:fldChar w:fldCharType="end"/>
          </w:r>
          <w:r>
            <w:fldChar w:fldCharType="end"/>
          </w:r>
        </w:p>
        <w:p w14:paraId="645EE6D5">
          <w:pPr>
            <w:pStyle w:val="10"/>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"_Toc171275130" </w:instrText>
          </w:r>
          <w:r>
            <w:fldChar w:fldCharType="separate"/>
          </w:r>
          <w:r>
            <w:rPr>
              <w:rStyle w:val="8"/>
            </w:rPr>
            <w:t>Internal stakeholders</w:t>
          </w:r>
          <w:r>
            <w:tab/>
          </w:r>
          <w:r>
            <w:fldChar w:fldCharType="begin"/>
          </w:r>
          <w:r>
            <w:instrText xml:space="preserve"> PAGEREF _Toc171275130 \h </w:instrText>
          </w:r>
          <w:r>
            <w:fldChar w:fldCharType="separate"/>
          </w:r>
          <w:r>
            <w:t>9</w:t>
          </w:r>
          <w:r>
            <w:fldChar w:fldCharType="end"/>
          </w:r>
          <w:r>
            <w:fldChar w:fldCharType="end"/>
          </w:r>
        </w:p>
        <w:p w14:paraId="27CA5338">
          <w:pPr>
            <w:pStyle w:val="10"/>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"_Toc171275131" </w:instrText>
          </w:r>
          <w:r>
            <w:fldChar w:fldCharType="separate"/>
          </w:r>
          <w:r>
            <w:rPr>
              <w:rStyle w:val="8"/>
            </w:rPr>
            <w:t>External stakeholders</w:t>
          </w:r>
          <w:r>
            <w:tab/>
          </w:r>
          <w:r>
            <w:fldChar w:fldCharType="begin"/>
          </w:r>
          <w:r>
            <w:instrText xml:space="preserve"> PAGEREF _Toc171275131 \h </w:instrText>
          </w:r>
          <w:r>
            <w:fldChar w:fldCharType="separate"/>
          </w:r>
          <w:r>
            <w:t>9</w:t>
          </w:r>
          <w:r>
            <w:fldChar w:fldCharType="end"/>
          </w:r>
          <w:r>
            <w:fldChar w:fldCharType="end"/>
          </w:r>
        </w:p>
        <w:p w14:paraId="17E75D05">
          <w:pPr>
            <w:pStyle w:val="9"/>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"_Toc171275132" </w:instrText>
          </w:r>
          <w:r>
            <w:fldChar w:fldCharType="separate"/>
          </w:r>
          <w:r>
            <w:rPr>
              <w:rStyle w:val="8"/>
            </w:rPr>
            <w:t xml:space="preserve">NEW PROPOSED LONG-TERM STRATEGY </w:t>
          </w:r>
          <w:r>
            <w:rPr>
              <w:rStyle w:val="8"/>
            </w:rPr>
            <w:br w:type="textWrapping"/>
          </w:r>
          <w:r>
            <w:rPr>
              <w:rStyle w:val="8"/>
            </w:rPr>
            <w:t>BASED ON THE ANSOFF MATRIX</w:t>
          </w:r>
          <w:r>
            <w:tab/>
          </w:r>
          <w:r>
            <w:fldChar w:fldCharType="begin"/>
          </w:r>
          <w:r>
            <w:instrText xml:space="preserve"> PAGEREF _Toc171275132 \h </w:instrText>
          </w:r>
          <w:r>
            <w:fldChar w:fldCharType="separate"/>
          </w:r>
          <w:r>
            <w:t>10</w:t>
          </w:r>
          <w:r>
            <w:fldChar w:fldCharType="end"/>
          </w:r>
          <w:r>
            <w:fldChar w:fldCharType="end"/>
          </w:r>
        </w:p>
        <w:p w14:paraId="21E83BD8">
          <w:pPr>
            <w:pStyle w:val="9"/>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"_Toc171275133" </w:instrText>
          </w:r>
          <w:r>
            <w:fldChar w:fldCharType="separate"/>
          </w:r>
          <w:r>
            <w:rPr>
              <w:rStyle w:val="8"/>
            </w:rPr>
            <w:t xml:space="preserve">WHY THE PROPOSED NEW STRATEGY IS </w:t>
          </w:r>
          <w:r>
            <w:rPr>
              <w:rStyle w:val="8"/>
            </w:rPr>
            <w:br w:type="textWrapping"/>
          </w:r>
          <w:r>
            <w:rPr>
              <w:rStyle w:val="8"/>
            </w:rPr>
            <w:t>SUPERIOR TO THE EXISTING STRATEGY</w:t>
          </w:r>
          <w:r>
            <w:tab/>
          </w:r>
          <w:r>
            <w:fldChar w:fldCharType="begin"/>
          </w:r>
          <w:r>
            <w:instrText xml:space="preserve"> PAGEREF _Toc171275133 \h </w:instrText>
          </w:r>
          <w:r>
            <w:fldChar w:fldCharType="separate"/>
          </w:r>
          <w:r>
            <w:t>12</w:t>
          </w:r>
          <w:r>
            <w:fldChar w:fldCharType="end"/>
          </w:r>
          <w:r>
            <w:fldChar w:fldCharType="end"/>
          </w:r>
        </w:p>
        <w:p w14:paraId="654C9BB1">
          <w:pPr>
            <w:pStyle w:val="9"/>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"_Toc171275134" </w:instrText>
          </w:r>
          <w:r>
            <w:fldChar w:fldCharType="separate"/>
          </w:r>
          <w:r>
            <w:rPr>
              <w:rStyle w:val="8"/>
            </w:rPr>
            <w:t>CONCLUSION</w:t>
          </w:r>
          <w:r>
            <w:tab/>
          </w:r>
          <w:r>
            <w:fldChar w:fldCharType="begin"/>
          </w:r>
          <w:r>
            <w:instrText xml:space="preserve"> PAGEREF _Toc171275134 \h </w:instrText>
          </w:r>
          <w:r>
            <w:fldChar w:fldCharType="separate"/>
          </w:r>
          <w:r>
            <w:t>12</w:t>
          </w:r>
          <w:r>
            <w:fldChar w:fldCharType="end"/>
          </w:r>
          <w:r>
            <w:fldChar w:fldCharType="end"/>
          </w:r>
        </w:p>
        <w:p w14:paraId="46FDC76B">
          <w:pPr>
            <w:pStyle w:val="9"/>
            <w:tabs>
              <w:tab w:val="right" w:leader="dot" w:pos="9017"/>
            </w:tabs>
            <w:jc w:val="left"/>
            <w:rPr>
              <w:rFonts w:asciiTheme="minorHAnsi" w:hAnsiTheme="minorHAnsi" w:eastAsiaTheme="minorEastAsia" w:cstheme="minorBidi"/>
              <w:color w:val="auto"/>
              <w:sz w:val="22"/>
              <w:szCs w:val="22"/>
              <w:lang w:eastAsia="en-GB"/>
            </w:rPr>
          </w:pPr>
          <w:r>
            <w:fldChar w:fldCharType="begin"/>
          </w:r>
          <w:r>
            <w:instrText xml:space="preserve"> HYPERLINK \l "_Toc171275135" </w:instrText>
          </w:r>
          <w:r>
            <w:fldChar w:fldCharType="separate"/>
          </w:r>
          <w:r>
            <w:rPr>
              <w:rStyle w:val="8"/>
            </w:rPr>
            <w:t>REFERENCES</w:t>
          </w:r>
          <w:r>
            <w:tab/>
          </w:r>
          <w:r>
            <w:fldChar w:fldCharType="begin"/>
          </w:r>
          <w:r>
            <w:instrText xml:space="preserve"> PAGEREF _Toc171275135 \h </w:instrText>
          </w:r>
          <w:r>
            <w:fldChar w:fldCharType="separate"/>
          </w:r>
          <w:r>
            <w:t>14</w:t>
          </w:r>
          <w:r>
            <w:fldChar w:fldCharType="end"/>
          </w:r>
          <w:r>
            <w:fldChar w:fldCharType="end"/>
          </w:r>
        </w:p>
        <w:p w14:paraId="2E9C6210">
          <w:pPr>
            <w:jc w:val="left"/>
          </w:pPr>
          <w:r>
            <w:fldChar w:fldCharType="end"/>
          </w:r>
        </w:p>
      </w:sdtContent>
    </w:sdt>
    <w:p w14:paraId="491FCBA9">
      <w:pPr>
        <w:pStyle w:val="2"/>
      </w:pPr>
      <w:bookmarkStart w:id="0" w:name="_Toc171275115"/>
      <w:r>
        <w:t>OVERVIEW OF THE CASE STUDY BASED ON SME’S CONTEXT</w:t>
      </w:r>
      <w:bookmarkEnd w:id="0"/>
    </w:p>
    <w:p w14:paraId="482211FE">
      <w:r>
        <w:rPr>
          <w:rFonts w:hint="default"/>
          <w:lang w:val="en-US"/>
        </w:rPr>
        <w:t xml:space="preserve">The </w:t>
      </w:r>
      <w:r>
        <w:t>Rude Health is a company that offers healthy foods to its customers across the UK. The company size in terms of revenue qualifies it as an SME in the healthy foods industry. The business was started in 2005 and operates out of multiple outlets in the UK. As an SME, the business is still in the process of developing into the heights it would like to achieve. The business exclusively offers organic foods that promote the health of its consumers and focuses on sustainable practices (Rude Health, 2024). Moreover, the company introduces the element of deliciousness into its organic foods, which makes its brand rise above the common misconception that organic foods are not delicious. This report discusses the strategic management of Rude Health by first discussing its current strategic direction. The report also investigates the business’s external and internal environments and proposes a long-term strategy that the business can apply to improve its status from an SME to a large business.</w:t>
      </w:r>
    </w:p>
    <w:p w14:paraId="6DD20D16">
      <w:pPr>
        <w:pStyle w:val="2"/>
      </w:pPr>
      <w:bookmarkStart w:id="1" w:name="_Toc171275116"/>
      <w:r>
        <w:t>THE ORGANISATIONS CURRENT STRATEGIC DIRECTION</w:t>
      </w:r>
      <w:bookmarkEnd w:id="1"/>
    </w:p>
    <w:p w14:paraId="3826800A">
      <w:r>
        <w:t xml:space="preserve">Strategic direction is important for organisational success as it provides a business with goals and path toward the achievement of the set goals (Barney and Hesterly, 2019). The organisation’s current strategic direction is to position itself as an exclusively healthy food supplier with a high degree of environmental care. As a food business that has branded itself as a healthy food outlet, Rude Health vision is to be known across the country and Europe as a business that offers food that ensures good health and wellbeing for its customers and the planet, and tailors its activities around this vision. To achieve this vision, for example, the business has set out to offer exclusively healthy foods through sustainable sourcing and packaging. 88% of the packaging that the company uses to deliver its orders is made of recycled materials to reduce the business’s impact on environmental degradation. In addition, the business ensures that all its raw materials for the foods it prepares and sells are organic. For example, the almonds sold by Rude Health are sourced from the sunny and rain-rich Sicily and the oats they sell are sourced from home-grown fields </w:t>
      </w:r>
      <w:bookmarkStart w:id="2" w:name="_Hlk170767948"/>
      <w:r>
        <w:t>(Rude Health, 2024)</w:t>
      </w:r>
      <w:bookmarkEnd w:id="2"/>
      <w:r>
        <w:t>. Sourcing the foods, it offers from organic sources helps in improving the company’s value as it develops trust in customers who want legitimately organic foods.</w:t>
      </w:r>
    </w:p>
    <w:p w14:paraId="457ECDFA">
      <w:r>
        <w:t>The company also donates the surplus foods that remains in its stores to FareShare, which further serves its goal to contribute to the sustainability of the planet. The marketing strategy that Rude Health carries out is also tailored to help the business achieve the vision of being a renowned healthy food supplier. On its official website, which is one of the main marketing channels, the business elaborates its dedication to the provision of healthy food by communicating to its customers how it sources its organic supplies. In addition, the company uses images to depict its dedication to supplying healthy foods by showing images of its employees picking and harvesting organic foods (Rude Health, 2024). The company’s dedication to health also extends to its human resource management strategy as it offers it employees free gym services and parental leave policies to optimize their employee wellbeing policies. In addition, the company allows its employees flexible working hours, which further optimizes their emotional and mental wellbeing.</w:t>
      </w:r>
    </w:p>
    <w:p w14:paraId="15EFA6CD">
      <w:pPr>
        <w:pStyle w:val="2"/>
      </w:pPr>
      <w:bookmarkStart w:id="3" w:name="_Toc171275117"/>
      <w:r>
        <w:t>PESTLE</w:t>
      </w:r>
      <w:bookmarkEnd w:id="3"/>
    </w:p>
    <w:p w14:paraId="6E2B7E74">
      <w:pPr>
        <w:pStyle w:val="3"/>
      </w:pPr>
      <w:bookmarkStart w:id="4" w:name="_Toc171275118"/>
      <w:r>
        <w:t>Political factors</w:t>
      </w:r>
      <w:bookmarkEnd w:id="4"/>
      <w:r>
        <w:t xml:space="preserve"> </w:t>
      </w:r>
    </w:p>
    <w:p w14:paraId="106A957B">
      <w:r>
        <w:t>Political factors have the capacity to affect an organisation’s strategy as they can affect an organisation’s business environment (Lynch, 2018). One of the main political factors that characterize the business’s external environment is The UK government supports healthy eating and businesses that promote healthy lifestyles. The government decision has positively impacted businesses that sell health foods such as Rude Health and negatively impacted businesses that sell unhealthy food that are high in sugar and fats. The Eatwell Guide by the UK government encourages UK citizens to consume products sold by Rude Health, which helps the business acquire more customers (GOV.UK, 2023). Another political factor that impacts Rude Health’s external business environment is Brexit. The political decision by the government to leave the EU caused restrictions of goods and people from EU countries into the UK. As a result, businesses like Rude Health. The business importation of its almonds suffered extra charges caused by Brexit restrictions as it sources them from Italy, which is an EU country. Brexit also caused new restrictions for movement of people from EU countries, which increased the value of labor in the UK by reducing the supply of workers from EU nations emigrating into the UK (Lang et al., 2018).</w:t>
      </w:r>
    </w:p>
    <w:p w14:paraId="46F1413D">
      <w:pPr>
        <w:pStyle w:val="3"/>
      </w:pPr>
      <w:bookmarkStart w:id="5" w:name="_Toc171275119"/>
      <w:r>
        <w:t>Economic factors</w:t>
      </w:r>
      <w:bookmarkEnd w:id="5"/>
    </w:p>
    <w:p w14:paraId="617B470A">
      <w:r>
        <w:t>The external environment that Rude Health contends with while conducting its business operations is also characterized by economic factors such as economic downturns. Economic recessions can affect the consumer spending power, which will reduce the ability of customers to buy organic foods. For example, the Covid-19 pandemic caused economic downturn as people lost jobs and some had their businesses close due to supply chain issues and lack of customers (Victor et al., 2021). Consequently, Rude Health business suffered as it took long for people to recover financially and afford the company’s organic foods. In addition, inflation in the UK has caused a rise in cost of living thus reducing the affordability of goods. Inflation in the UK reached a 41-year high in 2022 when it was recorded at 11.1% (Victor et al., 2021). Although the inflation rate reduced in 2023, it has still been high enough to compromise spending power, which has pushed food customers to the cheaper and unhealthy options and away from organic foods.</w:t>
      </w:r>
    </w:p>
    <w:p w14:paraId="16051551">
      <w:pPr>
        <w:pStyle w:val="3"/>
      </w:pPr>
      <w:bookmarkStart w:id="6" w:name="_Toc171275120"/>
      <w:r>
        <w:t>Social factors</w:t>
      </w:r>
      <w:bookmarkEnd w:id="6"/>
    </w:p>
    <w:p w14:paraId="07B9B578">
      <w:r>
        <w:t>One of the main social factors that has affected the food business in the UK is the ageing population. The UK population statistics show that the country’ population is increasingly older as the people over the age of 50 has been increasing from 1981 to 2021. Currently, 38% of the UK population is above 50 years of age and 13.5 of the population is above 70 years (Centre for Ageing Better, 2023). An ageing population typically becomes more conscious of its health, which causes more people to seek healthy foods as opposed to foods that affect their health. Secondly, the social life of people in the UK has recently been characterized by an increasing consciousness for health. People have been increasingly gaining awareness of the impact of unhealthy foods such as sugary and fatty foods as the public health sector has conducted public education on the prevalence of diseases such as hypertension and diabetes, and how they can be prevented by healthy eating (Giles and Brennan, 2015). The healthy food businesses such as Rude Health benefit from the social awareness of the importance of healthy foods as more food customers prefer their products to the unhealthy foods. Thirdly, the external environment for food business is affected by food trends where certain foods become trendy within a given period. When the trend shifts toward healthy foods, healthy foods such as Rude Health benefit from the increased demands.</w:t>
      </w:r>
    </w:p>
    <w:p w14:paraId="6D38EE55">
      <w:pPr>
        <w:pStyle w:val="3"/>
      </w:pPr>
      <w:bookmarkStart w:id="7" w:name="_Toc171275121"/>
      <w:r>
        <w:t>Technological factors</w:t>
      </w:r>
      <w:bookmarkEnd w:id="7"/>
    </w:p>
    <w:p w14:paraId="0A14D5D7">
      <w:r>
        <w:t>The main technological factor that has impacted the external environment for Rude Health is the rise in e-commerce platforms. E-commerce has revolutionized how food is sold as customers can order food while they are at their homes thus increasing the number of possible orders (Mahammadh, 2015). Rude Health has benefited from e-commerce platforms it has availed an e-commerce platform to its customers who can order its foods as opposed to visiting its stores. Secondly, the rise of digital marketing channels has revolutionized the marketing processes that businesses in the healthy food businesses can apply to market their products. The rise of social media platforms and paid Ads has made it easy for businesses in the food industry to market their products digitally to targeted audiences thus making marketing campaigns effective (Mahammadh, 2015). Rude health has benefited from digital marketing as it has social media accounts with the popular social media platforms such as Instagram, TikTok, Facebook, and Twitter where it posts its products and their prices.</w:t>
      </w:r>
    </w:p>
    <w:p w14:paraId="27AE7F09">
      <w:pPr>
        <w:pStyle w:val="3"/>
      </w:pPr>
      <w:bookmarkStart w:id="8" w:name="_Toc171275122"/>
      <w:r>
        <w:t>Legal factors</w:t>
      </w:r>
      <w:bookmarkEnd w:id="8"/>
    </w:p>
    <w:p w14:paraId="4249CD2D">
      <w:r>
        <w:t>The main legal factor that impacts the external environment for Rude Health is the food and safety regulations imposed by the UK government. Businesses in the healthy foods industry are also subject to the Food Safety Act 1990, which establishes the legal framework for food safety, quality and labeling. Rude Health has to meet to meet the obligations established by the above laws and regulations (Willett, 1991). Secondly, Rude Health is subject to employment laws that govern how it conducts its human resource procedures. In the UK, laws such as Health and Safety Act 1972, The Equality Act 2010, and the Employment Relations Act 1999 govern how organisations relate to their employees. Rude Health has to ensure that all of its human resource activities are aligned to the provisions of the said Acts of parliament in order to avoid legal repercussions and reputational damage for mistreatment of its employees. Moreover, the company is subject to future legal changes in its industry and should stay updated on the legal requirements imposed by the government through the UK parliament and the relevant governmental agencies.</w:t>
      </w:r>
    </w:p>
    <w:p w14:paraId="51401A07">
      <w:pPr>
        <w:pStyle w:val="3"/>
      </w:pPr>
      <w:bookmarkStart w:id="9" w:name="_Toc171275123"/>
      <w:r>
        <w:t>Environmental factors</w:t>
      </w:r>
      <w:bookmarkEnd w:id="9"/>
    </w:p>
    <w:p w14:paraId="1394149F">
      <w:pPr>
        <w:rPr>
          <w:b/>
          <w:bCs/>
        </w:rPr>
      </w:pPr>
      <w:r>
        <w:t>Environmental conservation has been at the forefront of the UK environmental activities. The UK government has a five-year carbon budget where it seeks to reduce the emissions the country produces to 965 million tonnes within the period 2033 t0 2037. As part of achieving the plan, the government promotes sustainable business as it has set aside 5 billion pounds to help businesses become greener in their operations (Li et al., 2022). From this fund, the government offers sustainability grants that businesses can apply for and use the money to enhance their sustainability strategies. In addition, sustainable packaging has increased in popularity in the food business as part of the efforts to support environmental sustainability. Consequently, businesses in the UK gain more social approval if they use sustainable packaging for their products. Finally, sustainable sourcing has been promoted in the food market as an important way of ensuring environmental sustainability (Morley, 2021). Therefore, businesses that source from sustainable sources have benefited as their customers consider them to be moral and important for environmental sustainability. Rude Health’s external business environment is characterized by the above-explained environmental factors and the business has been positively impacted as it focuses on sustainable operations.</w:t>
      </w:r>
    </w:p>
    <w:p w14:paraId="2C9C6785">
      <w:pPr>
        <w:pStyle w:val="2"/>
      </w:pPr>
      <w:r>
        <w:t xml:space="preserve"> </w:t>
      </w:r>
      <w:bookmarkStart w:id="10" w:name="_Toc171275124"/>
      <w:r>
        <w:t>SWOT</w:t>
      </w:r>
      <w:bookmarkEnd w:id="10"/>
    </w:p>
    <w:p w14:paraId="026DFDC6">
      <w:pPr>
        <w:pStyle w:val="3"/>
      </w:pPr>
      <w:bookmarkStart w:id="11" w:name="_Toc171275125"/>
      <w:r>
        <w:t>Strengths</w:t>
      </w:r>
      <w:bookmarkEnd w:id="11"/>
    </w:p>
    <w:p w14:paraId="6DD86EB6">
      <w:r>
        <w:rPr>
          <w:i/>
          <w:iCs/>
        </w:rPr>
        <w:t>Healthy foods</w:t>
      </w:r>
      <w:r>
        <w:rPr>
          <w:b/>
          <w:bCs/>
          <w:i/>
          <w:iCs/>
        </w:rPr>
        <w:t xml:space="preserve"> </w:t>
      </w:r>
      <w:r>
        <w:rPr>
          <w:i/>
          <w:iCs/>
        </w:rPr>
        <w:t>–</w:t>
      </w:r>
      <w:r>
        <w:t xml:space="preserve"> the exclusively healthy foods that the business sells make it unique from most other food sellers that have unhealthy foods in their offerings. The strength makes the business have competitive advantage over its competitors as it promotes the health and wellbeing of its customers.</w:t>
      </w:r>
    </w:p>
    <w:p w14:paraId="421D3BC6">
      <w:r>
        <w:rPr>
          <w:i/>
          <w:iCs/>
        </w:rPr>
        <w:t>Sustainable business practices –</w:t>
      </w:r>
      <w:r>
        <w:rPr>
          <w:b/>
          <w:bCs/>
        </w:rPr>
        <w:t xml:space="preserve"> </w:t>
      </w:r>
      <w:r>
        <w:t>Rude Health has sustainable practices such as sustainable packaging and organic sourcing where the environment is preserved. This gives the business an edge as it appeals to the increasing number of customers who care about sustainable businesses.</w:t>
      </w:r>
    </w:p>
    <w:p w14:paraId="1D6F531E">
      <w:pPr>
        <w:rPr>
          <w:b/>
          <w:bCs/>
        </w:rPr>
      </w:pPr>
      <w:r>
        <w:rPr>
          <w:i/>
          <w:iCs/>
        </w:rPr>
        <w:t>Attractive HRM practices –</w:t>
      </w:r>
      <w:r>
        <w:rPr>
          <w:b/>
          <w:bCs/>
        </w:rPr>
        <w:t xml:space="preserve"> </w:t>
      </w:r>
      <w:r>
        <w:t>the business is unique because of its attractive HRM practices as it offers its employees parental leave and free gym services, which improve the wellbeing of its employees. Such practices are an advantage because they increase the moral level of the workforce thus improving productivity.</w:t>
      </w:r>
    </w:p>
    <w:p w14:paraId="098E5238">
      <w:pPr>
        <w:pStyle w:val="3"/>
      </w:pPr>
      <w:bookmarkStart w:id="12" w:name="_Toc171275126"/>
      <w:r>
        <w:t>Weaknesses</w:t>
      </w:r>
      <w:bookmarkEnd w:id="12"/>
    </w:p>
    <w:p w14:paraId="6D1BCB67">
      <w:r>
        <w:rPr>
          <w:i/>
          <w:iCs/>
        </w:rPr>
        <w:t>Expensive operations</w:t>
      </w:r>
      <w:r>
        <w:t xml:space="preserve"> – running Rude Health is expensive because organic foods are expensive to source and transport. In addition, storing organic foods is expensive as they do not have preservatives like other unhealthy foods. As a result, the company has to cover high expenses, which reduces its profit margin.</w:t>
      </w:r>
    </w:p>
    <w:p w14:paraId="110B7826">
      <w:pPr>
        <w:pStyle w:val="3"/>
      </w:pPr>
      <w:bookmarkStart w:id="13" w:name="_Toc171275127"/>
      <w:r>
        <w:t>Opportunities</w:t>
      </w:r>
      <w:bookmarkEnd w:id="13"/>
    </w:p>
    <w:p w14:paraId="5734771A">
      <w:r>
        <w:rPr>
          <w:i/>
          <w:iCs/>
        </w:rPr>
        <w:t>Increase in demand for healthy foods –</w:t>
      </w:r>
      <w:r>
        <w:rPr>
          <w:b/>
          <w:bCs/>
          <w:i/>
          <w:iCs/>
        </w:rPr>
        <w:t xml:space="preserve"> </w:t>
      </w:r>
      <w:r>
        <w:t>Rude Health has the opportunity for increased demand as people in the UK are increasingly appreciating healthy foods. The company can, therefore, increase its customer base in the near future by tapping into the new customers who want to improve their physical health through dieting.</w:t>
      </w:r>
    </w:p>
    <w:p w14:paraId="61FECBE8">
      <w:r>
        <w:rPr>
          <w:i/>
          <w:iCs/>
        </w:rPr>
        <w:t>Government support for sustainable businesses –</w:t>
      </w:r>
      <w:r>
        <w:rPr>
          <w:b/>
          <w:bCs/>
          <w:i/>
          <w:iCs/>
        </w:rPr>
        <w:t xml:space="preserve"> </w:t>
      </w:r>
      <w:r>
        <w:t>Rude Health has the opportunity to benefit from governmental regulations and subsidies as the UK government promotes sustainable businesses and healthy foods to encourage sustainable businesses. The company can benefit from this opportunity by advertising its products to the new customers who buy into the government’s plan of promoting healthy eating.</w:t>
      </w:r>
    </w:p>
    <w:p w14:paraId="638A3976">
      <w:pPr>
        <w:pStyle w:val="3"/>
      </w:pPr>
      <w:bookmarkStart w:id="14" w:name="_Toc171275128"/>
      <w:r>
        <w:t>Threats</w:t>
      </w:r>
      <w:bookmarkEnd w:id="14"/>
      <w:r>
        <w:t xml:space="preserve"> </w:t>
      </w:r>
    </w:p>
    <w:p w14:paraId="291C875F">
      <w:r>
        <w:rPr>
          <w:i/>
          <w:iCs/>
        </w:rPr>
        <w:t>Competition</w:t>
      </w:r>
      <w:r>
        <w:t xml:space="preserve"> – the increase in demand for healthy foods in the UK has increased the need for companies that provide such foods. As a result, competition has increased as more people venture into the business to take advantage of the widening market for healthy foods.</w:t>
      </w:r>
    </w:p>
    <w:p w14:paraId="6AF9EA09">
      <w:pPr>
        <w:pStyle w:val="2"/>
      </w:pPr>
      <w:bookmarkStart w:id="15" w:name="_Toc171275129"/>
      <w:r>
        <w:t>STAKEHOLDER ANALYSIS</w:t>
      </w:r>
      <w:bookmarkEnd w:id="15"/>
    </w:p>
    <w:p w14:paraId="32225882">
      <w:pPr>
        <w:pStyle w:val="3"/>
      </w:pPr>
      <w:bookmarkStart w:id="16" w:name="_Toc171275130"/>
      <w:r>
        <w:t>Internal stakeholders</w:t>
      </w:r>
      <w:bookmarkEnd w:id="16"/>
    </w:p>
    <w:p w14:paraId="01815993">
      <w:r>
        <w:rPr>
          <w:i/>
          <w:iCs/>
        </w:rPr>
        <w:t>Owners –</w:t>
      </w:r>
      <w:r>
        <w:rPr>
          <w:b/>
          <w:bCs/>
          <w:i/>
          <w:iCs/>
        </w:rPr>
        <w:t xml:space="preserve"> </w:t>
      </w:r>
      <w:r>
        <w:t>the owners of any business have a vested interest in the success of the business and are responsible for the overall strategic direction and goals (Johnson, 2019). the owners are the main internal stakeholders at Rude Health as they take the financial risk of all the business operations. The owners have multiple interests in their business with the main interest being the generation of profits. As a private business, Rude Health owners have the interest of making money, which can be achieved by generating profits. Secondly, the owners of the business have the interest of developing and maintaining a positive brand name and reputation in order to attract customers and increase the customer base. The interests of generating profits can be addressed by increasing sales volumes while the interest of maintaining a positive brand image can be addressed through effective CRM strategies.</w:t>
      </w:r>
    </w:p>
    <w:p w14:paraId="4A112ECF">
      <w:r>
        <w:rPr>
          <w:i/>
          <w:iCs/>
        </w:rPr>
        <w:t>Employees –</w:t>
      </w:r>
      <w:r>
        <w:rPr>
          <w:b/>
          <w:bCs/>
          <w:i/>
          <w:iCs/>
        </w:rPr>
        <w:t xml:space="preserve"> </w:t>
      </w:r>
      <w:r>
        <w:t>employees at Rude Health are key internal stakeholders as they carry out the day-to-day tasks needed to enable the business operations. The employees’ main interests include financial renumeration and positive working environment (Starcevich, 2013). The first interest of financial renumeration can be addressed by paying employees a fair wage while the second interest of positive working environment can be addressed by cultivating positive working relations.</w:t>
      </w:r>
    </w:p>
    <w:p w14:paraId="32A8DF07">
      <w:r>
        <w:rPr>
          <w:i/>
          <w:iCs/>
        </w:rPr>
        <w:t>Management –</w:t>
      </w:r>
      <w:r>
        <w:rPr>
          <w:b/>
          <w:bCs/>
          <w:i/>
          <w:iCs/>
        </w:rPr>
        <w:t xml:space="preserve"> </w:t>
      </w:r>
      <w:r>
        <w:t>the management team is a key internal stakeholder at Rude Health as its members make critical decisions that determine the business’s direction. The management team is interested in achieving business objectives and establishing efficient operations. The two interests can be addressed by putting in place action plans that lead the organisation toward the achievement of the set objectives.</w:t>
      </w:r>
    </w:p>
    <w:p w14:paraId="4F92EA8C">
      <w:pPr>
        <w:pStyle w:val="3"/>
      </w:pPr>
      <w:bookmarkStart w:id="17" w:name="_Toc171275131"/>
      <w:r>
        <w:t>External stakeholders</w:t>
      </w:r>
      <w:bookmarkEnd w:id="17"/>
      <w:r>
        <w:t xml:space="preserve"> </w:t>
      </w:r>
    </w:p>
    <w:p w14:paraId="08A153B1">
      <w:r>
        <w:rPr>
          <w:i/>
          <w:iCs/>
        </w:rPr>
        <w:t>Suppliers –</w:t>
      </w:r>
      <w:r>
        <w:rPr>
          <w:b/>
          <w:bCs/>
          <w:i/>
          <w:iCs/>
        </w:rPr>
        <w:t xml:space="preserve"> </w:t>
      </w:r>
      <w:r>
        <w:t>the suppliers are key external stakeholders as they provide the business with the healthy foods it needs in its inventory. The main interest that suppliers have is the financial compensation they get from supplying the business with their produce. The interest can be addressed by bargaining for a fair market price.</w:t>
      </w:r>
    </w:p>
    <w:p w14:paraId="1B741886">
      <w:r>
        <w:rPr>
          <w:i/>
          <w:iCs/>
        </w:rPr>
        <w:t>Government –</w:t>
      </w:r>
      <w:r>
        <w:rPr>
          <w:b/>
          <w:bCs/>
          <w:i/>
          <w:iCs/>
        </w:rPr>
        <w:t xml:space="preserve"> </w:t>
      </w:r>
      <w:r>
        <w:t>the government runs a number of agencies that are responsible for ensuring that Rude Health adheres to all its legal obligations. In addition, the government has the power to impose regulations and laws that will affect the business’s operations by affecting the external environment (Harrison and St. John, 2014). As an external stakeholder, the government’s main interest is to ensure that the business provides safe food to the UK citizens and adheres to all laws that affect the business. The government’s interests can be addressed by ensuring that all business operations at the organisation are within the law.</w:t>
      </w:r>
    </w:p>
    <w:p w14:paraId="4BA1E790">
      <w:r>
        <w:rPr>
          <w:i/>
          <w:iCs/>
        </w:rPr>
        <w:t>Local community –</w:t>
      </w:r>
      <w:r>
        <w:rPr>
          <w:b/>
          <w:bCs/>
          <w:i/>
          <w:iCs/>
        </w:rPr>
        <w:t xml:space="preserve"> </w:t>
      </w:r>
      <w:r>
        <w:t>the local community is a key stakeholder as it provides the customers that buy the customers that buy Rude Health’s products. The interest of the local community is to benefit positively from the business by having healthy foods and benefit socially through the business’s CSR programs. The interests of the local community can be addressed by participating in CSR activities in the community and ensuring that the business has the products that the customers want at all times.</w:t>
      </w:r>
    </w:p>
    <w:p w14:paraId="49947D40">
      <w:pPr>
        <w:pStyle w:val="2"/>
      </w:pPr>
      <w:bookmarkStart w:id="18" w:name="_Toc171275132"/>
      <w:r>
        <w:t>NEW PROPOSED LONG-TERM STRATEGY BASED ON THE ANSOFF MATRIX</w:t>
      </w:r>
      <w:bookmarkEnd w:id="18"/>
    </w:p>
    <w:p w14:paraId="3B9C42B9">
      <w:r>
        <w:rPr>
          <w:b/>
          <w:bCs/>
        </w:rPr>
        <w:t xml:space="preserve">Market Penetration – </w:t>
      </w:r>
      <w:r>
        <w:t>market penetration is the first step of developing a small business in the Ansoff Matrix. The process of market penetration involves expanding the sales of the existing product and is the safest stage of development (Loredana, 2016). The proposed new long-term strategy recommends that Rude Health begins at this point and expands its sales to the customer base it has created since its inception in 2005. In the proposed strategy, the business can expand its sales in its existing market by employing effective customer relations management. Some of the effective CRM strategies that the business can utilize to improve its sales in its current market include rewarding customer loyalty, customized services where long-term customers receive foods based on their preferred packaging, and creating a welcoming environment for customers who visit the company’s stores (Kim and Mukhopadhyay, 2011). The CRM strategies will enable the business to improve its sales within the existing market as they will lead to more return customers who increase the volume of produce that they buy.</w:t>
      </w:r>
    </w:p>
    <w:p w14:paraId="5C126BF6">
      <w:r>
        <w:rPr>
          <w:b/>
          <w:bCs/>
        </w:rPr>
        <w:t xml:space="preserve">Product Development – </w:t>
      </w:r>
      <w:r>
        <w:t>product development is the second step in the Ansoff Matrix and it involves introducing a new product into the existing market. The step is riskier than the previously discussed step as it involves the risk of the new product underperforming (Loredana, 2016). The new long-term strategy proposes that Rude Health implements this step after successfully implementing the previous step. Definite targets are important in business operations and strategies should be based on measurable and achievable goals (Mintzberg, 2009). The success of the previous step can be measured by sales volume and the proposed long-term strategy recommends that the business considers it a success when it achieves three times the current sales volume from the existing market. Having achieved the previous step in the strategy, the proposed long-term strategy recommends the introduction of new foods into the existing market. The strategy proposes that the business invests in the required infrastructure to support the new type of produce before introducing them to the inventory. The strategy proposes that this step can be considered a success after successfully introducing five new items in the list of produce that the business offers.</w:t>
      </w:r>
    </w:p>
    <w:p w14:paraId="710BBDF1">
      <w:r>
        <w:rPr>
          <w:b/>
          <w:bCs/>
        </w:rPr>
        <w:t xml:space="preserve">Market Development – </w:t>
      </w:r>
      <w:r>
        <w:t>the third step in the Ansoff Matrix involves introducing the existing product to a new market. The step is riskier than the previous two steps as it has the risk of the new market rejecting the product altogether (Loredana, 2016). Market development can be achieved by targeting new geographical areas, new demographics in the population such as different genders and age groups. The proposed strategy suggests that the business should implement this step after successfully implementing the previous step. The new strategy proposes that the business begins marketing its products to new geographical areas and to the younger target customers of below 30 years. New geographical areas proposed in the new long-term plan include neighboring countries where the business will intentionally target countries like Belgium, Denmark, and France. The third step of market development can be considered a success after the business has successfully introduced its organic foods in at least two neighboring countries.</w:t>
      </w:r>
    </w:p>
    <w:p w14:paraId="75DB3B7E">
      <w:r>
        <w:rPr>
          <w:b/>
          <w:bCs/>
        </w:rPr>
        <w:t xml:space="preserve">Diversification – </w:t>
      </w:r>
      <w:r>
        <w:t>The final step in the Ansoff Matrix is diversification where a business introduces new products into a new market. The process is the riskiest of all four developmental steps as it involves the double risk of the new product being rejected by the new market (Loredana, 2016). Rude Health can diversify according to the proposed strategy by introducing new healthy foods to new countries within Europe. The proposed strategy recommends a thorough research process to precede the diversification process. The business has the opportunity to introduce new foods into new markets within Europe by investigating the popular organic foods in new markets and introducing them to the people in the identified markets. The step can be considered a success after the business has successfully introduced at least 5 new items into two new geographical areas across Europe.</w:t>
      </w:r>
    </w:p>
    <w:p w14:paraId="4F7FC1E3">
      <w:pPr>
        <w:pStyle w:val="2"/>
      </w:pPr>
      <w:bookmarkStart w:id="19" w:name="_Toc171275133"/>
      <w:r>
        <w:t>WHY THE PROPOSED NEW STRATEGY IS SUPERIOR TO THE EXISTING STRATEGY</w:t>
      </w:r>
      <w:bookmarkEnd w:id="19"/>
    </w:p>
    <w:p w14:paraId="1FF03B20">
      <w:r>
        <w:t>The proposed new strategy is better and more sustainable than the existing strategy because the proposed strategy incrementally leads the business toward expansion and development without straining its financial resources. The plan is based on milestones that guide the business toward expanding its customer base and increasing its revenues, and measures success by business achievements rather than time. The existing strategy lacks the quality of milestones and measurable business goals, which makes it difficult for the business to measure its success. While the strategy of positioning the business as a sustainable based healthy foods distributor is effective as it attracts an expanding customer base, it lacks the logical progression that the proposed strategy presents.</w:t>
      </w:r>
    </w:p>
    <w:p w14:paraId="530071B6">
      <w:pPr>
        <w:pStyle w:val="2"/>
      </w:pPr>
      <w:bookmarkStart w:id="20" w:name="_Toc171275134"/>
      <w:r>
        <w:t>CONCLUSION</w:t>
      </w:r>
      <w:bookmarkEnd w:id="20"/>
    </w:p>
    <w:p w14:paraId="36CEDC71">
      <w:r>
        <w:t>Rude Health is one of the most well-placed SMEs in the UK as the company’s products of healthy foods and sustainability activities attract a growing market. The PESTLE analysis shows that some of the external factors affect the business positively while some affect it negatively. Similarly, the SWOT analysis shows that the business has strengths and opportunities that it can take advantage to improve its business opportunities in the future. The SWOT analysis has also shown that there are weaknesses and threats that the business has to be aware of and implement strategies to reduce their impact. The proposed strategy based on the Ansoff Matrix can help the business achieve success in the long-term as the strategy proposes a slow and incremental progress for the company based on the four steps provided in the Ansoff Matrix framework. The report proposes that Rude Health should implement the proposed strategy in order to secure its financial future.</w:t>
      </w:r>
    </w:p>
    <w:p w14:paraId="33E0B77B">
      <w:r>
        <w:br w:type="page"/>
      </w:r>
    </w:p>
    <w:p w14:paraId="74E7303F">
      <w:pPr>
        <w:pStyle w:val="2"/>
      </w:pPr>
      <w:bookmarkStart w:id="21" w:name="_Toc171275135"/>
      <w:r>
        <w:t>REFERENCES</w:t>
      </w:r>
      <w:bookmarkEnd w:id="21"/>
    </w:p>
    <w:p w14:paraId="0BE9DF46">
      <w:pPr>
        <w:jc w:val="left"/>
      </w:pPr>
      <w:r>
        <w:t>Barney, J.B. and Hesterly, W.S., (2019) Strategic management and competitive advantage: Concepts and cases. Pearson.</w:t>
      </w:r>
    </w:p>
    <w:p w14:paraId="262742AB">
      <w:pPr>
        <w:jc w:val="left"/>
      </w:pPr>
      <w:r>
        <w:t xml:space="preserve">Centre for Ageing Better (2023) </w:t>
      </w:r>
      <w:r>
        <w:rPr>
          <w:i/>
          <w:iCs/>
        </w:rPr>
        <w:t>Our Ageing Population | The State of Ageing 2023-24</w:t>
      </w:r>
      <w:r>
        <w:t>. https://ageing-better.org.uk/our-ageing-population-state-ageing-2023-4#:~:text=2.01%20Number%20of%20people%20(in,Census%2C%20England%2C%201981%20to%202021&amp;text=This%20chart%20shows%20that%3A,6.8%20million%20people%20(47%25). (Accessed: July 1, 2024).</w:t>
      </w:r>
    </w:p>
    <w:p w14:paraId="4B35637A">
      <w:pPr>
        <w:jc w:val="left"/>
      </w:pPr>
      <w:r>
        <w:t>Giles, E.L. and Brennan, M., (2015) Changing the lifestyles of young adults. </w:t>
      </w:r>
      <w:r>
        <w:rPr>
          <w:i/>
          <w:iCs/>
        </w:rPr>
        <w:t>Journal of Social Marketing</w:t>
      </w:r>
      <w:r>
        <w:t>, </w:t>
      </w:r>
      <w:r>
        <w:rPr>
          <w:i/>
          <w:iCs/>
        </w:rPr>
        <w:t>5</w:t>
      </w:r>
      <w:r>
        <w:t>(3), pp.206-225.</w:t>
      </w:r>
    </w:p>
    <w:p w14:paraId="5A36127D">
      <w:pPr>
        <w:jc w:val="left"/>
      </w:pPr>
      <w:r>
        <w:t xml:space="preserve">GOV.UK (2023) </w:t>
      </w:r>
      <w:r>
        <w:rPr>
          <w:i/>
          <w:iCs/>
        </w:rPr>
        <w:t>Healthy eating: applying All Our Health</w:t>
      </w:r>
      <w:r>
        <w:t>. https://www.gov.uk/government/publications/healthy-eating-applying-all-our-health/healthy-eating-applying-all-our-health (Accessed: July 1, 2024).</w:t>
      </w:r>
    </w:p>
    <w:p w14:paraId="67703713">
      <w:pPr>
        <w:jc w:val="left"/>
      </w:pPr>
      <w:bookmarkStart w:id="22" w:name="_Hlk170770135"/>
      <w:r>
        <w:t xml:space="preserve">Harrison, J.S. and St. John, C.H., </w:t>
      </w:r>
      <w:bookmarkEnd w:id="22"/>
      <w:r>
        <w:t>(2014). Managing and partnering with external stakeholders. </w:t>
      </w:r>
      <w:r>
        <w:rPr>
          <w:i/>
          <w:iCs/>
        </w:rPr>
        <w:t>Academy of Management Perspectives</w:t>
      </w:r>
      <w:r>
        <w:t>, </w:t>
      </w:r>
      <w:r>
        <w:rPr>
          <w:i/>
          <w:iCs/>
        </w:rPr>
        <w:t>10</w:t>
      </w:r>
      <w:r>
        <w:t>(2), pp.46-60.</w:t>
      </w:r>
    </w:p>
    <w:p w14:paraId="56FDC2CC">
      <w:pPr>
        <w:jc w:val="left"/>
      </w:pPr>
      <w:r>
        <w:t xml:space="preserve">Johnson, G. (2019). </w:t>
      </w:r>
      <w:r>
        <w:rPr>
          <w:i/>
        </w:rPr>
        <w:t>Exploring Strategy, Text and Cases, 12th Edition</w:t>
      </w:r>
      <w:r>
        <w:t>. Pearson Education Limited.</w:t>
      </w:r>
    </w:p>
    <w:p w14:paraId="6026DF5A">
      <w:pPr>
        <w:jc w:val="left"/>
      </w:pPr>
      <w:bookmarkStart w:id="23" w:name="_Hlk170770465"/>
      <w:r>
        <w:t>Kim, S.H. and Mukhopadhyay, T., 2011</w:t>
      </w:r>
      <w:bookmarkEnd w:id="23"/>
      <w:r>
        <w:t>. Determining optimal CRM implementation strategies. </w:t>
      </w:r>
      <w:r>
        <w:rPr>
          <w:i/>
          <w:iCs/>
        </w:rPr>
        <w:t>Information Systems Research</w:t>
      </w:r>
      <w:r>
        <w:t>, </w:t>
      </w:r>
      <w:r>
        <w:rPr>
          <w:i/>
          <w:iCs/>
        </w:rPr>
        <w:t>22</w:t>
      </w:r>
      <w:r>
        <w:t>(3), pp.624-639.</w:t>
      </w:r>
    </w:p>
    <w:p w14:paraId="4E537854">
      <w:pPr>
        <w:jc w:val="left"/>
      </w:pPr>
      <w:bookmarkStart w:id="24" w:name="_Hlk170768405"/>
      <w:r>
        <w:t>Lang, T., Lewis, T., Marsden, T. and Millstone, E., 2018</w:t>
      </w:r>
      <w:bookmarkEnd w:id="24"/>
      <w:r>
        <w:t>. Feeding Britain: food security after Brexit.</w:t>
      </w:r>
    </w:p>
    <w:p w14:paraId="733C1949">
      <w:pPr>
        <w:jc w:val="left"/>
      </w:pPr>
      <w:r>
        <w:t>Li, X., Arbabi, H., Bennett, G., Oreszczyn, T. and Tingley, D.D., (2022) Net zero by 2050: Investigating carbon-budget compliant retrofit measures for the English housing stock. </w:t>
      </w:r>
      <w:r>
        <w:rPr>
          <w:i/>
          <w:iCs/>
        </w:rPr>
        <w:t>Renewable and Sustainable Energy Reviews</w:t>
      </w:r>
      <w:r>
        <w:t>, </w:t>
      </w:r>
      <w:r>
        <w:rPr>
          <w:i/>
          <w:iCs/>
        </w:rPr>
        <w:t>161</w:t>
      </w:r>
      <w:r>
        <w:t>, p.112384.</w:t>
      </w:r>
    </w:p>
    <w:p w14:paraId="63A2FF80">
      <w:pPr>
        <w:jc w:val="left"/>
      </w:pPr>
      <w:r>
        <w:t>Loredana, E.M., 2016. The use of Ansoff matrix in the field of business. In </w:t>
      </w:r>
      <w:r>
        <w:rPr>
          <w:i/>
          <w:iCs/>
        </w:rPr>
        <w:t>MATEC Web of Conferences</w:t>
      </w:r>
      <w:r>
        <w:t> (Vol. 44, p. 01006). Les Ulis, France: EDP Sciences.</w:t>
      </w:r>
    </w:p>
    <w:p w14:paraId="7F30C69C">
      <w:pPr>
        <w:jc w:val="left"/>
      </w:pPr>
      <w:r>
        <w:t xml:space="preserve">Lynch, R. (2018) </w:t>
      </w:r>
      <w:r>
        <w:rPr>
          <w:i/>
        </w:rPr>
        <w:t>Strategic management</w:t>
      </w:r>
      <w:r>
        <w:t>. Pearson Education</w:t>
      </w:r>
    </w:p>
    <w:p w14:paraId="0D404B35">
      <w:pPr>
        <w:jc w:val="left"/>
      </w:pPr>
      <w:bookmarkStart w:id="25" w:name="_Hlk170768889"/>
      <w:r>
        <w:t>Mahammadh, V.R., (2015</w:t>
      </w:r>
      <w:bookmarkEnd w:id="25"/>
      <w:r>
        <w:t>) E-Commerce: a business revolution in twenty first century. </w:t>
      </w:r>
      <w:r>
        <w:rPr>
          <w:i/>
          <w:iCs/>
        </w:rPr>
        <w:t>International Journal of Marketing and Technology</w:t>
      </w:r>
      <w:r>
        <w:t>, </w:t>
      </w:r>
      <w:r>
        <w:rPr>
          <w:i/>
          <w:iCs/>
        </w:rPr>
        <w:t>5</w:t>
      </w:r>
      <w:r>
        <w:t>(9), pp.202-213.</w:t>
      </w:r>
    </w:p>
    <w:p w14:paraId="7691DF88">
      <w:pPr>
        <w:jc w:val="left"/>
      </w:pPr>
      <w:r>
        <w:t xml:space="preserve">Mintzberg, H. (2009). </w:t>
      </w:r>
      <w:r>
        <w:rPr>
          <w:i/>
        </w:rPr>
        <w:t xml:space="preserve">Strategy safari : the complete guide through the wilds of strategic management </w:t>
      </w:r>
      <w:r>
        <w:t xml:space="preserve"> (B. W. Ahlstrand &amp; J. Lampel, Eds.; Second edition.). FT Prentice Hall.</w:t>
      </w:r>
    </w:p>
    <w:p w14:paraId="553955D9">
      <w:pPr>
        <w:jc w:val="left"/>
      </w:pPr>
      <w:r>
        <w:t>Morley, A., (2021) Procuring for change: An exploration of the innovation potential of sustainable food procurement. </w:t>
      </w:r>
      <w:r>
        <w:rPr>
          <w:i/>
          <w:iCs/>
        </w:rPr>
        <w:t>Journal of Cleaner Production</w:t>
      </w:r>
      <w:r>
        <w:t>, </w:t>
      </w:r>
      <w:r>
        <w:rPr>
          <w:i/>
          <w:iCs/>
        </w:rPr>
        <w:t>279</w:t>
      </w:r>
      <w:r>
        <w:t>, p.123410.</w:t>
      </w:r>
    </w:p>
    <w:p w14:paraId="139F3FF9">
      <w:pPr>
        <w:jc w:val="left"/>
      </w:pPr>
      <w:r>
        <w:t xml:space="preserve">Rude Health (2024) </w:t>
      </w:r>
      <w:r>
        <w:rPr>
          <w:i/>
          <w:iCs/>
        </w:rPr>
        <w:t>About us</w:t>
      </w:r>
      <w:r>
        <w:t>. https://rudehealth.com/pages/about-us (Accessed: July 1, 2024).</w:t>
      </w:r>
    </w:p>
    <w:p w14:paraId="5F65FAA3">
      <w:pPr>
        <w:jc w:val="left"/>
      </w:pPr>
      <w:r>
        <w:t xml:space="preserve">Rude Health (2024) </w:t>
      </w:r>
      <w:r>
        <w:rPr>
          <w:i/>
          <w:iCs/>
        </w:rPr>
        <w:t>Sustainability</w:t>
      </w:r>
      <w:r>
        <w:t>. https://rudehealth.com/pages/sustainability (Accessed: July 1, 2024).</w:t>
      </w:r>
    </w:p>
    <w:p w14:paraId="664D2E7B">
      <w:pPr>
        <w:jc w:val="left"/>
      </w:pPr>
      <w:r>
        <w:t>Starcevich, M.M., (2013) An analysis of the relationship between the dual-factor theory of motivation and the central life interests of employees. The University of Oklahoma.</w:t>
      </w:r>
    </w:p>
    <w:p w14:paraId="39FD1AC5">
      <w:pPr>
        <w:jc w:val="left"/>
      </w:pPr>
      <w:r>
        <w:t>Victor, V., Karakunnel, J.J., Loganathan, S. and Meyer, D.F., (2021) From a recession to the COVID-19 pandemic: Inflation–Unemployment Comparison between the UK and India. </w:t>
      </w:r>
      <w:r>
        <w:rPr>
          <w:i/>
          <w:iCs/>
        </w:rPr>
        <w:t>Economies</w:t>
      </w:r>
      <w:r>
        <w:t>, </w:t>
      </w:r>
      <w:r>
        <w:rPr>
          <w:i/>
          <w:iCs/>
        </w:rPr>
        <w:t>9</w:t>
      </w:r>
      <w:r>
        <w:t>(2), p.73.</w:t>
      </w:r>
    </w:p>
    <w:p w14:paraId="3DF8DB99">
      <w:pPr>
        <w:jc w:val="left"/>
      </w:pPr>
      <w:r>
        <w:t>Willett, C., 1991. The Food Safety Act (1990) Substance or Symbolism. </w:t>
      </w:r>
      <w:r>
        <w:rPr>
          <w:i/>
          <w:iCs/>
        </w:rPr>
        <w:t>Stat L. Rev.</w:t>
      </w:r>
      <w:r>
        <w:t>, </w:t>
      </w:r>
      <w:r>
        <w:rPr>
          <w:i/>
          <w:iCs/>
        </w:rPr>
        <w:t>12</w:t>
      </w:r>
      <w:r>
        <w:t>, p.146.</w:t>
      </w:r>
    </w:p>
    <w:p w14:paraId="49515576"/>
    <w:p w14:paraId="4125EF41"/>
    <w:p w14:paraId="23713F12"/>
    <w:p w14:paraId="6A44BBFC">
      <w:r>
        <w:t xml:space="preserve"> </w:t>
      </w:r>
    </w:p>
    <w:p w14:paraId="4CC9F3EC"/>
    <w:p w14:paraId="3D6E4E1D"/>
    <w:p w14:paraId="3966F2AA">
      <w:r>
        <w:t xml:space="preserve"> </w:t>
      </w:r>
    </w:p>
    <w:sectPr>
      <w:footerReference r:id="rId5" w:type="default"/>
      <w:pgSz w:w="11907" w:h="16840"/>
      <w:pgMar w:top="1440" w:right="1440" w:bottom="1440" w:left="1440" w:header="709" w:footer="709"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Arial MT">
    <w:altName w:val="Arial"/>
    <w:panose1 w:val="00000000000000000000"/>
    <w:charset w:val="01"/>
    <w:family w:val="swiss"/>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69616900"/>
      <w:docPartObj>
        <w:docPartGallery w:val="autotext"/>
      </w:docPartObj>
    </w:sdtPr>
    <w:sdtContent>
      <w:p w14:paraId="4D73AFF3">
        <w:pPr>
          <w:pStyle w:val="6"/>
          <w:tabs>
            <w:tab w:val="center" w:pos="4513"/>
            <w:tab w:val="right" w:pos="9026"/>
          </w:tabs>
          <w:jc w:val="center"/>
        </w:pPr>
        <w:r>
          <w:t xml:space="preserve">Page </w:t>
        </w:r>
        <w:r>
          <w:rPr>
            <w:b/>
            <w:bCs/>
          </w:rPr>
          <w:fldChar w:fldCharType="begin"/>
        </w:r>
        <w:r>
          <w:rPr>
            <w:b/>
            <w:bCs/>
          </w:rPr>
          <w:instrText xml:space="preserve"> PAGE </w:instrText>
        </w:r>
        <w:r>
          <w:rPr>
            <w:b/>
            <w:bCs/>
          </w:rPr>
          <w:fldChar w:fldCharType="separate"/>
        </w:r>
        <w:r>
          <w:rPr>
            <w:b/>
            <w:bCs/>
          </w:rPr>
          <w:t>4</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21</w:t>
        </w:r>
        <w:r>
          <w:rPr>
            <w:b/>
            <w:bCs/>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3FEC"/>
    <w:rsid w:val="000152DE"/>
    <w:rsid w:val="00043740"/>
    <w:rsid w:val="00081CF9"/>
    <w:rsid w:val="00093E98"/>
    <w:rsid w:val="00137497"/>
    <w:rsid w:val="00163FCE"/>
    <w:rsid w:val="001663DD"/>
    <w:rsid w:val="001A5684"/>
    <w:rsid w:val="002731E0"/>
    <w:rsid w:val="00281AF3"/>
    <w:rsid w:val="0031082A"/>
    <w:rsid w:val="0038023A"/>
    <w:rsid w:val="00412417"/>
    <w:rsid w:val="00504E45"/>
    <w:rsid w:val="005A7318"/>
    <w:rsid w:val="005F1821"/>
    <w:rsid w:val="005F569D"/>
    <w:rsid w:val="00625D2E"/>
    <w:rsid w:val="00644E20"/>
    <w:rsid w:val="00645A36"/>
    <w:rsid w:val="00652F92"/>
    <w:rsid w:val="006A7340"/>
    <w:rsid w:val="006B7DF1"/>
    <w:rsid w:val="006F265A"/>
    <w:rsid w:val="007307A1"/>
    <w:rsid w:val="00732BD7"/>
    <w:rsid w:val="007422BA"/>
    <w:rsid w:val="00770C35"/>
    <w:rsid w:val="007747B2"/>
    <w:rsid w:val="007E4BE0"/>
    <w:rsid w:val="008306BA"/>
    <w:rsid w:val="00865DB3"/>
    <w:rsid w:val="008844EC"/>
    <w:rsid w:val="00890543"/>
    <w:rsid w:val="008A7832"/>
    <w:rsid w:val="008B5815"/>
    <w:rsid w:val="00943A45"/>
    <w:rsid w:val="00983614"/>
    <w:rsid w:val="009A75A4"/>
    <w:rsid w:val="009F1024"/>
    <w:rsid w:val="00A12502"/>
    <w:rsid w:val="00A97F10"/>
    <w:rsid w:val="00AC5138"/>
    <w:rsid w:val="00AD3FEC"/>
    <w:rsid w:val="00B06FC1"/>
    <w:rsid w:val="00B37E91"/>
    <w:rsid w:val="00B634FA"/>
    <w:rsid w:val="00BA74DA"/>
    <w:rsid w:val="00BB46F6"/>
    <w:rsid w:val="00C039B3"/>
    <w:rsid w:val="00C7765F"/>
    <w:rsid w:val="00CE721A"/>
    <w:rsid w:val="00D530CC"/>
    <w:rsid w:val="00D8730C"/>
    <w:rsid w:val="00DF2554"/>
    <w:rsid w:val="00DF7FDC"/>
    <w:rsid w:val="00E04417"/>
    <w:rsid w:val="00E430CD"/>
    <w:rsid w:val="00E528C1"/>
    <w:rsid w:val="00EB00A5"/>
    <w:rsid w:val="00EF5FFD"/>
    <w:rsid w:val="00F01C30"/>
    <w:rsid w:val="00F211E8"/>
    <w:rsid w:val="00F51D07"/>
    <w:rsid w:val="00F64597"/>
    <w:rsid w:val="00F96DED"/>
    <w:rsid w:val="00FD4649"/>
    <w:rsid w:val="18CD5961"/>
    <w:rsid w:val="59505866"/>
    <w:rsid w:val="7A070C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ind w:firstLine="0"/>
      <w:jc w:val="both"/>
    </w:pPr>
    <w:rPr>
      <w:rFonts w:ascii="Arial" w:hAnsi="Arial" w:cs="Arial" w:eastAsiaTheme="minorHAnsi"/>
      <w:color w:val="000000" w:themeColor="text1"/>
      <w:kern w:val="0"/>
      <w:sz w:val="24"/>
      <w:szCs w:val="24"/>
      <w:lang w:val="en-GB" w:eastAsia="en-US" w:bidi="ar-SA"/>
      <w14:textFill>
        <w14:solidFill>
          <w14:schemeClr w14:val="tx1"/>
        </w14:solidFill>
      </w14:textFill>
      <w14:ligatures w14:val="none"/>
    </w:rPr>
  </w:style>
  <w:style w:type="paragraph" w:styleId="2">
    <w:name w:val="heading 1"/>
    <w:basedOn w:val="1"/>
    <w:next w:val="1"/>
    <w:link w:val="13"/>
    <w:qFormat/>
    <w:uiPriority w:val="9"/>
    <w:pPr>
      <w:keepNext/>
      <w:keepLines/>
      <w:spacing w:before="240" w:after="240"/>
      <w:ind w:right="2364"/>
      <w:jc w:val="left"/>
      <w:outlineLvl w:val="0"/>
    </w:pPr>
    <w:rPr>
      <w:rFonts w:eastAsiaTheme="majorEastAsia" w:cstheme="majorBidi"/>
      <w:b/>
      <w:sz w:val="32"/>
      <w:szCs w:val="32"/>
    </w:rPr>
  </w:style>
  <w:style w:type="paragraph" w:styleId="3">
    <w:name w:val="heading 2"/>
    <w:basedOn w:val="1"/>
    <w:next w:val="1"/>
    <w:link w:val="14"/>
    <w:unhideWhenUsed/>
    <w:qFormat/>
    <w:uiPriority w:val="9"/>
    <w:pPr>
      <w:keepNext/>
      <w:keepLines/>
      <w:spacing w:before="240" w:after="240"/>
      <w:outlineLvl w:val="1"/>
    </w:pPr>
    <w:rPr>
      <w:rFonts w:eastAsiaTheme="majorEastAsia" w:cstheme="majorBidi"/>
      <w:b/>
      <w:i/>
      <w:iCs/>
      <w:sz w:val="28"/>
      <w:szCs w:val="28"/>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footer"/>
    <w:basedOn w:val="1"/>
    <w:link w:val="12"/>
    <w:unhideWhenUsed/>
    <w:qFormat/>
    <w:uiPriority w:val="99"/>
    <w:pPr>
      <w:tabs>
        <w:tab w:val="center" w:pos="4680"/>
        <w:tab w:val="right" w:pos="9360"/>
      </w:tabs>
      <w:spacing w:after="0" w:line="240" w:lineRule="auto"/>
    </w:pPr>
  </w:style>
  <w:style w:type="paragraph" w:styleId="7">
    <w:name w:val="header"/>
    <w:basedOn w:val="1"/>
    <w:link w:val="11"/>
    <w:unhideWhenUsed/>
    <w:qFormat/>
    <w:uiPriority w:val="99"/>
    <w:pPr>
      <w:tabs>
        <w:tab w:val="center" w:pos="4680"/>
        <w:tab w:val="right" w:pos="9360"/>
      </w:tabs>
      <w:spacing w:after="0" w:line="240" w:lineRule="auto"/>
    </w:pPr>
  </w:style>
  <w:style w:type="character" w:styleId="8">
    <w:name w:val="Hyperlink"/>
    <w:basedOn w:val="4"/>
    <w:unhideWhenUsed/>
    <w:qFormat/>
    <w:uiPriority w:val="99"/>
    <w:rPr>
      <w:color w:val="0563C1" w:themeColor="hyperlink"/>
      <w:u w:val="single"/>
      <w14:textFill>
        <w14:solidFill>
          <w14:schemeClr w14:val="hlink"/>
        </w14:solidFill>
      </w14:textFill>
    </w:rPr>
  </w:style>
  <w:style w:type="paragraph" w:styleId="9">
    <w:name w:val="toc 1"/>
    <w:basedOn w:val="1"/>
    <w:next w:val="1"/>
    <w:autoRedefine/>
    <w:unhideWhenUsed/>
    <w:qFormat/>
    <w:uiPriority w:val="39"/>
    <w:pPr>
      <w:spacing w:after="100"/>
    </w:pPr>
  </w:style>
  <w:style w:type="paragraph" w:styleId="10">
    <w:name w:val="toc 2"/>
    <w:basedOn w:val="1"/>
    <w:next w:val="1"/>
    <w:autoRedefine/>
    <w:unhideWhenUsed/>
    <w:qFormat/>
    <w:uiPriority w:val="39"/>
    <w:pPr>
      <w:spacing w:after="100"/>
      <w:ind w:left="220"/>
    </w:pPr>
  </w:style>
  <w:style w:type="character" w:customStyle="1" w:styleId="11">
    <w:name w:val="Header Char"/>
    <w:basedOn w:val="4"/>
    <w:link w:val="7"/>
    <w:qFormat/>
    <w:uiPriority w:val="99"/>
  </w:style>
  <w:style w:type="character" w:customStyle="1" w:styleId="12">
    <w:name w:val="Footer Char"/>
    <w:basedOn w:val="4"/>
    <w:link w:val="6"/>
    <w:qFormat/>
    <w:uiPriority w:val="99"/>
  </w:style>
  <w:style w:type="character" w:customStyle="1" w:styleId="13">
    <w:name w:val="Heading 1 Char"/>
    <w:basedOn w:val="4"/>
    <w:link w:val="2"/>
    <w:qFormat/>
    <w:uiPriority w:val="9"/>
    <w:rPr>
      <w:rFonts w:ascii="Arial" w:hAnsi="Arial" w:eastAsiaTheme="majorEastAsia" w:cstheme="majorBidi"/>
      <w:b/>
      <w:color w:val="000000" w:themeColor="text1"/>
      <w:kern w:val="0"/>
      <w:sz w:val="32"/>
      <w:szCs w:val="32"/>
      <w:lang w:val="en-GB"/>
      <w14:textFill>
        <w14:solidFill>
          <w14:schemeClr w14:val="tx1"/>
        </w14:solidFill>
      </w14:textFill>
      <w14:ligatures w14:val="none"/>
    </w:rPr>
  </w:style>
  <w:style w:type="character" w:customStyle="1" w:styleId="14">
    <w:name w:val="Heading 2 Char"/>
    <w:basedOn w:val="4"/>
    <w:link w:val="3"/>
    <w:qFormat/>
    <w:uiPriority w:val="9"/>
    <w:rPr>
      <w:rFonts w:ascii="Arial" w:hAnsi="Arial" w:eastAsiaTheme="majorEastAsia" w:cstheme="majorBidi"/>
      <w:b/>
      <w:i/>
      <w:iCs/>
      <w:color w:val="000000" w:themeColor="text1"/>
      <w:kern w:val="0"/>
      <w:sz w:val="28"/>
      <w:szCs w:val="28"/>
      <w:lang w:val="en-GB"/>
      <w14:textFill>
        <w14:solidFill>
          <w14:schemeClr w14:val="tx1"/>
        </w14:solidFill>
      </w14:textFill>
      <w14:ligatures w14:val="none"/>
    </w:rPr>
  </w:style>
  <w:style w:type="paragraph" w:customStyle="1" w:styleId="15">
    <w:name w:val="TOC Heading"/>
    <w:basedOn w:val="2"/>
    <w:next w:val="1"/>
    <w:unhideWhenUsed/>
    <w:qFormat/>
    <w:uiPriority w:val="39"/>
    <w:pPr>
      <w:spacing w:line="259" w:lineRule="auto"/>
      <w:outlineLvl w:val="9"/>
    </w:pPr>
  </w:style>
  <w:style w:type="paragraph" w:customStyle="1" w:styleId="16">
    <w:name w:val="Table Paragraph"/>
    <w:basedOn w:val="1"/>
    <w:qFormat/>
    <w:uiPriority w:val="1"/>
    <w:pPr>
      <w:widowControl w:val="0"/>
      <w:autoSpaceDE w:val="0"/>
      <w:autoSpaceDN w:val="0"/>
      <w:spacing w:after="0" w:line="240" w:lineRule="auto"/>
      <w:ind w:left="107"/>
    </w:pPr>
    <w:rPr>
      <w:rFonts w:ascii="Arial MT" w:hAnsi="Arial MT" w:eastAsia="Arial MT" w:cs="Arial MT"/>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3776</Words>
  <Characters>23827</Characters>
  <Lines>433</Lines>
  <Paragraphs>156</Paragraphs>
  <TotalTime>30</TotalTime>
  <ScaleCrop>false</ScaleCrop>
  <LinksUpToDate>false</LinksUpToDate>
  <CharactersWithSpaces>27447</CharactersWithSpaces>
  <Application>WPS Office_12.2.0.17119_F1E327BC-269C-435d-A152-05C5408002CA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2024-06-30T17:00:00Z</dcterms:created>
  <dc:creator>Natalia Cojocaru</dc:creator>
  <cp:lastModifiedBy>Natalia Cojocaru</cp:lastModifiedBy>
  <dcterms:modified xsi:type="dcterms:W3CDTF">2024-07-07T20:37:35Z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20b3c1e4357341647efcc81caaee25df1ea33d797cbde501e30723d7304016bb</vt:lpwstr>
  </property>
  <property fmtid="{D5CDD505-2E9C-101B-9397-08002B2CF9AE}" pid="3" name="KSOProductBuildVer">
    <vt:lpwstr>2057-12.2.0.17119</vt:lpwstr>
  </property>
  <property fmtid="{D5CDD505-2E9C-101B-9397-08002B2CF9AE}" pid="4" name="ICV">
    <vt:lpwstr>44457B184ED14EEA862B9DFF39BF3294_13</vt:lpwstr>
  </property>
</Properties>
</file>