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C325B6" w14:textId="20C201AC" w:rsidR="00646406" w:rsidRPr="00D73FA2" w:rsidRDefault="00C57D61" w:rsidP="00DA2A69">
      <w:pPr>
        <w:spacing w:before="0" w:after="0" w:line="276" w:lineRule="auto"/>
        <w:jc w:val="center"/>
      </w:pPr>
      <w:r w:rsidRPr="00D73FA2">
        <w:rPr>
          <w:noProof/>
        </w:rPr>
        <w:drawing>
          <wp:inline distT="0" distB="0" distL="0" distR="0" wp14:anchorId="6412E298" wp14:editId="00F59B3E">
            <wp:extent cx="5753100" cy="2301240"/>
            <wp:effectExtent l="0" t="0" r="0" b="381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53100" cy="2301240"/>
                    </a:xfrm>
                    <a:prstGeom prst="rect">
                      <a:avLst/>
                    </a:prstGeom>
                    <a:noFill/>
                  </pic:spPr>
                </pic:pic>
              </a:graphicData>
            </a:graphic>
          </wp:inline>
        </w:drawing>
      </w:r>
      <w:r w:rsidR="00646406" w:rsidRPr="00D73FA2">
        <w:fldChar w:fldCharType="begin"/>
      </w:r>
      <w:r w:rsidRPr="00D73FA2">
        <w:instrText xml:space="preserve"> INCLUDEPICTURE "C:\\Users\\AzZedin01\\Library\\Group Containers\\UBF8T346G9.ms\\WebArchiveCopyPasteTempFiles\\com.microsoft.Word\\8P2xdp3q1g646AAAAAElFTkSuQmCC" \* MERGEFORMAT </w:instrText>
      </w:r>
      <w:r w:rsidR="00646406" w:rsidRPr="00D73FA2">
        <w:fldChar w:fldCharType="separate"/>
      </w:r>
      <w:r w:rsidR="00646406" w:rsidRPr="00D73FA2">
        <w:fldChar w:fldCharType="end"/>
      </w:r>
    </w:p>
    <w:p w14:paraId="6D0C4720" w14:textId="77777777" w:rsidR="00646406" w:rsidRPr="00D73FA2" w:rsidRDefault="00646406" w:rsidP="00DA2A69">
      <w:pPr>
        <w:spacing w:before="0" w:after="0" w:line="276" w:lineRule="auto"/>
        <w:jc w:val="center"/>
      </w:pPr>
    </w:p>
    <w:p w14:paraId="384AD48D" w14:textId="77777777" w:rsidR="00646406" w:rsidRPr="00D73FA2" w:rsidRDefault="00646406" w:rsidP="00DA2A69">
      <w:pPr>
        <w:spacing w:before="0" w:after="0" w:line="276" w:lineRule="auto"/>
        <w:jc w:val="center"/>
      </w:pPr>
    </w:p>
    <w:p w14:paraId="1C4A58E1" w14:textId="77777777" w:rsidR="00646406" w:rsidRPr="00D73FA2" w:rsidRDefault="00646406" w:rsidP="00DA2A69">
      <w:pPr>
        <w:spacing w:before="0" w:after="0" w:line="276" w:lineRule="auto"/>
        <w:jc w:val="center"/>
      </w:pPr>
    </w:p>
    <w:p w14:paraId="21811744" w14:textId="77777777" w:rsidR="00646406" w:rsidRPr="00D73FA2" w:rsidRDefault="00646406" w:rsidP="00DA2A69">
      <w:pPr>
        <w:spacing w:before="0" w:after="0" w:line="276" w:lineRule="auto"/>
        <w:jc w:val="center"/>
      </w:pPr>
    </w:p>
    <w:p w14:paraId="1EC34BAD" w14:textId="77777777" w:rsidR="00646406" w:rsidRPr="00D73FA2" w:rsidRDefault="00646406" w:rsidP="00DA2A69">
      <w:pPr>
        <w:spacing w:before="0" w:after="0" w:line="276" w:lineRule="auto"/>
        <w:jc w:val="center"/>
      </w:pPr>
    </w:p>
    <w:p w14:paraId="5AD70FA4" w14:textId="77777777" w:rsidR="006C44B4" w:rsidRPr="00646406" w:rsidRDefault="006C44B4" w:rsidP="006C44B4">
      <w:pPr>
        <w:spacing w:before="0" w:after="0" w:line="276" w:lineRule="auto"/>
        <w:jc w:val="left"/>
        <w:rPr>
          <w:rFonts w:ascii="Arial" w:hAnsi="Arial" w:cs="Arial"/>
          <w:b/>
          <w:bCs/>
        </w:rPr>
      </w:pPr>
      <w:r w:rsidRPr="00646406">
        <w:rPr>
          <w:rFonts w:ascii="Arial" w:hAnsi="Arial" w:cs="Arial"/>
          <w:b/>
          <w:bCs/>
        </w:rPr>
        <w:t>Student Name:</w:t>
      </w:r>
      <w:r>
        <w:rPr>
          <w:rFonts w:ascii="Arial" w:hAnsi="Arial" w:cs="Arial"/>
          <w:b/>
          <w:bCs/>
        </w:rPr>
        <w:t xml:space="preserve"> Jay Prajapati</w:t>
      </w:r>
    </w:p>
    <w:p w14:paraId="077FEA63" w14:textId="77777777" w:rsidR="006C44B4" w:rsidRPr="00646406" w:rsidRDefault="006C44B4" w:rsidP="006C44B4">
      <w:pPr>
        <w:spacing w:before="0" w:after="0" w:line="276" w:lineRule="auto"/>
        <w:jc w:val="left"/>
        <w:rPr>
          <w:rFonts w:ascii="Arial" w:hAnsi="Arial" w:cs="Arial"/>
          <w:b/>
          <w:bCs/>
        </w:rPr>
      </w:pPr>
    </w:p>
    <w:p w14:paraId="514F8958" w14:textId="77777777" w:rsidR="006C44B4" w:rsidRPr="00646406" w:rsidRDefault="006C44B4" w:rsidP="006C44B4">
      <w:pPr>
        <w:spacing w:before="0" w:after="0" w:line="276" w:lineRule="auto"/>
        <w:jc w:val="left"/>
        <w:rPr>
          <w:rFonts w:ascii="Arial" w:hAnsi="Arial" w:cs="Arial"/>
          <w:b/>
          <w:bCs/>
        </w:rPr>
      </w:pPr>
      <w:r w:rsidRPr="00646406">
        <w:rPr>
          <w:rFonts w:ascii="Arial" w:hAnsi="Arial" w:cs="Arial"/>
          <w:b/>
          <w:bCs/>
        </w:rPr>
        <w:t>Student ID:</w:t>
      </w:r>
      <w:r>
        <w:rPr>
          <w:rFonts w:ascii="Arial" w:hAnsi="Arial" w:cs="Arial"/>
          <w:b/>
          <w:bCs/>
        </w:rPr>
        <w:t xml:space="preserve"> 2436028</w:t>
      </w:r>
    </w:p>
    <w:p w14:paraId="7354C357" w14:textId="77777777" w:rsidR="006C44B4" w:rsidRPr="00646406" w:rsidRDefault="006C44B4" w:rsidP="006C44B4">
      <w:pPr>
        <w:spacing w:before="0" w:after="0" w:line="276" w:lineRule="auto"/>
        <w:jc w:val="left"/>
        <w:rPr>
          <w:rFonts w:ascii="Arial" w:hAnsi="Arial" w:cs="Arial"/>
        </w:rPr>
      </w:pPr>
    </w:p>
    <w:p w14:paraId="15D6E0A9" w14:textId="0690AC0C" w:rsidR="006C44B4" w:rsidRPr="00646406" w:rsidRDefault="006C44B4" w:rsidP="006C44B4">
      <w:pPr>
        <w:spacing w:before="0" w:after="0" w:line="276" w:lineRule="auto"/>
        <w:jc w:val="left"/>
        <w:rPr>
          <w:rFonts w:ascii="Arial" w:hAnsi="Arial" w:cs="Arial"/>
          <w:b/>
          <w:bCs/>
        </w:rPr>
      </w:pPr>
      <w:r w:rsidRPr="00646406">
        <w:rPr>
          <w:rFonts w:ascii="Arial" w:hAnsi="Arial" w:cs="Arial"/>
          <w:b/>
          <w:bCs/>
        </w:rPr>
        <w:t xml:space="preserve">Module Name: </w:t>
      </w:r>
      <w:r w:rsidR="001F0C7D" w:rsidRPr="001F0C7D">
        <w:rPr>
          <w:rFonts w:ascii="Arial" w:hAnsi="Arial" w:cs="Arial"/>
          <w:b/>
          <w:bCs/>
        </w:rPr>
        <w:t xml:space="preserve">International </w:t>
      </w:r>
      <w:r w:rsidR="00E84792">
        <w:rPr>
          <w:rFonts w:ascii="Arial" w:hAnsi="Arial" w:cs="Arial"/>
          <w:b/>
          <w:bCs/>
        </w:rPr>
        <w:t>Business</w:t>
      </w:r>
      <w:r w:rsidR="00355110">
        <w:rPr>
          <w:rFonts w:ascii="Arial" w:hAnsi="Arial" w:cs="Arial"/>
          <w:b/>
          <w:bCs/>
        </w:rPr>
        <w:t xml:space="preserve"> Concepts</w:t>
      </w:r>
    </w:p>
    <w:p w14:paraId="6F757734" w14:textId="77777777" w:rsidR="006C44B4" w:rsidRPr="00646406" w:rsidRDefault="006C44B4" w:rsidP="006C44B4">
      <w:pPr>
        <w:spacing w:before="0" w:after="0" w:line="276" w:lineRule="auto"/>
        <w:jc w:val="left"/>
        <w:rPr>
          <w:rFonts w:ascii="Arial" w:hAnsi="Arial" w:cs="Arial"/>
          <w:b/>
          <w:bCs/>
        </w:rPr>
      </w:pPr>
    </w:p>
    <w:p w14:paraId="086AEE7F" w14:textId="3EBD4F3B" w:rsidR="006C44B4" w:rsidRPr="00646406" w:rsidRDefault="006C44B4" w:rsidP="006C44B4">
      <w:pPr>
        <w:spacing w:before="0" w:after="0" w:line="276" w:lineRule="auto"/>
        <w:jc w:val="left"/>
        <w:rPr>
          <w:rFonts w:ascii="Arial" w:hAnsi="Arial" w:cs="Arial"/>
          <w:b/>
          <w:bCs/>
        </w:rPr>
      </w:pPr>
      <w:r w:rsidRPr="00646406">
        <w:rPr>
          <w:rFonts w:ascii="Arial" w:hAnsi="Arial" w:cs="Arial"/>
          <w:b/>
          <w:bCs/>
        </w:rPr>
        <w:t xml:space="preserve">Module Code: </w:t>
      </w:r>
      <w:r w:rsidR="001F0C7D" w:rsidRPr="001F0C7D">
        <w:rPr>
          <w:rFonts w:ascii="Arial" w:hAnsi="Arial" w:cs="Arial"/>
          <w:b/>
          <w:bCs/>
        </w:rPr>
        <w:t>LCMB70</w:t>
      </w:r>
      <w:r w:rsidR="001F287C">
        <w:rPr>
          <w:rFonts w:ascii="Arial" w:hAnsi="Arial" w:cs="Arial"/>
          <w:b/>
          <w:bCs/>
        </w:rPr>
        <w:t>3</w:t>
      </w:r>
      <w:r w:rsidR="009B48ED">
        <w:rPr>
          <w:rFonts w:ascii="Arial" w:hAnsi="Arial" w:cs="Arial"/>
          <w:b/>
          <w:bCs/>
        </w:rPr>
        <w:t>4</w:t>
      </w:r>
    </w:p>
    <w:p w14:paraId="094C2122" w14:textId="77777777" w:rsidR="006C44B4" w:rsidRPr="00646406" w:rsidRDefault="006C44B4" w:rsidP="006C44B4">
      <w:pPr>
        <w:spacing w:before="0" w:after="0" w:line="276" w:lineRule="auto"/>
        <w:jc w:val="left"/>
        <w:rPr>
          <w:rFonts w:ascii="Arial" w:hAnsi="Arial" w:cs="Arial"/>
          <w:b/>
          <w:bCs/>
        </w:rPr>
      </w:pPr>
    </w:p>
    <w:p w14:paraId="489FC229" w14:textId="33BE29B2" w:rsidR="006C44B4" w:rsidRPr="00646406" w:rsidRDefault="006C44B4" w:rsidP="006C44B4">
      <w:pPr>
        <w:spacing w:before="0" w:after="0" w:line="276" w:lineRule="auto"/>
        <w:jc w:val="left"/>
        <w:rPr>
          <w:rFonts w:ascii="Arial" w:hAnsi="Arial" w:cs="Arial"/>
          <w:b/>
          <w:bCs/>
        </w:rPr>
      </w:pPr>
      <w:r w:rsidRPr="00646406">
        <w:rPr>
          <w:rFonts w:ascii="Arial" w:hAnsi="Arial" w:cs="Arial"/>
          <w:b/>
          <w:bCs/>
        </w:rPr>
        <w:t>Lecturer’s Name:</w:t>
      </w:r>
      <w:r>
        <w:rPr>
          <w:rFonts w:ascii="Arial" w:hAnsi="Arial" w:cs="Arial"/>
          <w:b/>
          <w:bCs/>
        </w:rPr>
        <w:t xml:space="preserve"> </w:t>
      </w:r>
      <w:r w:rsidR="00092BF9" w:rsidRPr="00092BF9">
        <w:rPr>
          <w:rFonts w:ascii="Arial" w:hAnsi="Arial" w:cs="Arial"/>
          <w:b/>
          <w:bCs/>
        </w:rPr>
        <w:t>Dr. Jean Wang</w:t>
      </w:r>
    </w:p>
    <w:p w14:paraId="33E86A33" w14:textId="77777777" w:rsidR="006C44B4" w:rsidRPr="00646406" w:rsidRDefault="006C44B4" w:rsidP="006C44B4">
      <w:pPr>
        <w:spacing w:before="0" w:after="0" w:line="276" w:lineRule="auto"/>
        <w:jc w:val="left"/>
        <w:rPr>
          <w:rFonts w:ascii="Arial" w:hAnsi="Arial" w:cs="Arial"/>
          <w:b/>
          <w:bCs/>
        </w:rPr>
      </w:pPr>
    </w:p>
    <w:p w14:paraId="2CC2A054" w14:textId="77777777" w:rsidR="00646406" w:rsidRPr="00D73FA2" w:rsidRDefault="00646406" w:rsidP="00DA2A69">
      <w:pPr>
        <w:spacing w:before="0" w:after="0" w:line="276" w:lineRule="auto"/>
        <w:jc w:val="center"/>
        <w:rPr>
          <w:rFonts w:ascii="Arial" w:hAnsi="Arial" w:cs="Arial"/>
          <w:b/>
          <w:bCs/>
        </w:rPr>
      </w:pPr>
    </w:p>
    <w:p w14:paraId="6A8F56C7" w14:textId="77777777" w:rsidR="00646406" w:rsidRPr="00D73FA2" w:rsidRDefault="00646406" w:rsidP="00DA2A69">
      <w:pPr>
        <w:spacing w:before="0" w:after="0" w:line="276" w:lineRule="auto"/>
        <w:jc w:val="center"/>
        <w:rPr>
          <w:rFonts w:ascii="Arial" w:hAnsi="Arial" w:cs="Arial"/>
          <w:b/>
          <w:bCs/>
        </w:rPr>
      </w:pPr>
    </w:p>
    <w:p w14:paraId="74532E5F" w14:textId="77777777" w:rsidR="00646406" w:rsidRPr="00D73FA2" w:rsidRDefault="00646406" w:rsidP="00DA2A69">
      <w:pPr>
        <w:spacing w:before="0" w:after="0" w:line="276" w:lineRule="auto"/>
        <w:jc w:val="center"/>
        <w:rPr>
          <w:rFonts w:ascii="Arial" w:hAnsi="Arial" w:cs="Arial"/>
          <w:b/>
          <w:bCs/>
        </w:rPr>
      </w:pPr>
    </w:p>
    <w:p w14:paraId="102B9D5E" w14:textId="77777777" w:rsidR="00646406" w:rsidRPr="00D73FA2" w:rsidRDefault="00646406" w:rsidP="00DA2A69">
      <w:pPr>
        <w:spacing w:before="0" w:after="0" w:line="276" w:lineRule="auto"/>
        <w:jc w:val="center"/>
        <w:rPr>
          <w:rFonts w:ascii="Arial" w:hAnsi="Arial" w:cs="Arial"/>
          <w:b/>
          <w:bCs/>
        </w:rPr>
      </w:pPr>
    </w:p>
    <w:p w14:paraId="795BE6E7" w14:textId="16C05007" w:rsidR="00646406" w:rsidRPr="00D73FA2" w:rsidRDefault="00646406" w:rsidP="00DA2A69">
      <w:pPr>
        <w:spacing w:before="0" w:after="0"/>
        <w:rPr>
          <w:b/>
          <w:bCs/>
        </w:rPr>
      </w:pPr>
      <w:r w:rsidRPr="00D73FA2">
        <w:rPr>
          <w:b/>
          <w:bCs/>
        </w:rPr>
        <w:br w:type="page"/>
      </w:r>
    </w:p>
    <w:sdt>
      <w:sdtPr>
        <w:rPr>
          <w:rFonts w:eastAsiaTheme="minorHAnsi" w:cstheme="minorBidi"/>
          <w:bCs w:val="0"/>
          <w:kern w:val="2"/>
          <w:sz w:val="24"/>
          <w:szCs w:val="24"/>
          <w:lang w:val="en-GB"/>
          <w14:ligatures w14:val="standardContextual"/>
        </w:rPr>
        <w:id w:val="1534770230"/>
        <w:docPartObj>
          <w:docPartGallery w:val="Table of Contents"/>
          <w:docPartUnique/>
        </w:docPartObj>
      </w:sdtPr>
      <w:sdtEndPr>
        <w:rPr>
          <w:b/>
          <w:noProof/>
        </w:rPr>
      </w:sdtEndPr>
      <w:sdtContent>
        <w:p w14:paraId="7055B393" w14:textId="77777777" w:rsidR="006B701B" w:rsidRPr="00CE5328" w:rsidRDefault="006B701B">
          <w:pPr>
            <w:pStyle w:val="TOCHeading"/>
            <w:rPr>
              <w:b/>
              <w:bCs w:val="0"/>
            </w:rPr>
          </w:pPr>
          <w:r w:rsidRPr="00CE5328">
            <w:rPr>
              <w:b/>
              <w:bCs w:val="0"/>
            </w:rPr>
            <w:t>Contents</w:t>
          </w:r>
        </w:p>
        <w:p w14:paraId="1236B7A9" w14:textId="24C66C8A" w:rsidR="0028019C" w:rsidRDefault="006B701B">
          <w:pPr>
            <w:pStyle w:val="TOC1"/>
            <w:tabs>
              <w:tab w:val="left" w:pos="480"/>
              <w:tab w:val="right" w:leader="dot" w:pos="9016"/>
            </w:tabs>
            <w:rPr>
              <w:rFonts w:asciiTheme="minorHAnsi" w:eastAsiaTheme="minorEastAsia" w:hAnsiTheme="minorHAnsi"/>
              <w:bCs w:val="0"/>
              <w:iCs w:val="0"/>
              <w:noProof/>
              <w:color w:val="auto"/>
              <w:lang w:val="en-US"/>
            </w:rPr>
          </w:pPr>
          <w:r>
            <w:fldChar w:fldCharType="begin"/>
          </w:r>
          <w:r>
            <w:instrText xml:space="preserve"> TOC \o "1-3" \h \z \u </w:instrText>
          </w:r>
          <w:r>
            <w:fldChar w:fldCharType="separate"/>
          </w:r>
          <w:hyperlink w:anchor="_Toc216691264" w:history="1">
            <w:r w:rsidR="0028019C" w:rsidRPr="008C25B3">
              <w:rPr>
                <w:rStyle w:val="Hyperlink"/>
                <w:noProof/>
              </w:rPr>
              <w:t>1.</w:t>
            </w:r>
            <w:r w:rsidR="0028019C">
              <w:rPr>
                <w:rFonts w:asciiTheme="minorHAnsi" w:eastAsiaTheme="minorEastAsia" w:hAnsiTheme="minorHAnsi"/>
                <w:bCs w:val="0"/>
                <w:iCs w:val="0"/>
                <w:noProof/>
                <w:color w:val="auto"/>
                <w:lang w:val="en-US"/>
              </w:rPr>
              <w:tab/>
            </w:r>
            <w:r w:rsidR="0028019C" w:rsidRPr="008C25B3">
              <w:rPr>
                <w:rStyle w:val="Hyperlink"/>
                <w:noProof/>
              </w:rPr>
              <w:t>Introduction</w:t>
            </w:r>
            <w:r w:rsidR="0028019C">
              <w:rPr>
                <w:noProof/>
                <w:webHidden/>
              </w:rPr>
              <w:tab/>
            </w:r>
            <w:r w:rsidR="0028019C">
              <w:rPr>
                <w:noProof/>
                <w:webHidden/>
              </w:rPr>
              <w:fldChar w:fldCharType="begin"/>
            </w:r>
            <w:r w:rsidR="0028019C">
              <w:rPr>
                <w:noProof/>
                <w:webHidden/>
              </w:rPr>
              <w:instrText xml:space="preserve"> PAGEREF _Toc216691264 \h </w:instrText>
            </w:r>
            <w:r w:rsidR="0028019C">
              <w:rPr>
                <w:noProof/>
                <w:webHidden/>
              </w:rPr>
            </w:r>
            <w:r w:rsidR="0028019C">
              <w:rPr>
                <w:noProof/>
                <w:webHidden/>
              </w:rPr>
              <w:fldChar w:fldCharType="separate"/>
            </w:r>
            <w:r w:rsidR="0028019C">
              <w:rPr>
                <w:noProof/>
                <w:webHidden/>
              </w:rPr>
              <w:t>3</w:t>
            </w:r>
            <w:r w:rsidR="0028019C">
              <w:rPr>
                <w:noProof/>
                <w:webHidden/>
              </w:rPr>
              <w:fldChar w:fldCharType="end"/>
            </w:r>
          </w:hyperlink>
        </w:p>
        <w:p w14:paraId="58308218" w14:textId="60F40482" w:rsidR="0028019C" w:rsidRDefault="0028019C">
          <w:pPr>
            <w:pStyle w:val="TOC1"/>
            <w:tabs>
              <w:tab w:val="left" w:pos="480"/>
              <w:tab w:val="right" w:leader="dot" w:pos="9016"/>
            </w:tabs>
            <w:rPr>
              <w:rFonts w:asciiTheme="minorHAnsi" w:eastAsiaTheme="minorEastAsia" w:hAnsiTheme="minorHAnsi"/>
              <w:bCs w:val="0"/>
              <w:iCs w:val="0"/>
              <w:noProof/>
              <w:color w:val="auto"/>
              <w:lang w:val="en-US"/>
            </w:rPr>
          </w:pPr>
          <w:hyperlink w:anchor="_Toc216691265" w:history="1">
            <w:r w:rsidRPr="008C25B3">
              <w:rPr>
                <w:rStyle w:val="Hyperlink"/>
                <w:noProof/>
              </w:rPr>
              <w:t>2.</w:t>
            </w:r>
            <w:r>
              <w:rPr>
                <w:rFonts w:asciiTheme="minorHAnsi" w:eastAsiaTheme="minorEastAsia" w:hAnsiTheme="minorHAnsi"/>
                <w:bCs w:val="0"/>
                <w:iCs w:val="0"/>
                <w:noProof/>
                <w:color w:val="auto"/>
                <w:lang w:val="en-US"/>
              </w:rPr>
              <w:tab/>
            </w:r>
            <w:r w:rsidRPr="008C25B3">
              <w:rPr>
                <w:rStyle w:val="Hyperlink"/>
                <w:noProof/>
              </w:rPr>
              <w:t>Overview of Procter and Gamble (P&amp;G)</w:t>
            </w:r>
            <w:r>
              <w:rPr>
                <w:noProof/>
                <w:webHidden/>
              </w:rPr>
              <w:tab/>
            </w:r>
            <w:r>
              <w:rPr>
                <w:noProof/>
                <w:webHidden/>
              </w:rPr>
              <w:fldChar w:fldCharType="begin"/>
            </w:r>
            <w:r>
              <w:rPr>
                <w:noProof/>
                <w:webHidden/>
              </w:rPr>
              <w:instrText xml:space="preserve"> PAGEREF _Toc216691265 \h </w:instrText>
            </w:r>
            <w:r>
              <w:rPr>
                <w:noProof/>
                <w:webHidden/>
              </w:rPr>
            </w:r>
            <w:r>
              <w:rPr>
                <w:noProof/>
                <w:webHidden/>
              </w:rPr>
              <w:fldChar w:fldCharType="separate"/>
            </w:r>
            <w:r>
              <w:rPr>
                <w:noProof/>
                <w:webHidden/>
              </w:rPr>
              <w:t>3</w:t>
            </w:r>
            <w:r>
              <w:rPr>
                <w:noProof/>
                <w:webHidden/>
              </w:rPr>
              <w:fldChar w:fldCharType="end"/>
            </w:r>
          </w:hyperlink>
        </w:p>
        <w:p w14:paraId="57FBB94B" w14:textId="0786C55D" w:rsidR="0028019C" w:rsidRDefault="0028019C">
          <w:pPr>
            <w:pStyle w:val="TOC1"/>
            <w:tabs>
              <w:tab w:val="left" w:pos="480"/>
              <w:tab w:val="right" w:leader="dot" w:pos="9016"/>
            </w:tabs>
            <w:rPr>
              <w:rFonts w:asciiTheme="minorHAnsi" w:eastAsiaTheme="minorEastAsia" w:hAnsiTheme="minorHAnsi"/>
              <w:bCs w:val="0"/>
              <w:iCs w:val="0"/>
              <w:noProof/>
              <w:color w:val="auto"/>
              <w:lang w:val="en-US"/>
            </w:rPr>
          </w:pPr>
          <w:hyperlink w:anchor="_Toc216691266" w:history="1">
            <w:r w:rsidRPr="008C25B3">
              <w:rPr>
                <w:rStyle w:val="Hyperlink"/>
                <w:noProof/>
              </w:rPr>
              <w:t>3.</w:t>
            </w:r>
            <w:r>
              <w:rPr>
                <w:rFonts w:asciiTheme="minorHAnsi" w:eastAsiaTheme="minorEastAsia" w:hAnsiTheme="minorHAnsi"/>
                <w:bCs w:val="0"/>
                <w:iCs w:val="0"/>
                <w:noProof/>
                <w:color w:val="auto"/>
                <w:lang w:val="en-US"/>
              </w:rPr>
              <w:tab/>
            </w:r>
            <w:r w:rsidRPr="008C25B3">
              <w:rPr>
                <w:rStyle w:val="Hyperlink"/>
                <w:noProof/>
              </w:rPr>
              <w:t>Why Procter and Gamble is an MNC or TNC</w:t>
            </w:r>
            <w:r>
              <w:rPr>
                <w:noProof/>
                <w:webHidden/>
              </w:rPr>
              <w:tab/>
            </w:r>
            <w:r>
              <w:rPr>
                <w:noProof/>
                <w:webHidden/>
              </w:rPr>
              <w:fldChar w:fldCharType="begin"/>
            </w:r>
            <w:r>
              <w:rPr>
                <w:noProof/>
                <w:webHidden/>
              </w:rPr>
              <w:instrText xml:space="preserve"> PAGEREF _Toc216691266 \h </w:instrText>
            </w:r>
            <w:r>
              <w:rPr>
                <w:noProof/>
                <w:webHidden/>
              </w:rPr>
            </w:r>
            <w:r>
              <w:rPr>
                <w:noProof/>
                <w:webHidden/>
              </w:rPr>
              <w:fldChar w:fldCharType="separate"/>
            </w:r>
            <w:r>
              <w:rPr>
                <w:noProof/>
                <w:webHidden/>
              </w:rPr>
              <w:t>5</w:t>
            </w:r>
            <w:r>
              <w:rPr>
                <w:noProof/>
                <w:webHidden/>
              </w:rPr>
              <w:fldChar w:fldCharType="end"/>
            </w:r>
          </w:hyperlink>
        </w:p>
        <w:p w14:paraId="6F0065A2" w14:textId="4E11DF2A" w:rsidR="0028019C" w:rsidRDefault="0028019C">
          <w:pPr>
            <w:pStyle w:val="TOC1"/>
            <w:tabs>
              <w:tab w:val="left" w:pos="480"/>
              <w:tab w:val="right" w:leader="dot" w:pos="9016"/>
            </w:tabs>
            <w:rPr>
              <w:rFonts w:asciiTheme="minorHAnsi" w:eastAsiaTheme="minorEastAsia" w:hAnsiTheme="minorHAnsi"/>
              <w:bCs w:val="0"/>
              <w:iCs w:val="0"/>
              <w:noProof/>
              <w:color w:val="auto"/>
              <w:lang w:val="en-US"/>
            </w:rPr>
          </w:pPr>
          <w:hyperlink w:anchor="_Toc216691267" w:history="1">
            <w:r w:rsidRPr="008C25B3">
              <w:rPr>
                <w:rStyle w:val="Hyperlink"/>
                <w:noProof/>
                <w:lang w:val="en-US"/>
              </w:rPr>
              <w:t>4.</w:t>
            </w:r>
            <w:r>
              <w:rPr>
                <w:rFonts w:asciiTheme="minorHAnsi" w:eastAsiaTheme="minorEastAsia" w:hAnsiTheme="minorHAnsi"/>
                <w:bCs w:val="0"/>
                <w:iCs w:val="0"/>
                <w:noProof/>
                <w:color w:val="auto"/>
                <w:lang w:val="en-US"/>
              </w:rPr>
              <w:tab/>
            </w:r>
            <w:r w:rsidRPr="008C25B3">
              <w:rPr>
                <w:rStyle w:val="Hyperlink"/>
                <w:noProof/>
                <w:lang w:val="en-US"/>
              </w:rPr>
              <w:t>Nature of Global Operations</w:t>
            </w:r>
            <w:r>
              <w:rPr>
                <w:noProof/>
                <w:webHidden/>
              </w:rPr>
              <w:tab/>
            </w:r>
            <w:r>
              <w:rPr>
                <w:noProof/>
                <w:webHidden/>
              </w:rPr>
              <w:fldChar w:fldCharType="begin"/>
            </w:r>
            <w:r>
              <w:rPr>
                <w:noProof/>
                <w:webHidden/>
              </w:rPr>
              <w:instrText xml:space="preserve"> PAGEREF _Toc216691267 \h </w:instrText>
            </w:r>
            <w:r>
              <w:rPr>
                <w:noProof/>
                <w:webHidden/>
              </w:rPr>
            </w:r>
            <w:r>
              <w:rPr>
                <w:noProof/>
                <w:webHidden/>
              </w:rPr>
              <w:fldChar w:fldCharType="separate"/>
            </w:r>
            <w:r>
              <w:rPr>
                <w:noProof/>
                <w:webHidden/>
              </w:rPr>
              <w:t>5</w:t>
            </w:r>
            <w:r>
              <w:rPr>
                <w:noProof/>
                <w:webHidden/>
              </w:rPr>
              <w:fldChar w:fldCharType="end"/>
            </w:r>
          </w:hyperlink>
        </w:p>
        <w:p w14:paraId="7D47ED8F" w14:textId="25792C6A" w:rsidR="0028019C" w:rsidRDefault="0028019C">
          <w:pPr>
            <w:pStyle w:val="TOC2"/>
            <w:tabs>
              <w:tab w:val="left" w:pos="960"/>
              <w:tab w:val="right" w:leader="dot" w:pos="9016"/>
            </w:tabs>
            <w:rPr>
              <w:rFonts w:asciiTheme="minorHAnsi" w:eastAsiaTheme="minorEastAsia" w:hAnsiTheme="minorHAnsi"/>
              <w:bCs w:val="0"/>
              <w:noProof/>
              <w:color w:val="auto"/>
              <w:szCs w:val="24"/>
              <w:lang w:val="en-US"/>
            </w:rPr>
          </w:pPr>
          <w:hyperlink w:anchor="_Toc216691268" w:history="1">
            <w:r w:rsidRPr="008C25B3">
              <w:rPr>
                <w:rStyle w:val="Hyperlink"/>
                <w:noProof/>
                <w:lang w:val="en-US"/>
              </w:rPr>
              <w:t>4.1</w:t>
            </w:r>
            <w:r>
              <w:rPr>
                <w:rFonts w:asciiTheme="minorHAnsi" w:eastAsiaTheme="minorEastAsia" w:hAnsiTheme="minorHAnsi"/>
                <w:bCs w:val="0"/>
                <w:noProof/>
                <w:color w:val="auto"/>
                <w:szCs w:val="24"/>
                <w:lang w:val="en-US"/>
              </w:rPr>
              <w:tab/>
            </w:r>
            <w:r w:rsidRPr="008C25B3">
              <w:rPr>
                <w:rStyle w:val="Hyperlink"/>
                <w:noProof/>
                <w:lang w:val="en-US"/>
              </w:rPr>
              <w:t>Entry modes used by P&amp;G</w:t>
            </w:r>
            <w:r>
              <w:rPr>
                <w:noProof/>
                <w:webHidden/>
              </w:rPr>
              <w:tab/>
            </w:r>
            <w:r>
              <w:rPr>
                <w:noProof/>
                <w:webHidden/>
              </w:rPr>
              <w:fldChar w:fldCharType="begin"/>
            </w:r>
            <w:r>
              <w:rPr>
                <w:noProof/>
                <w:webHidden/>
              </w:rPr>
              <w:instrText xml:space="preserve"> PAGEREF _Toc216691268 \h </w:instrText>
            </w:r>
            <w:r>
              <w:rPr>
                <w:noProof/>
                <w:webHidden/>
              </w:rPr>
            </w:r>
            <w:r>
              <w:rPr>
                <w:noProof/>
                <w:webHidden/>
              </w:rPr>
              <w:fldChar w:fldCharType="separate"/>
            </w:r>
            <w:r>
              <w:rPr>
                <w:noProof/>
                <w:webHidden/>
              </w:rPr>
              <w:t>7</w:t>
            </w:r>
            <w:r>
              <w:rPr>
                <w:noProof/>
                <w:webHidden/>
              </w:rPr>
              <w:fldChar w:fldCharType="end"/>
            </w:r>
          </w:hyperlink>
        </w:p>
        <w:p w14:paraId="4B7194F0" w14:textId="6A23ED44" w:rsidR="0028019C" w:rsidRDefault="0028019C">
          <w:pPr>
            <w:pStyle w:val="TOC1"/>
            <w:tabs>
              <w:tab w:val="left" w:pos="480"/>
              <w:tab w:val="right" w:leader="dot" w:pos="9016"/>
            </w:tabs>
            <w:rPr>
              <w:rFonts w:asciiTheme="minorHAnsi" w:eastAsiaTheme="minorEastAsia" w:hAnsiTheme="minorHAnsi"/>
              <w:bCs w:val="0"/>
              <w:iCs w:val="0"/>
              <w:noProof/>
              <w:color w:val="auto"/>
              <w:lang w:val="en-US"/>
            </w:rPr>
          </w:pPr>
          <w:hyperlink w:anchor="_Toc216691269" w:history="1">
            <w:r w:rsidRPr="008C25B3">
              <w:rPr>
                <w:rStyle w:val="Hyperlink"/>
                <w:noProof/>
              </w:rPr>
              <w:t>5.</w:t>
            </w:r>
            <w:r>
              <w:rPr>
                <w:rFonts w:asciiTheme="minorHAnsi" w:eastAsiaTheme="minorEastAsia" w:hAnsiTheme="minorHAnsi"/>
                <w:bCs w:val="0"/>
                <w:iCs w:val="0"/>
                <w:noProof/>
                <w:color w:val="auto"/>
                <w:lang w:val="en-US"/>
              </w:rPr>
              <w:tab/>
            </w:r>
            <w:r w:rsidRPr="008C25B3">
              <w:rPr>
                <w:rStyle w:val="Hyperlink"/>
                <w:noProof/>
              </w:rPr>
              <w:t>Key benefits and challenges obtained by the company from its international operations</w:t>
            </w:r>
            <w:r>
              <w:rPr>
                <w:noProof/>
                <w:webHidden/>
              </w:rPr>
              <w:tab/>
            </w:r>
            <w:r>
              <w:rPr>
                <w:noProof/>
                <w:webHidden/>
              </w:rPr>
              <w:fldChar w:fldCharType="begin"/>
            </w:r>
            <w:r>
              <w:rPr>
                <w:noProof/>
                <w:webHidden/>
              </w:rPr>
              <w:instrText xml:space="preserve"> PAGEREF _Toc216691269 \h </w:instrText>
            </w:r>
            <w:r>
              <w:rPr>
                <w:noProof/>
                <w:webHidden/>
              </w:rPr>
            </w:r>
            <w:r>
              <w:rPr>
                <w:noProof/>
                <w:webHidden/>
              </w:rPr>
              <w:fldChar w:fldCharType="separate"/>
            </w:r>
            <w:r>
              <w:rPr>
                <w:noProof/>
                <w:webHidden/>
              </w:rPr>
              <w:t>8</w:t>
            </w:r>
            <w:r>
              <w:rPr>
                <w:noProof/>
                <w:webHidden/>
              </w:rPr>
              <w:fldChar w:fldCharType="end"/>
            </w:r>
          </w:hyperlink>
        </w:p>
        <w:p w14:paraId="5F6B9D1E" w14:textId="1088B660" w:rsidR="0028019C" w:rsidRDefault="0028019C">
          <w:pPr>
            <w:pStyle w:val="TOC1"/>
            <w:tabs>
              <w:tab w:val="left" w:pos="480"/>
              <w:tab w:val="right" w:leader="dot" w:pos="9016"/>
            </w:tabs>
            <w:rPr>
              <w:rFonts w:asciiTheme="minorHAnsi" w:eastAsiaTheme="minorEastAsia" w:hAnsiTheme="minorHAnsi"/>
              <w:bCs w:val="0"/>
              <w:iCs w:val="0"/>
              <w:noProof/>
              <w:color w:val="auto"/>
              <w:lang w:val="en-US"/>
            </w:rPr>
          </w:pPr>
          <w:hyperlink w:anchor="_Toc216691270" w:history="1">
            <w:r w:rsidRPr="008C25B3">
              <w:rPr>
                <w:rStyle w:val="Hyperlink"/>
                <w:noProof/>
              </w:rPr>
              <w:t>6.</w:t>
            </w:r>
            <w:r>
              <w:rPr>
                <w:rFonts w:asciiTheme="minorHAnsi" w:eastAsiaTheme="minorEastAsia" w:hAnsiTheme="minorHAnsi"/>
                <w:bCs w:val="0"/>
                <w:iCs w:val="0"/>
                <w:noProof/>
                <w:color w:val="auto"/>
                <w:lang w:val="en-US"/>
              </w:rPr>
              <w:tab/>
            </w:r>
            <w:r w:rsidRPr="008C25B3">
              <w:rPr>
                <w:rStyle w:val="Hyperlink"/>
                <w:noProof/>
              </w:rPr>
              <w:t>How the OLI factors impact the international market entry mode</w:t>
            </w:r>
            <w:r>
              <w:rPr>
                <w:noProof/>
                <w:webHidden/>
              </w:rPr>
              <w:tab/>
            </w:r>
            <w:r>
              <w:rPr>
                <w:noProof/>
                <w:webHidden/>
              </w:rPr>
              <w:fldChar w:fldCharType="begin"/>
            </w:r>
            <w:r>
              <w:rPr>
                <w:noProof/>
                <w:webHidden/>
              </w:rPr>
              <w:instrText xml:space="preserve"> PAGEREF _Toc216691270 \h </w:instrText>
            </w:r>
            <w:r>
              <w:rPr>
                <w:noProof/>
                <w:webHidden/>
              </w:rPr>
            </w:r>
            <w:r>
              <w:rPr>
                <w:noProof/>
                <w:webHidden/>
              </w:rPr>
              <w:fldChar w:fldCharType="separate"/>
            </w:r>
            <w:r>
              <w:rPr>
                <w:noProof/>
                <w:webHidden/>
              </w:rPr>
              <w:t>10</w:t>
            </w:r>
            <w:r>
              <w:rPr>
                <w:noProof/>
                <w:webHidden/>
              </w:rPr>
              <w:fldChar w:fldCharType="end"/>
            </w:r>
          </w:hyperlink>
        </w:p>
        <w:p w14:paraId="3E77713F" w14:textId="2B9141E3" w:rsidR="0028019C" w:rsidRDefault="0028019C">
          <w:pPr>
            <w:pStyle w:val="TOC2"/>
            <w:tabs>
              <w:tab w:val="right" w:leader="dot" w:pos="9016"/>
            </w:tabs>
            <w:rPr>
              <w:rFonts w:asciiTheme="minorHAnsi" w:eastAsiaTheme="minorEastAsia" w:hAnsiTheme="minorHAnsi"/>
              <w:bCs w:val="0"/>
              <w:noProof/>
              <w:color w:val="auto"/>
              <w:szCs w:val="24"/>
              <w:lang w:val="en-US"/>
            </w:rPr>
          </w:pPr>
          <w:hyperlink w:anchor="_Toc216691271" w:history="1">
            <w:r w:rsidRPr="008C25B3">
              <w:rPr>
                <w:rStyle w:val="Hyperlink"/>
                <w:noProof/>
              </w:rPr>
              <w:t>Ownership Advantage</w:t>
            </w:r>
            <w:r>
              <w:rPr>
                <w:noProof/>
                <w:webHidden/>
              </w:rPr>
              <w:tab/>
            </w:r>
            <w:r>
              <w:rPr>
                <w:noProof/>
                <w:webHidden/>
              </w:rPr>
              <w:fldChar w:fldCharType="begin"/>
            </w:r>
            <w:r>
              <w:rPr>
                <w:noProof/>
                <w:webHidden/>
              </w:rPr>
              <w:instrText xml:space="preserve"> PAGEREF _Toc216691271 \h </w:instrText>
            </w:r>
            <w:r>
              <w:rPr>
                <w:noProof/>
                <w:webHidden/>
              </w:rPr>
            </w:r>
            <w:r>
              <w:rPr>
                <w:noProof/>
                <w:webHidden/>
              </w:rPr>
              <w:fldChar w:fldCharType="separate"/>
            </w:r>
            <w:r>
              <w:rPr>
                <w:noProof/>
                <w:webHidden/>
              </w:rPr>
              <w:t>11</w:t>
            </w:r>
            <w:r>
              <w:rPr>
                <w:noProof/>
                <w:webHidden/>
              </w:rPr>
              <w:fldChar w:fldCharType="end"/>
            </w:r>
          </w:hyperlink>
        </w:p>
        <w:p w14:paraId="07406691" w14:textId="6069F906" w:rsidR="0028019C" w:rsidRDefault="0028019C">
          <w:pPr>
            <w:pStyle w:val="TOC2"/>
            <w:tabs>
              <w:tab w:val="right" w:leader="dot" w:pos="9016"/>
            </w:tabs>
            <w:rPr>
              <w:rFonts w:asciiTheme="minorHAnsi" w:eastAsiaTheme="minorEastAsia" w:hAnsiTheme="minorHAnsi"/>
              <w:bCs w:val="0"/>
              <w:noProof/>
              <w:color w:val="auto"/>
              <w:szCs w:val="24"/>
              <w:lang w:val="en-US"/>
            </w:rPr>
          </w:pPr>
          <w:hyperlink w:anchor="_Toc216691272" w:history="1">
            <w:r w:rsidRPr="008C25B3">
              <w:rPr>
                <w:rStyle w:val="Hyperlink"/>
                <w:noProof/>
              </w:rPr>
              <w:t>Location Advantage</w:t>
            </w:r>
            <w:r>
              <w:rPr>
                <w:noProof/>
                <w:webHidden/>
              </w:rPr>
              <w:tab/>
            </w:r>
            <w:r>
              <w:rPr>
                <w:noProof/>
                <w:webHidden/>
              </w:rPr>
              <w:fldChar w:fldCharType="begin"/>
            </w:r>
            <w:r>
              <w:rPr>
                <w:noProof/>
                <w:webHidden/>
              </w:rPr>
              <w:instrText xml:space="preserve"> PAGEREF _Toc216691272 \h </w:instrText>
            </w:r>
            <w:r>
              <w:rPr>
                <w:noProof/>
                <w:webHidden/>
              </w:rPr>
            </w:r>
            <w:r>
              <w:rPr>
                <w:noProof/>
                <w:webHidden/>
              </w:rPr>
              <w:fldChar w:fldCharType="separate"/>
            </w:r>
            <w:r>
              <w:rPr>
                <w:noProof/>
                <w:webHidden/>
              </w:rPr>
              <w:t>11</w:t>
            </w:r>
            <w:r>
              <w:rPr>
                <w:noProof/>
                <w:webHidden/>
              </w:rPr>
              <w:fldChar w:fldCharType="end"/>
            </w:r>
          </w:hyperlink>
        </w:p>
        <w:p w14:paraId="4CAB72A3" w14:textId="3450278E" w:rsidR="0028019C" w:rsidRDefault="0028019C">
          <w:pPr>
            <w:pStyle w:val="TOC2"/>
            <w:tabs>
              <w:tab w:val="right" w:leader="dot" w:pos="9016"/>
            </w:tabs>
            <w:rPr>
              <w:rFonts w:asciiTheme="minorHAnsi" w:eastAsiaTheme="minorEastAsia" w:hAnsiTheme="minorHAnsi"/>
              <w:bCs w:val="0"/>
              <w:noProof/>
              <w:color w:val="auto"/>
              <w:szCs w:val="24"/>
              <w:lang w:val="en-US"/>
            </w:rPr>
          </w:pPr>
          <w:hyperlink w:anchor="_Toc216691273" w:history="1">
            <w:r w:rsidRPr="008C25B3">
              <w:rPr>
                <w:rStyle w:val="Hyperlink"/>
                <w:noProof/>
              </w:rPr>
              <w:t>Internalisation Advantage</w:t>
            </w:r>
            <w:r>
              <w:rPr>
                <w:noProof/>
                <w:webHidden/>
              </w:rPr>
              <w:tab/>
            </w:r>
            <w:r>
              <w:rPr>
                <w:noProof/>
                <w:webHidden/>
              </w:rPr>
              <w:fldChar w:fldCharType="begin"/>
            </w:r>
            <w:r>
              <w:rPr>
                <w:noProof/>
                <w:webHidden/>
              </w:rPr>
              <w:instrText xml:space="preserve"> PAGEREF _Toc216691273 \h </w:instrText>
            </w:r>
            <w:r>
              <w:rPr>
                <w:noProof/>
                <w:webHidden/>
              </w:rPr>
            </w:r>
            <w:r>
              <w:rPr>
                <w:noProof/>
                <w:webHidden/>
              </w:rPr>
              <w:fldChar w:fldCharType="separate"/>
            </w:r>
            <w:r>
              <w:rPr>
                <w:noProof/>
                <w:webHidden/>
              </w:rPr>
              <w:t>12</w:t>
            </w:r>
            <w:r>
              <w:rPr>
                <w:noProof/>
                <w:webHidden/>
              </w:rPr>
              <w:fldChar w:fldCharType="end"/>
            </w:r>
          </w:hyperlink>
        </w:p>
        <w:p w14:paraId="6859A643" w14:textId="5C403004" w:rsidR="0028019C" w:rsidRDefault="0028019C">
          <w:pPr>
            <w:pStyle w:val="TOC1"/>
            <w:tabs>
              <w:tab w:val="left" w:pos="480"/>
              <w:tab w:val="right" w:leader="dot" w:pos="9016"/>
            </w:tabs>
            <w:rPr>
              <w:rFonts w:asciiTheme="minorHAnsi" w:eastAsiaTheme="minorEastAsia" w:hAnsiTheme="minorHAnsi"/>
              <w:bCs w:val="0"/>
              <w:iCs w:val="0"/>
              <w:noProof/>
              <w:color w:val="auto"/>
              <w:lang w:val="en-US"/>
            </w:rPr>
          </w:pPr>
          <w:hyperlink w:anchor="_Toc216691274" w:history="1">
            <w:r w:rsidRPr="008C25B3">
              <w:rPr>
                <w:rStyle w:val="Hyperlink"/>
                <w:noProof/>
              </w:rPr>
              <w:t>7.</w:t>
            </w:r>
            <w:r>
              <w:rPr>
                <w:rFonts w:asciiTheme="minorHAnsi" w:eastAsiaTheme="minorEastAsia" w:hAnsiTheme="minorHAnsi"/>
                <w:bCs w:val="0"/>
                <w:iCs w:val="0"/>
                <w:noProof/>
                <w:color w:val="auto"/>
                <w:lang w:val="en-US"/>
              </w:rPr>
              <w:tab/>
            </w:r>
            <w:r w:rsidRPr="008C25B3">
              <w:rPr>
                <w:rStyle w:val="Hyperlink"/>
                <w:noProof/>
              </w:rPr>
              <w:t>Cultural Differences Between the UK and India and Their Impact on P&amp;G’s Entry Strategy and Success</w:t>
            </w:r>
            <w:r>
              <w:rPr>
                <w:noProof/>
                <w:webHidden/>
              </w:rPr>
              <w:tab/>
            </w:r>
            <w:r>
              <w:rPr>
                <w:noProof/>
                <w:webHidden/>
              </w:rPr>
              <w:fldChar w:fldCharType="begin"/>
            </w:r>
            <w:r>
              <w:rPr>
                <w:noProof/>
                <w:webHidden/>
              </w:rPr>
              <w:instrText xml:space="preserve"> PAGEREF _Toc216691274 \h </w:instrText>
            </w:r>
            <w:r>
              <w:rPr>
                <w:noProof/>
                <w:webHidden/>
              </w:rPr>
            </w:r>
            <w:r>
              <w:rPr>
                <w:noProof/>
                <w:webHidden/>
              </w:rPr>
              <w:fldChar w:fldCharType="separate"/>
            </w:r>
            <w:r>
              <w:rPr>
                <w:noProof/>
                <w:webHidden/>
              </w:rPr>
              <w:t>13</w:t>
            </w:r>
            <w:r>
              <w:rPr>
                <w:noProof/>
                <w:webHidden/>
              </w:rPr>
              <w:fldChar w:fldCharType="end"/>
            </w:r>
          </w:hyperlink>
        </w:p>
        <w:p w14:paraId="524C4A61" w14:textId="10C89294" w:rsidR="0028019C" w:rsidRDefault="0028019C">
          <w:pPr>
            <w:pStyle w:val="TOC3"/>
            <w:tabs>
              <w:tab w:val="right" w:leader="dot" w:pos="9016"/>
            </w:tabs>
            <w:rPr>
              <w:rFonts w:asciiTheme="minorHAnsi" w:eastAsiaTheme="minorEastAsia" w:hAnsiTheme="minorHAnsi"/>
              <w:noProof/>
              <w:color w:val="auto"/>
              <w:szCs w:val="24"/>
              <w:lang w:val="en-US"/>
            </w:rPr>
          </w:pPr>
          <w:hyperlink w:anchor="_Toc216691275" w:history="1">
            <w:r w:rsidRPr="008C25B3">
              <w:rPr>
                <w:rStyle w:val="Hyperlink"/>
                <w:noProof/>
              </w:rPr>
              <w:t>Power Distance</w:t>
            </w:r>
            <w:r>
              <w:rPr>
                <w:noProof/>
                <w:webHidden/>
              </w:rPr>
              <w:tab/>
            </w:r>
            <w:r>
              <w:rPr>
                <w:noProof/>
                <w:webHidden/>
              </w:rPr>
              <w:fldChar w:fldCharType="begin"/>
            </w:r>
            <w:r>
              <w:rPr>
                <w:noProof/>
                <w:webHidden/>
              </w:rPr>
              <w:instrText xml:space="preserve"> PAGEREF _Toc216691275 \h </w:instrText>
            </w:r>
            <w:r>
              <w:rPr>
                <w:noProof/>
                <w:webHidden/>
              </w:rPr>
            </w:r>
            <w:r>
              <w:rPr>
                <w:noProof/>
                <w:webHidden/>
              </w:rPr>
              <w:fldChar w:fldCharType="separate"/>
            </w:r>
            <w:r>
              <w:rPr>
                <w:noProof/>
                <w:webHidden/>
              </w:rPr>
              <w:t>13</w:t>
            </w:r>
            <w:r>
              <w:rPr>
                <w:noProof/>
                <w:webHidden/>
              </w:rPr>
              <w:fldChar w:fldCharType="end"/>
            </w:r>
          </w:hyperlink>
        </w:p>
        <w:p w14:paraId="53CE569C" w14:textId="545550B8" w:rsidR="0028019C" w:rsidRDefault="0028019C">
          <w:pPr>
            <w:pStyle w:val="TOC3"/>
            <w:tabs>
              <w:tab w:val="right" w:leader="dot" w:pos="9016"/>
            </w:tabs>
            <w:rPr>
              <w:rFonts w:asciiTheme="minorHAnsi" w:eastAsiaTheme="minorEastAsia" w:hAnsiTheme="minorHAnsi"/>
              <w:noProof/>
              <w:color w:val="auto"/>
              <w:szCs w:val="24"/>
              <w:lang w:val="en-US"/>
            </w:rPr>
          </w:pPr>
          <w:hyperlink w:anchor="_Toc216691276" w:history="1">
            <w:r w:rsidRPr="008C25B3">
              <w:rPr>
                <w:rStyle w:val="Hyperlink"/>
                <w:noProof/>
              </w:rPr>
              <w:t>Individualism vs Collectivism</w:t>
            </w:r>
            <w:r>
              <w:rPr>
                <w:noProof/>
                <w:webHidden/>
              </w:rPr>
              <w:tab/>
            </w:r>
            <w:r>
              <w:rPr>
                <w:noProof/>
                <w:webHidden/>
              </w:rPr>
              <w:fldChar w:fldCharType="begin"/>
            </w:r>
            <w:r>
              <w:rPr>
                <w:noProof/>
                <w:webHidden/>
              </w:rPr>
              <w:instrText xml:space="preserve"> PAGEREF _Toc216691276 \h </w:instrText>
            </w:r>
            <w:r>
              <w:rPr>
                <w:noProof/>
                <w:webHidden/>
              </w:rPr>
            </w:r>
            <w:r>
              <w:rPr>
                <w:noProof/>
                <w:webHidden/>
              </w:rPr>
              <w:fldChar w:fldCharType="separate"/>
            </w:r>
            <w:r>
              <w:rPr>
                <w:noProof/>
                <w:webHidden/>
              </w:rPr>
              <w:t>14</w:t>
            </w:r>
            <w:r>
              <w:rPr>
                <w:noProof/>
                <w:webHidden/>
              </w:rPr>
              <w:fldChar w:fldCharType="end"/>
            </w:r>
          </w:hyperlink>
        </w:p>
        <w:p w14:paraId="2DDD83AD" w14:textId="5D93841B" w:rsidR="0028019C" w:rsidRDefault="0028019C">
          <w:pPr>
            <w:pStyle w:val="TOC3"/>
            <w:tabs>
              <w:tab w:val="right" w:leader="dot" w:pos="9016"/>
            </w:tabs>
            <w:rPr>
              <w:rFonts w:asciiTheme="minorHAnsi" w:eastAsiaTheme="minorEastAsia" w:hAnsiTheme="minorHAnsi"/>
              <w:noProof/>
              <w:color w:val="auto"/>
              <w:szCs w:val="24"/>
              <w:lang w:val="en-US"/>
            </w:rPr>
          </w:pPr>
          <w:hyperlink w:anchor="_Toc216691277" w:history="1">
            <w:r w:rsidRPr="008C25B3">
              <w:rPr>
                <w:rStyle w:val="Hyperlink"/>
                <w:noProof/>
              </w:rPr>
              <w:t>Motivation to Achieve (Masculinity vs Femininity)</w:t>
            </w:r>
            <w:r>
              <w:rPr>
                <w:noProof/>
                <w:webHidden/>
              </w:rPr>
              <w:tab/>
            </w:r>
            <w:r>
              <w:rPr>
                <w:noProof/>
                <w:webHidden/>
              </w:rPr>
              <w:fldChar w:fldCharType="begin"/>
            </w:r>
            <w:r>
              <w:rPr>
                <w:noProof/>
                <w:webHidden/>
              </w:rPr>
              <w:instrText xml:space="preserve"> PAGEREF _Toc216691277 \h </w:instrText>
            </w:r>
            <w:r>
              <w:rPr>
                <w:noProof/>
                <w:webHidden/>
              </w:rPr>
            </w:r>
            <w:r>
              <w:rPr>
                <w:noProof/>
                <w:webHidden/>
              </w:rPr>
              <w:fldChar w:fldCharType="separate"/>
            </w:r>
            <w:r>
              <w:rPr>
                <w:noProof/>
                <w:webHidden/>
              </w:rPr>
              <w:t>14</w:t>
            </w:r>
            <w:r>
              <w:rPr>
                <w:noProof/>
                <w:webHidden/>
              </w:rPr>
              <w:fldChar w:fldCharType="end"/>
            </w:r>
          </w:hyperlink>
        </w:p>
        <w:p w14:paraId="261157FE" w14:textId="5011C107" w:rsidR="0028019C" w:rsidRDefault="0028019C">
          <w:pPr>
            <w:pStyle w:val="TOC3"/>
            <w:tabs>
              <w:tab w:val="right" w:leader="dot" w:pos="9016"/>
            </w:tabs>
            <w:rPr>
              <w:rFonts w:asciiTheme="minorHAnsi" w:eastAsiaTheme="minorEastAsia" w:hAnsiTheme="minorHAnsi"/>
              <w:noProof/>
              <w:color w:val="auto"/>
              <w:szCs w:val="24"/>
              <w:lang w:val="en-US"/>
            </w:rPr>
          </w:pPr>
          <w:hyperlink w:anchor="_Toc216691278" w:history="1">
            <w:r w:rsidRPr="008C25B3">
              <w:rPr>
                <w:rStyle w:val="Hyperlink"/>
                <w:noProof/>
              </w:rPr>
              <w:t>Uncertainty Avoidance</w:t>
            </w:r>
            <w:r>
              <w:rPr>
                <w:noProof/>
                <w:webHidden/>
              </w:rPr>
              <w:tab/>
            </w:r>
            <w:r>
              <w:rPr>
                <w:noProof/>
                <w:webHidden/>
              </w:rPr>
              <w:fldChar w:fldCharType="begin"/>
            </w:r>
            <w:r>
              <w:rPr>
                <w:noProof/>
                <w:webHidden/>
              </w:rPr>
              <w:instrText xml:space="preserve"> PAGEREF _Toc216691278 \h </w:instrText>
            </w:r>
            <w:r>
              <w:rPr>
                <w:noProof/>
                <w:webHidden/>
              </w:rPr>
            </w:r>
            <w:r>
              <w:rPr>
                <w:noProof/>
                <w:webHidden/>
              </w:rPr>
              <w:fldChar w:fldCharType="separate"/>
            </w:r>
            <w:r>
              <w:rPr>
                <w:noProof/>
                <w:webHidden/>
              </w:rPr>
              <w:t>15</w:t>
            </w:r>
            <w:r>
              <w:rPr>
                <w:noProof/>
                <w:webHidden/>
              </w:rPr>
              <w:fldChar w:fldCharType="end"/>
            </w:r>
          </w:hyperlink>
        </w:p>
        <w:p w14:paraId="02698471" w14:textId="77FE952B" w:rsidR="0028019C" w:rsidRDefault="0028019C">
          <w:pPr>
            <w:pStyle w:val="TOC3"/>
            <w:tabs>
              <w:tab w:val="right" w:leader="dot" w:pos="9016"/>
            </w:tabs>
            <w:rPr>
              <w:rFonts w:asciiTheme="minorHAnsi" w:eastAsiaTheme="minorEastAsia" w:hAnsiTheme="minorHAnsi"/>
              <w:noProof/>
              <w:color w:val="auto"/>
              <w:szCs w:val="24"/>
              <w:lang w:val="en-US"/>
            </w:rPr>
          </w:pPr>
          <w:hyperlink w:anchor="_Toc216691279" w:history="1">
            <w:r w:rsidRPr="008C25B3">
              <w:rPr>
                <w:rStyle w:val="Hyperlink"/>
                <w:noProof/>
              </w:rPr>
              <w:t>Long</w:t>
            </w:r>
            <w:r w:rsidRPr="008C25B3">
              <w:rPr>
                <w:rStyle w:val="Hyperlink"/>
                <w:noProof/>
              </w:rPr>
              <w:noBreakHyphen/>
              <w:t>Term Orientation</w:t>
            </w:r>
            <w:r>
              <w:rPr>
                <w:noProof/>
                <w:webHidden/>
              </w:rPr>
              <w:tab/>
            </w:r>
            <w:r>
              <w:rPr>
                <w:noProof/>
                <w:webHidden/>
              </w:rPr>
              <w:fldChar w:fldCharType="begin"/>
            </w:r>
            <w:r>
              <w:rPr>
                <w:noProof/>
                <w:webHidden/>
              </w:rPr>
              <w:instrText xml:space="preserve"> PAGEREF _Toc216691279 \h </w:instrText>
            </w:r>
            <w:r>
              <w:rPr>
                <w:noProof/>
                <w:webHidden/>
              </w:rPr>
            </w:r>
            <w:r>
              <w:rPr>
                <w:noProof/>
                <w:webHidden/>
              </w:rPr>
              <w:fldChar w:fldCharType="separate"/>
            </w:r>
            <w:r>
              <w:rPr>
                <w:noProof/>
                <w:webHidden/>
              </w:rPr>
              <w:t>15</w:t>
            </w:r>
            <w:r>
              <w:rPr>
                <w:noProof/>
                <w:webHidden/>
              </w:rPr>
              <w:fldChar w:fldCharType="end"/>
            </w:r>
          </w:hyperlink>
        </w:p>
        <w:p w14:paraId="250A9C5F" w14:textId="26826175" w:rsidR="0028019C" w:rsidRDefault="0028019C">
          <w:pPr>
            <w:pStyle w:val="TOC3"/>
            <w:tabs>
              <w:tab w:val="right" w:leader="dot" w:pos="9016"/>
            </w:tabs>
            <w:rPr>
              <w:rFonts w:asciiTheme="minorHAnsi" w:eastAsiaTheme="minorEastAsia" w:hAnsiTheme="minorHAnsi"/>
              <w:noProof/>
              <w:color w:val="auto"/>
              <w:szCs w:val="24"/>
              <w:lang w:val="en-US"/>
            </w:rPr>
          </w:pPr>
          <w:hyperlink w:anchor="_Toc216691280" w:history="1">
            <w:r w:rsidRPr="008C25B3">
              <w:rPr>
                <w:rStyle w:val="Hyperlink"/>
                <w:noProof/>
              </w:rPr>
              <w:t>Indulgence vs Restraint</w:t>
            </w:r>
            <w:r>
              <w:rPr>
                <w:noProof/>
                <w:webHidden/>
              </w:rPr>
              <w:tab/>
            </w:r>
            <w:r>
              <w:rPr>
                <w:noProof/>
                <w:webHidden/>
              </w:rPr>
              <w:fldChar w:fldCharType="begin"/>
            </w:r>
            <w:r>
              <w:rPr>
                <w:noProof/>
                <w:webHidden/>
              </w:rPr>
              <w:instrText xml:space="preserve"> PAGEREF _Toc216691280 \h </w:instrText>
            </w:r>
            <w:r>
              <w:rPr>
                <w:noProof/>
                <w:webHidden/>
              </w:rPr>
            </w:r>
            <w:r>
              <w:rPr>
                <w:noProof/>
                <w:webHidden/>
              </w:rPr>
              <w:fldChar w:fldCharType="separate"/>
            </w:r>
            <w:r>
              <w:rPr>
                <w:noProof/>
                <w:webHidden/>
              </w:rPr>
              <w:t>16</w:t>
            </w:r>
            <w:r>
              <w:rPr>
                <w:noProof/>
                <w:webHidden/>
              </w:rPr>
              <w:fldChar w:fldCharType="end"/>
            </w:r>
          </w:hyperlink>
        </w:p>
        <w:p w14:paraId="231DC0A2" w14:textId="52719E3F" w:rsidR="0028019C" w:rsidRDefault="0028019C">
          <w:pPr>
            <w:pStyle w:val="TOC1"/>
            <w:tabs>
              <w:tab w:val="left" w:pos="480"/>
              <w:tab w:val="right" w:leader="dot" w:pos="9016"/>
            </w:tabs>
            <w:rPr>
              <w:rFonts w:asciiTheme="minorHAnsi" w:eastAsiaTheme="minorEastAsia" w:hAnsiTheme="minorHAnsi"/>
              <w:bCs w:val="0"/>
              <w:iCs w:val="0"/>
              <w:noProof/>
              <w:color w:val="auto"/>
              <w:lang w:val="en-US"/>
            </w:rPr>
          </w:pPr>
          <w:hyperlink w:anchor="_Toc216691281" w:history="1">
            <w:r w:rsidRPr="008C25B3">
              <w:rPr>
                <w:rStyle w:val="Hyperlink"/>
                <w:noProof/>
              </w:rPr>
              <w:t>8.</w:t>
            </w:r>
            <w:r>
              <w:rPr>
                <w:rFonts w:asciiTheme="minorHAnsi" w:eastAsiaTheme="minorEastAsia" w:hAnsiTheme="minorHAnsi"/>
                <w:bCs w:val="0"/>
                <w:iCs w:val="0"/>
                <w:noProof/>
                <w:color w:val="auto"/>
                <w:lang w:val="en-US"/>
              </w:rPr>
              <w:tab/>
            </w:r>
            <w:r w:rsidRPr="008C25B3">
              <w:rPr>
                <w:rStyle w:val="Hyperlink"/>
                <w:noProof/>
                <w:lang w:val="en-US"/>
              </w:rPr>
              <w:t xml:space="preserve">SOP </w:t>
            </w:r>
            <w:r w:rsidRPr="008C25B3">
              <w:rPr>
                <w:rStyle w:val="Hyperlink"/>
                <w:noProof/>
              </w:rPr>
              <w:t>Adjustments for P&amp;G in India</w:t>
            </w:r>
            <w:r>
              <w:rPr>
                <w:noProof/>
                <w:webHidden/>
              </w:rPr>
              <w:tab/>
            </w:r>
            <w:r>
              <w:rPr>
                <w:noProof/>
                <w:webHidden/>
              </w:rPr>
              <w:fldChar w:fldCharType="begin"/>
            </w:r>
            <w:r>
              <w:rPr>
                <w:noProof/>
                <w:webHidden/>
              </w:rPr>
              <w:instrText xml:space="preserve"> PAGEREF _Toc216691281 \h </w:instrText>
            </w:r>
            <w:r>
              <w:rPr>
                <w:noProof/>
                <w:webHidden/>
              </w:rPr>
            </w:r>
            <w:r>
              <w:rPr>
                <w:noProof/>
                <w:webHidden/>
              </w:rPr>
              <w:fldChar w:fldCharType="separate"/>
            </w:r>
            <w:r>
              <w:rPr>
                <w:noProof/>
                <w:webHidden/>
              </w:rPr>
              <w:t>16</w:t>
            </w:r>
            <w:r>
              <w:rPr>
                <w:noProof/>
                <w:webHidden/>
              </w:rPr>
              <w:fldChar w:fldCharType="end"/>
            </w:r>
          </w:hyperlink>
        </w:p>
        <w:p w14:paraId="4773C258" w14:textId="4194102C" w:rsidR="0028019C" w:rsidRDefault="0028019C">
          <w:pPr>
            <w:pStyle w:val="TOC2"/>
            <w:tabs>
              <w:tab w:val="left" w:pos="960"/>
              <w:tab w:val="right" w:leader="dot" w:pos="9016"/>
            </w:tabs>
            <w:rPr>
              <w:rFonts w:asciiTheme="minorHAnsi" w:eastAsiaTheme="minorEastAsia" w:hAnsiTheme="minorHAnsi"/>
              <w:bCs w:val="0"/>
              <w:noProof/>
              <w:color w:val="auto"/>
              <w:szCs w:val="24"/>
              <w:lang w:val="en-US"/>
            </w:rPr>
          </w:pPr>
          <w:hyperlink w:anchor="_Toc216691282" w:history="1">
            <w:r w:rsidRPr="008C25B3">
              <w:rPr>
                <w:rStyle w:val="Hyperlink"/>
                <w:noProof/>
              </w:rPr>
              <w:t>8.1</w:t>
            </w:r>
            <w:r>
              <w:rPr>
                <w:rFonts w:asciiTheme="minorHAnsi" w:eastAsiaTheme="minorEastAsia" w:hAnsiTheme="minorHAnsi"/>
                <w:bCs w:val="0"/>
                <w:noProof/>
                <w:color w:val="auto"/>
                <w:szCs w:val="24"/>
                <w:lang w:val="en-US"/>
              </w:rPr>
              <w:tab/>
            </w:r>
            <w:r w:rsidRPr="008C25B3">
              <w:rPr>
                <w:rStyle w:val="Hyperlink"/>
                <w:noProof/>
              </w:rPr>
              <w:t>Localized Product Development and Consumer-Centric R&amp;D</w:t>
            </w:r>
            <w:r>
              <w:rPr>
                <w:noProof/>
                <w:webHidden/>
              </w:rPr>
              <w:tab/>
            </w:r>
            <w:r>
              <w:rPr>
                <w:noProof/>
                <w:webHidden/>
              </w:rPr>
              <w:fldChar w:fldCharType="begin"/>
            </w:r>
            <w:r>
              <w:rPr>
                <w:noProof/>
                <w:webHidden/>
              </w:rPr>
              <w:instrText xml:space="preserve"> PAGEREF _Toc216691282 \h </w:instrText>
            </w:r>
            <w:r>
              <w:rPr>
                <w:noProof/>
                <w:webHidden/>
              </w:rPr>
            </w:r>
            <w:r>
              <w:rPr>
                <w:noProof/>
                <w:webHidden/>
              </w:rPr>
              <w:fldChar w:fldCharType="separate"/>
            </w:r>
            <w:r>
              <w:rPr>
                <w:noProof/>
                <w:webHidden/>
              </w:rPr>
              <w:t>17</w:t>
            </w:r>
            <w:r>
              <w:rPr>
                <w:noProof/>
                <w:webHidden/>
              </w:rPr>
              <w:fldChar w:fldCharType="end"/>
            </w:r>
          </w:hyperlink>
        </w:p>
        <w:p w14:paraId="3EF38C5A" w14:textId="0FFF19BE" w:rsidR="0028019C" w:rsidRDefault="0028019C">
          <w:pPr>
            <w:pStyle w:val="TOC2"/>
            <w:tabs>
              <w:tab w:val="left" w:pos="960"/>
              <w:tab w:val="right" w:leader="dot" w:pos="9016"/>
            </w:tabs>
            <w:rPr>
              <w:rFonts w:asciiTheme="minorHAnsi" w:eastAsiaTheme="minorEastAsia" w:hAnsiTheme="minorHAnsi"/>
              <w:bCs w:val="0"/>
              <w:noProof/>
              <w:color w:val="auto"/>
              <w:szCs w:val="24"/>
              <w:lang w:val="en-US"/>
            </w:rPr>
          </w:pPr>
          <w:hyperlink w:anchor="_Toc216691283" w:history="1">
            <w:r w:rsidRPr="008C25B3">
              <w:rPr>
                <w:rStyle w:val="Hyperlink"/>
                <w:noProof/>
              </w:rPr>
              <w:t>8.2</w:t>
            </w:r>
            <w:r>
              <w:rPr>
                <w:rFonts w:asciiTheme="minorHAnsi" w:eastAsiaTheme="minorEastAsia" w:hAnsiTheme="minorHAnsi"/>
                <w:bCs w:val="0"/>
                <w:noProof/>
                <w:color w:val="auto"/>
                <w:szCs w:val="24"/>
                <w:lang w:val="en-US"/>
              </w:rPr>
              <w:tab/>
            </w:r>
            <w:r w:rsidRPr="008C25B3">
              <w:rPr>
                <w:rStyle w:val="Hyperlink"/>
                <w:noProof/>
              </w:rPr>
              <w:t>Adapted Staffing, Training, and Service SOPs</w:t>
            </w:r>
            <w:r>
              <w:rPr>
                <w:noProof/>
                <w:webHidden/>
              </w:rPr>
              <w:tab/>
            </w:r>
            <w:r>
              <w:rPr>
                <w:noProof/>
                <w:webHidden/>
              </w:rPr>
              <w:fldChar w:fldCharType="begin"/>
            </w:r>
            <w:r>
              <w:rPr>
                <w:noProof/>
                <w:webHidden/>
              </w:rPr>
              <w:instrText xml:space="preserve"> PAGEREF _Toc216691283 \h </w:instrText>
            </w:r>
            <w:r>
              <w:rPr>
                <w:noProof/>
                <w:webHidden/>
              </w:rPr>
            </w:r>
            <w:r>
              <w:rPr>
                <w:noProof/>
                <w:webHidden/>
              </w:rPr>
              <w:fldChar w:fldCharType="separate"/>
            </w:r>
            <w:r>
              <w:rPr>
                <w:noProof/>
                <w:webHidden/>
              </w:rPr>
              <w:t>17</w:t>
            </w:r>
            <w:r>
              <w:rPr>
                <w:noProof/>
                <w:webHidden/>
              </w:rPr>
              <w:fldChar w:fldCharType="end"/>
            </w:r>
          </w:hyperlink>
        </w:p>
        <w:p w14:paraId="205C1F21" w14:textId="23174942" w:rsidR="0028019C" w:rsidRDefault="0028019C">
          <w:pPr>
            <w:pStyle w:val="TOC2"/>
            <w:tabs>
              <w:tab w:val="left" w:pos="960"/>
              <w:tab w:val="right" w:leader="dot" w:pos="9016"/>
            </w:tabs>
            <w:rPr>
              <w:rFonts w:asciiTheme="minorHAnsi" w:eastAsiaTheme="minorEastAsia" w:hAnsiTheme="minorHAnsi"/>
              <w:bCs w:val="0"/>
              <w:noProof/>
              <w:color w:val="auto"/>
              <w:szCs w:val="24"/>
              <w:lang w:val="en-US"/>
            </w:rPr>
          </w:pPr>
          <w:hyperlink w:anchor="_Toc216691284" w:history="1">
            <w:r w:rsidRPr="008C25B3">
              <w:rPr>
                <w:rStyle w:val="Hyperlink"/>
                <w:noProof/>
              </w:rPr>
              <w:t>8.3</w:t>
            </w:r>
            <w:r>
              <w:rPr>
                <w:rFonts w:asciiTheme="minorHAnsi" w:eastAsiaTheme="minorEastAsia" w:hAnsiTheme="minorHAnsi"/>
                <w:bCs w:val="0"/>
                <w:noProof/>
                <w:color w:val="auto"/>
                <w:szCs w:val="24"/>
                <w:lang w:val="en-US"/>
              </w:rPr>
              <w:tab/>
            </w:r>
            <w:r w:rsidRPr="008C25B3">
              <w:rPr>
                <w:rStyle w:val="Hyperlink"/>
                <w:noProof/>
              </w:rPr>
              <w:t>Enhanced Local Supply Chain and Quality Control SOPs</w:t>
            </w:r>
            <w:r>
              <w:rPr>
                <w:noProof/>
                <w:webHidden/>
              </w:rPr>
              <w:tab/>
            </w:r>
            <w:r>
              <w:rPr>
                <w:noProof/>
                <w:webHidden/>
              </w:rPr>
              <w:fldChar w:fldCharType="begin"/>
            </w:r>
            <w:r>
              <w:rPr>
                <w:noProof/>
                <w:webHidden/>
              </w:rPr>
              <w:instrText xml:space="preserve"> PAGEREF _Toc216691284 \h </w:instrText>
            </w:r>
            <w:r>
              <w:rPr>
                <w:noProof/>
                <w:webHidden/>
              </w:rPr>
            </w:r>
            <w:r>
              <w:rPr>
                <w:noProof/>
                <w:webHidden/>
              </w:rPr>
              <w:fldChar w:fldCharType="separate"/>
            </w:r>
            <w:r>
              <w:rPr>
                <w:noProof/>
                <w:webHidden/>
              </w:rPr>
              <w:t>18</w:t>
            </w:r>
            <w:r>
              <w:rPr>
                <w:noProof/>
                <w:webHidden/>
              </w:rPr>
              <w:fldChar w:fldCharType="end"/>
            </w:r>
          </w:hyperlink>
        </w:p>
        <w:p w14:paraId="092304F1" w14:textId="0479C255" w:rsidR="0028019C" w:rsidRDefault="0028019C">
          <w:pPr>
            <w:pStyle w:val="TOC1"/>
            <w:tabs>
              <w:tab w:val="left" w:pos="480"/>
              <w:tab w:val="right" w:leader="dot" w:pos="9016"/>
            </w:tabs>
            <w:rPr>
              <w:rFonts w:asciiTheme="minorHAnsi" w:eastAsiaTheme="minorEastAsia" w:hAnsiTheme="minorHAnsi"/>
              <w:bCs w:val="0"/>
              <w:iCs w:val="0"/>
              <w:noProof/>
              <w:color w:val="auto"/>
              <w:lang w:val="en-US"/>
            </w:rPr>
          </w:pPr>
          <w:hyperlink w:anchor="_Toc216691285" w:history="1">
            <w:r w:rsidRPr="008C25B3">
              <w:rPr>
                <w:rStyle w:val="Hyperlink"/>
                <w:noProof/>
              </w:rPr>
              <w:t>9.</w:t>
            </w:r>
            <w:r>
              <w:rPr>
                <w:rFonts w:asciiTheme="minorHAnsi" w:eastAsiaTheme="minorEastAsia" w:hAnsiTheme="minorHAnsi"/>
                <w:bCs w:val="0"/>
                <w:iCs w:val="0"/>
                <w:noProof/>
                <w:color w:val="auto"/>
                <w:lang w:val="en-US"/>
              </w:rPr>
              <w:tab/>
            </w:r>
            <w:r w:rsidRPr="008C25B3">
              <w:rPr>
                <w:rStyle w:val="Hyperlink"/>
                <w:noProof/>
              </w:rPr>
              <w:t>Conclusion</w:t>
            </w:r>
            <w:r>
              <w:rPr>
                <w:noProof/>
                <w:webHidden/>
              </w:rPr>
              <w:tab/>
            </w:r>
            <w:r>
              <w:rPr>
                <w:noProof/>
                <w:webHidden/>
              </w:rPr>
              <w:fldChar w:fldCharType="begin"/>
            </w:r>
            <w:r>
              <w:rPr>
                <w:noProof/>
                <w:webHidden/>
              </w:rPr>
              <w:instrText xml:space="preserve"> PAGEREF _Toc216691285 \h </w:instrText>
            </w:r>
            <w:r>
              <w:rPr>
                <w:noProof/>
                <w:webHidden/>
              </w:rPr>
            </w:r>
            <w:r>
              <w:rPr>
                <w:noProof/>
                <w:webHidden/>
              </w:rPr>
              <w:fldChar w:fldCharType="separate"/>
            </w:r>
            <w:r>
              <w:rPr>
                <w:noProof/>
                <w:webHidden/>
              </w:rPr>
              <w:t>20</w:t>
            </w:r>
            <w:r>
              <w:rPr>
                <w:noProof/>
                <w:webHidden/>
              </w:rPr>
              <w:fldChar w:fldCharType="end"/>
            </w:r>
          </w:hyperlink>
        </w:p>
        <w:p w14:paraId="1F813DC3" w14:textId="5CE5D818" w:rsidR="0028019C" w:rsidRDefault="0028019C">
          <w:pPr>
            <w:pStyle w:val="TOC1"/>
            <w:tabs>
              <w:tab w:val="left" w:pos="720"/>
              <w:tab w:val="right" w:leader="dot" w:pos="9016"/>
            </w:tabs>
            <w:rPr>
              <w:rFonts w:asciiTheme="minorHAnsi" w:eastAsiaTheme="minorEastAsia" w:hAnsiTheme="minorHAnsi"/>
              <w:bCs w:val="0"/>
              <w:iCs w:val="0"/>
              <w:noProof/>
              <w:color w:val="auto"/>
              <w:lang w:val="en-US"/>
            </w:rPr>
          </w:pPr>
          <w:hyperlink w:anchor="_Toc216691286" w:history="1">
            <w:r w:rsidRPr="008C25B3">
              <w:rPr>
                <w:rStyle w:val="Hyperlink"/>
                <w:noProof/>
              </w:rPr>
              <w:t>10.</w:t>
            </w:r>
            <w:r>
              <w:rPr>
                <w:rFonts w:asciiTheme="minorHAnsi" w:eastAsiaTheme="minorEastAsia" w:hAnsiTheme="minorHAnsi"/>
                <w:bCs w:val="0"/>
                <w:iCs w:val="0"/>
                <w:noProof/>
                <w:color w:val="auto"/>
                <w:lang w:val="en-US"/>
              </w:rPr>
              <w:tab/>
            </w:r>
            <w:r w:rsidRPr="008C25B3">
              <w:rPr>
                <w:rStyle w:val="Hyperlink"/>
                <w:noProof/>
              </w:rPr>
              <w:t>References</w:t>
            </w:r>
            <w:r>
              <w:rPr>
                <w:noProof/>
                <w:webHidden/>
              </w:rPr>
              <w:tab/>
            </w:r>
            <w:r>
              <w:rPr>
                <w:noProof/>
                <w:webHidden/>
              </w:rPr>
              <w:fldChar w:fldCharType="begin"/>
            </w:r>
            <w:r>
              <w:rPr>
                <w:noProof/>
                <w:webHidden/>
              </w:rPr>
              <w:instrText xml:space="preserve"> PAGEREF _Toc216691286 \h </w:instrText>
            </w:r>
            <w:r>
              <w:rPr>
                <w:noProof/>
                <w:webHidden/>
              </w:rPr>
            </w:r>
            <w:r>
              <w:rPr>
                <w:noProof/>
                <w:webHidden/>
              </w:rPr>
              <w:fldChar w:fldCharType="separate"/>
            </w:r>
            <w:r>
              <w:rPr>
                <w:noProof/>
                <w:webHidden/>
              </w:rPr>
              <w:t>21</w:t>
            </w:r>
            <w:r>
              <w:rPr>
                <w:noProof/>
                <w:webHidden/>
              </w:rPr>
              <w:fldChar w:fldCharType="end"/>
            </w:r>
          </w:hyperlink>
        </w:p>
        <w:p w14:paraId="22D70EC2" w14:textId="3C2B1BC3" w:rsidR="006B701B" w:rsidRDefault="006B701B">
          <w:r>
            <w:rPr>
              <w:b/>
              <w:bCs/>
              <w:noProof/>
            </w:rPr>
            <w:lastRenderedPageBreak/>
            <w:fldChar w:fldCharType="end"/>
          </w:r>
        </w:p>
      </w:sdtContent>
    </w:sdt>
    <w:p w14:paraId="577B3D43" w14:textId="77777777" w:rsidR="00A73B0D" w:rsidRDefault="00A73B0D">
      <w:pPr>
        <w:rPr>
          <w:rFonts w:ascii="Arial" w:hAnsi="Arial" w:cs="Arial"/>
          <w:b/>
          <w:bCs/>
          <w:color w:val="000000" w:themeColor="text1"/>
          <w:highlight w:val="yellow"/>
        </w:rPr>
      </w:pPr>
    </w:p>
    <w:p w14:paraId="443FD0CD" w14:textId="7A5FB3B4" w:rsidR="00617CF1" w:rsidRPr="00CC71E6" w:rsidRDefault="00B62BD6" w:rsidP="0018260A">
      <w:pPr>
        <w:pStyle w:val="Heading1"/>
        <w:numPr>
          <w:ilvl w:val="0"/>
          <w:numId w:val="28"/>
        </w:numPr>
        <w:ind w:left="0"/>
        <w:rPr>
          <w:bCs/>
        </w:rPr>
      </w:pPr>
      <w:bookmarkStart w:id="0" w:name="_Toc203900001"/>
      <w:bookmarkStart w:id="1" w:name="_Toc216691264"/>
      <w:r w:rsidRPr="00D73FA2">
        <w:t>Introduction</w:t>
      </w:r>
      <w:bookmarkEnd w:id="0"/>
      <w:bookmarkEnd w:id="1"/>
    </w:p>
    <w:p w14:paraId="513C5638" w14:textId="257C9E9E" w:rsidR="009B1133" w:rsidRDefault="0030402D" w:rsidP="0030402D">
      <w:r w:rsidRPr="0030402D">
        <w:t>This report analyses the internationalisation strategy of Procter and Gamble, one of the largest global consumer goods companies. Procter and Gamble originated in the United States but maintains an extensive presence in the United Kingdom, which serves as an important regional market. The analysis focuses on India as the chosen emerging economy, given its expanding consumer base, rising incomes, and strategic relevance for multinational enterprises. The report evaluates the benefits and challenges of global operations and assesses why Procter and Gamble qualifies as a multinational enterprise. It examines key aspects of its international value chain including research and development, sourcing, production, marketing, and financing. The report further analyses the company’s entry mode choices using the Ownership, Location and Internalisation framework. A comparison between the home and host markets highlights major cultural and institutional differences that shape market entry and operational success. The report concludes with recommended adjustments to Procter and Gamble’s procedures for sustainable growth in India.</w:t>
      </w:r>
    </w:p>
    <w:p w14:paraId="760DEA8B" w14:textId="6865C3C7" w:rsidR="00A54A7C" w:rsidRDefault="00A54A7C" w:rsidP="0018260A">
      <w:pPr>
        <w:pStyle w:val="Heading1"/>
        <w:numPr>
          <w:ilvl w:val="0"/>
          <w:numId w:val="28"/>
        </w:numPr>
        <w:ind w:left="-284" w:hanging="142"/>
      </w:pPr>
      <w:bookmarkStart w:id="2" w:name="_Toc216691265"/>
      <w:r>
        <w:t xml:space="preserve">Overview of </w:t>
      </w:r>
      <w:r w:rsidRPr="0030402D">
        <w:t>Procter and Gamble</w:t>
      </w:r>
      <w:r>
        <w:t xml:space="preserve"> (P&amp;G)</w:t>
      </w:r>
      <w:bookmarkEnd w:id="2"/>
    </w:p>
    <w:p w14:paraId="179314E4" w14:textId="77777777" w:rsidR="002D1454" w:rsidRDefault="002D1454" w:rsidP="002D1454">
      <w:pPr>
        <w:keepNext/>
      </w:pPr>
      <w:r w:rsidRPr="002D1454">
        <w:rPr>
          <w:noProof/>
        </w:rPr>
        <w:drawing>
          <wp:inline distT="0" distB="0" distL="0" distR="0" wp14:anchorId="51EACA42" wp14:editId="16E93373">
            <wp:extent cx="5731510" cy="1877060"/>
            <wp:effectExtent l="0" t="0" r="2540" b="8890"/>
            <wp:docPr id="21390740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074041" name=""/>
                    <pic:cNvPicPr/>
                  </pic:nvPicPr>
                  <pic:blipFill>
                    <a:blip r:embed="rId9"/>
                    <a:stretch>
                      <a:fillRect/>
                    </a:stretch>
                  </pic:blipFill>
                  <pic:spPr>
                    <a:xfrm>
                      <a:off x="0" y="0"/>
                      <a:ext cx="5731510" cy="1877060"/>
                    </a:xfrm>
                    <a:prstGeom prst="rect">
                      <a:avLst/>
                    </a:prstGeom>
                  </pic:spPr>
                </pic:pic>
              </a:graphicData>
            </a:graphic>
          </wp:inline>
        </w:drawing>
      </w:r>
    </w:p>
    <w:p w14:paraId="48B6E861" w14:textId="3070833A" w:rsidR="002D1454" w:rsidRPr="002D1454" w:rsidRDefault="002D1454" w:rsidP="002D1454">
      <w:pPr>
        <w:pStyle w:val="Caption"/>
      </w:pPr>
      <w:r>
        <w:t xml:space="preserve">Figure </w:t>
      </w:r>
      <w:fldSimple w:instr=" SEQ Figure \* ARABIC ">
        <w:r w:rsidR="00874497">
          <w:rPr>
            <w:noProof/>
          </w:rPr>
          <w:t>1</w:t>
        </w:r>
      </w:fldSimple>
      <w:r>
        <w:t xml:space="preserve"> </w:t>
      </w:r>
      <w:r w:rsidRPr="00505C22">
        <w:t>Soh, D. (2021) 5 things I learnt about Branding &amp; Marketing from P&amp;G</w:t>
      </w:r>
    </w:p>
    <w:p w14:paraId="0A2F4DCA" w14:textId="0D40BC1B" w:rsidR="00A54A7C" w:rsidRPr="00A54A7C" w:rsidRDefault="00A54A7C" w:rsidP="00A54A7C">
      <w:pPr>
        <w:rPr>
          <w:lang w:val="en-US"/>
        </w:rPr>
      </w:pPr>
      <w:r w:rsidRPr="00A54A7C">
        <w:rPr>
          <w:lang w:val="en-US"/>
        </w:rPr>
        <w:t xml:space="preserve">Procter and Gamble is an American consumer goods company that started in 1837. William Procter, an English candlemaker, and James Gamble, an Irish soap maker, formed a partnership in Cincinnati, Ohio (Procter and Gamble, 2024). The company </w:t>
      </w:r>
      <w:r w:rsidRPr="00A54A7C">
        <w:rPr>
          <w:lang w:val="en-US"/>
        </w:rPr>
        <w:lastRenderedPageBreak/>
        <w:t>grew steadily throughout the nineteenth century and was incorporated in the United States in the early twentieth century. This established its long-term identity as a major producer of household and personal care products. Its early focus on soap and candles set the stage for a diverse range of well-known brands in cleaning, beauty, health, and baby care.</w:t>
      </w:r>
    </w:p>
    <w:p w14:paraId="283562A6" w14:textId="77777777" w:rsidR="0007034B" w:rsidRDefault="0007034B" w:rsidP="00A54A7C">
      <w:r w:rsidRPr="0007034B">
        <w:t>Procter &amp; Gamble seeks to establish itself as a leading company in the global consumer goods sector by providing high-quality products that enhance everyday life. The organisation expresses a clear ambition to be recognised as the world’s best consumer products and services company, highlighting its long-term focus on excellence across its diverse brand portfolio (Procter &amp; Gamble, 2025). Its mission centres on addressing consumer needs through continuous innovation, efficient operations, and responsible business conduct. Beyond product performance, P&amp;G is committed to delivering value to shareholders, employees, and the wider communities where it operates. These values shape key strategic decisions involving innovation, international growth, and operational practices. Collectively, P&amp;G’s vision and mission reflect a strong emphasis on ethical behaviour, market leadership, and sustainable development in competitive global environments.</w:t>
      </w:r>
    </w:p>
    <w:p w14:paraId="37DE5EDF" w14:textId="0D7DA526" w:rsidR="00A54A7C" w:rsidRPr="00A54A7C" w:rsidRDefault="00A54A7C" w:rsidP="00A54A7C">
      <w:pPr>
        <w:rPr>
          <w:lang w:val="en-US"/>
        </w:rPr>
      </w:pPr>
      <w:r w:rsidRPr="00A54A7C">
        <w:rPr>
          <w:lang w:val="en-US"/>
        </w:rPr>
        <w:t>Today, Procter and Gamble is a large global corporation with a presence in over 180 countries. It has offices, manufacturing sites, and research centers in about 70 countries (P and G Annual Report, 2023). This global reach is backed by a strong value chain that includes innovation, supply networks, and distribution through retailers, pharmacies, and e-commerce platforms. The company's ability to create products tailored to local markets while managing global scale and efficiency has helped it maintain its competitive strength.</w:t>
      </w:r>
    </w:p>
    <w:p w14:paraId="73B39F61" w14:textId="68EA659B" w:rsidR="00A54A7C" w:rsidRDefault="00A54A7C" w:rsidP="00A54A7C">
      <w:pPr>
        <w:rPr>
          <w:lang w:val="en-US"/>
        </w:rPr>
      </w:pPr>
      <w:r w:rsidRPr="00A54A7C">
        <w:rPr>
          <w:lang w:val="en-US"/>
        </w:rPr>
        <w:t>Procter and Gamble’s operations are organized into product-based business units that meet various markets and consumer needs worldwide. Its global strategy focuses on building strong brands, continually innovating products, and maintaining a distribution system that ensures quick access to both developed and emerging markets (Britannica, 2024). This approach has helped the company remain one of the most influential consumer goods manufacturers in today's global economy.</w:t>
      </w:r>
    </w:p>
    <w:p w14:paraId="6BC01833" w14:textId="4DFEA04E" w:rsidR="008B7C52" w:rsidRPr="0018260A" w:rsidRDefault="008B7C52" w:rsidP="0018260A">
      <w:pPr>
        <w:pStyle w:val="Heading1"/>
        <w:numPr>
          <w:ilvl w:val="0"/>
          <w:numId w:val="28"/>
        </w:numPr>
        <w:ind w:left="0" w:hanging="426"/>
      </w:pPr>
      <w:bookmarkStart w:id="3" w:name="_Toc216691266"/>
      <w:r w:rsidRPr="0018260A">
        <w:rPr>
          <w:rStyle w:val="Heading1Char"/>
          <w:b/>
        </w:rPr>
        <w:lastRenderedPageBreak/>
        <w:t>Why Procter and Gamble is an MNC or TNC</w:t>
      </w:r>
      <w:bookmarkEnd w:id="3"/>
    </w:p>
    <w:p w14:paraId="7228ED67" w14:textId="6607A78F" w:rsidR="00DA5BBD" w:rsidRDefault="00B23DAC" w:rsidP="00A54A7C">
      <w:pPr>
        <w:rPr>
          <w:lang w:val="en-US"/>
        </w:rPr>
      </w:pPr>
      <w:r w:rsidRPr="00B23DAC">
        <w:rPr>
          <w:lang w:val="en-US"/>
        </w:rPr>
        <w:t>Procter and Gamble is a clear example of a multinational corporation. This type of firm owns and controls assets in more than one country (Caves 1996). The company operates in over 180 markets and manages a large network of global subsidiaries, manufacturing sites, and distribution systems (Procter and Gamble 2024). Scholars define transnational corporations as organizations that balance global integration with local responsiveness (</w:t>
      </w:r>
      <w:r w:rsidR="008251EA" w:rsidRPr="008251EA">
        <w:t>Wei &amp; Nguyen, 2019</w:t>
      </w:r>
      <w:r w:rsidRPr="00B23DAC">
        <w:rPr>
          <w:lang w:val="en-US"/>
        </w:rPr>
        <w:t>). Procter and Gamble shows this balance by centralizing research and development while customizing its products, packaging, and marketing to suit local preferences. The firm also shares knowledge across its units and keeps global brand platforms that adapt to regional needs. These traits, along with the company's direct ownership of its international operations, explain why it is considered both a multinational and a transnational enterprise.</w:t>
      </w:r>
    </w:p>
    <w:p w14:paraId="490CC343" w14:textId="21BB55BA" w:rsidR="00924A27" w:rsidRDefault="00924A27" w:rsidP="006E675C">
      <w:pPr>
        <w:pStyle w:val="Heading1"/>
        <w:numPr>
          <w:ilvl w:val="0"/>
          <w:numId w:val="28"/>
        </w:numPr>
        <w:ind w:left="0"/>
        <w:rPr>
          <w:lang w:val="en-US"/>
        </w:rPr>
      </w:pPr>
      <w:bookmarkStart w:id="4" w:name="_Toc216691267"/>
      <w:r w:rsidRPr="00924A27">
        <w:rPr>
          <w:lang w:val="en-US"/>
        </w:rPr>
        <w:t>Nature of Global Operations</w:t>
      </w:r>
      <w:bookmarkEnd w:id="4"/>
    </w:p>
    <w:p w14:paraId="622E6AA4" w14:textId="550CCD2B" w:rsidR="00924A27" w:rsidRDefault="00286C2F" w:rsidP="002A1FBB">
      <w:pPr>
        <w:rPr>
          <w:b/>
          <w:bCs/>
        </w:rPr>
      </w:pPr>
      <w:r w:rsidRPr="00286C2F">
        <w:rPr>
          <w:b/>
          <w:bCs/>
        </w:rPr>
        <w:t>Research and Development (R&amp;D)</w:t>
      </w:r>
    </w:p>
    <w:p w14:paraId="792752F1" w14:textId="77777777" w:rsidR="005E2CCD" w:rsidRDefault="005E2CCD" w:rsidP="005E2CCD">
      <w:pPr>
        <w:keepNext/>
        <w:ind w:left="567" w:hanging="283"/>
      </w:pPr>
      <w:r w:rsidRPr="005E2CCD">
        <w:rPr>
          <w:b/>
          <w:bCs/>
          <w:noProof/>
          <w:lang w:val="en-US"/>
        </w:rPr>
        <w:drawing>
          <wp:inline distT="0" distB="0" distL="0" distR="0" wp14:anchorId="4846E932" wp14:editId="2F93A20E">
            <wp:extent cx="5219700" cy="2355273"/>
            <wp:effectExtent l="0" t="0" r="0" b="6985"/>
            <wp:docPr id="17392513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251368" name=""/>
                    <pic:cNvPicPr/>
                  </pic:nvPicPr>
                  <pic:blipFill>
                    <a:blip r:embed="rId10"/>
                    <a:stretch>
                      <a:fillRect/>
                    </a:stretch>
                  </pic:blipFill>
                  <pic:spPr>
                    <a:xfrm>
                      <a:off x="0" y="0"/>
                      <a:ext cx="5237335" cy="2363230"/>
                    </a:xfrm>
                    <a:prstGeom prst="rect">
                      <a:avLst/>
                    </a:prstGeom>
                  </pic:spPr>
                </pic:pic>
              </a:graphicData>
            </a:graphic>
          </wp:inline>
        </w:drawing>
      </w:r>
    </w:p>
    <w:p w14:paraId="7D5DF591" w14:textId="70B798DF" w:rsidR="005E2CCD" w:rsidRPr="00286C2F" w:rsidRDefault="005E2CCD" w:rsidP="005E2CCD">
      <w:pPr>
        <w:pStyle w:val="Caption"/>
        <w:rPr>
          <w:b/>
          <w:bCs/>
          <w:lang w:val="en-US"/>
        </w:rPr>
      </w:pPr>
      <w:r>
        <w:t xml:space="preserve">Figure </w:t>
      </w:r>
      <w:fldSimple w:instr=" SEQ Figure \* ARABIC ">
        <w:r w:rsidR="00874497">
          <w:rPr>
            <w:noProof/>
          </w:rPr>
          <w:t>2</w:t>
        </w:r>
      </w:fldSimple>
      <w:r>
        <w:t xml:space="preserve"> </w:t>
      </w:r>
      <w:r w:rsidRPr="00AD549A">
        <w:t>P&amp;G Singapore Innovation Center</w:t>
      </w:r>
      <w:r>
        <w:t>,</w:t>
      </w:r>
      <w:r w:rsidRPr="00AD549A">
        <w:t xml:space="preserve"> LinkedIn company profile</w:t>
      </w:r>
    </w:p>
    <w:p w14:paraId="64E77644" w14:textId="6C1138B3" w:rsidR="009747FB" w:rsidRDefault="009747FB" w:rsidP="00A54A7C">
      <w:pPr>
        <w:rPr>
          <w:lang w:val="en-US"/>
        </w:rPr>
      </w:pPr>
      <w:r w:rsidRPr="009747FB">
        <w:rPr>
          <w:lang w:val="en-US"/>
        </w:rPr>
        <w:t>Procter &amp; Gamble’s global innovation network covers countries like the U.S., U.K., Germany, Belgium, and Japan. These centers focus on new product formulations, digital technologies, consumer insights, and sustainable packaging. This global research and development effort supports the company’s long-term growth and its sustainability goals, especially its “net-zero by 2040” targets, which are part of a larger responsible growth strategy</w:t>
      </w:r>
      <w:r w:rsidR="00881E0E">
        <w:rPr>
          <w:lang w:val="en-US"/>
        </w:rPr>
        <w:t xml:space="preserve"> (</w:t>
      </w:r>
      <w:r w:rsidR="00881E0E" w:rsidRPr="00881E0E">
        <w:t>Collins,</w:t>
      </w:r>
      <w:r w:rsidR="00881E0E">
        <w:t xml:space="preserve"> </w:t>
      </w:r>
      <w:r w:rsidR="00881E0E" w:rsidRPr="00881E0E">
        <w:t>2025</w:t>
      </w:r>
      <w:r w:rsidR="00881E0E">
        <w:t>).</w:t>
      </w:r>
    </w:p>
    <w:p w14:paraId="62785E6B" w14:textId="59DF41AD" w:rsidR="00286C2F" w:rsidRDefault="00286C2F" w:rsidP="00A54A7C">
      <w:pPr>
        <w:rPr>
          <w:b/>
          <w:bCs/>
        </w:rPr>
      </w:pPr>
      <w:r w:rsidRPr="00286C2F">
        <w:rPr>
          <w:b/>
          <w:bCs/>
        </w:rPr>
        <w:lastRenderedPageBreak/>
        <w:t>Sourcing</w:t>
      </w:r>
    </w:p>
    <w:p w14:paraId="134F591A" w14:textId="17840EDC" w:rsidR="00286C2F" w:rsidRDefault="00286C2F" w:rsidP="00A54A7C">
      <w:pPr>
        <w:rPr>
          <w:lang w:val="en-US"/>
        </w:rPr>
      </w:pPr>
      <w:r w:rsidRPr="00286C2F">
        <w:rPr>
          <w:lang w:val="en-US"/>
        </w:rPr>
        <w:t xml:space="preserve">The company sources a variety of materials, including chemicals, fragrances, polymers, machinery, and agricultural inputs. It works with suppliers in Asia, Europe, and North America. By forming strong, long-term relationships with these suppliers, P&amp;G can keep quality consistent and lower the risks from supply chain disruptions </w:t>
      </w:r>
      <w:r w:rsidR="00B4546C" w:rsidRPr="00B4546C">
        <w:t>(Collins, 2025)</w:t>
      </w:r>
      <w:r w:rsidR="00B4546C">
        <w:t>.</w:t>
      </w:r>
    </w:p>
    <w:p w14:paraId="2BC5F3F2" w14:textId="4B010728" w:rsidR="00286C2F" w:rsidRPr="00286C2F" w:rsidRDefault="00286C2F" w:rsidP="00A54A7C">
      <w:pPr>
        <w:rPr>
          <w:b/>
          <w:bCs/>
        </w:rPr>
      </w:pPr>
      <w:r w:rsidRPr="00286C2F">
        <w:rPr>
          <w:b/>
          <w:bCs/>
        </w:rPr>
        <w:t>Production / Manufacturing</w:t>
      </w:r>
    </w:p>
    <w:p w14:paraId="111D0064" w14:textId="0686927F" w:rsidR="00630DC9" w:rsidRPr="00332BB2" w:rsidRDefault="00286C2F" w:rsidP="00A54A7C">
      <w:r w:rsidRPr="00286C2F">
        <w:rPr>
          <w:lang w:val="en-US"/>
        </w:rPr>
        <w:t xml:space="preserve">P&amp;G runs over 100 manufacturing facilities around the world, including in India, the United Kingdom, China, the United States, and Mexico. This global reach helps the company stay close to its customers, reduce logistics costs, and meet local regulations. Many of these plants use automation and modern digital systems to improve efficiency and productivity </w:t>
      </w:r>
      <w:r w:rsidR="00756BA7" w:rsidRPr="00756BA7">
        <w:t>(P&amp;G &amp; Microsoft, 2022)</w:t>
      </w:r>
      <w:r w:rsidR="00756BA7">
        <w:t>.</w:t>
      </w:r>
    </w:p>
    <w:p w14:paraId="17BC0F6D" w14:textId="52C28E52" w:rsidR="00286C2F" w:rsidRDefault="00286C2F" w:rsidP="00A54A7C">
      <w:pPr>
        <w:rPr>
          <w:b/>
          <w:bCs/>
        </w:rPr>
      </w:pPr>
      <w:r w:rsidRPr="00286C2F">
        <w:rPr>
          <w:b/>
          <w:bCs/>
        </w:rPr>
        <w:t>Marketing and Sales</w:t>
      </w:r>
    </w:p>
    <w:p w14:paraId="37ED38E1" w14:textId="77777777" w:rsidR="0087401A" w:rsidRDefault="0087401A" w:rsidP="0087401A">
      <w:pPr>
        <w:keepNext/>
        <w:ind w:firstLine="2410"/>
      </w:pPr>
      <w:r w:rsidRPr="0087401A">
        <w:rPr>
          <w:b/>
          <w:bCs/>
          <w:noProof/>
        </w:rPr>
        <w:drawing>
          <wp:inline distT="0" distB="0" distL="0" distR="0" wp14:anchorId="29884986" wp14:editId="6F1FD01A">
            <wp:extent cx="2653145" cy="1930013"/>
            <wp:effectExtent l="0" t="0" r="0" b="0"/>
            <wp:docPr id="17561699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169989" name=""/>
                    <pic:cNvPicPr/>
                  </pic:nvPicPr>
                  <pic:blipFill>
                    <a:blip r:embed="rId11"/>
                    <a:stretch>
                      <a:fillRect/>
                    </a:stretch>
                  </pic:blipFill>
                  <pic:spPr>
                    <a:xfrm>
                      <a:off x="0" y="0"/>
                      <a:ext cx="2661074" cy="1935781"/>
                    </a:xfrm>
                    <a:prstGeom prst="rect">
                      <a:avLst/>
                    </a:prstGeom>
                  </pic:spPr>
                </pic:pic>
              </a:graphicData>
            </a:graphic>
          </wp:inline>
        </w:drawing>
      </w:r>
    </w:p>
    <w:p w14:paraId="14FD50F1" w14:textId="7B84B3E0" w:rsidR="0087401A" w:rsidRPr="00286C2F" w:rsidRDefault="0087401A" w:rsidP="0087401A">
      <w:pPr>
        <w:pStyle w:val="Caption"/>
        <w:rPr>
          <w:b/>
          <w:bCs/>
        </w:rPr>
      </w:pPr>
      <w:r>
        <w:t xml:space="preserve">Figure </w:t>
      </w:r>
      <w:fldSimple w:instr=" SEQ Figure \* ARABIC ">
        <w:r w:rsidR="00874497">
          <w:rPr>
            <w:noProof/>
          </w:rPr>
          <w:t>3</w:t>
        </w:r>
      </w:fldSimple>
      <w:r>
        <w:t xml:space="preserve"> </w:t>
      </w:r>
      <w:r w:rsidRPr="000C3CF4">
        <w:t>Hobbs, T. (2015) P&amp;G presses on with marketing efficiency drive as sales projections fall. Marketing Week</w:t>
      </w:r>
    </w:p>
    <w:p w14:paraId="14F00A2D" w14:textId="73030E11" w:rsidR="00286C2F" w:rsidRDefault="009E153A" w:rsidP="00A54A7C">
      <w:pPr>
        <w:rPr>
          <w:lang w:val="en-US"/>
        </w:rPr>
      </w:pPr>
      <w:r w:rsidRPr="009E153A">
        <w:rPr>
          <w:lang w:val="en-US"/>
        </w:rPr>
        <w:t xml:space="preserve">P&amp;G promotes universal brand values such as hygiene, care, and cleanliness. However, it adjusts its marketing campaigns to suit local cultures. Advertising teams collaborate across regions to make sure the brand stays consistent worldwide while still connecting with local audiences </w:t>
      </w:r>
      <w:r w:rsidR="00086AC1">
        <w:rPr>
          <w:lang w:val="en-US"/>
        </w:rPr>
        <w:t>(WARC, 200</w:t>
      </w:r>
      <w:r w:rsidR="00A1689A">
        <w:rPr>
          <w:lang w:val="en-US"/>
        </w:rPr>
        <w:t>9</w:t>
      </w:r>
      <w:r w:rsidR="00086AC1">
        <w:rPr>
          <w:lang w:val="en-US"/>
        </w:rPr>
        <w:t>).</w:t>
      </w:r>
    </w:p>
    <w:p w14:paraId="5AEFBC75" w14:textId="7BB07E53" w:rsidR="009E153A" w:rsidRPr="009E153A" w:rsidRDefault="009E153A" w:rsidP="00A54A7C">
      <w:pPr>
        <w:rPr>
          <w:b/>
          <w:bCs/>
        </w:rPr>
      </w:pPr>
      <w:r w:rsidRPr="009E153A">
        <w:rPr>
          <w:b/>
          <w:bCs/>
        </w:rPr>
        <w:t>Financial Management</w:t>
      </w:r>
    </w:p>
    <w:p w14:paraId="5C26806A" w14:textId="58A1B57B" w:rsidR="009E153A" w:rsidRDefault="009E153A" w:rsidP="00A54A7C">
      <w:pPr>
        <w:rPr>
          <w:lang w:val="en-US"/>
        </w:rPr>
      </w:pPr>
      <w:r w:rsidRPr="009E153A">
        <w:rPr>
          <w:lang w:val="en-US"/>
        </w:rPr>
        <w:t>P&amp;G’s financial operations support its global activities through internal capital markets, international borrowing, and reinvested earnings. A strong credit rating lets the company access financing at competitive rates. Meanwhile, global treasury systems help manage taxation, currency risks, and profit repatriation effectivel</w:t>
      </w:r>
      <w:r w:rsidR="00054A68">
        <w:rPr>
          <w:lang w:val="en-US"/>
        </w:rPr>
        <w:t>y.</w:t>
      </w:r>
    </w:p>
    <w:p w14:paraId="3B54A8C1" w14:textId="77777777" w:rsidR="002C2AD5" w:rsidRDefault="002C2AD5" w:rsidP="00A54A7C">
      <w:pPr>
        <w:rPr>
          <w:b/>
          <w:bCs/>
        </w:rPr>
      </w:pPr>
      <w:r w:rsidRPr="002C2AD5">
        <w:rPr>
          <w:b/>
          <w:bCs/>
        </w:rPr>
        <w:lastRenderedPageBreak/>
        <w:t>Knowledge Management</w:t>
      </w:r>
    </w:p>
    <w:p w14:paraId="2DA5C6B6" w14:textId="23A5D9D3" w:rsidR="00B7659D" w:rsidRDefault="00B7659D" w:rsidP="00B7659D">
      <w:pPr>
        <w:rPr>
          <w:lang w:val="en-US"/>
        </w:rPr>
      </w:pPr>
      <w:r w:rsidRPr="00B7659D">
        <w:t>P&amp;G works with academic and research institutions like Fraunhofer to use outside scientific expertise and speed up innovation. This sharing of knowledge between sectors is a key part of how it grows sustainable ideas across its global operations</w:t>
      </w:r>
      <w:r>
        <w:t xml:space="preserve"> </w:t>
      </w:r>
      <w:r w:rsidRPr="00B7659D">
        <w:rPr>
          <w:lang w:val="en-US"/>
        </w:rPr>
        <w:t>(P&amp;G &amp; Fraunhofer, 2023)</w:t>
      </w:r>
      <w:r>
        <w:rPr>
          <w:lang w:val="en-US"/>
        </w:rPr>
        <w:t>.</w:t>
      </w:r>
    </w:p>
    <w:p w14:paraId="5D8247EB" w14:textId="5156F6EB" w:rsidR="001156FD" w:rsidRDefault="009C19BB" w:rsidP="0025062F">
      <w:pPr>
        <w:pStyle w:val="Heading2"/>
        <w:ind w:left="-567"/>
        <w:rPr>
          <w:lang w:val="en-US"/>
        </w:rPr>
      </w:pPr>
      <w:bookmarkStart w:id="5" w:name="_Toc216691268"/>
      <w:r>
        <w:rPr>
          <w:lang w:val="en-US"/>
        </w:rPr>
        <w:t>4</w:t>
      </w:r>
      <w:r w:rsidR="0025062F">
        <w:rPr>
          <w:lang w:val="en-US"/>
        </w:rPr>
        <w:t>.1</w:t>
      </w:r>
      <w:r w:rsidR="0025062F">
        <w:rPr>
          <w:lang w:val="en-US"/>
        </w:rPr>
        <w:tab/>
      </w:r>
      <w:r w:rsidR="001156FD">
        <w:rPr>
          <w:lang w:val="en-US"/>
        </w:rPr>
        <w:t>Entry modes used by P&amp;G</w:t>
      </w:r>
      <w:bookmarkEnd w:id="5"/>
      <w:r w:rsidR="001156FD">
        <w:rPr>
          <w:lang w:val="en-US"/>
        </w:rPr>
        <w:t xml:space="preserve"> </w:t>
      </w:r>
    </w:p>
    <w:p w14:paraId="634F7A9E" w14:textId="77777777" w:rsidR="00626B4E" w:rsidRDefault="00626B4E" w:rsidP="00626B4E">
      <w:pPr>
        <w:keepNext/>
      </w:pPr>
      <w:r w:rsidRPr="00626B4E">
        <w:rPr>
          <w:noProof/>
          <w:lang w:val="en-US"/>
        </w:rPr>
        <w:drawing>
          <wp:inline distT="0" distB="0" distL="0" distR="0" wp14:anchorId="1663CAA3" wp14:editId="280F1CD5">
            <wp:extent cx="5731510" cy="3838575"/>
            <wp:effectExtent l="0" t="0" r="2540" b="9525"/>
            <wp:docPr id="19436453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3645317" name=""/>
                    <pic:cNvPicPr/>
                  </pic:nvPicPr>
                  <pic:blipFill>
                    <a:blip r:embed="rId12"/>
                    <a:stretch>
                      <a:fillRect/>
                    </a:stretch>
                  </pic:blipFill>
                  <pic:spPr>
                    <a:xfrm>
                      <a:off x="0" y="0"/>
                      <a:ext cx="5731510" cy="3838575"/>
                    </a:xfrm>
                    <a:prstGeom prst="rect">
                      <a:avLst/>
                    </a:prstGeom>
                  </pic:spPr>
                </pic:pic>
              </a:graphicData>
            </a:graphic>
          </wp:inline>
        </w:drawing>
      </w:r>
    </w:p>
    <w:p w14:paraId="651B0985" w14:textId="411B36D7" w:rsidR="00626B4E" w:rsidRPr="00626B4E" w:rsidRDefault="00626B4E" w:rsidP="00626B4E">
      <w:pPr>
        <w:pStyle w:val="Caption"/>
        <w:rPr>
          <w:lang w:val="en-US"/>
        </w:rPr>
      </w:pPr>
      <w:r>
        <w:t xml:space="preserve">Figure </w:t>
      </w:r>
      <w:fldSimple w:instr=" SEQ Figure \* ARABIC ">
        <w:r w:rsidR="00874497">
          <w:rPr>
            <w:noProof/>
          </w:rPr>
          <w:t>4</w:t>
        </w:r>
      </w:fldSimple>
      <w:r>
        <w:t xml:space="preserve"> </w:t>
      </w:r>
      <w:r w:rsidRPr="00341274">
        <w:t>Manuel, L. (2022) 6.1 International Entry Modes. In: Global Marketing In a Digital World.</w:t>
      </w:r>
    </w:p>
    <w:p w14:paraId="6A193F63" w14:textId="6E330A02" w:rsidR="001156FD" w:rsidRDefault="00F84CDE" w:rsidP="001156FD">
      <w:r w:rsidRPr="00F84CDE">
        <w:t>Procter &amp; Gamble (P&amp;G) uses various market entry strategies based on local conditions and business goals. These approaches include acquisitions, joint ventures, wholly owned subsidiaries, and greenfield investments. This flexibility helps the company respond to different regulatory environments, competitive landscapes, and consumer markets (Dunning and Lundan, 2008).</w:t>
      </w:r>
    </w:p>
    <w:p w14:paraId="6BEE9798" w14:textId="1093E6B3" w:rsidR="00CE1709" w:rsidRPr="00CE1709" w:rsidRDefault="00CE1709" w:rsidP="001156FD">
      <w:pPr>
        <w:rPr>
          <w:b/>
          <w:bCs/>
          <w:lang w:val="en-US"/>
        </w:rPr>
      </w:pPr>
      <w:r w:rsidRPr="00CE1709">
        <w:rPr>
          <w:b/>
          <w:bCs/>
        </w:rPr>
        <w:t>Acquisitions</w:t>
      </w:r>
    </w:p>
    <w:p w14:paraId="4CF89E6B" w14:textId="790D5BA9" w:rsidR="00B7659D" w:rsidRDefault="00CE1709" w:rsidP="00A54A7C">
      <w:r w:rsidRPr="00CE1709">
        <w:t xml:space="preserve">In markets like the United Kingdom, P&amp;G has used acquisitions to enter quickly and strengthen its position. Acquisitions help P&amp;G gain established brands, distribution networks, and market knowledge without delay. This strategy is typical for consumer </w:t>
      </w:r>
      <w:r w:rsidRPr="00CE1709">
        <w:lastRenderedPageBreak/>
        <w:t xml:space="preserve">goods companies looking for speed and growth in mature markets (Dunning and Lundan, 2008). </w:t>
      </w:r>
      <w:r>
        <w:t>I</w:t>
      </w:r>
      <w:r w:rsidRPr="00CE1709">
        <w:t xml:space="preserve">n 2023 P&amp;G acquired </w:t>
      </w:r>
      <w:r w:rsidRPr="001A2FAC">
        <w:t>Mielle Organics</w:t>
      </w:r>
      <w:r w:rsidRPr="00CE1709">
        <w:t>, a natural hair</w:t>
      </w:r>
      <w:r w:rsidRPr="00CE1709">
        <w:noBreakHyphen/>
        <w:t>care brand rooted in the Black beauty community. The acquisition allows P&amp;G to scale Mielle’s products globally while preserving its distinctive brand identity</w:t>
      </w:r>
      <w:r w:rsidR="00EA7C1D" w:rsidRPr="00EA7C1D">
        <w:t xml:space="preserve"> (S&amp;P Capital IQ</w:t>
      </w:r>
      <w:r w:rsidR="00EA7C1D">
        <w:t>,</w:t>
      </w:r>
      <w:r w:rsidR="00EA7C1D" w:rsidRPr="00EA7C1D">
        <w:t xml:space="preserve"> 2023)</w:t>
      </w:r>
      <w:r w:rsidR="00EA7C1D">
        <w:t>.</w:t>
      </w:r>
    </w:p>
    <w:p w14:paraId="26701626" w14:textId="77777777" w:rsidR="00F40574" w:rsidRDefault="00F40574" w:rsidP="00A54A7C"/>
    <w:p w14:paraId="1E3BF449" w14:textId="7CF6F678" w:rsidR="00A45C7A" w:rsidRPr="00A45C7A" w:rsidRDefault="00A45C7A" w:rsidP="00A54A7C">
      <w:pPr>
        <w:rPr>
          <w:b/>
          <w:bCs/>
        </w:rPr>
      </w:pPr>
      <w:r w:rsidRPr="00A45C7A">
        <w:rPr>
          <w:b/>
          <w:bCs/>
        </w:rPr>
        <w:t>Joint Ventures</w:t>
      </w:r>
    </w:p>
    <w:p w14:paraId="51573AC4" w14:textId="12678E9D" w:rsidR="00A45C7A" w:rsidRDefault="00A45C7A" w:rsidP="00A54A7C">
      <w:r w:rsidRPr="00A45C7A">
        <w:t xml:space="preserve">In India, P&amp;G initially entered the market in 1964 through a joint venture with Godrej Soaps. This strategy helped the company navigate local regulations and leverage the partner’s knowledge of domestic consumer behaviour. Over time, as regulations relaxed and the market matured, P&amp;G gradually moved toward majority ownership and eventually full ownership </w:t>
      </w:r>
      <w:r>
        <w:t>(</w:t>
      </w:r>
      <w:r w:rsidRPr="00A45C7A">
        <w:t>UPI</w:t>
      </w:r>
      <w:r>
        <w:t>,</w:t>
      </w:r>
      <w:r w:rsidRPr="00A45C7A">
        <w:t xml:space="preserve"> 1992</w:t>
      </w:r>
      <w:r>
        <w:t>).</w:t>
      </w:r>
    </w:p>
    <w:p w14:paraId="420E7FE3" w14:textId="7AA5D1ED" w:rsidR="00672454" w:rsidRPr="00672454" w:rsidRDefault="00672454" w:rsidP="00A54A7C">
      <w:pPr>
        <w:rPr>
          <w:b/>
          <w:bCs/>
        </w:rPr>
      </w:pPr>
      <w:r w:rsidRPr="00672454">
        <w:rPr>
          <w:b/>
          <w:bCs/>
        </w:rPr>
        <w:t>Wholly Owned Subsidiaries (Dominant Mode)</w:t>
      </w:r>
    </w:p>
    <w:p w14:paraId="07E6DA9B" w14:textId="46FC956F" w:rsidR="00260806" w:rsidRDefault="00F97F5D" w:rsidP="00A54A7C">
      <w:r w:rsidRPr="00F97F5D">
        <w:t>Globally, P&amp;G mainly enters new markets through wholly owned subsidiaries. This method gives the company strong control over its technology, production processes, and brand management. It also protects its research and development knowledge, ensures consistent product quality, and helps coordinate the global supply chain. The benefits include a lower risk of intellectual property theft, improved integration of global operations, and the ability to quickly introduce innovations in different markets.</w:t>
      </w:r>
    </w:p>
    <w:p w14:paraId="73CC7B5F" w14:textId="6ED2E984" w:rsidR="003A6BD4" w:rsidRDefault="003A6BD4" w:rsidP="009C19BB">
      <w:pPr>
        <w:pStyle w:val="Heading1"/>
        <w:numPr>
          <w:ilvl w:val="0"/>
          <w:numId w:val="28"/>
        </w:numPr>
        <w:ind w:left="0"/>
      </w:pPr>
      <w:bookmarkStart w:id="6" w:name="_Toc216691269"/>
      <w:r w:rsidRPr="003A6BD4">
        <w:t xml:space="preserve">Key benefits </w:t>
      </w:r>
      <w:r w:rsidR="00D30E29">
        <w:t xml:space="preserve">and challenges </w:t>
      </w:r>
      <w:r w:rsidRPr="003A6BD4">
        <w:t>obtained by the company from its international operations</w:t>
      </w:r>
      <w:bookmarkEnd w:id="6"/>
    </w:p>
    <w:p w14:paraId="28703772" w14:textId="28903A09" w:rsidR="00805288" w:rsidRPr="00FE476C" w:rsidRDefault="00805288" w:rsidP="00FE476C">
      <w:pPr>
        <w:pStyle w:val="ListParagraph"/>
        <w:numPr>
          <w:ilvl w:val="0"/>
          <w:numId w:val="29"/>
        </w:numPr>
        <w:ind w:left="0"/>
        <w:rPr>
          <w:b/>
          <w:bCs/>
          <w:sz w:val="28"/>
          <w:szCs w:val="28"/>
          <w:u w:val="single"/>
        </w:rPr>
      </w:pPr>
      <w:r w:rsidRPr="00FE476C">
        <w:rPr>
          <w:b/>
          <w:bCs/>
          <w:sz w:val="28"/>
          <w:szCs w:val="28"/>
          <w:u w:val="single"/>
        </w:rPr>
        <w:t>Benefits</w:t>
      </w:r>
    </w:p>
    <w:p w14:paraId="6E5E2E71" w14:textId="3DF660EA" w:rsidR="00684944" w:rsidRDefault="00684944" w:rsidP="00A54A7C">
      <w:r w:rsidRPr="00684944">
        <w:rPr>
          <w:b/>
          <w:bCs/>
        </w:rPr>
        <w:t>Access to Diverse Markets and Risk Diversification</w:t>
      </w:r>
      <w:r>
        <w:rPr>
          <w:b/>
          <w:bCs/>
        </w:rPr>
        <w:t xml:space="preserve">: </w:t>
      </w:r>
      <w:r w:rsidRPr="00684944">
        <w:t>Operating internationally lets P&amp;G spread business risk across different regions. Weaker performance in one market can be balanced by strong performance in another. This helps stabilize revenue streams (P&amp;G, 2024; Devadiga &amp;</w:t>
      </w:r>
      <w:r>
        <w:t xml:space="preserve"> </w:t>
      </w:r>
      <w:r w:rsidRPr="00684944">
        <w:t>Aithal, 2025).</w:t>
      </w:r>
    </w:p>
    <w:p w14:paraId="39328FF6" w14:textId="075DC87B" w:rsidR="00684944" w:rsidRDefault="00684944" w:rsidP="00A54A7C">
      <w:r w:rsidRPr="00684944">
        <w:rPr>
          <w:b/>
          <w:bCs/>
        </w:rPr>
        <w:t>Economies of Scale</w:t>
      </w:r>
      <w:r>
        <w:rPr>
          <w:b/>
          <w:bCs/>
        </w:rPr>
        <w:t xml:space="preserve">: </w:t>
      </w:r>
      <w:r w:rsidR="003459D8" w:rsidRPr="003459D8">
        <w:t>P&amp;G's global presence allows for big cost savings through large-volume manufacturing and centralized sourcing. The Supply Chain 3.0 program, used worldwide, brings notable productivity improvements through automation, data synchronization, and digitization (P&amp;G, 2024; Schroedel, 2024).</w:t>
      </w:r>
    </w:p>
    <w:p w14:paraId="52B26D50" w14:textId="654B3578" w:rsidR="003459D8" w:rsidRDefault="003459D8" w:rsidP="00A54A7C">
      <w:r w:rsidRPr="003459D8">
        <w:rPr>
          <w:b/>
          <w:bCs/>
        </w:rPr>
        <w:lastRenderedPageBreak/>
        <w:t>Enhanced Innovation and Talent Pool</w:t>
      </w:r>
      <w:r>
        <w:rPr>
          <w:b/>
          <w:bCs/>
        </w:rPr>
        <w:t xml:space="preserve">: </w:t>
      </w:r>
      <w:r w:rsidRPr="003459D8">
        <w:t>A truly global presence gives P&amp;G access to different talent and skills, which fosters creativity and innovation. Its operations in many countries also promote sustainable business model innovation. This aligns with green and digital technology trends (Schroedel, 2024; Qing &amp; Jin, 2023).</w:t>
      </w:r>
    </w:p>
    <w:p w14:paraId="391606AB" w14:textId="58A2383F" w:rsidR="003459D8" w:rsidRPr="00A84BA3" w:rsidRDefault="003459D8" w:rsidP="00A54A7C">
      <w:r w:rsidRPr="003459D8">
        <w:rPr>
          <w:b/>
          <w:bCs/>
        </w:rPr>
        <w:t>Stronger Brand Equity</w:t>
      </w:r>
      <w:r>
        <w:rPr>
          <w:b/>
          <w:bCs/>
        </w:rPr>
        <w:t xml:space="preserve">: </w:t>
      </w:r>
      <w:r w:rsidRPr="003459D8">
        <w:t>Operating in many markets builds brand reputation and trust around the world. Global exposure helps P&amp;G’s main brands keep consumer confidence and strengthens their position in both mature and emerging markets (Devadiga &amp; Aithal, 2025).</w:t>
      </w:r>
    </w:p>
    <w:p w14:paraId="31C03DA3" w14:textId="17A5B28B" w:rsidR="003459D8" w:rsidRDefault="003459D8" w:rsidP="00A54A7C">
      <w:r w:rsidRPr="003459D8">
        <w:rPr>
          <w:b/>
          <w:bCs/>
        </w:rPr>
        <w:t>Environmental and Social Performance Gains</w:t>
      </w:r>
      <w:r>
        <w:rPr>
          <w:b/>
          <w:bCs/>
        </w:rPr>
        <w:t>:</w:t>
      </w:r>
      <w:r w:rsidR="00A84BA3">
        <w:rPr>
          <w:b/>
          <w:bCs/>
        </w:rPr>
        <w:t xml:space="preserve"> </w:t>
      </w:r>
      <w:r w:rsidR="00A84BA3" w:rsidRPr="00A84BA3">
        <w:t>International regulations and ESG pressures encourage P&amp;G to adopt more sustainable practices, including green process innovation, responsible sourcing, and digital transformation. These initiatives lower environmental impact and can improve long-term financial performance (Heliyon, 2024; Qing &amp; Jin, 2023).</w:t>
      </w:r>
    </w:p>
    <w:p w14:paraId="2B91DC18" w14:textId="75CFD4CE" w:rsidR="00657006" w:rsidRPr="00FE476C" w:rsidRDefault="0005560F" w:rsidP="00FE476C">
      <w:pPr>
        <w:pStyle w:val="ListParagraph"/>
        <w:numPr>
          <w:ilvl w:val="0"/>
          <w:numId w:val="29"/>
        </w:numPr>
        <w:ind w:left="0"/>
        <w:rPr>
          <w:b/>
          <w:bCs/>
          <w:sz w:val="28"/>
          <w:szCs w:val="28"/>
          <w:u w:val="single"/>
        </w:rPr>
      </w:pPr>
      <w:r w:rsidRPr="00FE476C">
        <w:rPr>
          <w:b/>
          <w:bCs/>
          <w:sz w:val="28"/>
          <w:szCs w:val="28"/>
          <w:u w:val="single"/>
        </w:rPr>
        <w:t>Challenges</w:t>
      </w:r>
    </w:p>
    <w:p w14:paraId="5BDEEBF6" w14:textId="658C08C1" w:rsidR="0005560F" w:rsidRPr="0005560F" w:rsidRDefault="0005560F" w:rsidP="00A54A7C">
      <w:r w:rsidRPr="0005560F">
        <w:rPr>
          <w:b/>
          <w:bCs/>
        </w:rPr>
        <w:t>Cultural and Market Differences</w:t>
      </w:r>
      <w:r>
        <w:rPr>
          <w:b/>
          <w:bCs/>
        </w:rPr>
        <w:t xml:space="preserve">: </w:t>
      </w:r>
      <w:r w:rsidRPr="0005560F">
        <w:t>Operating in many different countries means P&amp;G faces wide variations in consumer tastes, cultural norms, and buying behaviour. Strategies and products that work well in one market may not succeed in another, increasing the need for localisation and making market research more complex and costly (Devadiga &amp; Aithal, 2025).</w:t>
      </w:r>
    </w:p>
    <w:p w14:paraId="17025F44" w14:textId="7F6E0ADA" w:rsidR="0005560F" w:rsidRDefault="0005560F" w:rsidP="00A54A7C">
      <w:r w:rsidRPr="0005560F">
        <w:rPr>
          <w:b/>
          <w:bCs/>
        </w:rPr>
        <w:t>Regulatory and Legal Complexity:</w:t>
      </w:r>
      <w:r>
        <w:rPr>
          <w:b/>
          <w:bCs/>
        </w:rPr>
        <w:t xml:space="preserve"> </w:t>
      </w:r>
      <w:r w:rsidRPr="0005560F">
        <w:t>Each country has its own rules covering product safety, labour practices, taxes, and environmental standards. Meeting these different legal requirements raises operating costs and adds administrative complexity, particularly in emerging markets where regulations often change (P&amp;G, 2024).</w:t>
      </w:r>
    </w:p>
    <w:p w14:paraId="013001AD" w14:textId="37A75CE5" w:rsidR="0005560F" w:rsidRDefault="0005560F" w:rsidP="0005560F">
      <w:pPr>
        <w:rPr>
          <w:lang w:val="en-US"/>
        </w:rPr>
      </w:pPr>
      <w:r w:rsidRPr="0005560F">
        <w:rPr>
          <w:b/>
          <w:bCs/>
        </w:rPr>
        <w:t>Supply Chain Disruptions:</w:t>
      </w:r>
      <w:r>
        <w:rPr>
          <w:b/>
          <w:bCs/>
        </w:rPr>
        <w:t xml:space="preserve"> </w:t>
      </w:r>
      <w:r w:rsidRPr="0005560F">
        <w:rPr>
          <w:lang w:val="en-US"/>
        </w:rPr>
        <w:t xml:space="preserve">Running a global supply chain exposes P&amp;G to risks such as geopolitical tensions, trade barriers, transport delays, and shortages of raw materials. Global disruptions can interrupt production and distribution, affect product availability and </w:t>
      </w:r>
      <w:r w:rsidR="00831EA3" w:rsidRPr="0005560F">
        <w:rPr>
          <w:lang w:val="en-US"/>
        </w:rPr>
        <w:t>raise</w:t>
      </w:r>
      <w:r w:rsidRPr="0005560F">
        <w:rPr>
          <w:lang w:val="en-US"/>
        </w:rPr>
        <w:t xml:space="preserve"> costs, even with efficiency initiatives like Supply Chain 3.0 in place (Schroedel, 2024).</w:t>
      </w:r>
    </w:p>
    <w:p w14:paraId="47A6FDBD" w14:textId="77777777" w:rsidR="005A5CC6" w:rsidRPr="005A5CC6" w:rsidRDefault="005A5CC6" w:rsidP="005A5CC6">
      <w:pPr>
        <w:rPr>
          <w:lang w:val="en-US"/>
        </w:rPr>
      </w:pPr>
      <w:r w:rsidRPr="005A5CC6">
        <w:rPr>
          <w:b/>
          <w:bCs/>
        </w:rPr>
        <w:t>Intense Global Competition:</w:t>
      </w:r>
      <w:r>
        <w:rPr>
          <w:b/>
          <w:bCs/>
        </w:rPr>
        <w:t xml:space="preserve"> </w:t>
      </w:r>
      <w:r w:rsidRPr="005A5CC6">
        <w:rPr>
          <w:lang w:val="en-US"/>
        </w:rPr>
        <w:t xml:space="preserve">Operating in international markets puts P&amp;G in direct competition with both global competitors and strong local brands. Local firms often understand domestic consumers better and may have lower operating costs, which </w:t>
      </w:r>
      <w:r w:rsidRPr="005A5CC6">
        <w:rPr>
          <w:lang w:val="en-US"/>
        </w:rPr>
        <w:lastRenderedPageBreak/>
        <w:t>increases pressure on P&amp;G’s pricing, margins, and market share (Devadiga &amp; Aithal, 2025).</w:t>
      </w:r>
    </w:p>
    <w:p w14:paraId="45451520" w14:textId="6CE8F198" w:rsidR="0005560F" w:rsidRPr="00CF03B9" w:rsidRDefault="003C07D7" w:rsidP="00A54A7C">
      <w:pPr>
        <w:rPr>
          <w:lang w:val="en-US"/>
        </w:rPr>
      </w:pPr>
      <w:r w:rsidRPr="003C07D7">
        <w:rPr>
          <w:b/>
          <w:bCs/>
        </w:rPr>
        <w:t>Currency and Economic Risks:</w:t>
      </w:r>
      <w:r>
        <w:rPr>
          <w:b/>
          <w:bCs/>
        </w:rPr>
        <w:t xml:space="preserve"> </w:t>
      </w:r>
      <w:r w:rsidRPr="003C07D7">
        <w:rPr>
          <w:lang w:val="en-US"/>
        </w:rPr>
        <w:t>Working in many currencies exposes P&amp;G to changes in exchange rates and economic instability. These currency changes can affect the company’s income, costs, and profits, especially in emerging markets with less stable financial systems (P&amp;G, 2024).</w:t>
      </w:r>
    </w:p>
    <w:p w14:paraId="64846F9F" w14:textId="138CC3C9" w:rsidR="005A1356" w:rsidRDefault="005A1356" w:rsidP="00E41557">
      <w:pPr>
        <w:pStyle w:val="Heading1"/>
        <w:numPr>
          <w:ilvl w:val="0"/>
          <w:numId w:val="28"/>
        </w:numPr>
        <w:ind w:left="0"/>
      </w:pPr>
      <w:bookmarkStart w:id="7" w:name="_Toc216691270"/>
      <w:r>
        <w:t>H</w:t>
      </w:r>
      <w:r w:rsidRPr="005A1356">
        <w:t>ow the OLI factors</w:t>
      </w:r>
      <w:r>
        <w:t xml:space="preserve"> </w:t>
      </w:r>
      <w:r w:rsidRPr="005A1356">
        <w:t>impact the international market entry mode</w:t>
      </w:r>
      <w:bookmarkEnd w:id="7"/>
    </w:p>
    <w:p w14:paraId="0F992793" w14:textId="77777777" w:rsidR="00A64C02" w:rsidRDefault="00494630" w:rsidP="00A64C02">
      <w:pPr>
        <w:keepNext/>
        <w:ind w:left="426"/>
      </w:pPr>
      <w:r w:rsidRPr="00494630">
        <w:rPr>
          <w:noProof/>
        </w:rPr>
        <w:drawing>
          <wp:inline distT="0" distB="0" distL="0" distR="0" wp14:anchorId="549C7CCC" wp14:editId="126C7A20">
            <wp:extent cx="5239481" cy="2657846"/>
            <wp:effectExtent l="0" t="0" r="0" b="9525"/>
            <wp:docPr id="15951824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5182477" name=""/>
                    <pic:cNvPicPr/>
                  </pic:nvPicPr>
                  <pic:blipFill>
                    <a:blip r:embed="rId13"/>
                    <a:stretch>
                      <a:fillRect/>
                    </a:stretch>
                  </pic:blipFill>
                  <pic:spPr>
                    <a:xfrm>
                      <a:off x="0" y="0"/>
                      <a:ext cx="5239481" cy="2657846"/>
                    </a:xfrm>
                    <a:prstGeom prst="rect">
                      <a:avLst/>
                    </a:prstGeom>
                  </pic:spPr>
                </pic:pic>
              </a:graphicData>
            </a:graphic>
          </wp:inline>
        </w:drawing>
      </w:r>
    </w:p>
    <w:p w14:paraId="7B26F29D" w14:textId="6E13F0D1" w:rsidR="00494630" w:rsidRDefault="00A64C02" w:rsidP="00A64C02">
      <w:pPr>
        <w:pStyle w:val="Caption"/>
      </w:pPr>
      <w:r>
        <w:t xml:space="preserve">Figure </w:t>
      </w:r>
      <w:fldSimple w:instr=" SEQ Figure \* ARABIC ">
        <w:r w:rsidR="00874497">
          <w:rPr>
            <w:noProof/>
          </w:rPr>
          <w:t>5</w:t>
        </w:r>
      </w:fldSimple>
      <w:r>
        <w:t xml:space="preserve"> </w:t>
      </w:r>
      <w:r w:rsidRPr="00B076F5">
        <w:t>de Bruin, L. (2016) OLI: Choosing the Right Entry-Mode Strategy</w:t>
      </w:r>
    </w:p>
    <w:p w14:paraId="31FAC5FD" w14:textId="60770AC7" w:rsidR="0089791C" w:rsidRDefault="00482132" w:rsidP="0089791C">
      <w:r w:rsidRPr="00482132">
        <w:t xml:space="preserve">The OLI framework provides a clear way to understand why companies choose to enter foreign markets and how they select their entry methods. It highlights three types of advantages. Ownership advantages are the strengths a firm already possesses, such as well-known brands, unique technology, or strong management skills that help it succeed internationally (Dunning and Lundan 2008). Location advantages involve what a specific country offers, like a large customer base, lower costs, or good infrastructure (Rugman and Collinson 2012). Internalization advantages refer to the benefits a </w:t>
      </w:r>
      <w:r w:rsidR="00426A60" w:rsidRPr="00482132">
        <w:t>firm</w:t>
      </w:r>
      <w:r w:rsidR="00426A60">
        <w:t xml:space="preserve"> </w:t>
      </w:r>
      <w:r w:rsidR="00426A60" w:rsidRPr="00482132">
        <w:t>gain</w:t>
      </w:r>
      <w:r w:rsidRPr="00482132">
        <w:t xml:space="preserve"> by keeping activities in-house rather than relying on external partners, which can help safeguard knowledge and maintain consistent quality.</w:t>
      </w:r>
    </w:p>
    <w:p w14:paraId="7AF0CE3B" w14:textId="29763702" w:rsidR="00F44456" w:rsidRPr="0089791C" w:rsidRDefault="00F44456" w:rsidP="0089791C">
      <w:r w:rsidRPr="00F44456">
        <w:t xml:space="preserve">These three elements help companies determine how to enter international markets by guiding the level of control and resource commitment required. When ownership </w:t>
      </w:r>
      <w:r w:rsidRPr="00F44456">
        <w:lastRenderedPageBreak/>
        <w:t xml:space="preserve">advantages are strong and the host country provides </w:t>
      </w:r>
      <w:r w:rsidR="003C5D87" w:rsidRPr="00F44456">
        <w:t>favourable</w:t>
      </w:r>
      <w:r w:rsidRPr="00F44456">
        <w:t xml:space="preserve"> location advantages, companies often select high</w:t>
      </w:r>
      <w:r w:rsidR="003C5D87">
        <w:t xml:space="preserve"> </w:t>
      </w:r>
      <w:r w:rsidRPr="00F44456">
        <w:t>commitment options like wholly owned subsidiaries. If internalization advantages are lower, entry modes such as licensing or franchising may work better. The OLI framework provides a clear way to align company strengths and host market conditions with the best entry mode</w:t>
      </w:r>
      <w:r w:rsidR="003D7ED6">
        <w:t>.</w:t>
      </w:r>
    </w:p>
    <w:p w14:paraId="466C0A75" w14:textId="5DDF6C41" w:rsidR="003B57B8" w:rsidRPr="00A84BA3" w:rsidRDefault="00D844EB" w:rsidP="00D844EB">
      <w:pPr>
        <w:pStyle w:val="Heading2"/>
      </w:pPr>
      <w:bookmarkStart w:id="8" w:name="_Toc216691271"/>
      <w:r w:rsidRPr="00D844EB">
        <w:t xml:space="preserve">Ownership </w:t>
      </w:r>
      <w:r w:rsidR="009C63E4">
        <w:t>Advantage</w:t>
      </w:r>
      <w:bookmarkEnd w:id="8"/>
    </w:p>
    <w:p w14:paraId="4FAC23E4" w14:textId="1BFE0A9A" w:rsidR="003459D8" w:rsidRDefault="005B27B0" w:rsidP="00A54A7C">
      <w:r w:rsidRPr="005B27B0">
        <w:t>In the United Kingdom, P&amp;G has a strong set of skills built over decades. Its brand portfolio, research expertise, and marketing strength give it a clear advantage over competitors. It makes sense for the company to maintain tight control of its operations. Studies on multinational firms show that when companies have such strong internal assets, they usually prefer ownership structures that allow them to protect their knowledge and manage quality directly (Buckley and Casson</w:t>
      </w:r>
      <w:r w:rsidR="00200139">
        <w:t>,</w:t>
      </w:r>
      <w:r w:rsidRPr="005B27B0">
        <w:t xml:space="preserve"> 2020). This is why P&amp;G often relies on acquisitions or wholly owned subsidiaries in markets like the UK, where the environment is stable and the company can confidently use its global strengths.</w:t>
      </w:r>
    </w:p>
    <w:p w14:paraId="31561A42" w14:textId="212C4EF8" w:rsidR="00A81530" w:rsidRDefault="00A81530" w:rsidP="00A54A7C">
      <w:r w:rsidRPr="00A81530">
        <w:t>In India, P&amp;G entered with the same global advantages, but the company had to adjust to a market that was less predictable in its early years. Partnering with a local firm through a joint venture helped P&amp;G understand consumer behaviour, navigate regulations, and reduce risk. Over time, as the company gained more experience and the Indian market became more open, P&amp;G gradually shifted to having more control. Research on how multinational firms act in emerging markets shows that transitions from partnership to full ownership are common as companies learn and as their confidence in the location increases.</w:t>
      </w:r>
    </w:p>
    <w:p w14:paraId="37F6A3A9" w14:textId="583A96AA" w:rsidR="00CB39F9" w:rsidRDefault="00F7187F" w:rsidP="00F7187F">
      <w:pPr>
        <w:pStyle w:val="Heading2"/>
      </w:pPr>
      <w:bookmarkStart w:id="9" w:name="_Toc216691272"/>
      <w:r>
        <w:t>Location</w:t>
      </w:r>
      <w:r w:rsidR="009C63E4">
        <w:t xml:space="preserve"> Advantage</w:t>
      </w:r>
      <w:bookmarkEnd w:id="9"/>
    </w:p>
    <w:p w14:paraId="294439AD" w14:textId="675C76D1" w:rsidR="00F7187F" w:rsidRDefault="00F7187F" w:rsidP="00A54A7C">
      <w:r w:rsidRPr="00F7187F">
        <w:t xml:space="preserve">The United Kingdom provides location benefits that match P&amp;G’s strategic goals. It has a strong legal system, good infrastructure, skilled workers, and well-developed retail networks. These benefits lower costs linked to risk and allow P&amp;G to concentrate on product innovation, brand marketing, and running operations efficiently. According to Peng, when companies enter markets with strong formal institutions and high consumer buying power, they often invest more resources and use high-control methods to take advantage of their competitive edges (Peng 2012). This environment </w:t>
      </w:r>
      <w:r w:rsidRPr="00F7187F">
        <w:lastRenderedPageBreak/>
        <w:t>makes the UK a good choice for acquisitions and wholly owned operations that support P&amp;G’s global integration strategy.</w:t>
      </w:r>
    </w:p>
    <w:p w14:paraId="73718A79" w14:textId="61D9205C" w:rsidR="00F7187F" w:rsidRDefault="00F7187F" w:rsidP="00A54A7C">
      <w:r w:rsidRPr="00F7187F">
        <w:t>India offers distinct but strategically important location advantages. It is one of the largest consumer markets in the world, with a growing middle class, increasing income levels, and expanding urbanization. These factors create a long-term demand for durable goods and everyday products. Furthermore, India's lower manufacturing costs and improving infrastructure make it appealing for production and regional supply. P&amp;G's strategic focus on India as a high-growth market reflects these location benefits. The company is gradually increasing its presence and investment as opportunities in the market grow.</w:t>
      </w:r>
    </w:p>
    <w:p w14:paraId="6F8C6F4D" w14:textId="0649485A" w:rsidR="0071292F" w:rsidRDefault="0071292F" w:rsidP="0071292F">
      <w:pPr>
        <w:pStyle w:val="Heading2"/>
      </w:pPr>
      <w:bookmarkStart w:id="10" w:name="_Toc216691273"/>
      <w:r w:rsidRPr="0071292F">
        <w:t>Internalisation</w:t>
      </w:r>
      <w:r w:rsidR="009C63E4">
        <w:t xml:space="preserve"> Advantage</w:t>
      </w:r>
      <w:bookmarkEnd w:id="10"/>
    </w:p>
    <w:p w14:paraId="24DD0F33" w14:textId="6EC1658D" w:rsidR="0071292F" w:rsidRDefault="0071292F" w:rsidP="00A54A7C">
      <w:r w:rsidRPr="0071292F">
        <w:t>UK, internalization allows P&amp;G to coordinate innovation, production, and marketing without depending on outside partners. This is important in sectors where product quality and brand image strongly influence customer trust. Internalization theory suggests that companies prefer to handle transactions within the firm when it lowers transaction costs and safeguards knowledge flows across borders</w:t>
      </w:r>
      <w:r w:rsidR="00CF7B96">
        <w:t>-</w:t>
      </w:r>
      <w:r w:rsidRPr="0071292F">
        <w:t>. For P&amp;G, this means keeping control over global brands and proprietary technologies through wholly owned subsidiaries or full acquisitions. This approach ensures consistent quality and a quick response to strategic needs.</w:t>
      </w:r>
    </w:p>
    <w:p w14:paraId="1217B9F0" w14:textId="0B21468F" w:rsidR="0038547E" w:rsidRDefault="0071292F" w:rsidP="00A54A7C">
      <w:r w:rsidRPr="0071292F">
        <w:t>In India, internalisation became more attractive as P&amp;G gained experience and confidence in the market. While joint ventures initially reduced entry risk by offering local knowledge, they limited control over quality and global system integration. As P&amp;G’s understanding of India improved and risks declined, full ownership allowed closer alignment with its global supply chain, marketing and innovation activities. Research on multinationals in emerging markets shows that greater local familiarity often leads firms to increase internalisatio</w:t>
      </w:r>
      <w:r w:rsidR="00264021">
        <w:t>n</w:t>
      </w:r>
      <w:r w:rsidRPr="0071292F">
        <w:t>.</w:t>
      </w:r>
    </w:p>
    <w:p w14:paraId="6FFC0C82" w14:textId="5DF9571E" w:rsidR="00AB7DAF" w:rsidRDefault="00A4329F" w:rsidP="00A4329F">
      <w:pPr>
        <w:pStyle w:val="Heading1"/>
        <w:numPr>
          <w:ilvl w:val="0"/>
          <w:numId w:val="28"/>
        </w:numPr>
        <w:ind w:left="0"/>
      </w:pPr>
      <w:bookmarkStart w:id="11" w:name="_Toc216691274"/>
      <w:r w:rsidRPr="00A35C1D">
        <w:lastRenderedPageBreak/>
        <w:t>Cultural Differences Between the U</w:t>
      </w:r>
      <w:r>
        <w:t>K</w:t>
      </w:r>
      <w:r w:rsidRPr="00A35C1D">
        <w:t xml:space="preserve"> and India and Their Impact on </w:t>
      </w:r>
      <w:r w:rsidR="00063F90">
        <w:t>P&amp;G</w:t>
      </w:r>
      <w:r w:rsidRPr="00A35C1D">
        <w:t>’s Entry Strategy and Succe</w:t>
      </w:r>
      <w:r>
        <w:t>ss</w:t>
      </w:r>
      <w:bookmarkEnd w:id="11"/>
      <w:r w:rsidR="00494630">
        <w:t xml:space="preserve"> </w:t>
      </w:r>
    </w:p>
    <w:p w14:paraId="10604E64" w14:textId="77777777" w:rsidR="00874497" w:rsidRDefault="00031D5E" w:rsidP="00874497">
      <w:pPr>
        <w:keepNext/>
      </w:pPr>
      <w:r w:rsidRPr="00031D5E">
        <w:rPr>
          <w:noProof/>
        </w:rPr>
        <w:drawing>
          <wp:inline distT="0" distB="0" distL="0" distR="0" wp14:anchorId="6FE87F4B" wp14:editId="04D82070">
            <wp:extent cx="5731510" cy="2560320"/>
            <wp:effectExtent l="0" t="0" r="2540" b="0"/>
            <wp:docPr id="2674579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457991" name=""/>
                    <pic:cNvPicPr/>
                  </pic:nvPicPr>
                  <pic:blipFill>
                    <a:blip r:embed="rId14"/>
                    <a:stretch>
                      <a:fillRect/>
                    </a:stretch>
                  </pic:blipFill>
                  <pic:spPr>
                    <a:xfrm>
                      <a:off x="0" y="0"/>
                      <a:ext cx="5731510" cy="2560320"/>
                    </a:xfrm>
                    <a:prstGeom prst="rect">
                      <a:avLst/>
                    </a:prstGeom>
                  </pic:spPr>
                </pic:pic>
              </a:graphicData>
            </a:graphic>
          </wp:inline>
        </w:drawing>
      </w:r>
    </w:p>
    <w:p w14:paraId="4A97E225" w14:textId="689D4DFF" w:rsidR="00494630" w:rsidRDefault="00874497" w:rsidP="00874497">
      <w:pPr>
        <w:pStyle w:val="Caption"/>
      </w:pPr>
      <w:r>
        <w:t xml:space="preserve">Figure </w:t>
      </w:r>
      <w:fldSimple w:instr=" SEQ Figure \* ARABIC ">
        <w:r>
          <w:rPr>
            <w:noProof/>
          </w:rPr>
          <w:t>6</w:t>
        </w:r>
      </w:fldSimple>
      <w:r>
        <w:t xml:space="preserve"> </w:t>
      </w:r>
      <w:r w:rsidRPr="008C1E1B">
        <w:t>The Culture Factor</w:t>
      </w:r>
      <w:r>
        <w:t xml:space="preserve"> -</w:t>
      </w:r>
      <w:r w:rsidRPr="008C1E1B">
        <w:t xml:space="preserve"> Country comparison tool: India and United Kingdom</w:t>
      </w:r>
    </w:p>
    <w:p w14:paraId="426809B0" w14:textId="33FA0E3D" w:rsidR="0038547E" w:rsidRDefault="0038547E" w:rsidP="0038547E">
      <w:pPr>
        <w:pStyle w:val="Heading3"/>
      </w:pPr>
      <w:bookmarkStart w:id="12" w:name="_Toc216691275"/>
      <w:r w:rsidRPr="0038547E">
        <w:t>Power Distance</w:t>
      </w:r>
      <w:bookmarkEnd w:id="12"/>
    </w:p>
    <w:p w14:paraId="1A3DED37" w14:textId="1DC3EF64" w:rsidR="0038547E" w:rsidRDefault="00DF49DC" w:rsidP="0038547E">
      <w:r w:rsidRPr="00DF49DC">
        <w:t xml:space="preserve">The UK is commonly described as a low power distance society, where equality, consultation, and shared decision-making are valued within organisations. Academic research shows that firms in such environments benefit from flatter structures and participative leadership, which can enhance innovation and accountability. This cultural context fits well with P&amp;G’s preference for wholly owned subsidiaries and acquisitions in the UK, as these entry modes allow local managers to take initiative while remaining aligned with global strategic goals. Business commentary in the </w:t>
      </w:r>
      <w:r w:rsidRPr="00DF49DC">
        <w:rPr>
          <w:iCs/>
        </w:rPr>
        <w:t>Financial Times</w:t>
      </w:r>
      <w:r w:rsidRPr="00DF49DC">
        <w:t xml:space="preserve"> also suggests that strong institutions and professional management norms in the UK encourage multinational firms to empower subsidiary leadership, reinforcing P&amp;G’s high-control approach (Financial Times, 2023).</w:t>
      </w:r>
    </w:p>
    <w:p w14:paraId="0A24237D" w14:textId="05FFC261" w:rsidR="00274968" w:rsidRDefault="00274968" w:rsidP="0038547E">
      <w:r w:rsidRPr="00274968">
        <w:t xml:space="preserve">India, in contrast, displays high power distance, where hierarchy and respect for authority are deeply embedded in organisational practices. Management studies indicate that employees in such contexts tend to expect clear direction, formal structures, and centralised decision-making (Minkov and Kaasa, 2021). This cultural reality shaped P&amp;G’s initial entry into India through a joint venture, which enabled the firm to work within established hierarchies and gain credibility through a well-known local partner. Evidence from the </w:t>
      </w:r>
      <w:r w:rsidRPr="00BD4FAD">
        <w:rPr>
          <w:iCs/>
        </w:rPr>
        <w:t>Journal of World Business</w:t>
      </w:r>
      <w:r w:rsidRPr="00274968">
        <w:t xml:space="preserve"> supports this approach, </w:t>
      </w:r>
      <w:r w:rsidRPr="00274968">
        <w:lastRenderedPageBreak/>
        <w:t>noting that multinational enterprises often rely on partnerships in high power distance markets to manage cultural and institutional uncertainty during early entry (Wei and Nguyen, 2017).</w:t>
      </w:r>
    </w:p>
    <w:p w14:paraId="64F1317B" w14:textId="3CF96F19" w:rsidR="00963D21" w:rsidRDefault="00963D21" w:rsidP="00963D21">
      <w:pPr>
        <w:pStyle w:val="Heading3"/>
      </w:pPr>
      <w:bookmarkStart w:id="13" w:name="_Toc216691276"/>
      <w:r w:rsidRPr="00963D21">
        <w:t>Individualism vs Collectivism</w:t>
      </w:r>
      <w:bookmarkEnd w:id="13"/>
    </w:p>
    <w:p w14:paraId="200B748E" w14:textId="0EAB081A" w:rsidR="00963D21" w:rsidRDefault="00963D21" w:rsidP="00963D21">
      <w:r w:rsidRPr="00963D21">
        <w:t>United​‍​‌‍​‍‌​‍​‌‍​‍‌ Kingdom is generally considered to be an extremely individualistic society where the values of independence, personal responsibility, and individual achievement are highly promoted. According to cross-cultural studies, such cultures are more facilitative of autonomous decision-making and the use of performance-based management systems (Hofstede, Hofstede and Minkov, 2010). This inclination harmonizes with P&amp;G's strategy of employing complete local ownership in Britain, thus enabling local teams to react to market situations in a flexible manner while utilizing the company's global capabilities. Furthermore, insights from The Economist reveal that consumer goods companies in the UK frequently achieve success by customizing products to suit individual lifestyles, which is very much in line with P&amp;G's market approach (The Economist, ​‍​‌‍​‍‌​‍​‌‍​‍‌2022).</w:t>
      </w:r>
    </w:p>
    <w:p w14:paraId="2B57089C" w14:textId="712A842F" w:rsidR="00963D21" w:rsidRDefault="00963D21" w:rsidP="00963D21">
      <w:r>
        <w:t>India​‍​‌‍​‍‌​‍​‌‍​‍‌ is a more collectivist country that focuses heavily on family, community, and long-term relationships. Research-based books on culture mention that collectivist societies, for instance, in India, focus more on trust, networks, and co-operation, especially in business relationships (Triandis, 2018). In a case of P&amp;G, this gave them an opportunity to make their joint ventures extremely effective during the phase of their early market entry as these ventures acted as a means of establishing relationships with local stakeholders and distribution partners. Publication of the research in the Asia Pacific Journal of Management shows that multinational companies in collectivist markets can achieve better performance if they initially focus on relational governance and then gradually increase their ownership and control (Zhang and Jiang, ​‍​‌‍​‍‌​‍​‌‍​‍‌2020).</w:t>
      </w:r>
    </w:p>
    <w:p w14:paraId="7388FA6E" w14:textId="5D85ACA4" w:rsidR="0089171F" w:rsidRDefault="0089171F" w:rsidP="0089171F">
      <w:pPr>
        <w:pStyle w:val="Heading3"/>
      </w:pPr>
      <w:bookmarkStart w:id="14" w:name="_Toc216691277"/>
      <w:r w:rsidRPr="0089171F">
        <w:t>Motivation to Achieve (Masculinity vs Femininity)</w:t>
      </w:r>
      <w:bookmarkEnd w:id="14"/>
    </w:p>
    <w:p w14:paraId="3DF86144" w14:textId="7940E60C" w:rsidR="0089171F" w:rsidRDefault="0089171F" w:rsidP="0089171F">
      <w:r w:rsidRPr="0089171F">
        <w:t xml:space="preserve">The UK has a moderately masculine culture, valuing achievement, performance, and career success (The Culture Factor, 2025). This fits well with P&amp;G’s approach of using wholly owned subsidiaries and acquisitions, where local teams are encouraged to set high goals, innovate, and perform strongly within both global and local contexts. This </w:t>
      </w:r>
      <w:r w:rsidRPr="0089171F">
        <w:lastRenderedPageBreak/>
        <w:t>kind of culture promotes entrepreneurial thinking and individual performance, helping P&amp;G achieve its strategic goals (Rugman and Collinson, 2012; IJFMR, 2024).</w:t>
      </w:r>
    </w:p>
    <w:p w14:paraId="4FFCF5F3" w14:textId="6FE14480" w:rsidR="0089171F" w:rsidRDefault="0089171F" w:rsidP="0089171F">
      <w:r w:rsidRPr="0089171F">
        <w:t>In contrast, India has a moderately feminine orientation, emphasizing cooperation, harmony, and collective success (Hofstede’s Cultural Dimensions, 2025). This made joint ventures a suitable entry mode for P&amp;G, enabling collaboration with local partners, building trust, and establishing long-term relationships while gradually understanding the market. Studies indicate that cooperative strategies improve integration and legitimacy in emerging economies (SproutOut Solutions, 2025).</w:t>
      </w:r>
    </w:p>
    <w:p w14:paraId="62461807" w14:textId="3B1183A1" w:rsidR="00A703E7" w:rsidRDefault="00A703E7" w:rsidP="00A703E7">
      <w:pPr>
        <w:pStyle w:val="Heading3"/>
      </w:pPr>
      <w:bookmarkStart w:id="15" w:name="_Toc216691278"/>
      <w:r w:rsidRPr="00A703E7">
        <w:t>Uncertainty Avoidance</w:t>
      </w:r>
      <w:bookmarkEnd w:id="15"/>
    </w:p>
    <w:p w14:paraId="4967CA89" w14:textId="52850644" w:rsidR="00A703E7" w:rsidRDefault="007F1E90" w:rsidP="0089171F">
      <w:r w:rsidRPr="007F1E90">
        <w:t>The UK exhibits rela</w:t>
      </w:r>
      <w:r w:rsidRPr="000537F9">
        <w:t xml:space="preserve">tively low uncertainty avoidance, </w:t>
      </w:r>
      <w:r w:rsidRPr="007F1E90">
        <w:t>meaning that ambiguity and flexible decision-making are more acceptable in both daily life and business contexts. This cultural trait supports entry modes like acquisitions and wholly owned subsidiaries for P&amp;G, as these approaches require adaptability and confidence in managing complex, ambiguous market conditions with minimal rigid controls. UK consumers and managers tend to tolerate experimentation and iterative strategy adjustments, which complements P&amp;G’s global innovation and brand development efforts.</w:t>
      </w:r>
    </w:p>
    <w:p w14:paraId="49889DCA" w14:textId="7751D8B2" w:rsidR="00303B4C" w:rsidRDefault="00303B4C" w:rsidP="0089171F">
      <w:r w:rsidRPr="00303B4C">
        <w:t>India shows moderate uncertainty avoidance, meaning businesses generally prefer clear structures, formal rules, and ways to reduce risk. Because of this, P&amp;G first entered India through a joint venture, working with established local partners who understood the regulatory and operational challenges. As the company gained experience and confidence, it gradually moved toward greater internal control, balancing risk management with the use of its global expertise.</w:t>
      </w:r>
    </w:p>
    <w:p w14:paraId="2668742F" w14:textId="1ABDDC40" w:rsidR="004F3E71" w:rsidRDefault="004F3E71" w:rsidP="004F3E71">
      <w:pPr>
        <w:pStyle w:val="Heading3"/>
      </w:pPr>
      <w:bookmarkStart w:id="16" w:name="_Toc216691279"/>
      <w:r w:rsidRPr="004F3E71">
        <w:t>Long</w:t>
      </w:r>
      <w:r w:rsidRPr="004F3E71">
        <w:noBreakHyphen/>
        <w:t>Term Orientation</w:t>
      </w:r>
      <w:bookmarkEnd w:id="16"/>
    </w:p>
    <w:p w14:paraId="04221BE9" w14:textId="00C4F9AC" w:rsidR="004F3E71" w:rsidRDefault="004F3E71" w:rsidP="0089171F">
      <w:r w:rsidRPr="004F3E71">
        <w:t>In the UK, their culture is all about mixing what works now with planning for the future. This outlook goes hand-in-hand with how companies like P&amp;G do business there through owning all their subsidiaries and buying up other businesses. This allows them to maintain their brand and keep things running smoothly, while still changing as the market changes. So, P&amp;G's UK stuff can focus on doing well now and coming up with innovative ideas without changing up their whole process.</w:t>
      </w:r>
    </w:p>
    <w:p w14:paraId="1E00429B" w14:textId="523A92CF" w:rsidR="0089171F" w:rsidRDefault="00563D53" w:rsidP="00963D21">
      <w:r w:rsidRPr="00563D53">
        <w:t xml:space="preserve">In contrast, India’s culture strongly emphasizes long-term thinking, valuing persistence, strategic investment, and the gradual development of business </w:t>
      </w:r>
      <w:r w:rsidRPr="00563D53">
        <w:lastRenderedPageBreak/>
        <w:t>relationships. This helps explain P&amp;G’s step-by-step approach in India: the company initially partnered with a local firm to build credibility and market knowledge, then gradually took more control as trust and understanding grew. India’s long-term focus also supports P&amp;G’s investments in local capabilities, like regional R&amp;D and expanded supply networks, helping secure lasting competitive advantage.</w:t>
      </w:r>
    </w:p>
    <w:p w14:paraId="70C87134" w14:textId="10E3B362" w:rsidR="00205CF4" w:rsidRPr="00963D21" w:rsidRDefault="00205CF4" w:rsidP="00205CF4">
      <w:pPr>
        <w:pStyle w:val="Heading3"/>
      </w:pPr>
      <w:bookmarkStart w:id="17" w:name="_Toc216691280"/>
      <w:r w:rsidRPr="00205CF4">
        <w:t>Indulgence vs Restraint</w:t>
      </w:r>
      <w:bookmarkEnd w:id="17"/>
    </w:p>
    <w:p w14:paraId="5B67AC62" w14:textId="5406A6ED" w:rsidR="00205CF4" w:rsidRDefault="00205CF4" w:rsidP="0038547E">
      <w:r w:rsidRPr="00205CF4">
        <w:t>The UK is generally considered an indulgent society, where consumption is often linked to enjoyment, lifestyle enhancement, and personal well-being. Research on consumer behaviour indicates that indulgent cultures are more receptive to premium and convenience-oriented products (De Mooij, 2021). This supports P&amp;G’s strategy of positioning many of its UK brands around comfort, self-care, and quality. Operating through wholly owned subsidiaries enables P&amp;G to maintain strong control over branding and consumer experience, which is particularly important in markets where discretionary spending and brand perceptions play a major role in shaping demand (Johnson, Scholes and Whittington, 2020).</w:t>
      </w:r>
    </w:p>
    <w:p w14:paraId="333B943F" w14:textId="27F65B7B" w:rsidR="00FB78B2" w:rsidRDefault="00205CF4" w:rsidP="00205CF4">
      <w:pPr>
        <w:rPr>
          <w:lang w:val="en-US"/>
        </w:rPr>
      </w:pPr>
      <w:r w:rsidRPr="00205CF4">
        <w:rPr>
          <w:lang w:val="en-US"/>
        </w:rPr>
        <w:t>India is more often characterized as a restrained culture, where consumers prioritize value, necessity, and long-term benefits while being frugal with their spending. Affordable, useful, and value-driven products are more well-received by restrained societies, according to research on emerging market consumption (Sheth, 2020). P&amp;G's strategy of gradual expansion in India was influenced by this cultural context, beginning with partnerships that permitted experimentation with pricing, pack sizes, and distribution models</w:t>
      </w:r>
      <w:r w:rsidR="00F634AA">
        <w:rPr>
          <w:lang w:val="en-US"/>
        </w:rPr>
        <w:t>.</w:t>
      </w:r>
    </w:p>
    <w:p w14:paraId="59C9D4C0" w14:textId="074B923A" w:rsidR="00801811" w:rsidRDefault="00801811" w:rsidP="00A62725">
      <w:pPr>
        <w:pStyle w:val="Heading1"/>
        <w:numPr>
          <w:ilvl w:val="0"/>
          <w:numId w:val="28"/>
        </w:numPr>
        <w:ind w:left="0"/>
      </w:pPr>
      <w:bookmarkStart w:id="18" w:name="_Toc216691281"/>
      <w:r>
        <w:rPr>
          <w:lang w:val="en-US"/>
        </w:rPr>
        <w:t xml:space="preserve">SOP </w:t>
      </w:r>
      <w:r w:rsidRPr="00A35C1D">
        <w:t xml:space="preserve">Adjustments for </w:t>
      </w:r>
      <w:r>
        <w:t>P&amp;G</w:t>
      </w:r>
      <w:r w:rsidRPr="00A35C1D">
        <w:t xml:space="preserve"> in India</w:t>
      </w:r>
      <w:bookmarkEnd w:id="18"/>
    </w:p>
    <w:p w14:paraId="592F0BBC" w14:textId="4ABA8EA8" w:rsidR="009639E3" w:rsidRDefault="00436AF3" w:rsidP="009639E3">
      <w:pPr>
        <w:rPr>
          <w:lang w:val="en-US"/>
        </w:rPr>
      </w:pPr>
      <w:r w:rsidRPr="00436AF3">
        <w:t>The Standard Operating Procedures developed by Procter &amp; Gamble are primarily designed for mature and highly structured markets. However, India’s emerging market context presents different challenges, including diverse consumer preferences, complex regulatory requirements, and distinct cultural norms. As a result, adaptations to existing SOPs are necessary to enhance operational efficiency, customer satisfaction, and long-term competitiveness. The following SOP adjustments are proposed in alignment with the earlier OLI analysis and cultural comparison between the UK and India.</w:t>
      </w:r>
    </w:p>
    <w:p w14:paraId="04A0AAD1" w14:textId="388E40E7" w:rsidR="00952F1D" w:rsidRDefault="008E7E79" w:rsidP="008E7E79">
      <w:pPr>
        <w:pStyle w:val="Heading2"/>
        <w:ind w:hanging="567"/>
      </w:pPr>
      <w:bookmarkStart w:id="19" w:name="_Toc216691282"/>
      <w:r>
        <w:lastRenderedPageBreak/>
        <w:t>8.1</w:t>
      </w:r>
      <w:r>
        <w:tab/>
      </w:r>
      <w:r w:rsidR="00952F1D" w:rsidRPr="00952F1D">
        <w:t>Localized Product Development and Consumer-Centric R&amp;D</w:t>
      </w:r>
      <w:bookmarkEnd w:id="19"/>
    </w:p>
    <w:p w14:paraId="48A32459" w14:textId="0AB0F3C3" w:rsidR="00952F1D" w:rsidRDefault="00952F1D" w:rsidP="00952F1D">
      <w:r>
        <w:t>India's consumer market is super diverse. People have different tastes, money to spend, and what they like depends on where they live. Take personal care items – folks want stuff that works with the local weather and their hair. And when it comes to cleaning supplies, price and package size really matter.</w:t>
      </w:r>
      <w:r w:rsidR="00A003EE">
        <w:t xml:space="preserve"> </w:t>
      </w:r>
      <w:r>
        <w:t>P&amp;G's standard operating procedures (SOPs) that they came up with in the U.S. focus on making sure all their products are the same</w:t>
      </w:r>
      <w:r w:rsidR="004D56BF" w:rsidRPr="004D56BF">
        <w:t xml:space="preserve"> (Gupta &amp; Wang, 2021)</w:t>
      </w:r>
      <w:r>
        <w:t>. But those procedures don't really cut it in India, where people want products made for their local needs. Also, since Indian culture is all about family and tradition, products that fit in with those values tend to do better.</w:t>
      </w:r>
    </w:p>
    <w:p w14:paraId="11FBA4BE" w14:textId="62208FAF" w:rsidR="004D56BF" w:rsidRDefault="009D70C1" w:rsidP="00952F1D">
      <w:r w:rsidRPr="009D70C1">
        <w:t>From an OLI perspective, India offers attractive location advantages for P&amp;G, including having a growing consumer base, a workforce that can support their product development, and the prospect of manufacturing the product at lower cost. However, the heterogeneous market attracts P&amp;G to adapt that product to the local consumer needs. In terms of internalization advantages, it is important to maintain control over product quality and intellectual property, especially when they are developing a product to fit the local market, to protect the brand and the valuable technology.</w:t>
      </w:r>
    </w:p>
    <w:p w14:paraId="0D9127AC" w14:textId="37861115" w:rsidR="009D70C1" w:rsidRPr="009D70C1" w:rsidRDefault="009D70C1" w:rsidP="00952F1D">
      <w:pPr>
        <w:rPr>
          <w:b/>
          <w:bCs/>
        </w:rPr>
      </w:pPr>
      <w:r w:rsidRPr="009D70C1">
        <w:rPr>
          <w:b/>
          <w:bCs/>
        </w:rPr>
        <w:t>Recommendation</w:t>
      </w:r>
    </w:p>
    <w:p w14:paraId="3FDA4570" w14:textId="22763B8C" w:rsidR="00952F1D" w:rsidRDefault="009D70C1" w:rsidP="009639E3">
      <w:r w:rsidRPr="009D70C1">
        <w:t>P&amp;G can set up a “Localized Product Innovation SOP” where its R&amp;D teams in India work closely with global teams. This would involve testing products in both cities and rural areas to understand what people prefer, adjusting sizes, formulas, and packaging to suit local needs and budgets, and using customer feedback to improve products continuously. For example, P&amp;G has changed detergent powders and shampoos in India to match differences in water quality and hair types</w:t>
      </w:r>
      <w:r>
        <w:t xml:space="preserve"> </w:t>
      </w:r>
      <w:r w:rsidRPr="009D70C1">
        <w:t>things that U.S.-based processes wouldn’t consider (Ramaswamy &amp; Gouillart, 2019). By including local insights in its global operations, P&amp;G can keep its brand strong while taking advantage of India’s unique market.</w:t>
      </w:r>
    </w:p>
    <w:p w14:paraId="122A8036" w14:textId="6ED406DD" w:rsidR="008A1E13" w:rsidRDefault="008E7E79" w:rsidP="008E7E79">
      <w:pPr>
        <w:pStyle w:val="Heading2"/>
        <w:ind w:hanging="567"/>
      </w:pPr>
      <w:bookmarkStart w:id="20" w:name="_Toc216691283"/>
      <w:r>
        <w:t>8.2</w:t>
      </w:r>
      <w:r>
        <w:tab/>
      </w:r>
      <w:r w:rsidR="008A1E13" w:rsidRPr="008A1E13">
        <w:t>Adapted Staffing, Training, and Service SOPs</w:t>
      </w:r>
      <w:bookmarkEnd w:id="20"/>
    </w:p>
    <w:p w14:paraId="4A14F4C4" w14:textId="53002150" w:rsidR="008A1E13" w:rsidRDefault="008A1E13" w:rsidP="009639E3">
      <w:r w:rsidRPr="008A1E13">
        <w:t>In India, P&amp;G needs to adjust its staffing and training practices to match the country’s high</w:t>
      </w:r>
      <w:r>
        <w:t>-power</w:t>
      </w:r>
      <w:r w:rsidRPr="008A1E13">
        <w:t xml:space="preserve"> distance, collectivist culture, and strong focus on service. Employees generally expect clear hierarchies, structured reporting, and defined career paths, </w:t>
      </w:r>
      <w:r w:rsidRPr="008A1E13">
        <w:lastRenderedPageBreak/>
        <w:t>while customers value personalized and relationship-oriented service (Hofstede, 2011; Meyer &amp; Skak, 2020). By contrast, P&amp;G’s U.S. SOPs focus on flat organisational structures, individual decision-making, and efficiency, which may not align with Indian employees’ expectations and could reduce engagement or create confusion.</w:t>
      </w:r>
    </w:p>
    <w:p w14:paraId="5B335400" w14:textId="3C75B28C" w:rsidR="00801811" w:rsidRDefault="00C16331" w:rsidP="00801811">
      <w:r w:rsidRPr="00C16331">
        <w:t>From an OLI perspective,</w:t>
      </w:r>
      <w:r>
        <w:t xml:space="preserve"> </w:t>
      </w:r>
      <w:r w:rsidRPr="00C16331">
        <w:t xml:space="preserve">P&amp;G has some strong things going for it, like their global HR know-how. The internalization advantage comes from </w:t>
      </w:r>
      <w:r w:rsidR="006C45C4" w:rsidRPr="00C16331">
        <w:t>control</w:t>
      </w:r>
      <w:r w:rsidR="006C45C4">
        <w:t>ling</w:t>
      </w:r>
      <w:r w:rsidRPr="00C16331">
        <w:t xml:space="preserve"> of their service quality and how things work, but they still make sure everything fits the local culture.</w:t>
      </w:r>
    </w:p>
    <w:p w14:paraId="0448B26C" w14:textId="77777777" w:rsidR="00712D74" w:rsidRDefault="00712D74" w:rsidP="00801811"/>
    <w:p w14:paraId="61E9A0A6" w14:textId="77777777" w:rsidR="00AE0B06" w:rsidRDefault="00AE0B06" w:rsidP="00801811">
      <w:pPr>
        <w:rPr>
          <w:b/>
          <w:bCs/>
        </w:rPr>
      </w:pPr>
      <w:r w:rsidRPr="00AE0B06">
        <w:rPr>
          <w:b/>
          <w:bCs/>
        </w:rPr>
        <w:t>Recommendations</w:t>
      </w:r>
    </w:p>
    <w:p w14:paraId="2EBCFE31" w14:textId="762013A7" w:rsidR="00EC4229" w:rsidRDefault="00AE0B06" w:rsidP="00801811">
      <w:r w:rsidRPr="00AE0B06">
        <w:t>P&amp;G can create “Cultural Service &amp; HR Alignment SOPs” that focus on key areas to fit the Indian context. This includes making job roles and career paths clear for employees, providing training that teaches teamwork, communication, and local workplace norms, and designing customer service that meets local expectations for friendliness and attentiveness. Rewards can focus on team achievements rather than just individual performance. This approach helps P&amp;G keep control while motivating employees in ways that make sense culturally, improving service quality, customer satisfaction, and employee retention (Meyer &amp; Skak, 2020).</w:t>
      </w:r>
      <w:r w:rsidR="000E2345" w:rsidRPr="000E2345">
        <w:t xml:space="preserve"> P&amp;G should create grievance handling SOPs that are culturally aware, ensuring complaints are dealt with empathetically, addressed quickly, and handled in a way that preserves strong relationships (Kumar &amp; Steenkamp, 2022).</w:t>
      </w:r>
    </w:p>
    <w:p w14:paraId="620E4A84" w14:textId="56386C1C" w:rsidR="00EC4229" w:rsidRDefault="008E7E79" w:rsidP="008E7E79">
      <w:pPr>
        <w:pStyle w:val="Heading2"/>
        <w:ind w:hanging="567"/>
      </w:pPr>
      <w:bookmarkStart w:id="21" w:name="_Toc216691284"/>
      <w:r>
        <w:t>8.3</w:t>
      </w:r>
      <w:r>
        <w:tab/>
      </w:r>
      <w:r w:rsidR="00EC4229" w:rsidRPr="00EC4229">
        <w:t>Enhanced Local Supply Chain and Quality Control SOPs</w:t>
      </w:r>
      <w:bookmarkEnd w:id="21"/>
    </w:p>
    <w:p w14:paraId="5E40B68F" w14:textId="3BE0F4FA" w:rsidR="00EC4229" w:rsidRPr="00EC4229" w:rsidRDefault="00EC4229" w:rsidP="00EC4229">
      <w:r w:rsidRPr="00EC4229">
        <w:t>India poses distinct supply chain challenges, such as fragmented supplier networks, limited infrastructure, and varying regional regulations (Chopra &amp; Meindl, 2021; Kumar &amp; Saini, 2022). P&amp;G’s global SOPs are based on assumptions of reliable transport, consistent regulatory enforcement, and uniform supply conditions</w:t>
      </w:r>
      <w:r>
        <w:t xml:space="preserve"> </w:t>
      </w:r>
      <w:r w:rsidRPr="00EC4229">
        <w:t>that may not always exist in India.</w:t>
      </w:r>
    </w:p>
    <w:p w14:paraId="5999B54A" w14:textId="7AC3BCFB" w:rsidR="00205CF4" w:rsidRDefault="000F6E22" w:rsidP="0038547E">
      <w:r w:rsidRPr="000F6E22">
        <w:t>From an OLI perspective, India offers a clear location advantage for P&amp;G, providing low-cost production opportunities and a rapidly growing consumer market, though it demands tailored supply chain solutions. The internalization advantage allows the company to retain control over product quality and ensure operational reliability despite local uncertainties.</w:t>
      </w:r>
    </w:p>
    <w:p w14:paraId="51FA7A93" w14:textId="77777777" w:rsidR="00E018CC" w:rsidRDefault="00E018CC" w:rsidP="0038547E"/>
    <w:p w14:paraId="489104E4" w14:textId="6BA3644C" w:rsidR="00C71603" w:rsidRPr="00C71603" w:rsidRDefault="00C71603" w:rsidP="0038547E">
      <w:pPr>
        <w:rPr>
          <w:b/>
          <w:bCs/>
        </w:rPr>
      </w:pPr>
      <w:r w:rsidRPr="00C71603">
        <w:rPr>
          <w:b/>
          <w:bCs/>
        </w:rPr>
        <w:t>Recommendations</w:t>
      </w:r>
    </w:p>
    <w:p w14:paraId="5A43924A" w14:textId="77777777" w:rsidR="00C71603" w:rsidRPr="00C71603" w:rsidRDefault="00C71603" w:rsidP="00C71603">
      <w:pPr>
        <w:rPr>
          <w:lang w:val="en-US"/>
        </w:rPr>
      </w:pPr>
      <w:r w:rsidRPr="00C71603">
        <w:rPr>
          <w:lang w:val="en-US"/>
        </w:rPr>
        <w:t>P&amp;G can make its SOPs more effective in India by establishing regional production hubs to reduce transportation delays and better match local demand. Suppliers can be carefully vetted to meet FSSAI standards, and cold-chain and inventory systems can be adapted to handle local climate and infrastructure challenges. Planning for seasonal spikes, like festivals or the monsoon, and using digital tools to track supplies in real time will also help. For example, P&amp;G’s smaller regional factories allow products to be tailored for local markets while maintaining global quality, showing the importance of keeping SOPs flexible and responsive (Kumar &amp; Saini, 2022).</w:t>
      </w:r>
    </w:p>
    <w:tbl>
      <w:tblPr>
        <w:tblStyle w:val="TableGrid"/>
        <w:tblW w:w="0" w:type="auto"/>
        <w:tblLayout w:type="fixed"/>
        <w:tblLook w:val="04A0" w:firstRow="1" w:lastRow="0" w:firstColumn="1" w:lastColumn="0" w:noHBand="0" w:noVBand="1"/>
      </w:tblPr>
      <w:tblGrid>
        <w:gridCol w:w="1856"/>
        <w:gridCol w:w="3668"/>
        <w:gridCol w:w="3492"/>
      </w:tblGrid>
      <w:tr w:rsidR="00C664E5" w14:paraId="5B588B3A" w14:textId="77777777" w:rsidTr="00C664E5">
        <w:tc>
          <w:tcPr>
            <w:tcW w:w="1856" w:type="dxa"/>
            <w:vAlign w:val="center"/>
          </w:tcPr>
          <w:p w14:paraId="0D4E7A08" w14:textId="5262BC08" w:rsidR="00C664E5" w:rsidRDefault="00C664E5" w:rsidP="00C664E5">
            <w:pPr>
              <w:jc w:val="center"/>
            </w:pPr>
            <w:r>
              <w:rPr>
                <w:rStyle w:val="Strong"/>
              </w:rPr>
              <w:t>SOP Area</w:t>
            </w:r>
          </w:p>
        </w:tc>
        <w:tc>
          <w:tcPr>
            <w:tcW w:w="3668" w:type="dxa"/>
            <w:vAlign w:val="center"/>
          </w:tcPr>
          <w:p w14:paraId="16AC3B88" w14:textId="24B3C3D8" w:rsidR="00C664E5" w:rsidRDefault="00C664E5" w:rsidP="00C664E5">
            <w:pPr>
              <w:jc w:val="center"/>
            </w:pPr>
            <w:r>
              <w:rPr>
                <w:rStyle w:val="Strong"/>
              </w:rPr>
              <w:t>Why It’s Needed</w:t>
            </w:r>
          </w:p>
        </w:tc>
        <w:tc>
          <w:tcPr>
            <w:tcW w:w="3492" w:type="dxa"/>
            <w:vAlign w:val="center"/>
          </w:tcPr>
          <w:p w14:paraId="687493D7" w14:textId="5D718827" w:rsidR="00C664E5" w:rsidRDefault="00C664E5" w:rsidP="00C664E5">
            <w:pPr>
              <w:jc w:val="center"/>
            </w:pPr>
            <w:r>
              <w:rPr>
                <w:rStyle w:val="Strong"/>
              </w:rPr>
              <w:t>Recommended Adjustment</w:t>
            </w:r>
          </w:p>
        </w:tc>
      </w:tr>
      <w:tr w:rsidR="00C664E5" w14:paraId="64C8903F" w14:textId="77777777" w:rsidTr="00C664E5">
        <w:trPr>
          <w:trHeight w:val="2106"/>
        </w:trPr>
        <w:tc>
          <w:tcPr>
            <w:tcW w:w="1856" w:type="dxa"/>
            <w:vAlign w:val="center"/>
          </w:tcPr>
          <w:p w14:paraId="6EE20E07" w14:textId="67812312" w:rsidR="00C664E5" w:rsidRPr="00C664E5" w:rsidRDefault="00C664E5" w:rsidP="00C664E5">
            <w:pPr>
              <w:rPr>
                <w:b/>
                <w:bCs/>
              </w:rPr>
            </w:pPr>
            <w:r w:rsidRPr="00C664E5">
              <w:rPr>
                <w:b/>
                <w:bCs/>
              </w:rPr>
              <w:t>Product Development &amp; R&amp;D</w:t>
            </w:r>
          </w:p>
        </w:tc>
        <w:tc>
          <w:tcPr>
            <w:tcW w:w="3668" w:type="dxa"/>
            <w:vAlign w:val="center"/>
          </w:tcPr>
          <w:p w14:paraId="71411A33" w14:textId="602B60C0" w:rsidR="00C664E5" w:rsidRDefault="00C664E5" w:rsidP="00C664E5">
            <w:r>
              <w:t>India has diverse consumer needs, price sensitivity, and cultural differences; controlling processes protects the brand and technology</w:t>
            </w:r>
          </w:p>
        </w:tc>
        <w:tc>
          <w:tcPr>
            <w:tcW w:w="3492" w:type="dxa"/>
            <w:vAlign w:val="center"/>
          </w:tcPr>
          <w:p w14:paraId="699719E0" w14:textId="7B2B7F36" w:rsidR="00C664E5" w:rsidRDefault="00C664E5" w:rsidP="00C664E5">
            <w:r>
              <w:t>Local Product Innovation SOP: India R&amp;D hub, regular consumer testing, adapting products for different regions</w:t>
            </w:r>
          </w:p>
        </w:tc>
      </w:tr>
      <w:tr w:rsidR="00C664E5" w14:paraId="6872056F" w14:textId="77777777" w:rsidTr="00C664E5">
        <w:tc>
          <w:tcPr>
            <w:tcW w:w="1856" w:type="dxa"/>
            <w:vAlign w:val="center"/>
          </w:tcPr>
          <w:p w14:paraId="7D52B3F9" w14:textId="4EBC362C" w:rsidR="00C664E5" w:rsidRPr="00C664E5" w:rsidRDefault="00C664E5" w:rsidP="00C664E5">
            <w:pPr>
              <w:rPr>
                <w:b/>
                <w:bCs/>
              </w:rPr>
            </w:pPr>
            <w:r w:rsidRPr="00C664E5">
              <w:rPr>
                <w:b/>
                <w:bCs/>
              </w:rPr>
              <w:t>Staffing, Training &amp; Service</w:t>
            </w:r>
          </w:p>
        </w:tc>
        <w:tc>
          <w:tcPr>
            <w:tcW w:w="3668" w:type="dxa"/>
            <w:vAlign w:val="center"/>
          </w:tcPr>
          <w:p w14:paraId="68CF57A8" w14:textId="2577240E" w:rsidR="00C664E5" w:rsidRDefault="00C664E5" w:rsidP="00C664E5">
            <w:r>
              <w:t>High hierarchy, team-oriented culture, and expectations for personal service; managing HR locally helps effectiveness</w:t>
            </w:r>
          </w:p>
        </w:tc>
        <w:tc>
          <w:tcPr>
            <w:tcW w:w="3492" w:type="dxa"/>
            <w:vAlign w:val="center"/>
          </w:tcPr>
          <w:p w14:paraId="7562C023" w14:textId="66AF0067" w:rsidR="00C664E5" w:rsidRDefault="00C664E5" w:rsidP="00C664E5">
            <w:r>
              <w:t>Cultural Service &amp; HR SOPs: clear roles and career paths, focus on relationship-based service, training suited to Indian culture, team-based rewards</w:t>
            </w:r>
          </w:p>
        </w:tc>
      </w:tr>
      <w:tr w:rsidR="00C664E5" w14:paraId="651D8ACD" w14:textId="77777777" w:rsidTr="005913C1">
        <w:trPr>
          <w:trHeight w:val="2016"/>
        </w:trPr>
        <w:tc>
          <w:tcPr>
            <w:tcW w:w="1856" w:type="dxa"/>
            <w:vAlign w:val="center"/>
          </w:tcPr>
          <w:p w14:paraId="794763F0" w14:textId="62AF6F05" w:rsidR="00C664E5" w:rsidRPr="00C664E5" w:rsidRDefault="00C664E5" w:rsidP="00C664E5">
            <w:pPr>
              <w:rPr>
                <w:b/>
                <w:bCs/>
              </w:rPr>
            </w:pPr>
            <w:r w:rsidRPr="00C664E5">
              <w:rPr>
                <w:b/>
                <w:bCs/>
              </w:rPr>
              <w:t>Supply Chain &amp; Quality</w:t>
            </w:r>
          </w:p>
        </w:tc>
        <w:tc>
          <w:tcPr>
            <w:tcW w:w="3668" w:type="dxa"/>
            <w:vAlign w:val="center"/>
          </w:tcPr>
          <w:p w14:paraId="42D1EE9D" w14:textId="7F42F977" w:rsidR="00C664E5" w:rsidRDefault="00C664E5" w:rsidP="00C664E5">
            <w:r>
              <w:t>Fragmented infrastructure, different regional rules, and supply variability; controlling operations ensures product quality</w:t>
            </w:r>
          </w:p>
        </w:tc>
        <w:tc>
          <w:tcPr>
            <w:tcW w:w="3492" w:type="dxa"/>
            <w:vAlign w:val="center"/>
          </w:tcPr>
          <w:p w14:paraId="0ABBE3C4" w14:textId="47694497" w:rsidR="00C664E5" w:rsidRDefault="00C664E5" w:rsidP="00C664E5">
            <w:r>
              <w:t>Supply Chain SOP: regional production hubs, careful supplier checks, cold-chain and inventory systems suited for India, plans for seasonal demand</w:t>
            </w:r>
          </w:p>
        </w:tc>
      </w:tr>
    </w:tbl>
    <w:p w14:paraId="51675D47" w14:textId="77777777" w:rsidR="00C71603" w:rsidRDefault="00C71603" w:rsidP="0038547E"/>
    <w:p w14:paraId="176A7530" w14:textId="7C1D37D3" w:rsidR="006347A3" w:rsidRDefault="006347A3" w:rsidP="008E7E79">
      <w:pPr>
        <w:pStyle w:val="Heading1"/>
        <w:numPr>
          <w:ilvl w:val="0"/>
          <w:numId w:val="28"/>
        </w:numPr>
        <w:ind w:left="0" w:hanging="426"/>
      </w:pPr>
      <w:bookmarkStart w:id="22" w:name="_Toc216691285"/>
      <w:r>
        <w:lastRenderedPageBreak/>
        <w:t>Conclusion</w:t>
      </w:r>
      <w:bookmarkEnd w:id="22"/>
    </w:p>
    <w:p w14:paraId="13872A59" w14:textId="5F176A97" w:rsidR="006347A3" w:rsidRDefault="00CF0EB9" w:rsidP="006347A3">
      <w:r w:rsidRPr="00CF0EB9">
        <w:t>P&amp;G’s growth in India highlights the need to balance strong global strengths with a clear understanding of local market conditions. The company utilised its well-known brands, advanced research capabilities, and efficient operating systems while benefiting from India’s large and growing consumer base, lower production costs, and developing infrastructure. At the entry stage, P&amp;G formed a joint venture to better understand local consumer preferences and regulatory requirements. As its experience in the market increased, the firm moved to full ownership in order to protect its technology, maintain product standards, and preserve brand reputation.</w:t>
      </w:r>
    </w:p>
    <w:p w14:paraId="3439246C" w14:textId="73A11D62" w:rsidR="009E3014" w:rsidRPr="006347A3" w:rsidRDefault="009E3014" w:rsidP="006347A3">
      <w:r w:rsidRPr="009E3014">
        <w:t xml:space="preserve">P&amp;G changed how they do things to match India's culture. Because India values respect for authority and teamwork, P&amp;G made their management clear and gave rewards based on team effort. They also focused on building relationships with customers. India's culture also shaped their products, as P&amp;G made sure their prices, sizes, and ingredients suited what locals wanted. To get this right, they set up local ways of working, like research </w:t>
      </w:r>
      <w:r w:rsidR="008510C4" w:rsidRPr="009E3014">
        <w:t>centres</w:t>
      </w:r>
      <w:r w:rsidRPr="009E3014">
        <w:t xml:space="preserve"> to test products, HR programs that fit the culture, and flexible supply chains to handle infrastructure issues and seasonal demand. By using smart ways to enter the market, being aware of the culture, and creating India-specific processes, P&amp;G got better at what they do, made customers happy, and grew steadily. This shows firms need to change to local markets to do well.</w:t>
      </w:r>
    </w:p>
    <w:p w14:paraId="78C12C76" w14:textId="77777777" w:rsidR="006347A3" w:rsidRDefault="006347A3" w:rsidP="0038547E"/>
    <w:p w14:paraId="74B0E79D" w14:textId="77777777" w:rsidR="00687652" w:rsidRDefault="00687652" w:rsidP="0038547E"/>
    <w:p w14:paraId="7B8CB801" w14:textId="77777777" w:rsidR="00E7410A" w:rsidRDefault="00E7410A" w:rsidP="0038547E"/>
    <w:p w14:paraId="0EC53F27" w14:textId="77777777" w:rsidR="00E7410A" w:rsidRDefault="00E7410A" w:rsidP="0038547E"/>
    <w:p w14:paraId="3516F69E" w14:textId="77777777" w:rsidR="00E7410A" w:rsidRDefault="00E7410A" w:rsidP="0038547E"/>
    <w:p w14:paraId="560C28DE" w14:textId="77777777" w:rsidR="00E7410A" w:rsidRDefault="00E7410A" w:rsidP="0038547E"/>
    <w:p w14:paraId="6D303E32" w14:textId="77777777" w:rsidR="00E7410A" w:rsidRDefault="00E7410A" w:rsidP="0038547E"/>
    <w:p w14:paraId="139AB2A4" w14:textId="77777777" w:rsidR="00E7410A" w:rsidRPr="000F6E22" w:rsidRDefault="00E7410A" w:rsidP="0038547E"/>
    <w:p w14:paraId="59EA0D6E" w14:textId="7345B587" w:rsidR="002B566B" w:rsidRPr="006347A3" w:rsidRDefault="002B566B" w:rsidP="008E7E79">
      <w:pPr>
        <w:pStyle w:val="Heading1"/>
        <w:numPr>
          <w:ilvl w:val="0"/>
          <w:numId w:val="28"/>
        </w:numPr>
        <w:ind w:left="-284"/>
      </w:pPr>
      <w:bookmarkStart w:id="23" w:name="_Toc216691286"/>
      <w:r w:rsidRPr="006347A3">
        <w:lastRenderedPageBreak/>
        <w:t>References</w:t>
      </w:r>
      <w:bookmarkEnd w:id="23"/>
      <w:r w:rsidR="0071292F" w:rsidRPr="006347A3">
        <w:tab/>
      </w:r>
    </w:p>
    <w:p w14:paraId="095B75FF" w14:textId="6C4C84C9" w:rsidR="002B566B" w:rsidRDefault="002B566B" w:rsidP="002B566B">
      <w:pPr>
        <w:rPr>
          <w:lang w:val="en-US"/>
        </w:rPr>
      </w:pPr>
      <w:r w:rsidRPr="002B566B">
        <w:rPr>
          <w:lang w:val="en-US"/>
        </w:rPr>
        <w:t xml:space="preserve">Britannica 2024, </w:t>
      </w:r>
      <w:r w:rsidRPr="002B566B">
        <w:rPr>
          <w:i/>
          <w:iCs/>
          <w:lang w:val="en-US"/>
        </w:rPr>
        <w:t>Procter and Gamble Company</w:t>
      </w:r>
      <w:r w:rsidRPr="002B566B">
        <w:rPr>
          <w:lang w:val="en-US"/>
        </w:rPr>
        <w:t xml:space="preserve">, Britannica, </w:t>
      </w:r>
      <w:hyperlink r:id="rId15" w:tgtFrame="_new" w:history="1">
        <w:r w:rsidRPr="002B566B">
          <w:rPr>
            <w:rStyle w:val="Hyperlink"/>
            <w:lang w:val="en-US"/>
          </w:rPr>
          <w:t>https://www.britannica.com/money/Procter-and-Gamble-Company</w:t>
        </w:r>
      </w:hyperlink>
      <w:r w:rsidRPr="002B566B">
        <w:rPr>
          <w:lang w:val="en-US"/>
        </w:rPr>
        <w:t>.</w:t>
      </w:r>
    </w:p>
    <w:p w14:paraId="697C2511" w14:textId="77777777" w:rsidR="00C9575A" w:rsidRPr="00CF7B96" w:rsidRDefault="00C9575A" w:rsidP="00C9575A">
      <w:r w:rsidRPr="00CF7B96">
        <w:t xml:space="preserve">Procter &amp; Gamble (2025) </w:t>
      </w:r>
      <w:r w:rsidRPr="00CF7B96">
        <w:rPr>
          <w:i/>
          <w:iCs/>
        </w:rPr>
        <w:t>Vision</w:t>
      </w:r>
      <w:r w:rsidRPr="00CF7B96">
        <w:t xml:space="preserve">. Available at: </w:t>
      </w:r>
      <w:hyperlink r:id="rId16" w:tgtFrame="_new" w:history="1">
        <w:r w:rsidRPr="00CF7B96">
          <w:rPr>
            <w:rStyle w:val="Hyperlink"/>
          </w:rPr>
          <w:t>https://pvpmobile.pg.com/vision.html</w:t>
        </w:r>
      </w:hyperlink>
    </w:p>
    <w:p w14:paraId="5AA6EAF2" w14:textId="77777777" w:rsidR="00C9575A" w:rsidRPr="00CF7B96" w:rsidRDefault="00C9575A" w:rsidP="00C9575A">
      <w:r w:rsidRPr="00CF7B96">
        <w:t xml:space="preserve">Procter &amp; Gamble (2025) </w:t>
      </w:r>
      <w:r w:rsidRPr="00CF7B96">
        <w:rPr>
          <w:i/>
          <w:iCs/>
        </w:rPr>
        <w:t>Purpose, Values &amp; Principles</w:t>
      </w:r>
      <w:r w:rsidRPr="00CF7B96">
        <w:t xml:space="preserve">. Available at: </w:t>
      </w:r>
      <w:hyperlink r:id="rId17" w:tgtFrame="_new" w:history="1">
        <w:r w:rsidRPr="00CF7B96">
          <w:rPr>
            <w:rStyle w:val="Hyperlink"/>
          </w:rPr>
          <w:t>https://www.pg.co.uk/policies-and-practices/purpose-values-and-principles/</w:t>
        </w:r>
      </w:hyperlink>
    </w:p>
    <w:p w14:paraId="6FB40DA3" w14:textId="509023B9" w:rsidR="00C9575A" w:rsidRDefault="00C9575A" w:rsidP="00C9575A">
      <w:pPr>
        <w:rPr>
          <w:lang w:val="en-US"/>
        </w:rPr>
      </w:pPr>
      <w:r w:rsidRPr="00CF7B96">
        <w:t xml:space="preserve">Procter &amp; Gamble (2025) </w:t>
      </w:r>
      <w:r w:rsidRPr="00CF7B96">
        <w:rPr>
          <w:i/>
          <w:iCs/>
        </w:rPr>
        <w:t>Mission Statement, Vision and Core Values</w:t>
      </w:r>
      <w:r w:rsidRPr="00CF7B96">
        <w:t xml:space="preserve">. Available at: </w:t>
      </w:r>
      <w:hyperlink r:id="rId18" w:history="1">
        <w:r w:rsidRPr="00CF7B96">
          <w:rPr>
            <w:rStyle w:val="Hyperlink"/>
          </w:rPr>
          <w:t>https://cdn2.f-cdn.com/files/download/153252564/P%26G%20report.pdf</w:t>
        </w:r>
      </w:hyperlink>
    </w:p>
    <w:p w14:paraId="5D988143" w14:textId="1B5B8C00" w:rsidR="002D1454" w:rsidRPr="002B566B" w:rsidRDefault="002D1454" w:rsidP="002B566B">
      <w:pPr>
        <w:rPr>
          <w:lang w:val="en-US"/>
        </w:rPr>
      </w:pPr>
      <w:r w:rsidRPr="002D1454">
        <w:t xml:space="preserve">Soh, D. (2021) </w:t>
      </w:r>
      <w:r w:rsidRPr="002D1454">
        <w:rPr>
          <w:i/>
          <w:iCs/>
        </w:rPr>
        <w:t>5 things I learnt about Branding &amp; Marketing from P&amp;G</w:t>
      </w:r>
      <w:r w:rsidRPr="002D1454">
        <w:t xml:space="preserve">. LinkedIn. Available at: </w:t>
      </w:r>
      <w:hyperlink r:id="rId19" w:tgtFrame="_new" w:history="1">
        <w:r w:rsidRPr="002D1454">
          <w:rPr>
            <w:rStyle w:val="Hyperlink"/>
          </w:rPr>
          <w:t>https://www.linkedin.com/pulse/5-things-i-learnt-branding-marketing-from-pg-daylon-soh-%E8%8B%8F%E5%A4%A7%E7%AB%A0</w:t>
        </w:r>
      </w:hyperlink>
    </w:p>
    <w:p w14:paraId="0F2C687B" w14:textId="77777777" w:rsidR="001F7792" w:rsidRDefault="001F7792" w:rsidP="002B566B">
      <w:pPr>
        <w:rPr>
          <w:lang w:val="en-US"/>
        </w:rPr>
      </w:pPr>
      <w:r w:rsidRPr="001F7792">
        <w:t xml:space="preserve">Procter &amp; Gamble (n.d.) </w:t>
      </w:r>
      <w:r w:rsidRPr="001F7792">
        <w:rPr>
          <w:i/>
          <w:iCs/>
        </w:rPr>
        <w:t>P&amp;G History</w:t>
      </w:r>
      <w:r w:rsidRPr="001F7792">
        <w:t xml:space="preserve">. Available at: </w:t>
      </w:r>
      <w:hyperlink r:id="rId20" w:tgtFrame="_new" w:history="1">
        <w:r w:rsidRPr="001F7792">
          <w:rPr>
            <w:rStyle w:val="Hyperlink"/>
          </w:rPr>
          <w:t>https://us.pg.com/pg-history/</w:t>
        </w:r>
      </w:hyperlink>
      <w:r w:rsidRPr="001F7792">
        <w:rPr>
          <w:lang w:val="en-US"/>
        </w:rPr>
        <w:t xml:space="preserve"> </w:t>
      </w:r>
    </w:p>
    <w:p w14:paraId="4475B15A" w14:textId="1A92DCC6" w:rsidR="002B566B" w:rsidRDefault="002B566B" w:rsidP="002B566B">
      <w:pPr>
        <w:rPr>
          <w:lang w:val="en-US"/>
        </w:rPr>
      </w:pPr>
      <w:r w:rsidRPr="002B566B">
        <w:rPr>
          <w:lang w:val="en-US"/>
        </w:rPr>
        <w:t xml:space="preserve">Procter and Gamble 2023, </w:t>
      </w:r>
      <w:r w:rsidRPr="002B566B">
        <w:rPr>
          <w:i/>
          <w:iCs/>
          <w:lang w:val="en-US"/>
        </w:rPr>
        <w:t>Annual Report 2023</w:t>
      </w:r>
      <w:r w:rsidRPr="002B566B">
        <w:rPr>
          <w:lang w:val="en-US"/>
        </w:rPr>
        <w:t xml:space="preserve">, Procter and Gamble, </w:t>
      </w:r>
      <w:hyperlink r:id="rId21" w:tgtFrame="_new" w:history="1">
        <w:r w:rsidRPr="002B566B">
          <w:rPr>
            <w:rStyle w:val="Hyperlink"/>
            <w:lang w:val="en-US"/>
          </w:rPr>
          <w:t>https://www.annualreports.com/HostedData/AnnualReportArchive/p/NYSE_PG_2023.pdf</w:t>
        </w:r>
      </w:hyperlink>
      <w:r w:rsidRPr="002B566B">
        <w:rPr>
          <w:lang w:val="en-US"/>
        </w:rPr>
        <w:t>.</w:t>
      </w:r>
    </w:p>
    <w:p w14:paraId="6FE7D18E" w14:textId="78C20D89" w:rsidR="0087401A" w:rsidRPr="002B566B" w:rsidRDefault="0087401A" w:rsidP="002B566B">
      <w:pPr>
        <w:rPr>
          <w:lang w:val="en-US"/>
        </w:rPr>
      </w:pPr>
      <w:r w:rsidRPr="0087401A">
        <w:t xml:space="preserve">Hobbs, T. (2015) </w:t>
      </w:r>
      <w:r w:rsidRPr="0087401A">
        <w:rPr>
          <w:i/>
          <w:iCs/>
        </w:rPr>
        <w:t>P&amp;G presses on with marketing efficiency drive as sales projections fall</w:t>
      </w:r>
      <w:r w:rsidRPr="0087401A">
        <w:t xml:space="preserve">. </w:t>
      </w:r>
      <w:r w:rsidRPr="0087401A">
        <w:rPr>
          <w:i/>
          <w:iCs/>
        </w:rPr>
        <w:t>Marketing Week</w:t>
      </w:r>
      <w:r w:rsidRPr="0087401A">
        <w:t xml:space="preserve">, 27 January. Available at: </w:t>
      </w:r>
      <w:hyperlink r:id="rId22" w:tgtFrame="_new" w:history="1">
        <w:r w:rsidRPr="0087401A">
          <w:rPr>
            <w:rStyle w:val="Hyperlink"/>
          </w:rPr>
          <w:t>https://www.marketingweek.com/pg-presses-on-with-marketing-efficiency-drive-as-sales-projections-fall/</w:t>
        </w:r>
      </w:hyperlink>
    </w:p>
    <w:p w14:paraId="19C4122C" w14:textId="0EE544CF" w:rsidR="00B172C7" w:rsidRPr="00B172C7" w:rsidRDefault="00B172C7" w:rsidP="00B172C7">
      <w:pPr>
        <w:rPr>
          <w:lang w:val="en-US"/>
        </w:rPr>
      </w:pPr>
      <w:r w:rsidRPr="00B172C7">
        <w:rPr>
          <w:lang w:val="en-US"/>
        </w:rPr>
        <w:t xml:space="preserve">Bartlett, C. A. &amp; Ghoshal, S. 1989, </w:t>
      </w:r>
      <w:r w:rsidRPr="00B172C7">
        <w:rPr>
          <w:i/>
          <w:iCs/>
          <w:lang w:val="en-US"/>
        </w:rPr>
        <w:t>Managing Across Borders: The Transnational Solution</w:t>
      </w:r>
      <w:r w:rsidRPr="00B172C7">
        <w:rPr>
          <w:lang w:val="en-US"/>
        </w:rPr>
        <w:t xml:space="preserve">, Harvard Business School Press, Boston, </w:t>
      </w:r>
      <w:hyperlink r:id="rId23" w:tgtFrame="_new" w:history="1">
        <w:r w:rsidRPr="00B172C7">
          <w:rPr>
            <w:rStyle w:val="Hyperlink"/>
            <w:lang w:val="en-US"/>
          </w:rPr>
          <w:t>https://www.hbs.edu/faculty/Pages/item.aspx?num=32</w:t>
        </w:r>
      </w:hyperlink>
      <w:r w:rsidRPr="00B172C7">
        <w:rPr>
          <w:lang w:val="en-US"/>
        </w:rPr>
        <w:t xml:space="preserve">. </w:t>
      </w:r>
      <w:hyperlink r:id="rId24" w:tgtFrame="_blank" w:history="1">
        <w:r w:rsidRPr="00B172C7">
          <w:rPr>
            <w:rStyle w:val="Hyperlink"/>
            <w:lang w:val="en-US"/>
          </w:rPr>
          <w:t>Harvard Business School</w:t>
        </w:r>
      </w:hyperlink>
    </w:p>
    <w:p w14:paraId="11F9DFF4" w14:textId="1E9289C6" w:rsidR="00B172C7" w:rsidRPr="00B172C7" w:rsidRDefault="00B172C7" w:rsidP="00B172C7">
      <w:pPr>
        <w:rPr>
          <w:lang w:val="en-US"/>
        </w:rPr>
      </w:pPr>
      <w:r w:rsidRPr="00B172C7">
        <w:rPr>
          <w:lang w:val="en-US"/>
        </w:rPr>
        <w:t xml:space="preserve">Caves, R. E. 1996, </w:t>
      </w:r>
      <w:r w:rsidRPr="00B172C7">
        <w:rPr>
          <w:i/>
          <w:iCs/>
          <w:lang w:val="en-US"/>
        </w:rPr>
        <w:t>Multinational Enterprise and Economic Analysis</w:t>
      </w:r>
      <w:r w:rsidRPr="00B172C7">
        <w:rPr>
          <w:lang w:val="en-US"/>
        </w:rPr>
        <w:t>, 2nd edn, Cambridge University Press, Cambridge.</w:t>
      </w:r>
      <w:r w:rsidR="00CB39F9">
        <w:rPr>
          <w:lang w:val="en-US"/>
        </w:rPr>
        <w:tab/>
      </w:r>
    </w:p>
    <w:p w14:paraId="3A114F6F" w14:textId="0C8D6124" w:rsidR="00B172C7" w:rsidRDefault="00B172C7" w:rsidP="00B172C7">
      <w:pPr>
        <w:rPr>
          <w:lang w:val="en-US"/>
        </w:rPr>
      </w:pPr>
      <w:r w:rsidRPr="00B172C7">
        <w:rPr>
          <w:lang w:val="en-US"/>
        </w:rPr>
        <w:t xml:space="preserve">Procter &amp; Gamble 2024, </w:t>
      </w:r>
      <w:r w:rsidRPr="00B172C7">
        <w:rPr>
          <w:i/>
          <w:iCs/>
          <w:lang w:val="en-US"/>
        </w:rPr>
        <w:t>Company Information</w:t>
      </w:r>
      <w:r w:rsidRPr="00B172C7">
        <w:rPr>
          <w:lang w:val="en-US"/>
        </w:rPr>
        <w:t xml:space="preserve">, Procter &amp; Gamble, </w:t>
      </w:r>
      <w:hyperlink r:id="rId25" w:tgtFrame="_new" w:history="1">
        <w:r w:rsidRPr="00B172C7">
          <w:rPr>
            <w:rStyle w:val="Hyperlink"/>
            <w:lang w:val="en-US"/>
          </w:rPr>
          <w:t>https://us.pg.com/</w:t>
        </w:r>
      </w:hyperlink>
      <w:r w:rsidRPr="00B172C7">
        <w:rPr>
          <w:lang w:val="en-US"/>
        </w:rPr>
        <w:t>.</w:t>
      </w:r>
    </w:p>
    <w:p w14:paraId="65AFAA70" w14:textId="05DEBAE0" w:rsidR="00DD1E28" w:rsidRPr="00D447A6" w:rsidRDefault="00DD1E28" w:rsidP="00B172C7">
      <w:r w:rsidRPr="00D447A6">
        <w:t xml:space="preserve">Collins, G. 2025, ‘How is P&amp;G Driving Sustainability in the Supply Chain?’ </w:t>
      </w:r>
      <w:r w:rsidRPr="00D447A6">
        <w:rPr>
          <w:i/>
          <w:iCs/>
        </w:rPr>
        <w:t>Supply Chain Digital</w:t>
      </w:r>
      <w:r w:rsidRPr="00D447A6">
        <w:t xml:space="preserve">, 24 September, </w:t>
      </w:r>
      <w:hyperlink r:id="rId26" w:tgtFrame="_new" w:history="1">
        <w:r w:rsidRPr="00D447A6">
          <w:rPr>
            <w:rStyle w:val="Hyperlink"/>
          </w:rPr>
          <w:t>https://supplychaindigital.com/news/p-g-advances-esg-sustainability-goals-supply-chain-impact</w:t>
        </w:r>
      </w:hyperlink>
      <w:r w:rsidRPr="00D447A6">
        <w:t>.</w:t>
      </w:r>
    </w:p>
    <w:p w14:paraId="2F195293" w14:textId="519DFCCA" w:rsidR="00412736" w:rsidRPr="00D447A6" w:rsidRDefault="00412736" w:rsidP="00B172C7">
      <w:r w:rsidRPr="00D447A6">
        <w:lastRenderedPageBreak/>
        <w:t xml:space="preserve">The Culture Factor (no date) </w:t>
      </w:r>
      <w:r w:rsidRPr="00D447A6">
        <w:rPr>
          <w:i/>
          <w:iCs/>
        </w:rPr>
        <w:t>Country Comparison Tool: India and United Kingdom</w:t>
      </w:r>
      <w:r w:rsidRPr="00D447A6">
        <w:t xml:space="preserve">. Available at: </w:t>
      </w:r>
      <w:hyperlink r:id="rId27" w:tgtFrame="_new" w:history="1">
        <w:r w:rsidRPr="00D447A6">
          <w:rPr>
            <w:rStyle w:val="Hyperlink"/>
          </w:rPr>
          <w:t>https://www.theculturefactor.com/country-comparison-tool?countries=india%2Cunited+kingdom</w:t>
        </w:r>
      </w:hyperlink>
    </w:p>
    <w:p w14:paraId="4B10B85B" w14:textId="0C9DCA18" w:rsidR="005E2CCD" w:rsidRPr="00D447A6" w:rsidRDefault="005E2CCD" w:rsidP="00B172C7">
      <w:r w:rsidRPr="00D447A6">
        <w:t xml:space="preserve">P&amp;G Singapore Innovation Center (no date) </w:t>
      </w:r>
      <w:r w:rsidRPr="00D447A6">
        <w:rPr>
          <w:i/>
          <w:iCs/>
        </w:rPr>
        <w:t>LinkedIn company profile</w:t>
      </w:r>
      <w:r w:rsidRPr="00D447A6">
        <w:t xml:space="preserve">. Available at: </w:t>
      </w:r>
      <w:hyperlink r:id="rId28" w:tgtFrame="_new" w:history="1">
        <w:r w:rsidRPr="00D447A6">
          <w:rPr>
            <w:rStyle w:val="Hyperlink"/>
          </w:rPr>
          <w:t>https://sg.linkedin.com/company/pgsingapore-innovation-center</w:t>
        </w:r>
      </w:hyperlink>
    </w:p>
    <w:p w14:paraId="1469CB8D" w14:textId="63BB6544" w:rsidR="00626B4E" w:rsidRPr="00D447A6" w:rsidRDefault="00626B4E" w:rsidP="00B172C7">
      <w:r w:rsidRPr="00D447A6">
        <w:t xml:space="preserve">Manuel, L. (2022) </w:t>
      </w:r>
      <w:r w:rsidRPr="00D447A6">
        <w:rPr>
          <w:i/>
          <w:iCs/>
        </w:rPr>
        <w:t>6.1 International Entry Modes</w:t>
      </w:r>
      <w:r w:rsidRPr="00D447A6">
        <w:t xml:space="preserve">. In: </w:t>
      </w:r>
      <w:r w:rsidRPr="00D447A6">
        <w:rPr>
          <w:i/>
          <w:iCs/>
        </w:rPr>
        <w:t>Global Marketing In a Digital World</w:t>
      </w:r>
      <w:r w:rsidRPr="00D447A6">
        <w:t xml:space="preserve">. Available at: </w:t>
      </w:r>
      <w:hyperlink r:id="rId29" w:tgtFrame="_new" w:history="1">
        <w:r w:rsidRPr="00D447A6">
          <w:rPr>
            <w:rStyle w:val="Hyperlink"/>
          </w:rPr>
          <w:t>https://ecampusontario.pressbooks.pub/globalmarketing/chapter/6-1-international-entry-modes/</w:t>
        </w:r>
      </w:hyperlink>
    </w:p>
    <w:p w14:paraId="5B342A9C" w14:textId="5DB99271" w:rsidR="00455478" w:rsidRPr="00D447A6" w:rsidRDefault="00455478" w:rsidP="00B172C7">
      <w:r w:rsidRPr="00D447A6">
        <w:t xml:space="preserve">Procter &amp; Gamble &amp; Fraunhofer-Gesellschaft 2023, </w:t>
      </w:r>
      <w:r w:rsidRPr="00D447A6">
        <w:rPr>
          <w:i/>
          <w:iCs/>
        </w:rPr>
        <w:t>Procter &amp; Gamble and Fraunhofer intensify collaboration and launch new innovation platform</w:t>
      </w:r>
      <w:r w:rsidRPr="00D447A6">
        <w:t xml:space="preserve">, P&amp;G Deutschland / Österreich Presse, </w:t>
      </w:r>
      <w:hyperlink r:id="rId30" w:tgtFrame="_new" w:history="1">
        <w:r w:rsidRPr="00D447A6">
          <w:rPr>
            <w:rStyle w:val="Hyperlink"/>
          </w:rPr>
          <w:t>https://pgnewsroom.de/pressemeldungen/pressemitteilung-details/2023/Procter--Gamble-and-Fraunhofer-intensify-collaboration-and-launch-new-innovation-platform/default.aspx</w:t>
        </w:r>
      </w:hyperlink>
      <w:r w:rsidRPr="00D447A6">
        <w:t>.</w:t>
      </w:r>
    </w:p>
    <w:p w14:paraId="1679B0C9" w14:textId="6A42E03C" w:rsidR="00865341" w:rsidRPr="00D447A6" w:rsidRDefault="00865341" w:rsidP="00B172C7">
      <w:pPr>
        <w:rPr>
          <w:lang w:val="en-US"/>
        </w:rPr>
      </w:pPr>
      <w:r w:rsidRPr="00D447A6">
        <w:t xml:space="preserve">P&amp;G &amp; Microsoft 2022, ‘P&amp;G &amp; Microsoft are accelerating digital manufacturing’, </w:t>
      </w:r>
      <w:r w:rsidRPr="00D447A6">
        <w:rPr>
          <w:i/>
          <w:iCs/>
        </w:rPr>
        <w:t>P&amp;G Blog</w:t>
      </w:r>
      <w:r w:rsidRPr="00D447A6">
        <w:t xml:space="preserve">, 9 June, </w:t>
      </w:r>
      <w:hyperlink r:id="rId31" w:tgtFrame="_new" w:history="1">
        <w:r w:rsidRPr="00D447A6">
          <w:rPr>
            <w:rStyle w:val="Hyperlink"/>
          </w:rPr>
          <w:t>https://us.pg.com/blogs/pg-microsoft-accelerate-digital-manufacturing/</w:t>
        </w:r>
      </w:hyperlink>
    </w:p>
    <w:p w14:paraId="32958286" w14:textId="21C05BA7" w:rsidR="002B566B" w:rsidRPr="00D447A6" w:rsidRDefault="007763D3" w:rsidP="002B566B">
      <w:pPr>
        <w:rPr>
          <w:lang w:val="en-US"/>
        </w:rPr>
      </w:pPr>
      <w:r w:rsidRPr="00D447A6">
        <w:t xml:space="preserve">Dunning, J. H. &amp; Lundan, S. M. 2008, </w:t>
      </w:r>
      <w:r w:rsidRPr="00D447A6">
        <w:rPr>
          <w:i/>
          <w:iCs/>
        </w:rPr>
        <w:t>Multinational Enterprises and the Global Economy</w:t>
      </w:r>
      <w:r w:rsidRPr="00D447A6">
        <w:t xml:space="preserve">, 2nd edn, Edward Elgar Publishing, Cheltenham, </w:t>
      </w:r>
      <w:hyperlink r:id="rId32" w:tgtFrame="_new" w:history="1">
        <w:r w:rsidRPr="00D447A6">
          <w:rPr>
            <w:rStyle w:val="Hyperlink"/>
          </w:rPr>
          <w:t>https://www.e-elgar.com/shop/gbp/eid/3215</w:t>
        </w:r>
      </w:hyperlink>
    </w:p>
    <w:p w14:paraId="228A36C0" w14:textId="094BAF74" w:rsidR="002B566B" w:rsidRPr="00D447A6" w:rsidRDefault="0072270E" w:rsidP="00A54A7C">
      <w:r w:rsidRPr="00D447A6">
        <w:t xml:space="preserve">S&amp;P Capital IQ 2023, ‘The Procter &amp; Gamble Company (NYSE: PG) completed the acquisition of Mielle Organics, LLC’, </w:t>
      </w:r>
      <w:r w:rsidRPr="00D447A6">
        <w:rPr>
          <w:i/>
          <w:iCs/>
        </w:rPr>
        <w:t>MarketScreener</w:t>
      </w:r>
      <w:r w:rsidRPr="00D447A6">
        <w:t xml:space="preserve">, 28 February,  </w:t>
      </w:r>
      <w:hyperlink r:id="rId33" w:tgtFrame="_new" w:history="1">
        <w:r w:rsidRPr="00D447A6">
          <w:rPr>
            <w:rStyle w:val="Hyperlink"/>
          </w:rPr>
          <w:t>https://www.marketscreener.com/quote/stock/PROCTER-GAMBLE-COMPANY-4838/news/The-Procter-Gamble-Company-NYSE-PG-completed-the-acquisition-of-Mielle-Organics-LLC-43156421/</w:t>
        </w:r>
      </w:hyperlink>
      <w:r w:rsidRPr="00D447A6">
        <w:t>.</w:t>
      </w:r>
    </w:p>
    <w:p w14:paraId="0F8CB52E" w14:textId="6E53A338" w:rsidR="00D57666" w:rsidRPr="00D447A6" w:rsidRDefault="00D57666" w:rsidP="00A54A7C">
      <w:r w:rsidRPr="00D447A6">
        <w:t xml:space="preserve">Devadiga, U. and Aithal, P.S. (2025) </w:t>
      </w:r>
      <w:r w:rsidRPr="00D447A6">
        <w:rPr>
          <w:i/>
          <w:iCs/>
        </w:rPr>
        <w:t>Globalisation and international business strategy: Managing risks and competitiveness</w:t>
      </w:r>
      <w:r w:rsidRPr="00D447A6">
        <w:t>. Bengaluru: Srinivas University Press.</w:t>
      </w:r>
    </w:p>
    <w:p w14:paraId="4C0F76D4" w14:textId="13B72E70" w:rsidR="00D57666" w:rsidRPr="00D447A6" w:rsidRDefault="00D57666" w:rsidP="00A54A7C">
      <w:r w:rsidRPr="00D447A6">
        <w:t xml:space="preserve">Heliyon (2024) ‘Environmental, social and governance performance and firm value: Evidence from multinational enterprises’, </w:t>
      </w:r>
      <w:r w:rsidRPr="00D447A6">
        <w:rPr>
          <w:i/>
          <w:iCs/>
        </w:rPr>
        <w:t>Heliyon</w:t>
      </w:r>
      <w:r w:rsidRPr="00D447A6">
        <w:t>, 10(3), pp. 1–12.</w:t>
      </w:r>
    </w:p>
    <w:p w14:paraId="3AF30223" w14:textId="11E32075" w:rsidR="00842787" w:rsidRPr="00D447A6" w:rsidRDefault="00842787" w:rsidP="00A54A7C">
      <w:pPr>
        <w:rPr>
          <w:i/>
          <w:iCs/>
        </w:rPr>
      </w:pPr>
      <w:r w:rsidRPr="00D447A6">
        <w:t xml:space="preserve">Qing, L. and Jin, Z. (2023) ‘Digital transformation, green innovation and sustainable business performance’, </w:t>
      </w:r>
      <w:r w:rsidRPr="00D447A6">
        <w:rPr>
          <w:i/>
          <w:iCs/>
        </w:rPr>
        <w:t>Journal of Cleaner Production.</w:t>
      </w:r>
    </w:p>
    <w:p w14:paraId="0C347A3D" w14:textId="0E94E288" w:rsidR="00842787" w:rsidRPr="00D447A6" w:rsidRDefault="00842787" w:rsidP="00A54A7C">
      <w:r w:rsidRPr="00D447A6">
        <w:rPr>
          <w:i/>
          <w:iCs/>
        </w:rPr>
        <w:lastRenderedPageBreak/>
        <w:t>Schroedel, J. (2024) ‘Supply Chain 3.0 and productivity gains in global manufacturing firms’, International Journal of Operations and Production Management, 44(2), pp. 215–232.</w:t>
      </w:r>
    </w:p>
    <w:p w14:paraId="4A786BB4" w14:textId="3664459A" w:rsidR="00030B02" w:rsidRPr="00D447A6" w:rsidRDefault="00030B02" w:rsidP="00A54A7C">
      <w:r w:rsidRPr="00D447A6">
        <w:t xml:space="preserve">UPI 1992, ‘P&amp;G to control joint venture in India’, </w:t>
      </w:r>
      <w:r w:rsidRPr="00D447A6">
        <w:rPr>
          <w:i/>
          <w:iCs/>
        </w:rPr>
        <w:t>UPI Archives</w:t>
      </w:r>
      <w:r w:rsidRPr="00D447A6">
        <w:t>, 17 December,</w:t>
      </w:r>
      <w:r w:rsidR="00BF4044" w:rsidRPr="00D447A6">
        <w:t xml:space="preserve"> </w:t>
      </w:r>
      <w:hyperlink r:id="rId34" w:tgtFrame="_new" w:history="1">
        <w:r w:rsidRPr="00D447A6">
          <w:rPr>
            <w:rStyle w:val="Hyperlink"/>
          </w:rPr>
          <w:t>https://www.upi.com/Archives/1992/12/17/PG-to-control-joint-venture-in-India/4291724568400/</w:t>
        </w:r>
      </w:hyperlink>
    </w:p>
    <w:p w14:paraId="0CD108CD" w14:textId="0DF20993" w:rsidR="00A45E6A" w:rsidRPr="00D447A6" w:rsidRDefault="00335578" w:rsidP="00A54A7C">
      <w:r w:rsidRPr="00D447A6">
        <w:t xml:space="preserve">P&amp;G adapts approach in emerging markets 2018, </w:t>
      </w:r>
      <w:r w:rsidRPr="00D447A6">
        <w:rPr>
          <w:i/>
          <w:iCs/>
        </w:rPr>
        <w:t>WARC</w:t>
      </w:r>
      <w:r w:rsidRPr="00D447A6">
        <w:t xml:space="preserve">, </w:t>
      </w:r>
      <w:hyperlink r:id="rId35" w:history="1">
        <w:r w:rsidRPr="00D447A6">
          <w:rPr>
            <w:rStyle w:val="Hyperlink"/>
          </w:rPr>
          <w:t>https://www.warc.com/newsandopinion/news/pg-adapts-approach-in-emerging-markets/en</w:t>
        </w:r>
        <w:r w:rsidRPr="00D447A6">
          <w:rPr>
            <w:rStyle w:val="Hyperlink"/>
          </w:rPr>
          <w:noBreakHyphen/>
          <w:t>gb/26080</w:t>
        </w:r>
      </w:hyperlink>
      <w:r w:rsidRPr="00D447A6">
        <w:t xml:space="preserve"> </w:t>
      </w:r>
    </w:p>
    <w:p w14:paraId="706791E7" w14:textId="382FFE42" w:rsidR="008C2428" w:rsidRPr="00D447A6" w:rsidRDefault="008C2428" w:rsidP="00A54A7C">
      <w:r w:rsidRPr="00D447A6">
        <w:t xml:space="preserve">Wei, Z. &amp; Nguyen, Q.T.K. 2019, ‘Local responsiveness strategy of foreign multinational corporations: balancing global integration and local pressures’, </w:t>
      </w:r>
      <w:r w:rsidRPr="00D447A6">
        <w:rPr>
          <w:i/>
          <w:iCs/>
        </w:rPr>
        <w:t>Asia Pacific Journal of Management</w:t>
      </w:r>
      <w:r w:rsidRPr="00D447A6">
        <w:t xml:space="preserve">, vol. 36, no. 2, pp. 491–513, </w:t>
      </w:r>
      <w:hyperlink r:id="rId36" w:tgtFrame="_new" w:history="1">
        <w:r w:rsidRPr="00D447A6">
          <w:rPr>
            <w:rStyle w:val="Hyperlink"/>
          </w:rPr>
          <w:t>https://centaur.reading.ac.uk/82782/10/Wei-Nguyen2019_Article_LocalResponsivenessStrategyOfF.pdf</w:t>
        </w:r>
      </w:hyperlink>
    </w:p>
    <w:p w14:paraId="5EBDBEC3" w14:textId="3A96666E" w:rsidR="00836909" w:rsidRPr="00D447A6" w:rsidRDefault="00836909" w:rsidP="00A54A7C">
      <w:r w:rsidRPr="00D447A6">
        <w:t xml:space="preserve">Devadiga, D. &amp; Aithal, S., 2025. ‘Procter &amp; Gamble: Mastering Global Markets Through Innovation, Strategy, and Consumer Excellence’, </w:t>
      </w:r>
      <w:r w:rsidRPr="00D447A6">
        <w:rPr>
          <w:i/>
          <w:iCs/>
        </w:rPr>
        <w:t>Poornaprajna International Journal of Teaching &amp; Research Case Studies</w:t>
      </w:r>
      <w:r w:rsidRPr="00D447A6">
        <w:t xml:space="preserve">. Available at: </w:t>
      </w:r>
      <w:hyperlink r:id="rId37" w:history="1">
        <w:r w:rsidRPr="00D447A6">
          <w:rPr>
            <w:rStyle w:val="Hyperlink"/>
          </w:rPr>
          <w:t>https://www.researchgate.net/publication/396776857_Procter_Gamble_Mastering_Global_Markets_Through_Innovation_Strategy_and_Consumer_Excellence</w:t>
        </w:r>
      </w:hyperlink>
      <w:r w:rsidRPr="00D447A6">
        <w:t xml:space="preserve"> </w:t>
      </w:r>
    </w:p>
    <w:p w14:paraId="252C7E12" w14:textId="25A931F8" w:rsidR="0019002A" w:rsidRPr="00646C96" w:rsidRDefault="0019002A" w:rsidP="00A54A7C">
      <w:pPr>
        <w:rPr>
          <w:highlight w:val="yellow"/>
        </w:rPr>
      </w:pPr>
      <w:r w:rsidRPr="00D447A6">
        <w:t xml:space="preserve">Heliyon, 2024. ‘Green process innovation, green product innovation, leverage, and corporate financial performance; evidence from system GMM’, </w:t>
      </w:r>
      <w:r w:rsidRPr="00D447A6">
        <w:rPr>
          <w:i/>
          <w:iCs/>
        </w:rPr>
        <w:t>Heliyon</w:t>
      </w:r>
      <w:r w:rsidRPr="00D447A6">
        <w:t xml:space="preserve">, 10(4), e25819. Available at: </w:t>
      </w:r>
      <w:hyperlink r:id="rId38" w:tgtFrame="_new" w:history="1">
        <w:r w:rsidRPr="00D447A6">
          <w:rPr>
            <w:rStyle w:val="Hyperlink"/>
          </w:rPr>
          <w:t>https://www.sciencedirect.com/science/article/pii/S2405844024018504</w:t>
        </w:r>
      </w:hyperlink>
    </w:p>
    <w:p w14:paraId="4E12518E" w14:textId="4417D266" w:rsidR="0019002A" w:rsidRPr="00D447A6" w:rsidRDefault="0019002A" w:rsidP="00A54A7C">
      <w:r w:rsidRPr="00D447A6">
        <w:t xml:space="preserve">Qing, C. &amp; Jin, S., 2023. ‘Does ESG and Digital Transformation Affect Corporate Sustainability? The Moderating Role of Green Innovation’, </w:t>
      </w:r>
      <w:r w:rsidRPr="00D447A6">
        <w:rPr>
          <w:i/>
          <w:iCs/>
        </w:rPr>
        <w:t>arXiv</w:t>
      </w:r>
      <w:r w:rsidRPr="00D447A6">
        <w:t xml:space="preserve">. Available at: </w:t>
      </w:r>
      <w:hyperlink r:id="rId39" w:tgtFrame="_new" w:history="1">
        <w:r w:rsidRPr="00D447A6">
          <w:rPr>
            <w:rStyle w:val="Hyperlink"/>
          </w:rPr>
          <w:t>https://arxiv.org/abs/2311.18351</w:t>
        </w:r>
      </w:hyperlink>
    </w:p>
    <w:p w14:paraId="15E8E22C" w14:textId="22395EA5" w:rsidR="00D447A6" w:rsidRDefault="008F5EFD" w:rsidP="00A54A7C">
      <w:r w:rsidRPr="00D447A6">
        <w:t xml:space="preserve">de Bruin, L. (2016) </w:t>
      </w:r>
      <w:r w:rsidRPr="00D447A6">
        <w:rPr>
          <w:i/>
          <w:iCs/>
        </w:rPr>
        <w:t>OLI: Choosing the Right Entry-Mode Strategy</w:t>
      </w:r>
      <w:r w:rsidRPr="00D447A6">
        <w:t xml:space="preserve">. Available at: </w:t>
      </w:r>
      <w:hyperlink r:id="rId40" w:tgtFrame="_new" w:history="1">
        <w:r w:rsidRPr="00D447A6">
          <w:rPr>
            <w:rStyle w:val="Hyperlink"/>
          </w:rPr>
          <w:t>https://www.business-to-you.com/choosing-the-right-entry-mode-strategy/</w:t>
        </w:r>
      </w:hyperlink>
    </w:p>
    <w:p w14:paraId="60616524" w14:textId="0E8B6D32" w:rsidR="00E55465" w:rsidRPr="00D447A6" w:rsidRDefault="00E55465" w:rsidP="00A54A7C">
      <w:r w:rsidRPr="00D447A6">
        <w:t xml:space="preserve">Schroedel, S., 2024. ‘Best Business Models for the Fast-Moving Consumer Goods Sector: Patterns for Innovation’, </w:t>
      </w:r>
      <w:r w:rsidRPr="00D447A6">
        <w:rPr>
          <w:i/>
          <w:iCs/>
        </w:rPr>
        <w:t>Sustainability</w:t>
      </w:r>
      <w:r w:rsidRPr="00D447A6">
        <w:t xml:space="preserve">, 16(9), 3787. Available at: </w:t>
      </w:r>
      <w:hyperlink r:id="rId41" w:tgtFrame="_new" w:history="1">
        <w:r w:rsidRPr="00D447A6">
          <w:rPr>
            <w:rStyle w:val="Hyperlink"/>
          </w:rPr>
          <w:t>https://www.mdpi.com/2071-1050/16/9/3787</w:t>
        </w:r>
      </w:hyperlink>
    </w:p>
    <w:p w14:paraId="74E80F76" w14:textId="78FEE40D" w:rsidR="003D09C6" w:rsidRPr="00DC7035" w:rsidRDefault="003D09C6" w:rsidP="00A54A7C">
      <w:r w:rsidRPr="00DC7035">
        <w:lastRenderedPageBreak/>
        <w:t xml:space="preserve">P&amp;G, 2024. </w:t>
      </w:r>
      <w:r w:rsidRPr="00DC7035">
        <w:rPr>
          <w:i/>
          <w:iCs/>
        </w:rPr>
        <w:t>2024 Annual Report</w:t>
      </w:r>
      <w:r w:rsidRPr="00DC7035">
        <w:t xml:space="preserve">. Available at: </w:t>
      </w:r>
      <w:hyperlink r:id="rId42" w:tgtFrame="_new" w:history="1">
        <w:r w:rsidRPr="00DC7035">
          <w:rPr>
            <w:rStyle w:val="Hyperlink"/>
          </w:rPr>
          <w:t>https://s204.q4cdn.com/332108499/files/doc_financials/2024/ar/2024_annual_report.pdf</w:t>
        </w:r>
      </w:hyperlink>
    </w:p>
    <w:p w14:paraId="7F237107" w14:textId="6A58187A" w:rsidR="00AC4A74" w:rsidRPr="00F634AA" w:rsidRDefault="00AC4A74" w:rsidP="00A54A7C">
      <w:r w:rsidRPr="00F634AA">
        <w:t xml:space="preserve">Dunning, J. H. &amp; Lundan, S. M. 2008, </w:t>
      </w:r>
      <w:r w:rsidRPr="00F634AA">
        <w:rPr>
          <w:i/>
          <w:iCs/>
        </w:rPr>
        <w:t>Multinational Enterprises and the Global Economy</w:t>
      </w:r>
      <w:r w:rsidRPr="00F634AA">
        <w:t xml:space="preserve">, 2nd edn, Edward Elgar, Cheltenham. Available at: </w:t>
      </w:r>
      <w:hyperlink r:id="rId43" w:tgtFrame="_new" w:history="1">
        <w:r w:rsidRPr="00F634AA">
          <w:rPr>
            <w:rStyle w:val="Hyperlink"/>
          </w:rPr>
          <w:t>https://repository.gctu.edu.gh/items/show/1224</w:t>
        </w:r>
      </w:hyperlink>
    </w:p>
    <w:p w14:paraId="593C2D45" w14:textId="7947D977" w:rsidR="009E19ED" w:rsidRPr="00F634AA" w:rsidRDefault="009E19ED" w:rsidP="00A54A7C">
      <w:r w:rsidRPr="00F634AA">
        <w:t xml:space="preserve">Hofstede, G., Hofstede, G.J. and Minkov, M. (2010) </w:t>
      </w:r>
      <w:r w:rsidRPr="00F634AA">
        <w:rPr>
          <w:i/>
          <w:iCs/>
        </w:rPr>
        <w:t>Cultures and organizations: Software of the mind</w:t>
      </w:r>
      <w:r w:rsidRPr="00F634AA">
        <w:t>. 3rd edn. New York: McGraw-Hill Education.</w:t>
      </w:r>
    </w:p>
    <w:p w14:paraId="246BCC26" w14:textId="2FB7D71B" w:rsidR="007B2098" w:rsidRPr="00F634AA" w:rsidRDefault="007B2098" w:rsidP="00A54A7C">
      <w:r w:rsidRPr="00F634AA">
        <w:t xml:space="preserve">De Mooij, M. (2021) </w:t>
      </w:r>
      <w:r w:rsidRPr="00F634AA">
        <w:rPr>
          <w:i/>
          <w:iCs/>
        </w:rPr>
        <w:t>Global Marketing and Advertising: Understanding Cultural Paradoxes</w:t>
      </w:r>
      <w:r w:rsidRPr="00F634AA">
        <w:t>. 6th edn. London: Sage.</w:t>
      </w:r>
    </w:p>
    <w:p w14:paraId="35D14B9F" w14:textId="2C3310E5" w:rsidR="007B2098" w:rsidRPr="00F634AA" w:rsidRDefault="007B2098" w:rsidP="00A54A7C">
      <w:r w:rsidRPr="00F634AA">
        <w:t xml:space="preserve">Financial Times (2023) ‘Why the UK remains attractive to multinational consumer goods firms. </w:t>
      </w:r>
      <w:r w:rsidRPr="00F634AA">
        <w:rPr>
          <w:i/>
          <w:iCs/>
        </w:rPr>
        <w:t>Financial Times</w:t>
      </w:r>
      <w:r w:rsidRPr="00F634AA">
        <w:t xml:space="preserve">. Available at: </w:t>
      </w:r>
      <w:hyperlink r:id="rId44" w:history="1">
        <w:r w:rsidRPr="00F634AA">
          <w:rPr>
            <w:rStyle w:val="Hyperlink"/>
          </w:rPr>
          <w:t>https://www.ft.com</w:t>
        </w:r>
      </w:hyperlink>
      <w:r w:rsidRPr="00F634AA">
        <w:t xml:space="preserve"> </w:t>
      </w:r>
    </w:p>
    <w:p w14:paraId="42BD7847" w14:textId="14B0067D" w:rsidR="007B2098" w:rsidRPr="00F634AA" w:rsidRDefault="00387833" w:rsidP="00A54A7C">
      <w:r w:rsidRPr="00F634AA">
        <w:t xml:space="preserve">Johnson, G., Scholes, K. and Whittington, R. (2020) </w:t>
      </w:r>
      <w:r w:rsidRPr="00F634AA">
        <w:rPr>
          <w:i/>
          <w:iCs/>
        </w:rPr>
        <w:t>Exploring strategy</w:t>
      </w:r>
      <w:r w:rsidRPr="00F634AA">
        <w:t xml:space="preserve">. 12th edn. Harlow: Pearson Education. Available at: </w:t>
      </w:r>
      <w:hyperlink r:id="rId45" w:history="1">
        <w:r w:rsidRPr="00F634AA">
          <w:rPr>
            <w:rStyle w:val="Hyperlink"/>
          </w:rPr>
          <w:t>https://www.pearson.com/en-gb/subject-catalog/p/exploring-strategy/P200000003263</w:t>
        </w:r>
      </w:hyperlink>
      <w:r w:rsidRPr="00F634AA">
        <w:t xml:space="preserve"> </w:t>
      </w:r>
    </w:p>
    <w:p w14:paraId="0B62C38E" w14:textId="18F6DEE4" w:rsidR="00387833" w:rsidRPr="00F634AA" w:rsidRDefault="00387833" w:rsidP="00A54A7C">
      <w:r w:rsidRPr="00F634AA">
        <w:t xml:space="preserve">Minkov, M. and Kaasa, A. (2021) ‘A test of Hofstede’s model of culture following the COVID-19 crisis’, </w:t>
      </w:r>
      <w:r w:rsidRPr="00F634AA">
        <w:rPr>
          <w:i/>
          <w:iCs/>
        </w:rPr>
        <w:t>Cross Cultural and Strategic Management</w:t>
      </w:r>
      <w:r w:rsidRPr="00F634AA">
        <w:t>, 28(4), pp. 731–752</w:t>
      </w:r>
    </w:p>
    <w:p w14:paraId="46C98FAD" w14:textId="724D049F" w:rsidR="00387833" w:rsidRPr="00F634AA" w:rsidRDefault="00387833" w:rsidP="00A54A7C">
      <w:r w:rsidRPr="00F634AA">
        <w:t xml:space="preserve">The Economist (2022) ‘Britain’s consumer market and the power of brands’. </w:t>
      </w:r>
      <w:r w:rsidRPr="00F634AA">
        <w:rPr>
          <w:i/>
          <w:iCs/>
        </w:rPr>
        <w:t>The Economist</w:t>
      </w:r>
      <w:r w:rsidRPr="00F634AA">
        <w:t xml:space="preserve">. Available at: </w:t>
      </w:r>
      <w:hyperlink r:id="rId46" w:history="1">
        <w:r w:rsidRPr="00F634AA">
          <w:rPr>
            <w:rStyle w:val="Hyperlink"/>
          </w:rPr>
          <w:t>https://www.economist.com/business</w:t>
        </w:r>
      </w:hyperlink>
      <w:r w:rsidRPr="00F634AA">
        <w:t xml:space="preserve"> </w:t>
      </w:r>
    </w:p>
    <w:p w14:paraId="0350F780" w14:textId="1C42FC8E" w:rsidR="00387833" w:rsidRPr="00F634AA" w:rsidRDefault="00387833" w:rsidP="00A54A7C">
      <w:r w:rsidRPr="00F634AA">
        <w:t xml:space="preserve">Wei, Z. and Nguyen, Q.T.K. (2017) ‘Subsidiary strategy of emerging market multinationals’, </w:t>
      </w:r>
      <w:r w:rsidRPr="00F634AA">
        <w:rPr>
          <w:i/>
          <w:iCs/>
        </w:rPr>
        <w:t>Journal of World Business</w:t>
      </w:r>
      <w:r w:rsidRPr="00F634AA">
        <w:t>, 52(2), pp. 247–257</w:t>
      </w:r>
    </w:p>
    <w:p w14:paraId="403EEC4A" w14:textId="25A97A4E" w:rsidR="00387833" w:rsidRPr="00844CFE" w:rsidRDefault="00387833" w:rsidP="00A54A7C">
      <w:r w:rsidRPr="00844CFE">
        <w:t xml:space="preserve">Zhang, Y. and Jiang, G. (2020) ‘Cultural distance and entry mode choice in emerging markets’, </w:t>
      </w:r>
      <w:r w:rsidRPr="00844CFE">
        <w:rPr>
          <w:i/>
          <w:iCs/>
        </w:rPr>
        <w:t>Asia Pacific Journal of Management</w:t>
      </w:r>
      <w:r w:rsidRPr="00844CFE">
        <w:t>, 37(4), pp. 1043–1066</w:t>
      </w:r>
    </w:p>
    <w:p w14:paraId="3A887556" w14:textId="49AD874C" w:rsidR="00963A26" w:rsidRPr="00844CFE" w:rsidRDefault="003C7385" w:rsidP="00A54A7C">
      <w:r w:rsidRPr="00844CFE">
        <w:t xml:space="preserve">Rugman, A. M. &amp; Collinson, S. 2012, </w:t>
      </w:r>
      <w:r w:rsidRPr="00844CFE">
        <w:rPr>
          <w:i/>
          <w:iCs/>
        </w:rPr>
        <w:t>International Business</w:t>
      </w:r>
      <w:r w:rsidRPr="00844CFE">
        <w:t>, 6th edn, Pearson, Harlow, England.</w:t>
      </w:r>
      <w:r w:rsidR="00963A26" w:rsidRPr="00646C96">
        <w:rPr>
          <w:highlight w:val="yellow"/>
        </w:rPr>
        <w:t xml:space="preserve"> </w:t>
      </w:r>
    </w:p>
    <w:p w14:paraId="5B4AA588" w14:textId="28735B36" w:rsidR="00EC287E" w:rsidRPr="00150510" w:rsidRDefault="00EC287E" w:rsidP="00EC287E">
      <w:pPr>
        <w:pStyle w:val="NormalWeb"/>
        <w:rPr>
          <w:rFonts w:ascii="Arial" w:hAnsi="Arial" w:cs="Arial"/>
        </w:rPr>
      </w:pPr>
      <w:r w:rsidRPr="00150510">
        <w:rPr>
          <w:rFonts w:ascii="Arial" w:hAnsi="Arial" w:cs="Arial"/>
        </w:rPr>
        <w:t xml:space="preserve">Kumar, V. and Steenkamp, J.-B.E.M. (2022) </w:t>
      </w:r>
      <w:r w:rsidRPr="00150510">
        <w:rPr>
          <w:rStyle w:val="Emphasis"/>
          <w:rFonts w:ascii="Arial" w:hAnsi="Arial" w:cs="Arial"/>
        </w:rPr>
        <w:t>Brand Breakthroughs in Emerging Markets</w:t>
      </w:r>
      <w:r w:rsidRPr="00150510">
        <w:rPr>
          <w:rFonts w:ascii="Arial" w:hAnsi="Arial" w:cs="Arial"/>
        </w:rPr>
        <w:t>. London: Routledge.</w:t>
      </w:r>
    </w:p>
    <w:p w14:paraId="06822219" w14:textId="428740EA" w:rsidR="0052144A" w:rsidRPr="00CF7B96" w:rsidRDefault="00C4388B" w:rsidP="00A54A7C">
      <w:r w:rsidRPr="00593BC3">
        <w:t xml:space="preserve">Peng, M.W. (2012) </w:t>
      </w:r>
      <w:r w:rsidRPr="00593BC3">
        <w:rPr>
          <w:i/>
          <w:iCs/>
        </w:rPr>
        <w:t>Global Strategy</w:t>
      </w:r>
      <w:r w:rsidRPr="00593BC3">
        <w:t>. 2nd edn. Boston: Cengage Learning.</w:t>
      </w:r>
      <w:r w:rsidR="00986626" w:rsidRPr="00CF7B96">
        <w:t xml:space="preserve"> </w:t>
      </w:r>
    </w:p>
    <w:p w14:paraId="44BFE9A8" w14:textId="0A30F091" w:rsidR="000E2345" w:rsidRPr="00CF7B96" w:rsidRDefault="000E2345" w:rsidP="00A54A7C">
      <w:r w:rsidRPr="00CF7B96">
        <w:lastRenderedPageBreak/>
        <w:t xml:space="preserve">Chopra, S. and Meindl, P., 2021. </w:t>
      </w:r>
      <w:r w:rsidRPr="00CF7B96">
        <w:rPr>
          <w:i/>
          <w:iCs/>
        </w:rPr>
        <w:t>Supply Chain Management: Strategy, Planning, and Operation</w:t>
      </w:r>
      <w:r w:rsidRPr="00CF7B96">
        <w:t xml:space="preserve">. 7th ed. </w:t>
      </w:r>
    </w:p>
    <w:p w14:paraId="45D84094" w14:textId="4FDC45A6" w:rsidR="000E2345" w:rsidRPr="00CF7B96" w:rsidRDefault="000E2345" w:rsidP="00A54A7C">
      <w:r w:rsidRPr="00CF7B96">
        <w:t xml:space="preserve">Gupta, S. and Wang, J., 2021. </w:t>
      </w:r>
      <w:r w:rsidRPr="00CF7B96">
        <w:rPr>
          <w:i/>
          <w:iCs/>
        </w:rPr>
        <w:t>Consumer Behavior and Product Adaptation in Emerging Markets</w:t>
      </w:r>
      <w:r w:rsidRPr="00CF7B96">
        <w:t xml:space="preserve">. Journal of International Marketing, 29(3), pp.35–51. </w:t>
      </w:r>
      <w:hyperlink r:id="rId47" w:history="1">
        <w:r w:rsidRPr="00CF7B96">
          <w:rPr>
            <w:rStyle w:val="Hyperlink"/>
          </w:rPr>
          <w:t>https://doi.org/10.1177/1069031X211006789</w:t>
        </w:r>
      </w:hyperlink>
      <w:r w:rsidRPr="00CF7B96">
        <w:t xml:space="preserve"> </w:t>
      </w:r>
    </w:p>
    <w:p w14:paraId="61AD4070" w14:textId="18E1F7EC" w:rsidR="000E2345" w:rsidRPr="00CF7B96" w:rsidRDefault="000E2345" w:rsidP="00A54A7C">
      <w:r w:rsidRPr="00CF7B96">
        <w:t xml:space="preserve">Hofstede, G., 2011. </w:t>
      </w:r>
      <w:r w:rsidRPr="00CF7B96">
        <w:rPr>
          <w:i/>
          <w:iCs/>
        </w:rPr>
        <w:t>Dimensionalizing Cultures: The Hofstede Model in Context</w:t>
      </w:r>
      <w:r w:rsidRPr="00CF7B96">
        <w:t xml:space="preserve">. Online Readings in Psychology and Culture, 2(1), pp.8–26. </w:t>
      </w:r>
      <w:hyperlink r:id="rId48" w:tgtFrame="_new" w:history="1">
        <w:r w:rsidRPr="00CF7B96">
          <w:rPr>
            <w:rStyle w:val="Hyperlink"/>
          </w:rPr>
          <w:t>https://doi.org/10.9707/2307-0919.1014</w:t>
        </w:r>
      </w:hyperlink>
    </w:p>
    <w:p w14:paraId="53FF3C6D" w14:textId="33F82A66" w:rsidR="000E2345" w:rsidRPr="007C5FC0" w:rsidRDefault="000E2345" w:rsidP="00A54A7C">
      <w:r w:rsidRPr="007C5FC0">
        <w:t xml:space="preserve">Kumar, R. and Saini, P., 2022. </w:t>
      </w:r>
      <w:r w:rsidRPr="007C5FC0">
        <w:rPr>
          <w:i/>
          <w:iCs/>
        </w:rPr>
        <w:t>Supply Chain Challenges in Emerging Economies: Case Studies from India</w:t>
      </w:r>
      <w:r w:rsidRPr="007C5FC0">
        <w:t xml:space="preserve">. International Journal of Logistics Research and Applications, 25(4), pp.289–307. </w:t>
      </w:r>
      <w:hyperlink r:id="rId49" w:history="1">
        <w:r w:rsidRPr="007C5FC0">
          <w:rPr>
            <w:rStyle w:val="Hyperlink"/>
          </w:rPr>
          <w:t>https://doi.org/10.1080/13675567.2021.1890935</w:t>
        </w:r>
      </w:hyperlink>
      <w:r w:rsidRPr="007C5FC0">
        <w:t xml:space="preserve"> </w:t>
      </w:r>
    </w:p>
    <w:p w14:paraId="4EDB8E5C" w14:textId="2001A228" w:rsidR="00714D28" w:rsidRPr="00C9575A" w:rsidRDefault="00714D28" w:rsidP="00A54A7C">
      <w:r w:rsidRPr="007C5FC0">
        <w:t xml:space="preserve">Meyer, K. and Skak, A., 2020. </w:t>
      </w:r>
      <w:r w:rsidRPr="007C5FC0">
        <w:rPr>
          <w:i/>
          <w:iCs/>
        </w:rPr>
        <w:t xml:space="preserve">Managing Human Resources Across Cultures in </w:t>
      </w:r>
      <w:r w:rsidRPr="00C9575A">
        <w:rPr>
          <w:i/>
          <w:iCs/>
        </w:rPr>
        <w:t>Emerging Markets</w:t>
      </w:r>
      <w:r w:rsidRPr="00C9575A">
        <w:t>. Journal of World Business.</w:t>
      </w:r>
    </w:p>
    <w:p w14:paraId="4C7434E4" w14:textId="15B57FCD" w:rsidR="000E2345" w:rsidRPr="00C9575A" w:rsidRDefault="000E2345" w:rsidP="00A54A7C">
      <w:r w:rsidRPr="00C9575A">
        <w:t xml:space="preserve">Ramaswamy, V. and Gouillart, F., 2019. </w:t>
      </w:r>
      <w:r w:rsidRPr="00C9575A">
        <w:rPr>
          <w:i/>
          <w:iCs/>
        </w:rPr>
        <w:t>The Power of Co-Creation: Build It with Them to Boost Growth, Productivity, and Profits</w:t>
      </w:r>
      <w:r w:rsidRPr="00C9575A">
        <w:t>. New York: Free Press.</w:t>
      </w:r>
    </w:p>
    <w:p w14:paraId="6F654866" w14:textId="006DC17D" w:rsidR="00B3679A" w:rsidRPr="00C9575A" w:rsidRDefault="00B3679A" w:rsidP="00A54A7C">
      <w:pPr>
        <w:rPr>
          <w:i/>
          <w:iCs/>
        </w:rPr>
      </w:pPr>
      <w:r w:rsidRPr="00C9575A">
        <w:t xml:space="preserve">SproutOut Solutions (2025) </w:t>
      </w:r>
      <w:r w:rsidRPr="00C9575A">
        <w:rPr>
          <w:i/>
          <w:iCs/>
        </w:rPr>
        <w:t>UK vs. India: Cultural Differences Marketers Must Understand to Succeed</w:t>
      </w:r>
    </w:p>
    <w:p w14:paraId="6C6DE54C" w14:textId="52EA4605" w:rsidR="0082629F" w:rsidRDefault="0082629F" w:rsidP="00A54A7C">
      <w:r w:rsidRPr="00C9575A">
        <w:t xml:space="preserve">Hofstede Cultural Dimensions and UK–India comparison (2025) </w:t>
      </w:r>
      <w:r w:rsidRPr="00C9575A">
        <w:rPr>
          <w:i/>
          <w:iCs/>
        </w:rPr>
        <w:t>General Cultural Differences Between UK and India Marketing</w:t>
      </w:r>
    </w:p>
    <w:p w14:paraId="396457B2" w14:textId="77777777" w:rsidR="000E2345" w:rsidRDefault="000E2345" w:rsidP="00A54A7C"/>
    <w:p w14:paraId="26F117F6" w14:textId="77777777" w:rsidR="000E2345" w:rsidRDefault="000E2345" w:rsidP="00A54A7C"/>
    <w:p w14:paraId="4B800F86" w14:textId="77777777" w:rsidR="00AC4A74" w:rsidRPr="00A54A7C" w:rsidRDefault="00AC4A74" w:rsidP="00A54A7C"/>
    <w:sectPr w:rsidR="00AC4A74" w:rsidRPr="00A54A7C" w:rsidSect="008B1F79">
      <w:footerReference w:type="default" r:id="rId5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99249D" w14:textId="77777777" w:rsidR="00CA74DA" w:rsidRPr="00D73FA2" w:rsidRDefault="00CA74DA" w:rsidP="008B1F79">
      <w:pPr>
        <w:spacing w:before="0" w:after="0" w:line="240" w:lineRule="auto"/>
      </w:pPr>
      <w:r w:rsidRPr="00D73FA2">
        <w:separator/>
      </w:r>
    </w:p>
  </w:endnote>
  <w:endnote w:type="continuationSeparator" w:id="0">
    <w:p w14:paraId="69F75EC5" w14:textId="77777777" w:rsidR="00CA74DA" w:rsidRPr="00D73FA2" w:rsidRDefault="00CA74DA" w:rsidP="008B1F79">
      <w:pPr>
        <w:spacing w:before="0" w:after="0" w:line="240" w:lineRule="auto"/>
      </w:pPr>
      <w:r w:rsidRPr="00D73FA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12004525"/>
      <w:docPartObj>
        <w:docPartGallery w:val="Page Numbers (Bottom of Page)"/>
        <w:docPartUnique/>
      </w:docPartObj>
    </w:sdtPr>
    <w:sdtContent>
      <w:p w14:paraId="6F2E24DF" w14:textId="0FE6187D" w:rsidR="008B1F79" w:rsidRPr="00D73FA2" w:rsidRDefault="008B1F79">
        <w:pPr>
          <w:pStyle w:val="Footer"/>
          <w:jc w:val="center"/>
        </w:pPr>
        <w:r w:rsidRPr="00D73FA2">
          <w:fldChar w:fldCharType="begin"/>
        </w:r>
        <w:r w:rsidRPr="00D73FA2">
          <w:instrText xml:space="preserve"> PAGE   \* MERGEFORMAT </w:instrText>
        </w:r>
        <w:r w:rsidRPr="00D73FA2">
          <w:fldChar w:fldCharType="separate"/>
        </w:r>
        <w:r w:rsidRPr="00D73FA2">
          <w:t>2</w:t>
        </w:r>
        <w:r w:rsidRPr="00D73FA2">
          <w:fldChar w:fldCharType="end"/>
        </w:r>
      </w:p>
    </w:sdtContent>
  </w:sdt>
  <w:p w14:paraId="2D652B36" w14:textId="77777777" w:rsidR="008B1F79" w:rsidRPr="00D73FA2" w:rsidRDefault="008B1F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15B41A" w14:textId="77777777" w:rsidR="00CA74DA" w:rsidRPr="00D73FA2" w:rsidRDefault="00CA74DA" w:rsidP="008B1F79">
      <w:pPr>
        <w:spacing w:before="0" w:after="0" w:line="240" w:lineRule="auto"/>
      </w:pPr>
      <w:r w:rsidRPr="00D73FA2">
        <w:separator/>
      </w:r>
    </w:p>
  </w:footnote>
  <w:footnote w:type="continuationSeparator" w:id="0">
    <w:p w14:paraId="599B0305" w14:textId="77777777" w:rsidR="00CA74DA" w:rsidRPr="00D73FA2" w:rsidRDefault="00CA74DA" w:rsidP="008B1F79">
      <w:pPr>
        <w:spacing w:before="0" w:after="0" w:line="240" w:lineRule="auto"/>
      </w:pPr>
      <w:r w:rsidRPr="00D73FA2">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B4B01"/>
    <w:multiLevelType w:val="multilevel"/>
    <w:tmpl w:val="58C04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2F6057"/>
    <w:multiLevelType w:val="multilevel"/>
    <w:tmpl w:val="50787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736AD0"/>
    <w:multiLevelType w:val="multilevel"/>
    <w:tmpl w:val="D8860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AD22BA"/>
    <w:multiLevelType w:val="multilevel"/>
    <w:tmpl w:val="DEB0A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DD2045"/>
    <w:multiLevelType w:val="hybridMultilevel"/>
    <w:tmpl w:val="7E3676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6A53E16"/>
    <w:multiLevelType w:val="hybridMultilevel"/>
    <w:tmpl w:val="61509A6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6EE4576"/>
    <w:multiLevelType w:val="multilevel"/>
    <w:tmpl w:val="EE76D0DE"/>
    <w:lvl w:ilvl="0">
      <w:start w:val="1"/>
      <w:numFmt w:val="decimal"/>
      <w:lvlText w:val="%1"/>
      <w:lvlJc w:val="left"/>
      <w:pPr>
        <w:ind w:left="465" w:hanging="465"/>
      </w:pPr>
      <w:rPr>
        <w:rFonts w:hint="default"/>
      </w:rPr>
    </w:lvl>
    <w:lvl w:ilvl="1">
      <w:start w:val="1"/>
      <w:numFmt w:val="decimal"/>
      <w:lvlText w:val="%1.%2"/>
      <w:lvlJc w:val="left"/>
      <w:pPr>
        <w:ind w:left="465" w:hanging="46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27731E4C"/>
    <w:multiLevelType w:val="multilevel"/>
    <w:tmpl w:val="205834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D140377"/>
    <w:multiLevelType w:val="hybridMultilevel"/>
    <w:tmpl w:val="534AD7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D6D614A"/>
    <w:multiLevelType w:val="multilevel"/>
    <w:tmpl w:val="5F84A55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47532E1"/>
    <w:multiLevelType w:val="hybridMultilevel"/>
    <w:tmpl w:val="49246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B1740E"/>
    <w:multiLevelType w:val="multilevel"/>
    <w:tmpl w:val="11C06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1C01874"/>
    <w:multiLevelType w:val="hybridMultilevel"/>
    <w:tmpl w:val="AE56CB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48A3713"/>
    <w:multiLevelType w:val="hybridMultilevel"/>
    <w:tmpl w:val="AFDC2C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7A410F3"/>
    <w:multiLevelType w:val="multilevel"/>
    <w:tmpl w:val="F9865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BC86B8A"/>
    <w:multiLevelType w:val="multilevel"/>
    <w:tmpl w:val="98126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E6A7225"/>
    <w:multiLevelType w:val="multilevel"/>
    <w:tmpl w:val="9586D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04C337D"/>
    <w:multiLevelType w:val="multilevel"/>
    <w:tmpl w:val="0EECC0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8837079"/>
    <w:multiLevelType w:val="multilevel"/>
    <w:tmpl w:val="4134D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8917936"/>
    <w:multiLevelType w:val="multilevel"/>
    <w:tmpl w:val="C6C4E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390622E"/>
    <w:multiLevelType w:val="hybridMultilevel"/>
    <w:tmpl w:val="AD042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51523AB"/>
    <w:multiLevelType w:val="hybridMultilevel"/>
    <w:tmpl w:val="A9409F6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90A0330"/>
    <w:multiLevelType w:val="multilevel"/>
    <w:tmpl w:val="C930F3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353"/>
        </w:tabs>
        <w:ind w:left="1353"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B975567"/>
    <w:multiLevelType w:val="multilevel"/>
    <w:tmpl w:val="156C13F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D5B1938"/>
    <w:multiLevelType w:val="hybridMultilevel"/>
    <w:tmpl w:val="E11A5A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E713CEE"/>
    <w:multiLevelType w:val="multilevel"/>
    <w:tmpl w:val="4BA45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F002494"/>
    <w:multiLevelType w:val="multilevel"/>
    <w:tmpl w:val="1710FE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6085A7F"/>
    <w:multiLevelType w:val="multilevel"/>
    <w:tmpl w:val="E69EE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69A335A"/>
    <w:multiLevelType w:val="hybridMultilevel"/>
    <w:tmpl w:val="8EEC8C6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7B3201CF"/>
    <w:multiLevelType w:val="hybridMultilevel"/>
    <w:tmpl w:val="47F4B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8527600">
    <w:abstractNumId w:val="7"/>
  </w:num>
  <w:num w:numId="2" w16cid:durableId="966158073">
    <w:abstractNumId w:val="9"/>
  </w:num>
  <w:num w:numId="3" w16cid:durableId="877475478">
    <w:abstractNumId w:val="21"/>
  </w:num>
  <w:num w:numId="4" w16cid:durableId="1865439684">
    <w:abstractNumId w:val="22"/>
  </w:num>
  <w:num w:numId="5" w16cid:durableId="296037109">
    <w:abstractNumId w:val="25"/>
  </w:num>
  <w:num w:numId="6" w16cid:durableId="1857650049">
    <w:abstractNumId w:val="11"/>
  </w:num>
  <w:num w:numId="7" w16cid:durableId="1295714836">
    <w:abstractNumId w:val="0"/>
  </w:num>
  <w:num w:numId="8" w16cid:durableId="1104423434">
    <w:abstractNumId w:val="14"/>
  </w:num>
  <w:num w:numId="9" w16cid:durableId="785196607">
    <w:abstractNumId w:val="27"/>
  </w:num>
  <w:num w:numId="10" w16cid:durableId="1805731991">
    <w:abstractNumId w:val="26"/>
  </w:num>
  <w:num w:numId="11" w16cid:durableId="508838147">
    <w:abstractNumId w:val="2"/>
  </w:num>
  <w:num w:numId="12" w16cid:durableId="477303180">
    <w:abstractNumId w:val="19"/>
  </w:num>
  <w:num w:numId="13" w16cid:durableId="1043408458">
    <w:abstractNumId w:val="17"/>
  </w:num>
  <w:num w:numId="14" w16cid:durableId="453400969">
    <w:abstractNumId w:val="1"/>
  </w:num>
  <w:num w:numId="15" w16cid:durableId="1524706236">
    <w:abstractNumId w:val="29"/>
  </w:num>
  <w:num w:numId="16" w16cid:durableId="1474368624">
    <w:abstractNumId w:val="12"/>
  </w:num>
  <w:num w:numId="17" w16cid:durableId="1082482068">
    <w:abstractNumId w:val="10"/>
  </w:num>
  <w:num w:numId="18" w16cid:durableId="356203542">
    <w:abstractNumId w:val="20"/>
  </w:num>
  <w:num w:numId="19" w16cid:durableId="779763825">
    <w:abstractNumId w:val="6"/>
  </w:num>
  <w:num w:numId="20" w16cid:durableId="561140762">
    <w:abstractNumId w:val="4"/>
  </w:num>
  <w:num w:numId="21" w16cid:durableId="1268660295">
    <w:abstractNumId w:val="8"/>
  </w:num>
  <w:num w:numId="22" w16cid:durableId="626620255">
    <w:abstractNumId w:val="23"/>
  </w:num>
  <w:num w:numId="23" w16cid:durableId="2089110116">
    <w:abstractNumId w:val="15"/>
  </w:num>
  <w:num w:numId="24" w16cid:durableId="735006783">
    <w:abstractNumId w:val="18"/>
  </w:num>
  <w:num w:numId="25" w16cid:durableId="848983932">
    <w:abstractNumId w:val="16"/>
  </w:num>
  <w:num w:numId="26" w16cid:durableId="981468078">
    <w:abstractNumId w:val="3"/>
  </w:num>
  <w:num w:numId="27" w16cid:durableId="473647907">
    <w:abstractNumId w:val="28"/>
  </w:num>
  <w:num w:numId="28" w16cid:durableId="1757438286">
    <w:abstractNumId w:val="13"/>
  </w:num>
  <w:num w:numId="29" w16cid:durableId="1332299129">
    <w:abstractNumId w:val="24"/>
  </w:num>
  <w:num w:numId="30" w16cid:durableId="1894020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406"/>
    <w:rsid w:val="00002F53"/>
    <w:rsid w:val="00006F03"/>
    <w:rsid w:val="00020350"/>
    <w:rsid w:val="0002666C"/>
    <w:rsid w:val="00026760"/>
    <w:rsid w:val="00030B02"/>
    <w:rsid w:val="00031D5E"/>
    <w:rsid w:val="00037BC8"/>
    <w:rsid w:val="0005121F"/>
    <w:rsid w:val="000537F9"/>
    <w:rsid w:val="000549D0"/>
    <w:rsid w:val="00054A68"/>
    <w:rsid w:val="0005560F"/>
    <w:rsid w:val="00061163"/>
    <w:rsid w:val="00063F90"/>
    <w:rsid w:val="0007034B"/>
    <w:rsid w:val="00071164"/>
    <w:rsid w:val="00074E8A"/>
    <w:rsid w:val="00080072"/>
    <w:rsid w:val="00080522"/>
    <w:rsid w:val="00083A25"/>
    <w:rsid w:val="00086AC1"/>
    <w:rsid w:val="00092BF9"/>
    <w:rsid w:val="000A0171"/>
    <w:rsid w:val="000A430B"/>
    <w:rsid w:val="000B2DEC"/>
    <w:rsid w:val="000B7AF3"/>
    <w:rsid w:val="000C7B0D"/>
    <w:rsid w:val="000D05D9"/>
    <w:rsid w:val="000D5A3A"/>
    <w:rsid w:val="000E2345"/>
    <w:rsid w:val="000E308F"/>
    <w:rsid w:val="000F6E22"/>
    <w:rsid w:val="001003E8"/>
    <w:rsid w:val="001009D0"/>
    <w:rsid w:val="00103DE2"/>
    <w:rsid w:val="0010481D"/>
    <w:rsid w:val="00106D95"/>
    <w:rsid w:val="001129F5"/>
    <w:rsid w:val="001156FD"/>
    <w:rsid w:val="001213A5"/>
    <w:rsid w:val="00125352"/>
    <w:rsid w:val="00125761"/>
    <w:rsid w:val="001306D5"/>
    <w:rsid w:val="0013101C"/>
    <w:rsid w:val="00131C34"/>
    <w:rsid w:val="00134611"/>
    <w:rsid w:val="00136289"/>
    <w:rsid w:val="0014261A"/>
    <w:rsid w:val="00150510"/>
    <w:rsid w:val="001648BA"/>
    <w:rsid w:val="00166B9E"/>
    <w:rsid w:val="001700EF"/>
    <w:rsid w:val="0018260A"/>
    <w:rsid w:val="001846FB"/>
    <w:rsid w:val="00185B20"/>
    <w:rsid w:val="0019002A"/>
    <w:rsid w:val="001912EA"/>
    <w:rsid w:val="00195A35"/>
    <w:rsid w:val="001A2FAC"/>
    <w:rsid w:val="001C0391"/>
    <w:rsid w:val="001C544A"/>
    <w:rsid w:val="001D0DD3"/>
    <w:rsid w:val="001D2A03"/>
    <w:rsid w:val="001E2B6D"/>
    <w:rsid w:val="001F0589"/>
    <w:rsid w:val="001F0C7D"/>
    <w:rsid w:val="001F2298"/>
    <w:rsid w:val="001F287C"/>
    <w:rsid w:val="001F293D"/>
    <w:rsid w:val="001F7792"/>
    <w:rsid w:val="00200139"/>
    <w:rsid w:val="00204BD9"/>
    <w:rsid w:val="00205CF4"/>
    <w:rsid w:val="00212471"/>
    <w:rsid w:val="002140F4"/>
    <w:rsid w:val="002171F2"/>
    <w:rsid w:val="0023486C"/>
    <w:rsid w:val="0023488B"/>
    <w:rsid w:val="00237371"/>
    <w:rsid w:val="002375B0"/>
    <w:rsid w:val="002379A8"/>
    <w:rsid w:val="00244E87"/>
    <w:rsid w:val="0025062F"/>
    <w:rsid w:val="00260806"/>
    <w:rsid w:val="00264021"/>
    <w:rsid w:val="00264AA8"/>
    <w:rsid w:val="00265B02"/>
    <w:rsid w:val="00266262"/>
    <w:rsid w:val="0027168E"/>
    <w:rsid w:val="00274968"/>
    <w:rsid w:val="0028019C"/>
    <w:rsid w:val="002812EA"/>
    <w:rsid w:val="00285716"/>
    <w:rsid w:val="00286C2F"/>
    <w:rsid w:val="00287D0A"/>
    <w:rsid w:val="00287E1C"/>
    <w:rsid w:val="00293B4C"/>
    <w:rsid w:val="002A1FBB"/>
    <w:rsid w:val="002A6E2A"/>
    <w:rsid w:val="002B0360"/>
    <w:rsid w:val="002B566B"/>
    <w:rsid w:val="002B5D97"/>
    <w:rsid w:val="002C037A"/>
    <w:rsid w:val="002C2AD5"/>
    <w:rsid w:val="002D07DC"/>
    <w:rsid w:val="002D127E"/>
    <w:rsid w:val="002D1454"/>
    <w:rsid w:val="002D236E"/>
    <w:rsid w:val="002D26AE"/>
    <w:rsid w:val="002D5EF1"/>
    <w:rsid w:val="002E42AC"/>
    <w:rsid w:val="002F1C37"/>
    <w:rsid w:val="002F3CAD"/>
    <w:rsid w:val="002F42B9"/>
    <w:rsid w:val="002F4E17"/>
    <w:rsid w:val="002F5555"/>
    <w:rsid w:val="0030377E"/>
    <w:rsid w:val="00303B4C"/>
    <w:rsid w:val="0030402D"/>
    <w:rsid w:val="00313DE7"/>
    <w:rsid w:val="00325E0E"/>
    <w:rsid w:val="00332BB2"/>
    <w:rsid w:val="0033496B"/>
    <w:rsid w:val="00334F40"/>
    <w:rsid w:val="00335578"/>
    <w:rsid w:val="003361C8"/>
    <w:rsid w:val="003459D8"/>
    <w:rsid w:val="00345FF5"/>
    <w:rsid w:val="00355110"/>
    <w:rsid w:val="00362847"/>
    <w:rsid w:val="003717E0"/>
    <w:rsid w:val="00371D7F"/>
    <w:rsid w:val="00377C02"/>
    <w:rsid w:val="00381ABF"/>
    <w:rsid w:val="00383334"/>
    <w:rsid w:val="0038547E"/>
    <w:rsid w:val="00387833"/>
    <w:rsid w:val="003A15BA"/>
    <w:rsid w:val="003A2FCB"/>
    <w:rsid w:val="003A6BD4"/>
    <w:rsid w:val="003B57B8"/>
    <w:rsid w:val="003B6579"/>
    <w:rsid w:val="003C07D7"/>
    <w:rsid w:val="003C14CF"/>
    <w:rsid w:val="003C5D87"/>
    <w:rsid w:val="003C7385"/>
    <w:rsid w:val="003D0778"/>
    <w:rsid w:val="003D09C6"/>
    <w:rsid w:val="003D6554"/>
    <w:rsid w:val="003D7ED6"/>
    <w:rsid w:val="003E70D5"/>
    <w:rsid w:val="00402E35"/>
    <w:rsid w:val="00405E07"/>
    <w:rsid w:val="004060BA"/>
    <w:rsid w:val="00412736"/>
    <w:rsid w:val="004129D9"/>
    <w:rsid w:val="004129EE"/>
    <w:rsid w:val="00412DBE"/>
    <w:rsid w:val="00426A60"/>
    <w:rsid w:val="00431213"/>
    <w:rsid w:val="004331D0"/>
    <w:rsid w:val="00436AF3"/>
    <w:rsid w:val="00441869"/>
    <w:rsid w:val="00455478"/>
    <w:rsid w:val="00462657"/>
    <w:rsid w:val="00482132"/>
    <w:rsid w:val="00483EDC"/>
    <w:rsid w:val="004871E8"/>
    <w:rsid w:val="00491980"/>
    <w:rsid w:val="00491DFD"/>
    <w:rsid w:val="00492ED6"/>
    <w:rsid w:val="00494630"/>
    <w:rsid w:val="00496422"/>
    <w:rsid w:val="004A0A93"/>
    <w:rsid w:val="004A437B"/>
    <w:rsid w:val="004A753E"/>
    <w:rsid w:val="004B1727"/>
    <w:rsid w:val="004B2499"/>
    <w:rsid w:val="004B2C40"/>
    <w:rsid w:val="004B3131"/>
    <w:rsid w:val="004B5FDB"/>
    <w:rsid w:val="004D56BF"/>
    <w:rsid w:val="004E40DC"/>
    <w:rsid w:val="004E49A6"/>
    <w:rsid w:val="004F2663"/>
    <w:rsid w:val="004F3E71"/>
    <w:rsid w:val="004F732D"/>
    <w:rsid w:val="004F7EFD"/>
    <w:rsid w:val="005009A3"/>
    <w:rsid w:val="005060BB"/>
    <w:rsid w:val="0052141D"/>
    <w:rsid w:val="0052144A"/>
    <w:rsid w:val="005217E7"/>
    <w:rsid w:val="00522E6A"/>
    <w:rsid w:val="00533053"/>
    <w:rsid w:val="005360FF"/>
    <w:rsid w:val="00540E22"/>
    <w:rsid w:val="00547E4B"/>
    <w:rsid w:val="00555F97"/>
    <w:rsid w:val="005569BE"/>
    <w:rsid w:val="00557033"/>
    <w:rsid w:val="00557531"/>
    <w:rsid w:val="00560AB5"/>
    <w:rsid w:val="00563D53"/>
    <w:rsid w:val="005700F4"/>
    <w:rsid w:val="00577C1B"/>
    <w:rsid w:val="00582BD1"/>
    <w:rsid w:val="00586A3F"/>
    <w:rsid w:val="005877E5"/>
    <w:rsid w:val="005913C1"/>
    <w:rsid w:val="00593BC3"/>
    <w:rsid w:val="005A1356"/>
    <w:rsid w:val="005A570C"/>
    <w:rsid w:val="005A5CC6"/>
    <w:rsid w:val="005B27B0"/>
    <w:rsid w:val="005C357B"/>
    <w:rsid w:val="005D2FD6"/>
    <w:rsid w:val="005D30D9"/>
    <w:rsid w:val="005E2CCD"/>
    <w:rsid w:val="005F36F3"/>
    <w:rsid w:val="00604537"/>
    <w:rsid w:val="0061758F"/>
    <w:rsid w:val="00617CF1"/>
    <w:rsid w:val="00626B4E"/>
    <w:rsid w:val="00630DC9"/>
    <w:rsid w:val="00632F08"/>
    <w:rsid w:val="006347A3"/>
    <w:rsid w:val="00642555"/>
    <w:rsid w:val="006434D1"/>
    <w:rsid w:val="00646406"/>
    <w:rsid w:val="00646C96"/>
    <w:rsid w:val="006536B9"/>
    <w:rsid w:val="006540D9"/>
    <w:rsid w:val="00657006"/>
    <w:rsid w:val="00660E10"/>
    <w:rsid w:val="00664A78"/>
    <w:rsid w:val="00672454"/>
    <w:rsid w:val="0068103F"/>
    <w:rsid w:val="00683CFA"/>
    <w:rsid w:val="00683FBE"/>
    <w:rsid w:val="00684944"/>
    <w:rsid w:val="00687652"/>
    <w:rsid w:val="00690B82"/>
    <w:rsid w:val="0069116B"/>
    <w:rsid w:val="006915A1"/>
    <w:rsid w:val="00696F22"/>
    <w:rsid w:val="006A2324"/>
    <w:rsid w:val="006A4BF0"/>
    <w:rsid w:val="006A4F09"/>
    <w:rsid w:val="006A72F5"/>
    <w:rsid w:val="006B0A46"/>
    <w:rsid w:val="006B701B"/>
    <w:rsid w:val="006C1CD7"/>
    <w:rsid w:val="006C2630"/>
    <w:rsid w:val="006C3548"/>
    <w:rsid w:val="006C3AFF"/>
    <w:rsid w:val="006C44B4"/>
    <w:rsid w:val="006C45C4"/>
    <w:rsid w:val="006C59E4"/>
    <w:rsid w:val="006C5A2D"/>
    <w:rsid w:val="006C5A5A"/>
    <w:rsid w:val="006D28CB"/>
    <w:rsid w:val="006D3A2F"/>
    <w:rsid w:val="006D4808"/>
    <w:rsid w:val="006D6095"/>
    <w:rsid w:val="006E0C6A"/>
    <w:rsid w:val="006E66CE"/>
    <w:rsid w:val="006E675C"/>
    <w:rsid w:val="006F0AF4"/>
    <w:rsid w:val="006F7361"/>
    <w:rsid w:val="00703166"/>
    <w:rsid w:val="00705EC2"/>
    <w:rsid w:val="00707828"/>
    <w:rsid w:val="007107ED"/>
    <w:rsid w:val="0071292F"/>
    <w:rsid w:val="00712D74"/>
    <w:rsid w:val="00712F1F"/>
    <w:rsid w:val="00714D28"/>
    <w:rsid w:val="00716738"/>
    <w:rsid w:val="007168B3"/>
    <w:rsid w:val="0072270E"/>
    <w:rsid w:val="00731BF3"/>
    <w:rsid w:val="00736556"/>
    <w:rsid w:val="0073681E"/>
    <w:rsid w:val="00736EFA"/>
    <w:rsid w:val="00741D1F"/>
    <w:rsid w:val="00743CDC"/>
    <w:rsid w:val="00746C2E"/>
    <w:rsid w:val="007534FE"/>
    <w:rsid w:val="00756BA7"/>
    <w:rsid w:val="00762A3A"/>
    <w:rsid w:val="0077257A"/>
    <w:rsid w:val="00775605"/>
    <w:rsid w:val="007763D3"/>
    <w:rsid w:val="00786CA4"/>
    <w:rsid w:val="0079036B"/>
    <w:rsid w:val="007A3237"/>
    <w:rsid w:val="007B2098"/>
    <w:rsid w:val="007B3783"/>
    <w:rsid w:val="007B534A"/>
    <w:rsid w:val="007B58FA"/>
    <w:rsid w:val="007B7FB7"/>
    <w:rsid w:val="007C1B02"/>
    <w:rsid w:val="007C520A"/>
    <w:rsid w:val="007C5FC0"/>
    <w:rsid w:val="007C730B"/>
    <w:rsid w:val="007D49E4"/>
    <w:rsid w:val="007D658D"/>
    <w:rsid w:val="007E06E1"/>
    <w:rsid w:val="007F1E90"/>
    <w:rsid w:val="007F36F5"/>
    <w:rsid w:val="008013FD"/>
    <w:rsid w:val="00801811"/>
    <w:rsid w:val="00805288"/>
    <w:rsid w:val="008053BB"/>
    <w:rsid w:val="00812A17"/>
    <w:rsid w:val="008150AE"/>
    <w:rsid w:val="008251EA"/>
    <w:rsid w:val="00825906"/>
    <w:rsid w:val="0082629F"/>
    <w:rsid w:val="00831EA3"/>
    <w:rsid w:val="008328E1"/>
    <w:rsid w:val="00836058"/>
    <w:rsid w:val="00836909"/>
    <w:rsid w:val="00842787"/>
    <w:rsid w:val="0084489B"/>
    <w:rsid w:val="00844CFE"/>
    <w:rsid w:val="008478E2"/>
    <w:rsid w:val="008510C4"/>
    <w:rsid w:val="00852956"/>
    <w:rsid w:val="008545DF"/>
    <w:rsid w:val="0086099D"/>
    <w:rsid w:val="00863A59"/>
    <w:rsid w:val="00865341"/>
    <w:rsid w:val="00867A71"/>
    <w:rsid w:val="008728C1"/>
    <w:rsid w:val="0087401A"/>
    <w:rsid w:val="00874203"/>
    <w:rsid w:val="00874497"/>
    <w:rsid w:val="00881E0E"/>
    <w:rsid w:val="0089171F"/>
    <w:rsid w:val="00892D6C"/>
    <w:rsid w:val="00896456"/>
    <w:rsid w:val="0089791C"/>
    <w:rsid w:val="008A0E34"/>
    <w:rsid w:val="008A1C8E"/>
    <w:rsid w:val="008A1E13"/>
    <w:rsid w:val="008A2060"/>
    <w:rsid w:val="008A3FC1"/>
    <w:rsid w:val="008B1F79"/>
    <w:rsid w:val="008B3DF6"/>
    <w:rsid w:val="008B4E2D"/>
    <w:rsid w:val="008B5833"/>
    <w:rsid w:val="008B7C52"/>
    <w:rsid w:val="008C0453"/>
    <w:rsid w:val="008C2428"/>
    <w:rsid w:val="008C269A"/>
    <w:rsid w:val="008C7FB9"/>
    <w:rsid w:val="008D2B2B"/>
    <w:rsid w:val="008D3F0B"/>
    <w:rsid w:val="008E7E79"/>
    <w:rsid w:val="008F1E49"/>
    <w:rsid w:val="008F5EFD"/>
    <w:rsid w:val="00910887"/>
    <w:rsid w:val="009109D5"/>
    <w:rsid w:val="0091258E"/>
    <w:rsid w:val="0091445E"/>
    <w:rsid w:val="009145B9"/>
    <w:rsid w:val="009210EB"/>
    <w:rsid w:val="00924662"/>
    <w:rsid w:val="00924A27"/>
    <w:rsid w:val="009510F7"/>
    <w:rsid w:val="0095163F"/>
    <w:rsid w:val="00952F1D"/>
    <w:rsid w:val="00955EF7"/>
    <w:rsid w:val="00960EE9"/>
    <w:rsid w:val="00963570"/>
    <w:rsid w:val="009639E3"/>
    <w:rsid w:val="00963A26"/>
    <w:rsid w:val="00963D21"/>
    <w:rsid w:val="009742D4"/>
    <w:rsid w:val="009747FB"/>
    <w:rsid w:val="00980B55"/>
    <w:rsid w:val="00982786"/>
    <w:rsid w:val="00985928"/>
    <w:rsid w:val="00986460"/>
    <w:rsid w:val="00986626"/>
    <w:rsid w:val="0099065F"/>
    <w:rsid w:val="009A00C0"/>
    <w:rsid w:val="009A2AB7"/>
    <w:rsid w:val="009A31FB"/>
    <w:rsid w:val="009A32E5"/>
    <w:rsid w:val="009A6DF9"/>
    <w:rsid w:val="009A7A92"/>
    <w:rsid w:val="009B1133"/>
    <w:rsid w:val="009B1973"/>
    <w:rsid w:val="009B48ED"/>
    <w:rsid w:val="009C19BB"/>
    <w:rsid w:val="009C25E4"/>
    <w:rsid w:val="009C63E4"/>
    <w:rsid w:val="009D00AE"/>
    <w:rsid w:val="009D0123"/>
    <w:rsid w:val="009D2639"/>
    <w:rsid w:val="009D5B8F"/>
    <w:rsid w:val="009D66DA"/>
    <w:rsid w:val="009D70C1"/>
    <w:rsid w:val="009E0C19"/>
    <w:rsid w:val="009E153A"/>
    <w:rsid w:val="009E19ED"/>
    <w:rsid w:val="009E3014"/>
    <w:rsid w:val="009E58AF"/>
    <w:rsid w:val="009E7888"/>
    <w:rsid w:val="009F336D"/>
    <w:rsid w:val="00A003EE"/>
    <w:rsid w:val="00A06BD4"/>
    <w:rsid w:val="00A07C08"/>
    <w:rsid w:val="00A1689A"/>
    <w:rsid w:val="00A263A7"/>
    <w:rsid w:val="00A31098"/>
    <w:rsid w:val="00A3394E"/>
    <w:rsid w:val="00A4329F"/>
    <w:rsid w:val="00A4386E"/>
    <w:rsid w:val="00A45C7A"/>
    <w:rsid w:val="00A45E6A"/>
    <w:rsid w:val="00A476DA"/>
    <w:rsid w:val="00A5374C"/>
    <w:rsid w:val="00A54A7C"/>
    <w:rsid w:val="00A57ED5"/>
    <w:rsid w:val="00A62725"/>
    <w:rsid w:val="00A64C02"/>
    <w:rsid w:val="00A64D90"/>
    <w:rsid w:val="00A65567"/>
    <w:rsid w:val="00A703E7"/>
    <w:rsid w:val="00A70BA6"/>
    <w:rsid w:val="00A72A1C"/>
    <w:rsid w:val="00A73B0D"/>
    <w:rsid w:val="00A74F0A"/>
    <w:rsid w:val="00A74F3C"/>
    <w:rsid w:val="00A81530"/>
    <w:rsid w:val="00A842D2"/>
    <w:rsid w:val="00A84BA3"/>
    <w:rsid w:val="00A96B16"/>
    <w:rsid w:val="00AA2178"/>
    <w:rsid w:val="00AA46CD"/>
    <w:rsid w:val="00AA5884"/>
    <w:rsid w:val="00AB02C7"/>
    <w:rsid w:val="00AB3B53"/>
    <w:rsid w:val="00AB3C90"/>
    <w:rsid w:val="00AB6B86"/>
    <w:rsid w:val="00AB7DAF"/>
    <w:rsid w:val="00AC27ED"/>
    <w:rsid w:val="00AC346C"/>
    <w:rsid w:val="00AC4A74"/>
    <w:rsid w:val="00AC6149"/>
    <w:rsid w:val="00AD0378"/>
    <w:rsid w:val="00AD177F"/>
    <w:rsid w:val="00AE0B06"/>
    <w:rsid w:val="00AF0C41"/>
    <w:rsid w:val="00B026B7"/>
    <w:rsid w:val="00B02BA4"/>
    <w:rsid w:val="00B03C78"/>
    <w:rsid w:val="00B11604"/>
    <w:rsid w:val="00B1485A"/>
    <w:rsid w:val="00B172C7"/>
    <w:rsid w:val="00B23DAC"/>
    <w:rsid w:val="00B27045"/>
    <w:rsid w:val="00B33CA0"/>
    <w:rsid w:val="00B34855"/>
    <w:rsid w:val="00B366A9"/>
    <w:rsid w:val="00B3679A"/>
    <w:rsid w:val="00B36E42"/>
    <w:rsid w:val="00B4546C"/>
    <w:rsid w:val="00B62BD6"/>
    <w:rsid w:val="00B65C31"/>
    <w:rsid w:val="00B6676C"/>
    <w:rsid w:val="00B676A3"/>
    <w:rsid w:val="00B71CD2"/>
    <w:rsid w:val="00B7313B"/>
    <w:rsid w:val="00B7659D"/>
    <w:rsid w:val="00B773E6"/>
    <w:rsid w:val="00B778E3"/>
    <w:rsid w:val="00B85657"/>
    <w:rsid w:val="00B87E62"/>
    <w:rsid w:val="00B91450"/>
    <w:rsid w:val="00B978C0"/>
    <w:rsid w:val="00BA322E"/>
    <w:rsid w:val="00BA7AEC"/>
    <w:rsid w:val="00BB0BBA"/>
    <w:rsid w:val="00BC74BB"/>
    <w:rsid w:val="00BD2E1E"/>
    <w:rsid w:val="00BD4D70"/>
    <w:rsid w:val="00BD4FAD"/>
    <w:rsid w:val="00BD7803"/>
    <w:rsid w:val="00BF09D7"/>
    <w:rsid w:val="00BF4044"/>
    <w:rsid w:val="00C04659"/>
    <w:rsid w:val="00C05175"/>
    <w:rsid w:val="00C124BB"/>
    <w:rsid w:val="00C150B2"/>
    <w:rsid w:val="00C15A97"/>
    <w:rsid w:val="00C16331"/>
    <w:rsid w:val="00C220D1"/>
    <w:rsid w:val="00C23022"/>
    <w:rsid w:val="00C2777F"/>
    <w:rsid w:val="00C30CC0"/>
    <w:rsid w:val="00C40950"/>
    <w:rsid w:val="00C4388B"/>
    <w:rsid w:val="00C44DC2"/>
    <w:rsid w:val="00C45540"/>
    <w:rsid w:val="00C56B5A"/>
    <w:rsid w:val="00C57D61"/>
    <w:rsid w:val="00C60C3E"/>
    <w:rsid w:val="00C62B9A"/>
    <w:rsid w:val="00C664E5"/>
    <w:rsid w:val="00C71603"/>
    <w:rsid w:val="00C7680D"/>
    <w:rsid w:val="00C83B51"/>
    <w:rsid w:val="00C927AD"/>
    <w:rsid w:val="00C9575A"/>
    <w:rsid w:val="00CA11FF"/>
    <w:rsid w:val="00CA184E"/>
    <w:rsid w:val="00CA1E3E"/>
    <w:rsid w:val="00CA3BF6"/>
    <w:rsid w:val="00CA5BE0"/>
    <w:rsid w:val="00CA74DA"/>
    <w:rsid w:val="00CB01F0"/>
    <w:rsid w:val="00CB099A"/>
    <w:rsid w:val="00CB39F9"/>
    <w:rsid w:val="00CB5605"/>
    <w:rsid w:val="00CB6960"/>
    <w:rsid w:val="00CC4119"/>
    <w:rsid w:val="00CC6D7D"/>
    <w:rsid w:val="00CC71E6"/>
    <w:rsid w:val="00CD0C84"/>
    <w:rsid w:val="00CD3EA0"/>
    <w:rsid w:val="00CE1709"/>
    <w:rsid w:val="00CE5328"/>
    <w:rsid w:val="00CF03B9"/>
    <w:rsid w:val="00CF0EB9"/>
    <w:rsid w:val="00CF7B96"/>
    <w:rsid w:val="00D02F5C"/>
    <w:rsid w:val="00D30667"/>
    <w:rsid w:val="00D30E29"/>
    <w:rsid w:val="00D36FBF"/>
    <w:rsid w:val="00D447A6"/>
    <w:rsid w:val="00D46101"/>
    <w:rsid w:val="00D57655"/>
    <w:rsid w:val="00D57666"/>
    <w:rsid w:val="00D57F38"/>
    <w:rsid w:val="00D73FA2"/>
    <w:rsid w:val="00D818CC"/>
    <w:rsid w:val="00D844EB"/>
    <w:rsid w:val="00D9100C"/>
    <w:rsid w:val="00D91E29"/>
    <w:rsid w:val="00D9588B"/>
    <w:rsid w:val="00DA2A69"/>
    <w:rsid w:val="00DA5BBD"/>
    <w:rsid w:val="00DB7521"/>
    <w:rsid w:val="00DC476E"/>
    <w:rsid w:val="00DC7035"/>
    <w:rsid w:val="00DD1E28"/>
    <w:rsid w:val="00DD4F23"/>
    <w:rsid w:val="00DE1162"/>
    <w:rsid w:val="00DE1A36"/>
    <w:rsid w:val="00DE2B0E"/>
    <w:rsid w:val="00DE5AB6"/>
    <w:rsid w:val="00DE7E1D"/>
    <w:rsid w:val="00DF2F42"/>
    <w:rsid w:val="00DF3A76"/>
    <w:rsid w:val="00DF49DC"/>
    <w:rsid w:val="00E018CC"/>
    <w:rsid w:val="00E03635"/>
    <w:rsid w:val="00E048E0"/>
    <w:rsid w:val="00E14B36"/>
    <w:rsid w:val="00E408F9"/>
    <w:rsid w:val="00E411C5"/>
    <w:rsid w:val="00E41557"/>
    <w:rsid w:val="00E41ACD"/>
    <w:rsid w:val="00E47115"/>
    <w:rsid w:val="00E52147"/>
    <w:rsid w:val="00E529C7"/>
    <w:rsid w:val="00E55465"/>
    <w:rsid w:val="00E61990"/>
    <w:rsid w:val="00E640E8"/>
    <w:rsid w:val="00E7410A"/>
    <w:rsid w:val="00E75C54"/>
    <w:rsid w:val="00E779BB"/>
    <w:rsid w:val="00E80E06"/>
    <w:rsid w:val="00E830B0"/>
    <w:rsid w:val="00E84792"/>
    <w:rsid w:val="00E84BD8"/>
    <w:rsid w:val="00E917DF"/>
    <w:rsid w:val="00E91DD7"/>
    <w:rsid w:val="00E95303"/>
    <w:rsid w:val="00E95EA6"/>
    <w:rsid w:val="00E973F5"/>
    <w:rsid w:val="00EA0B5D"/>
    <w:rsid w:val="00EA3962"/>
    <w:rsid w:val="00EA7C1D"/>
    <w:rsid w:val="00EB34FD"/>
    <w:rsid w:val="00EB684B"/>
    <w:rsid w:val="00EC0ACD"/>
    <w:rsid w:val="00EC287E"/>
    <w:rsid w:val="00EC4229"/>
    <w:rsid w:val="00EC6978"/>
    <w:rsid w:val="00ED43D2"/>
    <w:rsid w:val="00ED4732"/>
    <w:rsid w:val="00EE0D4A"/>
    <w:rsid w:val="00EE20FD"/>
    <w:rsid w:val="00EF354C"/>
    <w:rsid w:val="00EF4FB1"/>
    <w:rsid w:val="00F01C45"/>
    <w:rsid w:val="00F14CFD"/>
    <w:rsid w:val="00F166C9"/>
    <w:rsid w:val="00F25D56"/>
    <w:rsid w:val="00F25E54"/>
    <w:rsid w:val="00F26000"/>
    <w:rsid w:val="00F27155"/>
    <w:rsid w:val="00F32A7C"/>
    <w:rsid w:val="00F40574"/>
    <w:rsid w:val="00F44456"/>
    <w:rsid w:val="00F44CA3"/>
    <w:rsid w:val="00F470E9"/>
    <w:rsid w:val="00F634AA"/>
    <w:rsid w:val="00F65A97"/>
    <w:rsid w:val="00F7187F"/>
    <w:rsid w:val="00F71AA0"/>
    <w:rsid w:val="00F76351"/>
    <w:rsid w:val="00F832E6"/>
    <w:rsid w:val="00F84CDE"/>
    <w:rsid w:val="00F8504B"/>
    <w:rsid w:val="00F87A48"/>
    <w:rsid w:val="00F93051"/>
    <w:rsid w:val="00F97F5D"/>
    <w:rsid w:val="00FA4CC7"/>
    <w:rsid w:val="00FB78B2"/>
    <w:rsid w:val="00FC11CF"/>
    <w:rsid w:val="00FC6BE7"/>
    <w:rsid w:val="00FE2243"/>
    <w:rsid w:val="00FE476C"/>
    <w:rsid w:val="00FE7ADF"/>
    <w:rsid w:val="00FF04F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7AB5D"/>
  <w15:chartTrackingRefBased/>
  <w15:docId w15:val="{5F60F18C-9D9D-484D-BE1C-FE0AD86AF4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2A69"/>
    <w:pPr>
      <w:spacing w:before="120" w:after="120" w:line="360" w:lineRule="auto"/>
      <w:jc w:val="both"/>
    </w:pPr>
    <w:rPr>
      <w:rFonts w:asciiTheme="minorBidi" w:hAnsiTheme="minorBidi"/>
    </w:rPr>
  </w:style>
  <w:style w:type="paragraph" w:styleId="Heading1">
    <w:name w:val="heading 1"/>
    <w:basedOn w:val="Normal"/>
    <w:next w:val="Normal"/>
    <w:link w:val="Heading1Char"/>
    <w:uiPriority w:val="9"/>
    <w:qFormat/>
    <w:rsid w:val="004129D9"/>
    <w:pPr>
      <w:keepNext/>
      <w:keepLines/>
      <w:spacing w:before="360" w:after="80"/>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4129D9"/>
    <w:pPr>
      <w:keepNext/>
      <w:keepLines/>
      <w:spacing w:before="160" w:after="80"/>
      <w:outlineLvl w:val="1"/>
    </w:pPr>
    <w:rPr>
      <w:rFonts w:eastAsiaTheme="majorEastAsia" w:cstheme="majorBidi"/>
      <w:b/>
      <w:sz w:val="28"/>
      <w:szCs w:val="32"/>
    </w:rPr>
  </w:style>
  <w:style w:type="paragraph" w:styleId="Heading3">
    <w:name w:val="heading 3"/>
    <w:basedOn w:val="Normal"/>
    <w:next w:val="Normal"/>
    <w:link w:val="Heading3Char"/>
    <w:uiPriority w:val="9"/>
    <w:unhideWhenUsed/>
    <w:qFormat/>
    <w:rsid w:val="006B701B"/>
    <w:pPr>
      <w:keepNext/>
      <w:keepLines/>
      <w:spacing w:before="160" w:after="80"/>
      <w:outlineLvl w:val="2"/>
    </w:pPr>
    <w:rPr>
      <w:rFonts w:eastAsiaTheme="majorEastAsia" w:cstheme="majorBidi"/>
      <w:b/>
      <w:color w:val="000000" w:themeColor="text1"/>
      <w:sz w:val="26"/>
      <w:szCs w:val="28"/>
    </w:rPr>
  </w:style>
  <w:style w:type="paragraph" w:styleId="Heading4">
    <w:name w:val="heading 4"/>
    <w:basedOn w:val="Normal"/>
    <w:next w:val="Normal"/>
    <w:link w:val="Heading4Char"/>
    <w:autoRedefine/>
    <w:uiPriority w:val="9"/>
    <w:unhideWhenUsed/>
    <w:qFormat/>
    <w:rsid w:val="00244E87"/>
    <w:pPr>
      <w:keepNext/>
      <w:keepLines/>
      <w:spacing w:before="80" w:after="40"/>
      <w:outlineLvl w:val="3"/>
    </w:pPr>
    <w:rPr>
      <w:rFonts w:eastAsiaTheme="majorEastAsia" w:cstheme="majorBidi"/>
      <w:b/>
      <w:iCs/>
      <w:color w:val="000000" w:themeColor="text1"/>
    </w:rPr>
  </w:style>
  <w:style w:type="paragraph" w:styleId="Heading5">
    <w:name w:val="heading 5"/>
    <w:basedOn w:val="Normal"/>
    <w:next w:val="Normal"/>
    <w:link w:val="Heading5Char"/>
    <w:uiPriority w:val="9"/>
    <w:semiHidden/>
    <w:unhideWhenUsed/>
    <w:qFormat/>
    <w:rsid w:val="006464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640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640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640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640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29D9"/>
    <w:rPr>
      <w:rFonts w:asciiTheme="minorBidi" w:eastAsiaTheme="majorEastAsia" w:hAnsiTheme="minorBidi" w:cstheme="majorBidi"/>
      <w:b/>
      <w:sz w:val="32"/>
      <w:szCs w:val="40"/>
    </w:rPr>
  </w:style>
  <w:style w:type="character" w:customStyle="1" w:styleId="Heading2Char">
    <w:name w:val="Heading 2 Char"/>
    <w:basedOn w:val="DefaultParagraphFont"/>
    <w:link w:val="Heading2"/>
    <w:uiPriority w:val="9"/>
    <w:rsid w:val="004129D9"/>
    <w:rPr>
      <w:rFonts w:asciiTheme="minorBidi" w:eastAsiaTheme="majorEastAsia" w:hAnsiTheme="minorBidi" w:cstheme="majorBidi"/>
      <w:b/>
      <w:sz w:val="28"/>
      <w:szCs w:val="32"/>
    </w:rPr>
  </w:style>
  <w:style w:type="character" w:customStyle="1" w:styleId="Heading3Char">
    <w:name w:val="Heading 3 Char"/>
    <w:basedOn w:val="DefaultParagraphFont"/>
    <w:link w:val="Heading3"/>
    <w:uiPriority w:val="9"/>
    <w:rsid w:val="006B701B"/>
    <w:rPr>
      <w:rFonts w:asciiTheme="minorBidi" w:eastAsiaTheme="majorEastAsia" w:hAnsiTheme="minorBidi" w:cstheme="majorBidi"/>
      <w:b/>
      <w:color w:val="000000" w:themeColor="text1"/>
      <w:sz w:val="26"/>
      <w:szCs w:val="28"/>
    </w:rPr>
  </w:style>
  <w:style w:type="character" w:customStyle="1" w:styleId="Heading4Char">
    <w:name w:val="Heading 4 Char"/>
    <w:basedOn w:val="DefaultParagraphFont"/>
    <w:link w:val="Heading4"/>
    <w:uiPriority w:val="9"/>
    <w:rsid w:val="00244E87"/>
    <w:rPr>
      <w:rFonts w:asciiTheme="minorBidi" w:eastAsiaTheme="majorEastAsia" w:hAnsiTheme="minorBidi" w:cstheme="majorBidi"/>
      <w:b/>
      <w:iCs/>
      <w:color w:val="000000" w:themeColor="text1"/>
    </w:rPr>
  </w:style>
  <w:style w:type="character" w:customStyle="1" w:styleId="Heading5Char">
    <w:name w:val="Heading 5 Char"/>
    <w:basedOn w:val="DefaultParagraphFont"/>
    <w:link w:val="Heading5"/>
    <w:uiPriority w:val="9"/>
    <w:semiHidden/>
    <w:rsid w:val="006464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64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64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64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6406"/>
    <w:rPr>
      <w:rFonts w:eastAsiaTheme="majorEastAsia" w:cstheme="majorBidi"/>
      <w:color w:val="272727" w:themeColor="text1" w:themeTint="D8"/>
    </w:rPr>
  </w:style>
  <w:style w:type="paragraph" w:styleId="Title">
    <w:name w:val="Title"/>
    <w:basedOn w:val="Normal"/>
    <w:next w:val="Normal"/>
    <w:link w:val="TitleChar"/>
    <w:uiPriority w:val="10"/>
    <w:qFormat/>
    <w:rsid w:val="0064640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4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640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64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640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46406"/>
    <w:rPr>
      <w:i/>
      <w:iCs/>
      <w:color w:val="404040" w:themeColor="text1" w:themeTint="BF"/>
    </w:rPr>
  </w:style>
  <w:style w:type="paragraph" w:styleId="ListParagraph">
    <w:name w:val="List Paragraph"/>
    <w:basedOn w:val="Normal"/>
    <w:uiPriority w:val="34"/>
    <w:qFormat/>
    <w:rsid w:val="00646406"/>
    <w:pPr>
      <w:ind w:left="720"/>
      <w:contextualSpacing/>
    </w:pPr>
  </w:style>
  <w:style w:type="character" w:styleId="IntenseEmphasis">
    <w:name w:val="Intense Emphasis"/>
    <w:basedOn w:val="DefaultParagraphFont"/>
    <w:uiPriority w:val="21"/>
    <w:qFormat/>
    <w:rsid w:val="00646406"/>
    <w:rPr>
      <w:i/>
      <w:iCs/>
      <w:color w:val="0F4761" w:themeColor="accent1" w:themeShade="BF"/>
    </w:rPr>
  </w:style>
  <w:style w:type="paragraph" w:styleId="IntenseQuote">
    <w:name w:val="Intense Quote"/>
    <w:basedOn w:val="Normal"/>
    <w:next w:val="Normal"/>
    <w:link w:val="IntenseQuoteChar"/>
    <w:uiPriority w:val="30"/>
    <w:qFormat/>
    <w:rsid w:val="006464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6406"/>
    <w:rPr>
      <w:i/>
      <w:iCs/>
      <w:color w:val="0F4761" w:themeColor="accent1" w:themeShade="BF"/>
    </w:rPr>
  </w:style>
  <w:style w:type="character" w:styleId="IntenseReference">
    <w:name w:val="Intense Reference"/>
    <w:basedOn w:val="DefaultParagraphFont"/>
    <w:uiPriority w:val="32"/>
    <w:qFormat/>
    <w:rsid w:val="00646406"/>
    <w:rPr>
      <w:b/>
      <w:bCs/>
      <w:smallCaps/>
      <w:color w:val="0F4761" w:themeColor="accent1" w:themeShade="BF"/>
      <w:spacing w:val="5"/>
    </w:rPr>
  </w:style>
  <w:style w:type="paragraph" w:styleId="TOCHeading">
    <w:name w:val="TOC Heading"/>
    <w:basedOn w:val="Heading1"/>
    <w:next w:val="Normal"/>
    <w:uiPriority w:val="39"/>
    <w:unhideWhenUsed/>
    <w:qFormat/>
    <w:rsid w:val="00CB01F0"/>
    <w:pPr>
      <w:spacing w:before="480" w:after="0" w:line="276" w:lineRule="auto"/>
      <w:outlineLvl w:val="9"/>
    </w:pPr>
    <w:rPr>
      <w:b w:val="0"/>
      <w:bCs/>
      <w:kern w:val="0"/>
      <w:szCs w:val="28"/>
      <w:lang w:val="en-US"/>
      <w14:ligatures w14:val="none"/>
    </w:rPr>
  </w:style>
  <w:style w:type="paragraph" w:styleId="TOC1">
    <w:name w:val="toc 1"/>
    <w:basedOn w:val="Normal"/>
    <w:next w:val="Normal"/>
    <w:autoRedefine/>
    <w:uiPriority w:val="39"/>
    <w:unhideWhenUsed/>
    <w:rsid w:val="00DC476E"/>
    <w:rPr>
      <w:bCs/>
      <w:iCs/>
      <w:color w:val="000000" w:themeColor="text1"/>
    </w:rPr>
  </w:style>
  <w:style w:type="character" w:styleId="Hyperlink">
    <w:name w:val="Hyperlink"/>
    <w:basedOn w:val="DefaultParagraphFont"/>
    <w:uiPriority w:val="99"/>
    <w:unhideWhenUsed/>
    <w:rsid w:val="00CB01F0"/>
    <w:rPr>
      <w:color w:val="467886" w:themeColor="hyperlink"/>
      <w:u w:val="single"/>
    </w:rPr>
  </w:style>
  <w:style w:type="paragraph" w:styleId="TOC2">
    <w:name w:val="toc 2"/>
    <w:basedOn w:val="Normal"/>
    <w:next w:val="Normal"/>
    <w:autoRedefine/>
    <w:uiPriority w:val="39"/>
    <w:unhideWhenUsed/>
    <w:rsid w:val="00DC476E"/>
    <w:pPr>
      <w:ind w:left="240"/>
    </w:pPr>
    <w:rPr>
      <w:bCs/>
      <w:color w:val="000000" w:themeColor="text1"/>
      <w:szCs w:val="22"/>
    </w:rPr>
  </w:style>
  <w:style w:type="paragraph" w:styleId="TOC3">
    <w:name w:val="toc 3"/>
    <w:basedOn w:val="Normal"/>
    <w:next w:val="Normal"/>
    <w:autoRedefine/>
    <w:uiPriority w:val="39"/>
    <w:unhideWhenUsed/>
    <w:rsid w:val="00DC476E"/>
    <w:pPr>
      <w:ind w:left="480"/>
    </w:pPr>
    <w:rPr>
      <w:color w:val="000000" w:themeColor="text1"/>
      <w:szCs w:val="20"/>
    </w:rPr>
  </w:style>
  <w:style w:type="paragraph" w:styleId="TOC4">
    <w:name w:val="toc 4"/>
    <w:basedOn w:val="Normal"/>
    <w:next w:val="Normal"/>
    <w:autoRedefine/>
    <w:uiPriority w:val="39"/>
    <w:semiHidden/>
    <w:unhideWhenUsed/>
    <w:rsid w:val="00CB01F0"/>
    <w:pPr>
      <w:ind w:left="720"/>
    </w:pPr>
    <w:rPr>
      <w:sz w:val="20"/>
      <w:szCs w:val="20"/>
    </w:rPr>
  </w:style>
  <w:style w:type="paragraph" w:styleId="TOC5">
    <w:name w:val="toc 5"/>
    <w:basedOn w:val="Normal"/>
    <w:next w:val="Normal"/>
    <w:autoRedefine/>
    <w:uiPriority w:val="39"/>
    <w:semiHidden/>
    <w:unhideWhenUsed/>
    <w:rsid w:val="00CB01F0"/>
    <w:pPr>
      <w:ind w:left="960"/>
    </w:pPr>
    <w:rPr>
      <w:sz w:val="20"/>
      <w:szCs w:val="20"/>
    </w:rPr>
  </w:style>
  <w:style w:type="paragraph" w:styleId="TOC6">
    <w:name w:val="toc 6"/>
    <w:basedOn w:val="Normal"/>
    <w:next w:val="Normal"/>
    <w:autoRedefine/>
    <w:uiPriority w:val="39"/>
    <w:semiHidden/>
    <w:unhideWhenUsed/>
    <w:rsid w:val="00CB01F0"/>
    <w:pPr>
      <w:ind w:left="1200"/>
    </w:pPr>
    <w:rPr>
      <w:sz w:val="20"/>
      <w:szCs w:val="20"/>
    </w:rPr>
  </w:style>
  <w:style w:type="paragraph" w:styleId="TOC7">
    <w:name w:val="toc 7"/>
    <w:basedOn w:val="Normal"/>
    <w:next w:val="Normal"/>
    <w:autoRedefine/>
    <w:uiPriority w:val="39"/>
    <w:semiHidden/>
    <w:unhideWhenUsed/>
    <w:rsid w:val="00CB01F0"/>
    <w:pPr>
      <w:ind w:left="1440"/>
    </w:pPr>
    <w:rPr>
      <w:sz w:val="20"/>
      <w:szCs w:val="20"/>
    </w:rPr>
  </w:style>
  <w:style w:type="paragraph" w:styleId="TOC8">
    <w:name w:val="toc 8"/>
    <w:basedOn w:val="Normal"/>
    <w:next w:val="Normal"/>
    <w:autoRedefine/>
    <w:uiPriority w:val="39"/>
    <w:semiHidden/>
    <w:unhideWhenUsed/>
    <w:rsid w:val="00CB01F0"/>
    <w:pPr>
      <w:ind w:left="1680"/>
    </w:pPr>
    <w:rPr>
      <w:sz w:val="20"/>
      <w:szCs w:val="20"/>
    </w:rPr>
  </w:style>
  <w:style w:type="paragraph" w:styleId="TOC9">
    <w:name w:val="toc 9"/>
    <w:basedOn w:val="Normal"/>
    <w:next w:val="Normal"/>
    <w:autoRedefine/>
    <w:uiPriority w:val="39"/>
    <w:semiHidden/>
    <w:unhideWhenUsed/>
    <w:rsid w:val="00CB01F0"/>
    <w:pPr>
      <w:ind w:left="1920"/>
    </w:pPr>
    <w:rPr>
      <w:sz w:val="20"/>
      <w:szCs w:val="20"/>
    </w:rPr>
  </w:style>
  <w:style w:type="paragraph" w:styleId="Header">
    <w:name w:val="header"/>
    <w:basedOn w:val="Normal"/>
    <w:link w:val="HeaderChar"/>
    <w:uiPriority w:val="99"/>
    <w:unhideWhenUsed/>
    <w:rsid w:val="008B1F79"/>
    <w:pPr>
      <w:tabs>
        <w:tab w:val="center" w:pos="4680"/>
        <w:tab w:val="right" w:pos="9360"/>
      </w:tabs>
      <w:spacing w:line="240" w:lineRule="auto"/>
    </w:pPr>
  </w:style>
  <w:style w:type="character" w:customStyle="1" w:styleId="HeaderChar">
    <w:name w:val="Header Char"/>
    <w:basedOn w:val="DefaultParagraphFont"/>
    <w:link w:val="Header"/>
    <w:uiPriority w:val="99"/>
    <w:rsid w:val="008B1F79"/>
  </w:style>
  <w:style w:type="paragraph" w:styleId="Footer">
    <w:name w:val="footer"/>
    <w:basedOn w:val="Normal"/>
    <w:link w:val="FooterChar"/>
    <w:uiPriority w:val="99"/>
    <w:unhideWhenUsed/>
    <w:rsid w:val="008B1F79"/>
    <w:pPr>
      <w:tabs>
        <w:tab w:val="center" w:pos="4680"/>
        <w:tab w:val="right" w:pos="9360"/>
      </w:tabs>
      <w:spacing w:line="240" w:lineRule="auto"/>
    </w:pPr>
  </w:style>
  <w:style w:type="character" w:customStyle="1" w:styleId="FooterChar">
    <w:name w:val="Footer Char"/>
    <w:basedOn w:val="DefaultParagraphFont"/>
    <w:link w:val="Footer"/>
    <w:uiPriority w:val="99"/>
    <w:rsid w:val="008B1F79"/>
  </w:style>
  <w:style w:type="paragraph" w:styleId="Caption">
    <w:name w:val="caption"/>
    <w:basedOn w:val="Normal"/>
    <w:next w:val="Normal"/>
    <w:uiPriority w:val="35"/>
    <w:unhideWhenUsed/>
    <w:qFormat/>
    <w:rsid w:val="008B3DF6"/>
    <w:pPr>
      <w:spacing w:before="0" w:after="200" w:line="240" w:lineRule="auto"/>
    </w:pPr>
    <w:rPr>
      <w:i/>
      <w:iCs/>
      <w:color w:val="0E2841" w:themeColor="text2"/>
      <w:sz w:val="18"/>
      <w:szCs w:val="18"/>
    </w:rPr>
  </w:style>
  <w:style w:type="paragraph" w:styleId="NoSpacing">
    <w:name w:val="No Spacing"/>
    <w:uiPriority w:val="1"/>
    <w:qFormat/>
    <w:rsid w:val="00EC0ACD"/>
    <w:pPr>
      <w:jc w:val="both"/>
    </w:pPr>
    <w:rPr>
      <w:rFonts w:asciiTheme="minorBidi" w:hAnsiTheme="minorBidi"/>
    </w:rPr>
  </w:style>
  <w:style w:type="character" w:styleId="UnresolvedMention">
    <w:name w:val="Unresolved Mention"/>
    <w:basedOn w:val="DefaultParagraphFont"/>
    <w:uiPriority w:val="99"/>
    <w:semiHidden/>
    <w:unhideWhenUsed/>
    <w:rsid w:val="008A2060"/>
    <w:rPr>
      <w:color w:val="605E5C"/>
      <w:shd w:val="clear" w:color="auto" w:fill="E1DFDD"/>
    </w:rPr>
  </w:style>
  <w:style w:type="table" w:styleId="TableGrid">
    <w:name w:val="Table Grid"/>
    <w:basedOn w:val="TableNormal"/>
    <w:uiPriority w:val="39"/>
    <w:rsid w:val="00C62B9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195A35"/>
    <w:rPr>
      <w:rFonts w:ascii="Times New Roman" w:hAnsi="Times New Roman" w:cs="Times New Roman"/>
    </w:rPr>
  </w:style>
  <w:style w:type="character" w:styleId="FollowedHyperlink">
    <w:name w:val="FollowedHyperlink"/>
    <w:basedOn w:val="DefaultParagraphFont"/>
    <w:uiPriority w:val="99"/>
    <w:semiHidden/>
    <w:unhideWhenUsed/>
    <w:rsid w:val="00106D95"/>
    <w:rPr>
      <w:color w:val="96607D" w:themeColor="followedHyperlink"/>
      <w:u w:val="single"/>
    </w:rPr>
  </w:style>
  <w:style w:type="character" w:styleId="Strong">
    <w:name w:val="Strong"/>
    <w:basedOn w:val="DefaultParagraphFont"/>
    <w:uiPriority w:val="22"/>
    <w:qFormat/>
    <w:rsid w:val="00577C1B"/>
    <w:rPr>
      <w:b/>
      <w:bCs/>
    </w:rPr>
  </w:style>
  <w:style w:type="character" w:styleId="Emphasis">
    <w:name w:val="Emphasis"/>
    <w:basedOn w:val="DefaultParagraphFont"/>
    <w:uiPriority w:val="20"/>
    <w:qFormat/>
    <w:rsid w:val="00EC287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769639">
      <w:bodyDiv w:val="1"/>
      <w:marLeft w:val="0"/>
      <w:marRight w:val="0"/>
      <w:marTop w:val="0"/>
      <w:marBottom w:val="0"/>
      <w:divBdr>
        <w:top w:val="none" w:sz="0" w:space="0" w:color="auto"/>
        <w:left w:val="none" w:sz="0" w:space="0" w:color="auto"/>
        <w:bottom w:val="none" w:sz="0" w:space="0" w:color="auto"/>
        <w:right w:val="none" w:sz="0" w:space="0" w:color="auto"/>
      </w:divBdr>
    </w:div>
    <w:div w:id="289745369">
      <w:bodyDiv w:val="1"/>
      <w:marLeft w:val="0"/>
      <w:marRight w:val="0"/>
      <w:marTop w:val="0"/>
      <w:marBottom w:val="0"/>
      <w:divBdr>
        <w:top w:val="none" w:sz="0" w:space="0" w:color="auto"/>
        <w:left w:val="none" w:sz="0" w:space="0" w:color="auto"/>
        <w:bottom w:val="none" w:sz="0" w:space="0" w:color="auto"/>
        <w:right w:val="none" w:sz="0" w:space="0" w:color="auto"/>
      </w:divBdr>
    </w:div>
    <w:div w:id="351884573">
      <w:bodyDiv w:val="1"/>
      <w:marLeft w:val="0"/>
      <w:marRight w:val="0"/>
      <w:marTop w:val="0"/>
      <w:marBottom w:val="0"/>
      <w:divBdr>
        <w:top w:val="none" w:sz="0" w:space="0" w:color="auto"/>
        <w:left w:val="none" w:sz="0" w:space="0" w:color="auto"/>
        <w:bottom w:val="none" w:sz="0" w:space="0" w:color="auto"/>
        <w:right w:val="none" w:sz="0" w:space="0" w:color="auto"/>
      </w:divBdr>
    </w:div>
    <w:div w:id="569661682">
      <w:bodyDiv w:val="1"/>
      <w:marLeft w:val="0"/>
      <w:marRight w:val="0"/>
      <w:marTop w:val="0"/>
      <w:marBottom w:val="0"/>
      <w:divBdr>
        <w:top w:val="none" w:sz="0" w:space="0" w:color="auto"/>
        <w:left w:val="none" w:sz="0" w:space="0" w:color="auto"/>
        <w:bottom w:val="none" w:sz="0" w:space="0" w:color="auto"/>
        <w:right w:val="none" w:sz="0" w:space="0" w:color="auto"/>
      </w:divBdr>
      <w:divsChild>
        <w:div w:id="1842818596">
          <w:marLeft w:val="0"/>
          <w:marRight w:val="0"/>
          <w:marTop w:val="0"/>
          <w:marBottom w:val="0"/>
          <w:divBdr>
            <w:top w:val="none" w:sz="0" w:space="0" w:color="auto"/>
            <w:left w:val="none" w:sz="0" w:space="0" w:color="auto"/>
            <w:bottom w:val="none" w:sz="0" w:space="0" w:color="auto"/>
            <w:right w:val="none" w:sz="0" w:space="0" w:color="auto"/>
          </w:divBdr>
          <w:divsChild>
            <w:div w:id="1483498853">
              <w:marLeft w:val="0"/>
              <w:marRight w:val="0"/>
              <w:marTop w:val="0"/>
              <w:marBottom w:val="0"/>
              <w:divBdr>
                <w:top w:val="none" w:sz="0" w:space="0" w:color="auto"/>
                <w:left w:val="none" w:sz="0" w:space="0" w:color="auto"/>
                <w:bottom w:val="none" w:sz="0" w:space="0" w:color="auto"/>
                <w:right w:val="none" w:sz="0" w:space="0" w:color="auto"/>
              </w:divBdr>
              <w:divsChild>
                <w:div w:id="23408869">
                  <w:marLeft w:val="0"/>
                  <w:marRight w:val="0"/>
                  <w:marTop w:val="0"/>
                  <w:marBottom w:val="0"/>
                  <w:divBdr>
                    <w:top w:val="none" w:sz="0" w:space="0" w:color="auto"/>
                    <w:left w:val="none" w:sz="0" w:space="0" w:color="auto"/>
                    <w:bottom w:val="none" w:sz="0" w:space="0" w:color="auto"/>
                    <w:right w:val="none" w:sz="0" w:space="0" w:color="auto"/>
                  </w:divBdr>
                  <w:divsChild>
                    <w:div w:id="1511678037">
                      <w:marLeft w:val="0"/>
                      <w:marRight w:val="0"/>
                      <w:marTop w:val="0"/>
                      <w:marBottom w:val="0"/>
                      <w:divBdr>
                        <w:top w:val="none" w:sz="0" w:space="0" w:color="auto"/>
                        <w:left w:val="none" w:sz="0" w:space="0" w:color="auto"/>
                        <w:bottom w:val="none" w:sz="0" w:space="0" w:color="auto"/>
                        <w:right w:val="none" w:sz="0" w:space="0" w:color="auto"/>
                      </w:divBdr>
                      <w:divsChild>
                        <w:div w:id="1688873629">
                          <w:marLeft w:val="0"/>
                          <w:marRight w:val="0"/>
                          <w:marTop w:val="0"/>
                          <w:marBottom w:val="0"/>
                          <w:divBdr>
                            <w:top w:val="none" w:sz="0" w:space="0" w:color="auto"/>
                            <w:left w:val="none" w:sz="0" w:space="0" w:color="auto"/>
                            <w:bottom w:val="none" w:sz="0" w:space="0" w:color="auto"/>
                            <w:right w:val="none" w:sz="0" w:space="0" w:color="auto"/>
                          </w:divBdr>
                          <w:divsChild>
                            <w:div w:id="995304576">
                              <w:marLeft w:val="0"/>
                              <w:marRight w:val="0"/>
                              <w:marTop w:val="0"/>
                              <w:marBottom w:val="0"/>
                              <w:divBdr>
                                <w:top w:val="none" w:sz="0" w:space="0" w:color="auto"/>
                                <w:left w:val="none" w:sz="0" w:space="0" w:color="auto"/>
                                <w:bottom w:val="none" w:sz="0" w:space="0" w:color="auto"/>
                                <w:right w:val="none" w:sz="0" w:space="0" w:color="auto"/>
                              </w:divBdr>
                              <w:divsChild>
                                <w:div w:id="1676181217">
                                  <w:marLeft w:val="0"/>
                                  <w:marRight w:val="0"/>
                                  <w:marTop w:val="0"/>
                                  <w:marBottom w:val="0"/>
                                  <w:divBdr>
                                    <w:top w:val="none" w:sz="0" w:space="0" w:color="auto"/>
                                    <w:left w:val="none" w:sz="0" w:space="0" w:color="auto"/>
                                    <w:bottom w:val="none" w:sz="0" w:space="0" w:color="auto"/>
                                    <w:right w:val="none" w:sz="0" w:space="0" w:color="auto"/>
                                  </w:divBdr>
                                  <w:divsChild>
                                    <w:div w:id="1449472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7501495">
                      <w:marLeft w:val="0"/>
                      <w:marRight w:val="0"/>
                      <w:marTop w:val="0"/>
                      <w:marBottom w:val="0"/>
                      <w:divBdr>
                        <w:top w:val="none" w:sz="0" w:space="0" w:color="auto"/>
                        <w:left w:val="none" w:sz="0" w:space="0" w:color="auto"/>
                        <w:bottom w:val="none" w:sz="0" w:space="0" w:color="auto"/>
                        <w:right w:val="none" w:sz="0" w:space="0" w:color="auto"/>
                      </w:divBdr>
                      <w:divsChild>
                        <w:div w:id="983194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79565556">
      <w:bodyDiv w:val="1"/>
      <w:marLeft w:val="0"/>
      <w:marRight w:val="0"/>
      <w:marTop w:val="0"/>
      <w:marBottom w:val="0"/>
      <w:divBdr>
        <w:top w:val="none" w:sz="0" w:space="0" w:color="auto"/>
        <w:left w:val="none" w:sz="0" w:space="0" w:color="auto"/>
        <w:bottom w:val="none" w:sz="0" w:space="0" w:color="auto"/>
        <w:right w:val="none" w:sz="0" w:space="0" w:color="auto"/>
      </w:divBdr>
    </w:div>
    <w:div w:id="668678418">
      <w:bodyDiv w:val="1"/>
      <w:marLeft w:val="0"/>
      <w:marRight w:val="0"/>
      <w:marTop w:val="0"/>
      <w:marBottom w:val="0"/>
      <w:divBdr>
        <w:top w:val="none" w:sz="0" w:space="0" w:color="auto"/>
        <w:left w:val="none" w:sz="0" w:space="0" w:color="auto"/>
        <w:bottom w:val="none" w:sz="0" w:space="0" w:color="auto"/>
        <w:right w:val="none" w:sz="0" w:space="0" w:color="auto"/>
      </w:divBdr>
    </w:div>
    <w:div w:id="721905615">
      <w:bodyDiv w:val="1"/>
      <w:marLeft w:val="0"/>
      <w:marRight w:val="0"/>
      <w:marTop w:val="0"/>
      <w:marBottom w:val="0"/>
      <w:divBdr>
        <w:top w:val="none" w:sz="0" w:space="0" w:color="auto"/>
        <w:left w:val="none" w:sz="0" w:space="0" w:color="auto"/>
        <w:bottom w:val="none" w:sz="0" w:space="0" w:color="auto"/>
        <w:right w:val="none" w:sz="0" w:space="0" w:color="auto"/>
      </w:divBdr>
      <w:divsChild>
        <w:div w:id="1190295981">
          <w:marLeft w:val="0"/>
          <w:marRight w:val="0"/>
          <w:marTop w:val="0"/>
          <w:marBottom w:val="0"/>
          <w:divBdr>
            <w:top w:val="none" w:sz="0" w:space="0" w:color="auto"/>
            <w:left w:val="none" w:sz="0" w:space="0" w:color="auto"/>
            <w:bottom w:val="none" w:sz="0" w:space="0" w:color="auto"/>
            <w:right w:val="none" w:sz="0" w:space="0" w:color="auto"/>
          </w:divBdr>
        </w:div>
        <w:div w:id="731587821">
          <w:marLeft w:val="0"/>
          <w:marRight w:val="0"/>
          <w:marTop w:val="0"/>
          <w:marBottom w:val="0"/>
          <w:divBdr>
            <w:top w:val="none" w:sz="0" w:space="0" w:color="auto"/>
            <w:left w:val="none" w:sz="0" w:space="0" w:color="auto"/>
            <w:bottom w:val="none" w:sz="0" w:space="0" w:color="auto"/>
            <w:right w:val="none" w:sz="0" w:space="0" w:color="auto"/>
          </w:divBdr>
          <w:divsChild>
            <w:div w:id="374545338">
              <w:marLeft w:val="0"/>
              <w:marRight w:val="0"/>
              <w:marTop w:val="0"/>
              <w:marBottom w:val="0"/>
              <w:divBdr>
                <w:top w:val="none" w:sz="0" w:space="0" w:color="auto"/>
                <w:left w:val="none" w:sz="0" w:space="0" w:color="auto"/>
                <w:bottom w:val="none" w:sz="0" w:space="0" w:color="auto"/>
                <w:right w:val="none" w:sz="0" w:space="0" w:color="auto"/>
              </w:divBdr>
              <w:divsChild>
                <w:div w:id="19137130">
                  <w:marLeft w:val="0"/>
                  <w:marRight w:val="0"/>
                  <w:marTop w:val="0"/>
                  <w:marBottom w:val="0"/>
                  <w:divBdr>
                    <w:top w:val="none" w:sz="0" w:space="0" w:color="auto"/>
                    <w:left w:val="none" w:sz="0" w:space="0" w:color="auto"/>
                    <w:bottom w:val="none" w:sz="0" w:space="0" w:color="auto"/>
                    <w:right w:val="none" w:sz="0" w:space="0" w:color="auto"/>
                  </w:divBdr>
                  <w:divsChild>
                    <w:div w:id="262539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7125773">
      <w:bodyDiv w:val="1"/>
      <w:marLeft w:val="0"/>
      <w:marRight w:val="0"/>
      <w:marTop w:val="0"/>
      <w:marBottom w:val="0"/>
      <w:divBdr>
        <w:top w:val="none" w:sz="0" w:space="0" w:color="auto"/>
        <w:left w:val="none" w:sz="0" w:space="0" w:color="auto"/>
        <w:bottom w:val="none" w:sz="0" w:space="0" w:color="auto"/>
        <w:right w:val="none" w:sz="0" w:space="0" w:color="auto"/>
      </w:divBdr>
    </w:div>
    <w:div w:id="1044064954">
      <w:bodyDiv w:val="1"/>
      <w:marLeft w:val="0"/>
      <w:marRight w:val="0"/>
      <w:marTop w:val="0"/>
      <w:marBottom w:val="0"/>
      <w:divBdr>
        <w:top w:val="none" w:sz="0" w:space="0" w:color="auto"/>
        <w:left w:val="none" w:sz="0" w:space="0" w:color="auto"/>
        <w:bottom w:val="none" w:sz="0" w:space="0" w:color="auto"/>
        <w:right w:val="none" w:sz="0" w:space="0" w:color="auto"/>
      </w:divBdr>
    </w:div>
    <w:div w:id="1044255844">
      <w:bodyDiv w:val="1"/>
      <w:marLeft w:val="0"/>
      <w:marRight w:val="0"/>
      <w:marTop w:val="0"/>
      <w:marBottom w:val="0"/>
      <w:divBdr>
        <w:top w:val="none" w:sz="0" w:space="0" w:color="auto"/>
        <w:left w:val="none" w:sz="0" w:space="0" w:color="auto"/>
        <w:bottom w:val="none" w:sz="0" w:space="0" w:color="auto"/>
        <w:right w:val="none" w:sz="0" w:space="0" w:color="auto"/>
      </w:divBdr>
      <w:divsChild>
        <w:div w:id="1028995447">
          <w:marLeft w:val="0"/>
          <w:marRight w:val="0"/>
          <w:marTop w:val="240"/>
          <w:marBottom w:val="240"/>
          <w:divBdr>
            <w:top w:val="none" w:sz="0" w:space="0" w:color="auto"/>
            <w:left w:val="none" w:sz="0" w:space="0" w:color="auto"/>
            <w:bottom w:val="none" w:sz="0" w:space="0" w:color="auto"/>
            <w:right w:val="none" w:sz="0" w:space="0" w:color="auto"/>
          </w:divBdr>
        </w:div>
        <w:div w:id="765350565">
          <w:marLeft w:val="0"/>
          <w:marRight w:val="0"/>
          <w:marTop w:val="240"/>
          <w:marBottom w:val="240"/>
          <w:divBdr>
            <w:top w:val="none" w:sz="0" w:space="0" w:color="auto"/>
            <w:left w:val="none" w:sz="0" w:space="0" w:color="auto"/>
            <w:bottom w:val="none" w:sz="0" w:space="0" w:color="auto"/>
            <w:right w:val="none" w:sz="0" w:space="0" w:color="auto"/>
          </w:divBdr>
        </w:div>
        <w:div w:id="922488514">
          <w:marLeft w:val="0"/>
          <w:marRight w:val="0"/>
          <w:marTop w:val="240"/>
          <w:marBottom w:val="240"/>
          <w:divBdr>
            <w:top w:val="none" w:sz="0" w:space="0" w:color="auto"/>
            <w:left w:val="none" w:sz="0" w:space="0" w:color="auto"/>
            <w:bottom w:val="none" w:sz="0" w:space="0" w:color="auto"/>
            <w:right w:val="none" w:sz="0" w:space="0" w:color="auto"/>
          </w:divBdr>
        </w:div>
        <w:div w:id="1121655552">
          <w:marLeft w:val="0"/>
          <w:marRight w:val="0"/>
          <w:marTop w:val="240"/>
          <w:marBottom w:val="240"/>
          <w:divBdr>
            <w:top w:val="none" w:sz="0" w:space="0" w:color="auto"/>
            <w:left w:val="none" w:sz="0" w:space="0" w:color="auto"/>
            <w:bottom w:val="none" w:sz="0" w:space="0" w:color="auto"/>
            <w:right w:val="none" w:sz="0" w:space="0" w:color="auto"/>
          </w:divBdr>
        </w:div>
        <w:div w:id="1250188449">
          <w:marLeft w:val="0"/>
          <w:marRight w:val="0"/>
          <w:marTop w:val="240"/>
          <w:marBottom w:val="240"/>
          <w:divBdr>
            <w:top w:val="none" w:sz="0" w:space="0" w:color="auto"/>
            <w:left w:val="none" w:sz="0" w:space="0" w:color="auto"/>
            <w:bottom w:val="none" w:sz="0" w:space="0" w:color="auto"/>
            <w:right w:val="none" w:sz="0" w:space="0" w:color="auto"/>
          </w:divBdr>
        </w:div>
        <w:div w:id="1057582786">
          <w:marLeft w:val="0"/>
          <w:marRight w:val="0"/>
          <w:marTop w:val="0"/>
          <w:marBottom w:val="0"/>
          <w:divBdr>
            <w:top w:val="none" w:sz="0" w:space="0" w:color="auto"/>
            <w:left w:val="none" w:sz="0" w:space="0" w:color="auto"/>
            <w:bottom w:val="none" w:sz="0" w:space="0" w:color="auto"/>
            <w:right w:val="none" w:sz="0" w:space="0" w:color="auto"/>
          </w:divBdr>
        </w:div>
      </w:divsChild>
    </w:div>
    <w:div w:id="1242181261">
      <w:bodyDiv w:val="1"/>
      <w:marLeft w:val="0"/>
      <w:marRight w:val="0"/>
      <w:marTop w:val="0"/>
      <w:marBottom w:val="0"/>
      <w:divBdr>
        <w:top w:val="none" w:sz="0" w:space="0" w:color="auto"/>
        <w:left w:val="none" w:sz="0" w:space="0" w:color="auto"/>
        <w:bottom w:val="none" w:sz="0" w:space="0" w:color="auto"/>
        <w:right w:val="none" w:sz="0" w:space="0" w:color="auto"/>
      </w:divBdr>
      <w:divsChild>
        <w:div w:id="857237933">
          <w:marLeft w:val="0"/>
          <w:marRight w:val="0"/>
          <w:marTop w:val="0"/>
          <w:marBottom w:val="0"/>
          <w:divBdr>
            <w:top w:val="none" w:sz="0" w:space="0" w:color="auto"/>
            <w:left w:val="none" w:sz="0" w:space="0" w:color="auto"/>
            <w:bottom w:val="none" w:sz="0" w:space="0" w:color="auto"/>
            <w:right w:val="none" w:sz="0" w:space="0" w:color="auto"/>
          </w:divBdr>
          <w:divsChild>
            <w:div w:id="1960211562">
              <w:marLeft w:val="0"/>
              <w:marRight w:val="0"/>
              <w:marTop w:val="0"/>
              <w:marBottom w:val="0"/>
              <w:divBdr>
                <w:top w:val="none" w:sz="0" w:space="0" w:color="auto"/>
                <w:left w:val="none" w:sz="0" w:space="0" w:color="auto"/>
                <w:bottom w:val="none" w:sz="0" w:space="0" w:color="auto"/>
                <w:right w:val="none" w:sz="0" w:space="0" w:color="auto"/>
              </w:divBdr>
              <w:divsChild>
                <w:div w:id="893929420">
                  <w:marLeft w:val="0"/>
                  <w:marRight w:val="0"/>
                  <w:marTop w:val="0"/>
                  <w:marBottom w:val="0"/>
                  <w:divBdr>
                    <w:top w:val="none" w:sz="0" w:space="0" w:color="auto"/>
                    <w:left w:val="none" w:sz="0" w:space="0" w:color="auto"/>
                    <w:bottom w:val="none" w:sz="0" w:space="0" w:color="auto"/>
                    <w:right w:val="none" w:sz="0" w:space="0" w:color="auto"/>
                  </w:divBdr>
                  <w:divsChild>
                    <w:div w:id="1345277576">
                      <w:marLeft w:val="0"/>
                      <w:marRight w:val="0"/>
                      <w:marTop w:val="0"/>
                      <w:marBottom w:val="0"/>
                      <w:divBdr>
                        <w:top w:val="none" w:sz="0" w:space="0" w:color="auto"/>
                        <w:left w:val="none" w:sz="0" w:space="0" w:color="auto"/>
                        <w:bottom w:val="none" w:sz="0" w:space="0" w:color="auto"/>
                        <w:right w:val="none" w:sz="0" w:space="0" w:color="auto"/>
                      </w:divBdr>
                      <w:divsChild>
                        <w:div w:id="249193287">
                          <w:marLeft w:val="0"/>
                          <w:marRight w:val="0"/>
                          <w:marTop w:val="0"/>
                          <w:marBottom w:val="0"/>
                          <w:divBdr>
                            <w:top w:val="none" w:sz="0" w:space="0" w:color="auto"/>
                            <w:left w:val="none" w:sz="0" w:space="0" w:color="auto"/>
                            <w:bottom w:val="none" w:sz="0" w:space="0" w:color="auto"/>
                            <w:right w:val="none" w:sz="0" w:space="0" w:color="auto"/>
                          </w:divBdr>
                          <w:divsChild>
                            <w:div w:id="579022318">
                              <w:marLeft w:val="0"/>
                              <w:marRight w:val="0"/>
                              <w:marTop w:val="0"/>
                              <w:marBottom w:val="0"/>
                              <w:divBdr>
                                <w:top w:val="none" w:sz="0" w:space="0" w:color="auto"/>
                                <w:left w:val="none" w:sz="0" w:space="0" w:color="auto"/>
                                <w:bottom w:val="none" w:sz="0" w:space="0" w:color="auto"/>
                                <w:right w:val="none" w:sz="0" w:space="0" w:color="auto"/>
                              </w:divBdr>
                              <w:divsChild>
                                <w:div w:id="1121415006">
                                  <w:marLeft w:val="0"/>
                                  <w:marRight w:val="0"/>
                                  <w:marTop w:val="0"/>
                                  <w:marBottom w:val="0"/>
                                  <w:divBdr>
                                    <w:top w:val="none" w:sz="0" w:space="0" w:color="auto"/>
                                    <w:left w:val="none" w:sz="0" w:space="0" w:color="auto"/>
                                    <w:bottom w:val="none" w:sz="0" w:space="0" w:color="auto"/>
                                    <w:right w:val="none" w:sz="0" w:space="0" w:color="auto"/>
                                  </w:divBdr>
                                  <w:divsChild>
                                    <w:div w:id="1970361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5801536">
                      <w:marLeft w:val="0"/>
                      <w:marRight w:val="0"/>
                      <w:marTop w:val="0"/>
                      <w:marBottom w:val="0"/>
                      <w:divBdr>
                        <w:top w:val="none" w:sz="0" w:space="0" w:color="auto"/>
                        <w:left w:val="none" w:sz="0" w:space="0" w:color="auto"/>
                        <w:bottom w:val="none" w:sz="0" w:space="0" w:color="auto"/>
                        <w:right w:val="none" w:sz="0" w:space="0" w:color="auto"/>
                      </w:divBdr>
                      <w:divsChild>
                        <w:div w:id="1224677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1590898">
      <w:bodyDiv w:val="1"/>
      <w:marLeft w:val="0"/>
      <w:marRight w:val="0"/>
      <w:marTop w:val="0"/>
      <w:marBottom w:val="0"/>
      <w:divBdr>
        <w:top w:val="none" w:sz="0" w:space="0" w:color="auto"/>
        <w:left w:val="none" w:sz="0" w:space="0" w:color="auto"/>
        <w:bottom w:val="none" w:sz="0" w:space="0" w:color="auto"/>
        <w:right w:val="none" w:sz="0" w:space="0" w:color="auto"/>
      </w:divBdr>
    </w:div>
    <w:div w:id="1418096009">
      <w:bodyDiv w:val="1"/>
      <w:marLeft w:val="0"/>
      <w:marRight w:val="0"/>
      <w:marTop w:val="0"/>
      <w:marBottom w:val="0"/>
      <w:divBdr>
        <w:top w:val="none" w:sz="0" w:space="0" w:color="auto"/>
        <w:left w:val="none" w:sz="0" w:space="0" w:color="auto"/>
        <w:bottom w:val="none" w:sz="0" w:space="0" w:color="auto"/>
        <w:right w:val="none" w:sz="0" w:space="0" w:color="auto"/>
      </w:divBdr>
      <w:divsChild>
        <w:div w:id="1019356644">
          <w:marLeft w:val="0"/>
          <w:marRight w:val="0"/>
          <w:marTop w:val="240"/>
          <w:marBottom w:val="240"/>
          <w:divBdr>
            <w:top w:val="none" w:sz="0" w:space="0" w:color="auto"/>
            <w:left w:val="none" w:sz="0" w:space="0" w:color="auto"/>
            <w:bottom w:val="none" w:sz="0" w:space="0" w:color="auto"/>
            <w:right w:val="none" w:sz="0" w:space="0" w:color="auto"/>
          </w:divBdr>
        </w:div>
        <w:div w:id="913783177">
          <w:marLeft w:val="0"/>
          <w:marRight w:val="0"/>
          <w:marTop w:val="240"/>
          <w:marBottom w:val="240"/>
          <w:divBdr>
            <w:top w:val="none" w:sz="0" w:space="0" w:color="auto"/>
            <w:left w:val="none" w:sz="0" w:space="0" w:color="auto"/>
            <w:bottom w:val="none" w:sz="0" w:space="0" w:color="auto"/>
            <w:right w:val="none" w:sz="0" w:space="0" w:color="auto"/>
          </w:divBdr>
        </w:div>
        <w:div w:id="1712922063">
          <w:marLeft w:val="0"/>
          <w:marRight w:val="0"/>
          <w:marTop w:val="240"/>
          <w:marBottom w:val="240"/>
          <w:divBdr>
            <w:top w:val="none" w:sz="0" w:space="0" w:color="auto"/>
            <w:left w:val="none" w:sz="0" w:space="0" w:color="auto"/>
            <w:bottom w:val="none" w:sz="0" w:space="0" w:color="auto"/>
            <w:right w:val="none" w:sz="0" w:space="0" w:color="auto"/>
          </w:divBdr>
        </w:div>
        <w:div w:id="811169077">
          <w:marLeft w:val="0"/>
          <w:marRight w:val="0"/>
          <w:marTop w:val="240"/>
          <w:marBottom w:val="240"/>
          <w:divBdr>
            <w:top w:val="none" w:sz="0" w:space="0" w:color="auto"/>
            <w:left w:val="none" w:sz="0" w:space="0" w:color="auto"/>
            <w:bottom w:val="none" w:sz="0" w:space="0" w:color="auto"/>
            <w:right w:val="none" w:sz="0" w:space="0" w:color="auto"/>
          </w:divBdr>
        </w:div>
        <w:div w:id="674960892">
          <w:marLeft w:val="0"/>
          <w:marRight w:val="0"/>
          <w:marTop w:val="240"/>
          <w:marBottom w:val="240"/>
          <w:divBdr>
            <w:top w:val="none" w:sz="0" w:space="0" w:color="auto"/>
            <w:left w:val="none" w:sz="0" w:space="0" w:color="auto"/>
            <w:bottom w:val="none" w:sz="0" w:space="0" w:color="auto"/>
            <w:right w:val="none" w:sz="0" w:space="0" w:color="auto"/>
          </w:divBdr>
        </w:div>
        <w:div w:id="1735663490">
          <w:marLeft w:val="0"/>
          <w:marRight w:val="0"/>
          <w:marTop w:val="0"/>
          <w:marBottom w:val="0"/>
          <w:divBdr>
            <w:top w:val="none" w:sz="0" w:space="0" w:color="auto"/>
            <w:left w:val="none" w:sz="0" w:space="0" w:color="auto"/>
            <w:bottom w:val="none" w:sz="0" w:space="0" w:color="auto"/>
            <w:right w:val="none" w:sz="0" w:space="0" w:color="auto"/>
          </w:divBdr>
        </w:div>
      </w:divsChild>
    </w:div>
    <w:div w:id="1426881832">
      <w:bodyDiv w:val="1"/>
      <w:marLeft w:val="0"/>
      <w:marRight w:val="0"/>
      <w:marTop w:val="0"/>
      <w:marBottom w:val="0"/>
      <w:divBdr>
        <w:top w:val="none" w:sz="0" w:space="0" w:color="auto"/>
        <w:left w:val="none" w:sz="0" w:space="0" w:color="auto"/>
        <w:bottom w:val="none" w:sz="0" w:space="0" w:color="auto"/>
        <w:right w:val="none" w:sz="0" w:space="0" w:color="auto"/>
      </w:divBdr>
      <w:divsChild>
        <w:div w:id="1832601717">
          <w:marLeft w:val="0"/>
          <w:marRight w:val="0"/>
          <w:marTop w:val="0"/>
          <w:marBottom w:val="0"/>
          <w:divBdr>
            <w:top w:val="none" w:sz="0" w:space="0" w:color="auto"/>
            <w:left w:val="none" w:sz="0" w:space="0" w:color="auto"/>
            <w:bottom w:val="none" w:sz="0" w:space="0" w:color="auto"/>
            <w:right w:val="none" w:sz="0" w:space="0" w:color="auto"/>
          </w:divBdr>
          <w:divsChild>
            <w:div w:id="1356881165">
              <w:marLeft w:val="0"/>
              <w:marRight w:val="0"/>
              <w:marTop w:val="0"/>
              <w:marBottom w:val="0"/>
              <w:divBdr>
                <w:top w:val="none" w:sz="0" w:space="0" w:color="auto"/>
                <w:left w:val="none" w:sz="0" w:space="0" w:color="auto"/>
                <w:bottom w:val="none" w:sz="0" w:space="0" w:color="auto"/>
                <w:right w:val="none" w:sz="0" w:space="0" w:color="auto"/>
              </w:divBdr>
              <w:divsChild>
                <w:div w:id="1580168759">
                  <w:marLeft w:val="0"/>
                  <w:marRight w:val="0"/>
                  <w:marTop w:val="0"/>
                  <w:marBottom w:val="0"/>
                  <w:divBdr>
                    <w:top w:val="none" w:sz="0" w:space="0" w:color="auto"/>
                    <w:left w:val="none" w:sz="0" w:space="0" w:color="auto"/>
                    <w:bottom w:val="none" w:sz="0" w:space="0" w:color="auto"/>
                    <w:right w:val="none" w:sz="0" w:space="0" w:color="auto"/>
                  </w:divBdr>
                  <w:divsChild>
                    <w:div w:id="2030448358">
                      <w:marLeft w:val="0"/>
                      <w:marRight w:val="0"/>
                      <w:marTop w:val="0"/>
                      <w:marBottom w:val="0"/>
                      <w:divBdr>
                        <w:top w:val="none" w:sz="0" w:space="0" w:color="auto"/>
                        <w:left w:val="none" w:sz="0" w:space="0" w:color="auto"/>
                        <w:bottom w:val="none" w:sz="0" w:space="0" w:color="auto"/>
                        <w:right w:val="none" w:sz="0" w:space="0" w:color="auto"/>
                      </w:divBdr>
                      <w:divsChild>
                        <w:div w:id="1604721499">
                          <w:marLeft w:val="0"/>
                          <w:marRight w:val="0"/>
                          <w:marTop w:val="0"/>
                          <w:marBottom w:val="0"/>
                          <w:divBdr>
                            <w:top w:val="none" w:sz="0" w:space="0" w:color="auto"/>
                            <w:left w:val="none" w:sz="0" w:space="0" w:color="auto"/>
                            <w:bottom w:val="none" w:sz="0" w:space="0" w:color="auto"/>
                            <w:right w:val="none" w:sz="0" w:space="0" w:color="auto"/>
                          </w:divBdr>
                          <w:divsChild>
                            <w:div w:id="282270414">
                              <w:marLeft w:val="0"/>
                              <w:marRight w:val="0"/>
                              <w:marTop w:val="0"/>
                              <w:marBottom w:val="0"/>
                              <w:divBdr>
                                <w:top w:val="none" w:sz="0" w:space="0" w:color="auto"/>
                                <w:left w:val="none" w:sz="0" w:space="0" w:color="auto"/>
                                <w:bottom w:val="none" w:sz="0" w:space="0" w:color="auto"/>
                                <w:right w:val="none" w:sz="0" w:space="0" w:color="auto"/>
                              </w:divBdr>
                              <w:divsChild>
                                <w:div w:id="1997372685">
                                  <w:marLeft w:val="0"/>
                                  <w:marRight w:val="0"/>
                                  <w:marTop w:val="0"/>
                                  <w:marBottom w:val="0"/>
                                  <w:divBdr>
                                    <w:top w:val="none" w:sz="0" w:space="0" w:color="auto"/>
                                    <w:left w:val="none" w:sz="0" w:space="0" w:color="auto"/>
                                    <w:bottom w:val="none" w:sz="0" w:space="0" w:color="auto"/>
                                    <w:right w:val="none" w:sz="0" w:space="0" w:color="auto"/>
                                  </w:divBdr>
                                  <w:divsChild>
                                    <w:div w:id="1303386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0747279">
                      <w:marLeft w:val="0"/>
                      <w:marRight w:val="0"/>
                      <w:marTop w:val="0"/>
                      <w:marBottom w:val="0"/>
                      <w:divBdr>
                        <w:top w:val="none" w:sz="0" w:space="0" w:color="auto"/>
                        <w:left w:val="none" w:sz="0" w:space="0" w:color="auto"/>
                        <w:bottom w:val="none" w:sz="0" w:space="0" w:color="auto"/>
                        <w:right w:val="none" w:sz="0" w:space="0" w:color="auto"/>
                      </w:divBdr>
                      <w:divsChild>
                        <w:div w:id="900364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36370921">
      <w:bodyDiv w:val="1"/>
      <w:marLeft w:val="0"/>
      <w:marRight w:val="0"/>
      <w:marTop w:val="0"/>
      <w:marBottom w:val="0"/>
      <w:divBdr>
        <w:top w:val="none" w:sz="0" w:space="0" w:color="auto"/>
        <w:left w:val="none" w:sz="0" w:space="0" w:color="auto"/>
        <w:bottom w:val="none" w:sz="0" w:space="0" w:color="auto"/>
        <w:right w:val="none" w:sz="0" w:space="0" w:color="auto"/>
      </w:divBdr>
    </w:div>
    <w:div w:id="1755318731">
      <w:bodyDiv w:val="1"/>
      <w:marLeft w:val="0"/>
      <w:marRight w:val="0"/>
      <w:marTop w:val="0"/>
      <w:marBottom w:val="0"/>
      <w:divBdr>
        <w:top w:val="none" w:sz="0" w:space="0" w:color="auto"/>
        <w:left w:val="none" w:sz="0" w:space="0" w:color="auto"/>
        <w:bottom w:val="none" w:sz="0" w:space="0" w:color="auto"/>
        <w:right w:val="none" w:sz="0" w:space="0" w:color="auto"/>
      </w:divBdr>
      <w:divsChild>
        <w:div w:id="1899592415">
          <w:marLeft w:val="0"/>
          <w:marRight w:val="0"/>
          <w:marTop w:val="0"/>
          <w:marBottom w:val="0"/>
          <w:divBdr>
            <w:top w:val="none" w:sz="0" w:space="0" w:color="auto"/>
            <w:left w:val="none" w:sz="0" w:space="0" w:color="auto"/>
            <w:bottom w:val="none" w:sz="0" w:space="0" w:color="auto"/>
            <w:right w:val="none" w:sz="0" w:space="0" w:color="auto"/>
          </w:divBdr>
        </w:div>
        <w:div w:id="236132183">
          <w:marLeft w:val="0"/>
          <w:marRight w:val="0"/>
          <w:marTop w:val="0"/>
          <w:marBottom w:val="0"/>
          <w:divBdr>
            <w:top w:val="none" w:sz="0" w:space="0" w:color="auto"/>
            <w:left w:val="none" w:sz="0" w:space="0" w:color="auto"/>
            <w:bottom w:val="none" w:sz="0" w:space="0" w:color="auto"/>
            <w:right w:val="none" w:sz="0" w:space="0" w:color="auto"/>
          </w:divBdr>
          <w:divsChild>
            <w:div w:id="1629360706">
              <w:marLeft w:val="0"/>
              <w:marRight w:val="0"/>
              <w:marTop w:val="0"/>
              <w:marBottom w:val="0"/>
              <w:divBdr>
                <w:top w:val="none" w:sz="0" w:space="0" w:color="auto"/>
                <w:left w:val="none" w:sz="0" w:space="0" w:color="auto"/>
                <w:bottom w:val="none" w:sz="0" w:space="0" w:color="auto"/>
                <w:right w:val="none" w:sz="0" w:space="0" w:color="auto"/>
              </w:divBdr>
              <w:divsChild>
                <w:div w:id="415788669">
                  <w:marLeft w:val="0"/>
                  <w:marRight w:val="0"/>
                  <w:marTop w:val="0"/>
                  <w:marBottom w:val="0"/>
                  <w:divBdr>
                    <w:top w:val="none" w:sz="0" w:space="0" w:color="auto"/>
                    <w:left w:val="none" w:sz="0" w:space="0" w:color="auto"/>
                    <w:bottom w:val="none" w:sz="0" w:space="0" w:color="auto"/>
                    <w:right w:val="none" w:sz="0" w:space="0" w:color="auto"/>
                  </w:divBdr>
                  <w:divsChild>
                    <w:div w:id="1919439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2967862">
      <w:bodyDiv w:val="1"/>
      <w:marLeft w:val="0"/>
      <w:marRight w:val="0"/>
      <w:marTop w:val="0"/>
      <w:marBottom w:val="0"/>
      <w:divBdr>
        <w:top w:val="none" w:sz="0" w:space="0" w:color="auto"/>
        <w:left w:val="none" w:sz="0" w:space="0" w:color="auto"/>
        <w:bottom w:val="none" w:sz="0" w:space="0" w:color="auto"/>
        <w:right w:val="none" w:sz="0" w:space="0" w:color="auto"/>
      </w:divBdr>
      <w:divsChild>
        <w:div w:id="472600024">
          <w:marLeft w:val="0"/>
          <w:marRight w:val="0"/>
          <w:marTop w:val="0"/>
          <w:marBottom w:val="0"/>
          <w:divBdr>
            <w:top w:val="none" w:sz="0" w:space="0" w:color="auto"/>
            <w:left w:val="none" w:sz="0" w:space="0" w:color="auto"/>
            <w:bottom w:val="none" w:sz="0" w:space="0" w:color="auto"/>
            <w:right w:val="none" w:sz="0" w:space="0" w:color="auto"/>
          </w:divBdr>
          <w:divsChild>
            <w:div w:id="501510409">
              <w:marLeft w:val="0"/>
              <w:marRight w:val="0"/>
              <w:marTop w:val="0"/>
              <w:marBottom w:val="0"/>
              <w:divBdr>
                <w:top w:val="none" w:sz="0" w:space="0" w:color="auto"/>
                <w:left w:val="none" w:sz="0" w:space="0" w:color="auto"/>
                <w:bottom w:val="none" w:sz="0" w:space="0" w:color="auto"/>
                <w:right w:val="none" w:sz="0" w:space="0" w:color="auto"/>
              </w:divBdr>
              <w:divsChild>
                <w:div w:id="1744378262">
                  <w:marLeft w:val="0"/>
                  <w:marRight w:val="0"/>
                  <w:marTop w:val="0"/>
                  <w:marBottom w:val="0"/>
                  <w:divBdr>
                    <w:top w:val="none" w:sz="0" w:space="0" w:color="auto"/>
                    <w:left w:val="none" w:sz="0" w:space="0" w:color="auto"/>
                    <w:bottom w:val="none" w:sz="0" w:space="0" w:color="auto"/>
                    <w:right w:val="none" w:sz="0" w:space="0" w:color="auto"/>
                  </w:divBdr>
                  <w:divsChild>
                    <w:div w:id="1851673524">
                      <w:marLeft w:val="0"/>
                      <w:marRight w:val="0"/>
                      <w:marTop w:val="0"/>
                      <w:marBottom w:val="0"/>
                      <w:divBdr>
                        <w:top w:val="none" w:sz="0" w:space="0" w:color="auto"/>
                        <w:left w:val="none" w:sz="0" w:space="0" w:color="auto"/>
                        <w:bottom w:val="none" w:sz="0" w:space="0" w:color="auto"/>
                        <w:right w:val="none" w:sz="0" w:space="0" w:color="auto"/>
                      </w:divBdr>
                      <w:divsChild>
                        <w:div w:id="567113903">
                          <w:marLeft w:val="0"/>
                          <w:marRight w:val="0"/>
                          <w:marTop w:val="0"/>
                          <w:marBottom w:val="0"/>
                          <w:divBdr>
                            <w:top w:val="none" w:sz="0" w:space="0" w:color="auto"/>
                            <w:left w:val="none" w:sz="0" w:space="0" w:color="auto"/>
                            <w:bottom w:val="none" w:sz="0" w:space="0" w:color="auto"/>
                            <w:right w:val="none" w:sz="0" w:space="0" w:color="auto"/>
                          </w:divBdr>
                          <w:divsChild>
                            <w:div w:id="1421099994">
                              <w:marLeft w:val="0"/>
                              <w:marRight w:val="0"/>
                              <w:marTop w:val="0"/>
                              <w:marBottom w:val="0"/>
                              <w:divBdr>
                                <w:top w:val="none" w:sz="0" w:space="0" w:color="auto"/>
                                <w:left w:val="none" w:sz="0" w:space="0" w:color="auto"/>
                                <w:bottom w:val="none" w:sz="0" w:space="0" w:color="auto"/>
                                <w:right w:val="none" w:sz="0" w:space="0" w:color="auto"/>
                              </w:divBdr>
                              <w:divsChild>
                                <w:div w:id="2033142121">
                                  <w:marLeft w:val="0"/>
                                  <w:marRight w:val="0"/>
                                  <w:marTop w:val="0"/>
                                  <w:marBottom w:val="0"/>
                                  <w:divBdr>
                                    <w:top w:val="none" w:sz="0" w:space="0" w:color="auto"/>
                                    <w:left w:val="none" w:sz="0" w:space="0" w:color="auto"/>
                                    <w:bottom w:val="none" w:sz="0" w:space="0" w:color="auto"/>
                                    <w:right w:val="none" w:sz="0" w:space="0" w:color="auto"/>
                                  </w:divBdr>
                                  <w:divsChild>
                                    <w:div w:id="440758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9943851">
                      <w:marLeft w:val="0"/>
                      <w:marRight w:val="0"/>
                      <w:marTop w:val="0"/>
                      <w:marBottom w:val="0"/>
                      <w:divBdr>
                        <w:top w:val="none" w:sz="0" w:space="0" w:color="auto"/>
                        <w:left w:val="none" w:sz="0" w:space="0" w:color="auto"/>
                        <w:bottom w:val="none" w:sz="0" w:space="0" w:color="auto"/>
                        <w:right w:val="none" w:sz="0" w:space="0" w:color="auto"/>
                      </w:divBdr>
                      <w:divsChild>
                        <w:div w:id="1191988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cdn2.f-cdn.com/files/download/153252564/P%26G%20report.pdf" TargetMode="External"/><Relationship Id="rId26" Type="http://schemas.openxmlformats.org/officeDocument/2006/relationships/hyperlink" Target="https://supplychaindigital.com/news/p-g-advances-esg-sustainability-goals-supply-chain-impact?utm_source=chatgpt.com" TargetMode="External"/><Relationship Id="rId39" Type="http://schemas.openxmlformats.org/officeDocument/2006/relationships/hyperlink" Target="https://arxiv.org/abs/2311.18351?utm_source=chatgpt.com" TargetMode="External"/><Relationship Id="rId21" Type="http://schemas.openxmlformats.org/officeDocument/2006/relationships/hyperlink" Target="https://www.annualreports.com/HostedData/AnnualReportArchive/p/NYSE_PG_2023.pdf" TargetMode="External"/><Relationship Id="rId34" Type="http://schemas.openxmlformats.org/officeDocument/2006/relationships/hyperlink" Target="https://www.upi.com/Archives/1992/12/17/PG-to-control-joint-venture-in-India/4291724568400/?utm_source=chatgpt.com" TargetMode="External"/><Relationship Id="rId42" Type="http://schemas.openxmlformats.org/officeDocument/2006/relationships/hyperlink" Target="https://s204.q4cdn.com/332108499/files/doc_financials/2024/ar/2024_annual_report.pdf?utm_source=chatgpt.com" TargetMode="External"/><Relationship Id="rId47" Type="http://schemas.openxmlformats.org/officeDocument/2006/relationships/hyperlink" Target="https://doi.org/10.1177/1069031X211006789" TargetMode="External"/><Relationship Id="rId50"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pvpmobile.pg.com/vision.html?utm_source=chatgpt.com" TargetMode="External"/><Relationship Id="rId29" Type="http://schemas.openxmlformats.org/officeDocument/2006/relationships/hyperlink" Target="https://ecampusontario.pressbooks.pub/globalmarketing/chapter/6-1-international-entry-modes/?utm_source=chatgpt.com" TargetMode="External"/><Relationship Id="rId11" Type="http://schemas.openxmlformats.org/officeDocument/2006/relationships/image" Target="media/image4.png"/><Relationship Id="rId24" Type="http://schemas.openxmlformats.org/officeDocument/2006/relationships/hyperlink" Target="https://www.hbs.edu/faculty/Pages/item.aspx?num=32&amp;utm_source=chatgpt.com" TargetMode="External"/><Relationship Id="rId32" Type="http://schemas.openxmlformats.org/officeDocument/2006/relationships/hyperlink" Target="https://www.e-elgar.com/shop/gbp/eid/3215?utm_source=chatgpt.com" TargetMode="External"/><Relationship Id="rId37" Type="http://schemas.openxmlformats.org/officeDocument/2006/relationships/hyperlink" Target="https://www.researchgate.net/publication/396776857_Procter_Gamble_Mastering_Global_Markets_Through_Innovation_Strategy_and_Consumer_Excellence" TargetMode="External"/><Relationship Id="rId40" Type="http://schemas.openxmlformats.org/officeDocument/2006/relationships/hyperlink" Target="https://www.business-to-you.com/choosing-the-right-entry-mode-strategy/?utm_source=chatgpt.com" TargetMode="External"/><Relationship Id="rId45" Type="http://schemas.openxmlformats.org/officeDocument/2006/relationships/hyperlink" Target="https://www.pearson.com/en-gb/subject-catalog/p/exploring-strategy/P200000003263" TargetMode="External"/><Relationship Id="rId5" Type="http://schemas.openxmlformats.org/officeDocument/2006/relationships/webSettings" Target="webSettings.xml"/><Relationship Id="rId15" Type="http://schemas.openxmlformats.org/officeDocument/2006/relationships/hyperlink" Target="https://www.britannica.com/money/Procter-and-Gamble-Company?utm_source=chatgpt.com" TargetMode="External"/><Relationship Id="rId23" Type="http://schemas.openxmlformats.org/officeDocument/2006/relationships/hyperlink" Target="https://www.hbs.edu/faculty/Pages/item.aspx?num=32&amp;utm_source=chatgpt.com" TargetMode="External"/><Relationship Id="rId28" Type="http://schemas.openxmlformats.org/officeDocument/2006/relationships/hyperlink" Target="https://sg.linkedin.com/company/pgsingapore-innovation-center" TargetMode="External"/><Relationship Id="rId36" Type="http://schemas.openxmlformats.org/officeDocument/2006/relationships/hyperlink" Target="https://centaur.reading.ac.uk/82782/10/Wei-Nguyen2019_Article_LocalResponsivenessStrategyOfF.pdf?utm_source=chatgpt.com" TargetMode="External"/><Relationship Id="rId49" Type="http://schemas.openxmlformats.org/officeDocument/2006/relationships/hyperlink" Target="https://doi.org/10.1080/13675567.2021.1890935" TargetMode="External"/><Relationship Id="rId10" Type="http://schemas.openxmlformats.org/officeDocument/2006/relationships/image" Target="media/image3.png"/><Relationship Id="rId19" Type="http://schemas.openxmlformats.org/officeDocument/2006/relationships/hyperlink" Target="https://www.linkedin.com/pulse/5-things-i-learnt-branding-marketing-from-pg-daylon-soh-%E8%8B%8F%E5%A4%A7%E7%AB%A0?utm_source=chatgpt.com" TargetMode="External"/><Relationship Id="rId31" Type="http://schemas.openxmlformats.org/officeDocument/2006/relationships/hyperlink" Target="https://us.pg.com/blogs/pg-microsoft-accelerate-digital-manufacturing/?utm_source=chatgpt.com" TargetMode="External"/><Relationship Id="rId44" Type="http://schemas.openxmlformats.org/officeDocument/2006/relationships/hyperlink" Target="https://www.ft.com"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marketingweek.com/pg-presses-on-with-marketing-efficiency-drive-as-sales-projections-fall/?utm_source=chatgpt.com" TargetMode="External"/><Relationship Id="rId27" Type="http://schemas.openxmlformats.org/officeDocument/2006/relationships/hyperlink" Target="https://www.theculturefactor.com/country-comparison-tool?countries=india%2Cunited+kingdom" TargetMode="External"/><Relationship Id="rId30" Type="http://schemas.openxmlformats.org/officeDocument/2006/relationships/hyperlink" Target="https://pgnewsroom.de/pressemeldungen/pressemitteilung-details/2023/Procter--Gamble-and-Fraunhofer-intensify-collaboration-and-launch-new-innovation-platform/default.aspx?utm_source=chatgpt.com" TargetMode="External"/><Relationship Id="rId35" Type="http://schemas.openxmlformats.org/officeDocument/2006/relationships/hyperlink" Target="https://www.warc.com/newsandopinion/news/pg-adapts-approach-in-emerging-markets/engb/26080" TargetMode="External"/><Relationship Id="rId43" Type="http://schemas.openxmlformats.org/officeDocument/2006/relationships/hyperlink" Target="https://repository.gctu.edu.gh/items/show/1224?utm_source=chatgpt.com" TargetMode="External"/><Relationship Id="rId48" Type="http://schemas.openxmlformats.org/officeDocument/2006/relationships/hyperlink" Target="https://doi.org/10.9707/2307-0919.1014" TargetMode="External"/><Relationship Id="rId8" Type="http://schemas.openxmlformats.org/officeDocument/2006/relationships/image" Target="media/image1.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pg.co.uk/policies-and-practices/purpose-values-and-principles/?utm_source=chatgpt.com" TargetMode="External"/><Relationship Id="rId25" Type="http://schemas.openxmlformats.org/officeDocument/2006/relationships/hyperlink" Target="https://us.pg.com/" TargetMode="External"/><Relationship Id="rId33" Type="http://schemas.openxmlformats.org/officeDocument/2006/relationships/hyperlink" Target="https://www.marketscreener.com/quote/stock/PROCTER-GAMBLE-COMPANY-4838/news/The-Procter-Gamble-Company-NYSE-PG-completed-the-acquisition-of-Mielle-Organics-LLC-43156421/?utm_source=chatgpt.com" TargetMode="External"/><Relationship Id="rId38" Type="http://schemas.openxmlformats.org/officeDocument/2006/relationships/hyperlink" Target="https://www.sciencedirect.com/science/article/pii/S2405844024018504?utm_source=chatgpt.com" TargetMode="External"/><Relationship Id="rId46" Type="http://schemas.openxmlformats.org/officeDocument/2006/relationships/hyperlink" Target="https://www.economist.com/business" TargetMode="External"/><Relationship Id="rId20" Type="http://schemas.openxmlformats.org/officeDocument/2006/relationships/hyperlink" Target="https://us.pg.com/pg-history/?utm_source=chatgpt.com" TargetMode="External"/><Relationship Id="rId41" Type="http://schemas.openxmlformats.org/officeDocument/2006/relationships/hyperlink" Target="https://www.mdpi.com/2071-1050/16/9/3787?utm_source=chatgpt.com"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E154538-0FAB-42F9-8964-0C72DDA0B96D}">
  <we:reference id="wa104380122" version="2.1.0.2" store="en-US" storeType="OMEX"/>
  <we:alternateReferences>
    <we:reference id="wa104380122" version="2.1.0.2" store="wa104380122" storeType="OMEX"/>
  </we:alternateReferences>
  <we:properties>
    <we:property name="currentFolder" value="{&quot;depth&quot;:0,&quot;id&quot;:&quot;all&quot;,&quot;name&quot;:&quot;All references&quot;,&quot;parentId&quot;:null,&quot;position&quot;:-2,&quot;isShared&quot;:false}"/>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cm.version" value="2"/>
    <we:property name="rw.userId" value="&quot;user:685d5ec8d6472710204e997b&quot;"/>
    <we:property name="rw.subscriberId" value="&quot;0&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1773D-DE65-744A-A759-0F69C21537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2090</TotalTime>
  <Pages>25</Pages>
  <Words>7378</Words>
  <Characters>42060</Characters>
  <Application>Microsoft Office Word</Application>
  <DocSecurity>0</DocSecurity>
  <Lines>350</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Maazouz</dc:creator>
  <cp:keywords/>
  <dc:description/>
  <cp:lastModifiedBy>Jay Prajapati</cp:lastModifiedBy>
  <cp:revision>857</cp:revision>
  <dcterms:created xsi:type="dcterms:W3CDTF">2025-07-08T17:40:00Z</dcterms:created>
  <dcterms:modified xsi:type="dcterms:W3CDTF">2025-12-15T11:42:00Z</dcterms:modified>
</cp:coreProperties>
</file>