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52E7" w:rsidRDefault="00A2309A" w:rsidP="00A2309A">
      <w:pPr>
        <w:pStyle w:val="Title"/>
        <w:jc w:val="center"/>
        <w:rPr>
          <w:rStyle w:val="BookTitle"/>
        </w:rPr>
      </w:pPr>
      <w:r>
        <w:rPr>
          <w:rStyle w:val="BookTitle"/>
        </w:rPr>
        <w:t>Reflective Essay</w:t>
      </w:r>
    </w:p>
    <w:p w:rsidR="00A2309A" w:rsidRDefault="00A2309A" w:rsidP="00410982">
      <w:pPr>
        <w:spacing w:line="360" w:lineRule="auto"/>
      </w:pPr>
    </w:p>
    <w:p w:rsidR="00A2309A" w:rsidRDefault="0041079B" w:rsidP="00C60A97">
      <w:pPr>
        <w:spacing w:line="360" w:lineRule="auto"/>
        <w:rPr>
          <w:sz w:val="24"/>
          <w:szCs w:val="24"/>
        </w:rPr>
      </w:pPr>
      <w:r w:rsidRPr="0038531F">
        <w:rPr>
          <w:sz w:val="24"/>
          <w:szCs w:val="24"/>
        </w:rPr>
        <w:t xml:space="preserve">This essay will be </w:t>
      </w:r>
      <w:r w:rsidR="00FF06E0" w:rsidRPr="0038531F">
        <w:rPr>
          <w:sz w:val="24"/>
          <w:szCs w:val="24"/>
        </w:rPr>
        <w:t xml:space="preserve">transferring </w:t>
      </w:r>
      <w:r w:rsidRPr="0038531F">
        <w:rPr>
          <w:sz w:val="24"/>
          <w:szCs w:val="24"/>
        </w:rPr>
        <w:t>direct experience</w:t>
      </w:r>
      <w:r w:rsidR="0038531F" w:rsidRPr="0038531F">
        <w:rPr>
          <w:sz w:val="24"/>
          <w:szCs w:val="24"/>
        </w:rPr>
        <w:t xml:space="preserve"> in e</w:t>
      </w:r>
      <w:r w:rsidR="00A2309A" w:rsidRPr="0038531F">
        <w:rPr>
          <w:sz w:val="24"/>
          <w:szCs w:val="24"/>
        </w:rPr>
        <w:t>ducational enviro</w:t>
      </w:r>
      <w:r w:rsidR="0038531F" w:rsidRPr="0038531F">
        <w:rPr>
          <w:sz w:val="24"/>
          <w:szCs w:val="24"/>
        </w:rPr>
        <w:t>nments into an informative piece on how policy and school environments can directly effect as well as enhance learning</w:t>
      </w:r>
      <w:r w:rsidR="00A2309A" w:rsidRPr="0038531F">
        <w:rPr>
          <w:sz w:val="24"/>
          <w:szCs w:val="24"/>
        </w:rPr>
        <w:t>.</w:t>
      </w:r>
      <w:r w:rsidRPr="0038531F">
        <w:rPr>
          <w:sz w:val="24"/>
          <w:szCs w:val="24"/>
        </w:rPr>
        <w:t xml:space="preserve"> The places observed here are a Year 2 class in Ysgol Bro Pedr, which primarily spoke English</w:t>
      </w:r>
      <w:r w:rsidR="0038531F" w:rsidRPr="0038531F">
        <w:rPr>
          <w:sz w:val="24"/>
          <w:szCs w:val="24"/>
        </w:rPr>
        <w:t>,</w:t>
      </w:r>
      <w:r w:rsidRPr="0038531F">
        <w:rPr>
          <w:sz w:val="24"/>
          <w:szCs w:val="24"/>
        </w:rPr>
        <w:t xml:space="preserve"> and a joint year 5/6 class which spoke Welsh</w:t>
      </w:r>
      <w:r w:rsidR="00FF06E0" w:rsidRPr="0038531F">
        <w:rPr>
          <w:sz w:val="24"/>
          <w:szCs w:val="24"/>
        </w:rPr>
        <w:t xml:space="preserve"> the majority of the time (85%).</w:t>
      </w:r>
      <w:r w:rsidR="007E61BA" w:rsidRPr="0038531F">
        <w:rPr>
          <w:sz w:val="24"/>
          <w:szCs w:val="24"/>
        </w:rPr>
        <w:t xml:space="preserve"> </w:t>
      </w:r>
      <w:r w:rsidR="0038531F" w:rsidRPr="0038531F">
        <w:rPr>
          <w:sz w:val="24"/>
          <w:szCs w:val="24"/>
        </w:rPr>
        <w:t xml:space="preserve">The first topic to be explored in this essay will be how school policy towards healthy eating effects children’s diets and, therefore behaviour. After that, how Welsh medium schools effect children’s learning in </w:t>
      </w:r>
      <w:r w:rsidR="003B7E83">
        <w:rPr>
          <w:sz w:val="24"/>
          <w:szCs w:val="24"/>
        </w:rPr>
        <w:t>comparison to bilingual schools and how bi-</w:t>
      </w:r>
      <w:proofErr w:type="spellStart"/>
      <w:r w:rsidR="003B7E83">
        <w:rPr>
          <w:sz w:val="24"/>
          <w:szCs w:val="24"/>
        </w:rPr>
        <w:t>lingualism</w:t>
      </w:r>
      <w:proofErr w:type="spellEnd"/>
      <w:r w:rsidR="003B7E83">
        <w:rPr>
          <w:sz w:val="24"/>
          <w:szCs w:val="24"/>
        </w:rPr>
        <w:t xml:space="preserve"> is a positive influence on children’s learning and brain development.</w:t>
      </w:r>
      <w:r w:rsidR="004B0C65">
        <w:rPr>
          <w:sz w:val="24"/>
          <w:szCs w:val="24"/>
        </w:rPr>
        <w:t xml:space="preserve"> The last thing this essay will be looking at is the role of TA’s in the classroom.</w:t>
      </w:r>
    </w:p>
    <w:p w:rsidR="001339FA" w:rsidRPr="0038531F" w:rsidRDefault="001339FA" w:rsidP="00C60A97">
      <w:pPr>
        <w:spacing w:line="360" w:lineRule="auto"/>
        <w:rPr>
          <w:sz w:val="24"/>
          <w:szCs w:val="24"/>
        </w:rPr>
      </w:pPr>
    </w:p>
    <w:p w:rsidR="0038531F" w:rsidRPr="0038531F" w:rsidRDefault="0038531F" w:rsidP="00C60A97">
      <w:pPr>
        <w:spacing w:line="360" w:lineRule="auto"/>
        <w:rPr>
          <w:sz w:val="24"/>
          <w:szCs w:val="24"/>
        </w:rPr>
      </w:pPr>
      <w:r w:rsidRPr="0038531F">
        <w:rPr>
          <w:sz w:val="24"/>
          <w:szCs w:val="24"/>
        </w:rPr>
        <w:t>Children in Ysgol Bro Pedr have a lower free school meal rate and in general more children from Year 2 had packed lunch. More children in Ysgol Y Dderi had school dinners, free and paid for</w:t>
      </w:r>
      <w:r w:rsidRPr="0038531F">
        <w:rPr>
          <w:rStyle w:val="FootnoteReference"/>
          <w:sz w:val="24"/>
          <w:szCs w:val="24"/>
        </w:rPr>
        <w:footnoteReference w:id="1"/>
      </w:r>
      <w:r w:rsidR="002E224F">
        <w:rPr>
          <w:rStyle w:val="FootnoteReference"/>
          <w:sz w:val="24"/>
          <w:szCs w:val="24"/>
        </w:rPr>
        <w:footnoteReference w:id="2"/>
      </w:r>
      <w:r w:rsidRPr="0038531F">
        <w:rPr>
          <w:sz w:val="24"/>
          <w:szCs w:val="24"/>
        </w:rPr>
        <w:t>. It is well known that our sugar intake and diet effects our behaviour as well as our future health levels, in Wales 97% of schools schools dinners are provided by the in-house choice of the LEA</w:t>
      </w:r>
      <w:r w:rsidRPr="0038531F">
        <w:rPr>
          <w:rStyle w:val="FootnoteReference"/>
          <w:sz w:val="24"/>
          <w:szCs w:val="24"/>
        </w:rPr>
        <w:footnoteReference w:id="3"/>
      </w:r>
      <w:r w:rsidRPr="0038531F">
        <w:rPr>
          <w:sz w:val="24"/>
          <w:szCs w:val="24"/>
        </w:rPr>
        <w:t>. This can be an issue because of the LEA will often choose the cheapest option rather than the more healthy one</w:t>
      </w:r>
      <w:r w:rsidRPr="0038531F">
        <w:rPr>
          <w:rStyle w:val="FootnoteReference"/>
          <w:sz w:val="24"/>
          <w:szCs w:val="24"/>
        </w:rPr>
        <w:footnoteReference w:id="4"/>
      </w:r>
      <w:r w:rsidRPr="0038531F">
        <w:rPr>
          <w:sz w:val="24"/>
          <w:szCs w:val="24"/>
        </w:rPr>
        <w:t>. Tailoring the menu to the children’s preferences also becomes an issue as many children simply will not eat the healthier meals, therefore effecting their health negatively. This means that providers often choose the unhealthier option knowing that the children are more likely to eat it</w:t>
      </w:r>
      <w:r w:rsidRPr="0038531F">
        <w:rPr>
          <w:rStyle w:val="FootnoteReference"/>
          <w:sz w:val="24"/>
          <w:szCs w:val="24"/>
        </w:rPr>
        <w:footnoteReference w:id="5"/>
      </w:r>
      <w:r w:rsidRPr="0038531F">
        <w:rPr>
          <w:sz w:val="24"/>
          <w:szCs w:val="24"/>
        </w:rPr>
        <w:t xml:space="preserve">. ‘It has been recognised that the effectiveness of health education and behaviour change interventions targeted at individuals is often limited due to the salience of higher level social, contextual, </w:t>
      </w:r>
      <w:r w:rsidRPr="0038531F">
        <w:rPr>
          <w:sz w:val="24"/>
          <w:szCs w:val="24"/>
        </w:rPr>
        <w:lastRenderedPageBreak/>
        <w:t>environmental, community or policy factors</w:t>
      </w:r>
      <w:r w:rsidRPr="0038531F">
        <w:rPr>
          <w:rStyle w:val="FootnoteReference"/>
          <w:sz w:val="24"/>
          <w:szCs w:val="24"/>
        </w:rPr>
        <w:footnoteReference w:id="6"/>
      </w:r>
      <w:r w:rsidRPr="0038531F">
        <w:rPr>
          <w:sz w:val="24"/>
          <w:szCs w:val="24"/>
        </w:rPr>
        <w:t xml:space="preserve">.’ Packed lunches in Ysgol Y Dderi generally were noticeably healthier, this may have been because of the higher amount of food awareness which the children seemed to have in the school but it could also be contributed to the fact that many of the parents were from farming communities which often produce their own food products, therefore enabling their children to have an awareness of food processes. It could also be argued that this is because of some of the school policies, such as growing and selling fruits and vegetables on school site from spring to autumn year round, or from the cookery classes that the children have at least once a month (and children in the cookery club experienced weekly). Ysgol Bro Pedr, although having a tuckshop like its counterpart, did not involve children in the process of growing their own vegetables on site on a regular basis nor, from what was spoken, involves the children in cooking on a regular basis. School policies can therefore effect the children’s health awareness as well as their behaviour in school. The fact that children who ate more processed food and had a higher sugar intake at lunchtime were noticeably more distractive and disruptive after </w:t>
      </w:r>
      <w:r w:rsidR="00A90F95">
        <w:rPr>
          <w:sz w:val="24"/>
          <w:szCs w:val="24"/>
        </w:rPr>
        <w:t>their break further enforces this</w:t>
      </w:r>
      <w:r w:rsidRPr="0038531F">
        <w:rPr>
          <w:sz w:val="24"/>
          <w:szCs w:val="24"/>
        </w:rPr>
        <w:t xml:space="preserve"> general consensus by paediatric dieticians</w:t>
      </w:r>
      <w:r w:rsidRPr="0038531F">
        <w:rPr>
          <w:rStyle w:val="FootnoteReference"/>
          <w:sz w:val="24"/>
          <w:szCs w:val="24"/>
        </w:rPr>
        <w:footnoteReference w:id="7"/>
      </w:r>
      <w:r w:rsidRPr="0038531F">
        <w:rPr>
          <w:sz w:val="24"/>
          <w:szCs w:val="24"/>
        </w:rPr>
        <w:t xml:space="preserve">. </w:t>
      </w:r>
      <w:r w:rsidR="0012271A">
        <w:rPr>
          <w:sz w:val="24"/>
          <w:szCs w:val="24"/>
        </w:rPr>
        <w:t>The Welsh school curriculum includes the teaching of health and how food relates to it in Science in KS1 and KS2 but doesn’t specify that children have to be learning how to cook either, though this can be incorporated under the subject of Design and Technology</w:t>
      </w:r>
      <w:r w:rsidR="0012271A">
        <w:rPr>
          <w:rStyle w:val="FootnoteReference"/>
          <w:sz w:val="24"/>
          <w:szCs w:val="24"/>
        </w:rPr>
        <w:footnoteReference w:id="8"/>
      </w:r>
      <w:r w:rsidR="0012271A">
        <w:rPr>
          <w:sz w:val="24"/>
          <w:szCs w:val="24"/>
        </w:rPr>
        <w:t>.</w:t>
      </w:r>
    </w:p>
    <w:p w:rsidR="0038531F" w:rsidRPr="0038531F" w:rsidRDefault="0038531F" w:rsidP="00C60A97">
      <w:pPr>
        <w:spacing w:line="360" w:lineRule="auto"/>
        <w:rPr>
          <w:sz w:val="24"/>
          <w:szCs w:val="24"/>
        </w:rPr>
      </w:pPr>
    </w:p>
    <w:p w:rsidR="00454E53" w:rsidRDefault="0038531F" w:rsidP="00C60A97">
      <w:pPr>
        <w:spacing w:line="360" w:lineRule="auto"/>
        <w:rPr>
          <w:sz w:val="24"/>
          <w:szCs w:val="24"/>
        </w:rPr>
      </w:pPr>
      <w:r w:rsidRPr="0038531F">
        <w:rPr>
          <w:sz w:val="24"/>
          <w:szCs w:val="24"/>
        </w:rPr>
        <w:t>One thing which was noticed was the way that Welsh was integrated into the curriculum. It seemed as though the head teacher of Ysgol Y Dderi was extremely passionate about the Welsh language and how it was taught, even making volunteers work with the two older years as that was the time they started introducing English into the school. Ysgol Bro Pedr however, as a bilingual school, is supposed to do fully immersive welsh up until year 1 and then 50/50 in year 2. When year 2 finishes, the parents choose whether their child will continue onto the Welsh or English stream</w:t>
      </w:r>
      <w:r w:rsidR="00B41B9E">
        <w:rPr>
          <w:sz w:val="24"/>
          <w:szCs w:val="24"/>
        </w:rPr>
        <w:t xml:space="preserve">, this makes Ysgol Bro Pedr a type B bilingual </w:t>
      </w:r>
      <w:r w:rsidR="00B41B9E">
        <w:rPr>
          <w:sz w:val="24"/>
          <w:szCs w:val="24"/>
        </w:rPr>
        <w:lastRenderedPageBreak/>
        <w:t>school</w:t>
      </w:r>
      <w:r w:rsidR="00B41B9E">
        <w:rPr>
          <w:rStyle w:val="FootnoteReference"/>
          <w:sz w:val="24"/>
          <w:szCs w:val="24"/>
        </w:rPr>
        <w:footnoteReference w:id="9"/>
      </w:r>
      <w:r w:rsidRPr="0038531F">
        <w:rPr>
          <w:sz w:val="24"/>
          <w:szCs w:val="24"/>
        </w:rPr>
        <w:t>. Whilst observing in Bro Pedr, barely any Welsh was spoken in class and the Welsh spoken was very basic gree</w:t>
      </w:r>
      <w:r w:rsidR="00C132A1">
        <w:rPr>
          <w:sz w:val="24"/>
          <w:szCs w:val="24"/>
        </w:rPr>
        <w:t>tings and dinner choices</w:t>
      </w:r>
      <w:r w:rsidR="000D5578">
        <w:rPr>
          <w:sz w:val="24"/>
          <w:szCs w:val="24"/>
        </w:rPr>
        <w:t xml:space="preserve">, although it was sung and spoken in the </w:t>
      </w:r>
      <w:r w:rsidR="00B41638">
        <w:rPr>
          <w:sz w:val="24"/>
          <w:szCs w:val="24"/>
        </w:rPr>
        <w:t>assembly by a teacher</w:t>
      </w:r>
      <w:r w:rsidRPr="0038531F">
        <w:rPr>
          <w:sz w:val="24"/>
          <w:szCs w:val="24"/>
        </w:rPr>
        <w:t xml:space="preserve">. This </w:t>
      </w:r>
      <w:r w:rsidR="000D5578">
        <w:rPr>
          <w:sz w:val="24"/>
          <w:szCs w:val="24"/>
        </w:rPr>
        <w:t xml:space="preserve">absence </w:t>
      </w:r>
      <w:r w:rsidRPr="0038531F">
        <w:rPr>
          <w:sz w:val="24"/>
          <w:szCs w:val="24"/>
        </w:rPr>
        <w:t xml:space="preserve">may be due to the fact that many </w:t>
      </w:r>
      <w:r>
        <w:rPr>
          <w:sz w:val="24"/>
          <w:szCs w:val="24"/>
        </w:rPr>
        <w:t>of the students in the class were ESL students, but a school which advertises itself as speaking Welsh and English at a 50/50 rate, the amount of Welsh actually spoken in class was not in line with their ethos.</w:t>
      </w:r>
      <w:r w:rsidR="00BE01E9">
        <w:rPr>
          <w:sz w:val="24"/>
          <w:szCs w:val="24"/>
        </w:rPr>
        <w:t xml:space="preserve"> </w:t>
      </w:r>
    </w:p>
    <w:p w:rsidR="00D93142" w:rsidRDefault="00BE01E9" w:rsidP="00722C2D">
      <w:pPr>
        <w:spacing w:line="360" w:lineRule="auto"/>
        <w:rPr>
          <w:rFonts w:cstheme="minorHAnsi"/>
          <w:sz w:val="24"/>
          <w:szCs w:val="24"/>
          <w:shd w:val="clear" w:color="auto" w:fill="FFFFFF"/>
        </w:rPr>
      </w:pPr>
      <w:r>
        <w:rPr>
          <w:sz w:val="24"/>
          <w:szCs w:val="24"/>
        </w:rPr>
        <w:t>‘Language is designed for doing something much more interesting than transmitting information accurately from one brain to another: it allows the mental resources of individuals to combine in a collective, communicative intelligence which enables people to make better sense of the world and to devise practical ways of dealing with it</w:t>
      </w:r>
      <w:r>
        <w:rPr>
          <w:rStyle w:val="FootnoteReference"/>
          <w:sz w:val="24"/>
          <w:szCs w:val="24"/>
        </w:rPr>
        <w:footnoteReference w:id="10"/>
      </w:r>
      <w:r>
        <w:rPr>
          <w:sz w:val="24"/>
          <w:szCs w:val="24"/>
        </w:rPr>
        <w:t>.’ It is therefore logical that knowing more than one language fluently will enable you to mentally be prepared for the future as it is well known that bilingualism effects nerve connections in the brain and increases awareness</w:t>
      </w:r>
      <w:r>
        <w:rPr>
          <w:rStyle w:val="FootnoteReference"/>
          <w:sz w:val="24"/>
          <w:szCs w:val="24"/>
        </w:rPr>
        <w:footnoteReference w:id="11"/>
      </w:r>
      <w:r>
        <w:rPr>
          <w:sz w:val="24"/>
          <w:szCs w:val="24"/>
        </w:rPr>
        <w:t xml:space="preserve">. This is not to mention how the linguistical functions and differences between </w:t>
      </w:r>
      <w:r w:rsidR="00D93142">
        <w:rPr>
          <w:sz w:val="24"/>
          <w:szCs w:val="24"/>
        </w:rPr>
        <w:t>English and Welsh can benefit a child. The structure of sentences in Welsh is extremely different to that of English as well as certain phonemes</w:t>
      </w:r>
      <w:r w:rsidR="00D93142">
        <w:rPr>
          <w:rStyle w:val="FootnoteReference"/>
          <w:sz w:val="24"/>
          <w:szCs w:val="24"/>
        </w:rPr>
        <w:footnoteReference w:id="12"/>
      </w:r>
      <w:r w:rsidR="00D93142">
        <w:rPr>
          <w:sz w:val="24"/>
          <w:szCs w:val="24"/>
        </w:rPr>
        <w:t xml:space="preserve">. </w:t>
      </w:r>
      <w:r w:rsidR="00D93142" w:rsidRPr="00D93142">
        <w:rPr>
          <w:rFonts w:cstheme="minorHAnsi"/>
          <w:sz w:val="24"/>
          <w:szCs w:val="24"/>
        </w:rPr>
        <w:t xml:space="preserve">For example, </w:t>
      </w:r>
      <w:r w:rsidR="00D93142" w:rsidRPr="00D93142">
        <w:rPr>
          <w:rFonts w:cstheme="minorHAnsi"/>
          <w:sz w:val="24"/>
          <w:szCs w:val="24"/>
          <w:shd w:val="clear" w:color="auto" w:fill="FFFFFF"/>
        </w:rPr>
        <w:t xml:space="preserve">ɬ </w:t>
      </w:r>
      <w:r w:rsidR="00454E53">
        <w:rPr>
          <w:rFonts w:cstheme="minorHAnsi"/>
          <w:sz w:val="24"/>
          <w:szCs w:val="24"/>
          <w:shd w:val="clear" w:color="auto" w:fill="FFFFFF"/>
        </w:rPr>
        <w:t>as</w:t>
      </w:r>
      <w:r w:rsidR="00D93142" w:rsidRPr="00D93142">
        <w:rPr>
          <w:rFonts w:cstheme="minorHAnsi"/>
          <w:sz w:val="24"/>
          <w:szCs w:val="24"/>
          <w:shd w:val="clear" w:color="auto" w:fill="FFFFFF"/>
        </w:rPr>
        <w:t xml:space="preserve"> a voiceless alveolar lateral fricative, is a sound we simply do not have in the English language, or many languages at all</w:t>
      </w:r>
      <w:r w:rsidR="00D93142">
        <w:rPr>
          <w:rFonts w:cstheme="minorHAnsi"/>
          <w:sz w:val="24"/>
          <w:szCs w:val="24"/>
          <w:shd w:val="clear" w:color="auto" w:fill="FFFFFF"/>
        </w:rPr>
        <w:t xml:space="preserve"> for that matter.</w:t>
      </w:r>
      <w:r w:rsidR="00E753AD">
        <w:rPr>
          <w:rFonts w:cstheme="minorHAnsi"/>
          <w:sz w:val="24"/>
          <w:szCs w:val="24"/>
          <w:shd w:val="clear" w:color="auto" w:fill="FFFFFF"/>
        </w:rPr>
        <w:t xml:space="preserve"> </w:t>
      </w:r>
      <w:r w:rsidR="007F5972">
        <w:rPr>
          <w:sz w:val="24"/>
          <w:szCs w:val="24"/>
        </w:rPr>
        <w:t>‘A school which wishes to develop bilingualism must provide more than just a curriculum: it must also attempt to provide a speech community</w:t>
      </w:r>
      <w:r w:rsidR="007F5972">
        <w:rPr>
          <w:rStyle w:val="FootnoteReference"/>
          <w:sz w:val="24"/>
          <w:szCs w:val="24"/>
        </w:rPr>
        <w:footnoteReference w:id="13"/>
      </w:r>
      <w:r w:rsidR="007F5972">
        <w:rPr>
          <w:sz w:val="24"/>
          <w:szCs w:val="24"/>
        </w:rPr>
        <w:t>.</w:t>
      </w:r>
      <w:r w:rsidR="00E753AD">
        <w:rPr>
          <w:rFonts w:cstheme="minorHAnsi"/>
          <w:sz w:val="24"/>
          <w:szCs w:val="24"/>
          <w:shd w:val="clear" w:color="auto" w:fill="FFFFFF"/>
        </w:rPr>
        <w:t>T</w:t>
      </w:r>
      <w:r w:rsidR="00E753AD">
        <w:rPr>
          <w:rFonts w:cstheme="minorHAnsi"/>
          <w:sz w:val="24"/>
          <w:szCs w:val="24"/>
          <w:shd w:val="clear" w:color="auto" w:fill="FFFFFF"/>
        </w:rPr>
        <w:t xml:space="preserve">he knowledge and brain connections forged in a bi-lingual environment have been well documented and, as such, should be </w:t>
      </w:r>
      <w:r w:rsidR="007F5972">
        <w:rPr>
          <w:rFonts w:cstheme="minorHAnsi"/>
          <w:sz w:val="24"/>
          <w:szCs w:val="24"/>
          <w:shd w:val="clear" w:color="auto" w:fill="FFFFFF"/>
        </w:rPr>
        <w:tab/>
        <w:t>focused on</w:t>
      </w:r>
      <w:r w:rsidR="00E753AD">
        <w:rPr>
          <w:rFonts w:cstheme="minorHAnsi"/>
          <w:sz w:val="24"/>
          <w:szCs w:val="24"/>
          <w:shd w:val="clear" w:color="auto" w:fill="FFFFFF"/>
        </w:rPr>
        <w:t xml:space="preserve"> more within not only Welsh medium schools but also by bi-li</w:t>
      </w:r>
      <w:r w:rsidR="00F35E46">
        <w:rPr>
          <w:rFonts w:cstheme="minorHAnsi"/>
          <w:sz w:val="24"/>
          <w:szCs w:val="24"/>
          <w:shd w:val="clear" w:color="auto" w:fill="FFFFFF"/>
        </w:rPr>
        <w:t>ngual ones</w:t>
      </w:r>
      <w:r w:rsidR="00636309">
        <w:rPr>
          <w:rStyle w:val="FootnoteReference"/>
          <w:rFonts w:cstheme="minorHAnsi"/>
          <w:sz w:val="24"/>
          <w:szCs w:val="24"/>
          <w:shd w:val="clear" w:color="auto" w:fill="FFFFFF"/>
        </w:rPr>
        <w:footnoteReference w:id="14"/>
      </w:r>
      <w:r w:rsidR="00E753AD">
        <w:rPr>
          <w:rFonts w:cstheme="minorHAnsi"/>
          <w:sz w:val="24"/>
          <w:szCs w:val="24"/>
          <w:shd w:val="clear" w:color="auto" w:fill="FFFFFF"/>
        </w:rPr>
        <w:t>.</w:t>
      </w:r>
    </w:p>
    <w:p w:rsidR="001339FA" w:rsidRPr="00D93142" w:rsidRDefault="001339FA" w:rsidP="00C60A97">
      <w:pPr>
        <w:spacing w:line="360" w:lineRule="auto"/>
        <w:rPr>
          <w:rFonts w:cstheme="minorHAnsi"/>
          <w:b/>
          <w:sz w:val="24"/>
          <w:szCs w:val="24"/>
        </w:rPr>
      </w:pPr>
    </w:p>
    <w:p w:rsidR="00BA47A0" w:rsidRDefault="00E60B90" w:rsidP="00D93142">
      <w:pPr>
        <w:spacing w:line="480" w:lineRule="auto"/>
        <w:rPr>
          <w:sz w:val="24"/>
          <w:szCs w:val="24"/>
        </w:rPr>
      </w:pPr>
      <w:r w:rsidRPr="00C60A97">
        <w:rPr>
          <w:sz w:val="24"/>
          <w:szCs w:val="24"/>
        </w:rPr>
        <w:t>Ysgol Bro Pedr’s class of year 2 had a very high level of ESL learners</w:t>
      </w:r>
      <w:r w:rsidR="00E371C7" w:rsidRPr="00C60A97">
        <w:rPr>
          <w:sz w:val="24"/>
          <w:szCs w:val="24"/>
        </w:rPr>
        <w:t xml:space="preserve"> (9/19)</w:t>
      </w:r>
      <w:r w:rsidRPr="00C60A97">
        <w:rPr>
          <w:sz w:val="24"/>
          <w:szCs w:val="24"/>
        </w:rPr>
        <w:t>, all of whom w</w:t>
      </w:r>
      <w:r w:rsidR="00E371C7" w:rsidRPr="00C60A97">
        <w:rPr>
          <w:sz w:val="24"/>
          <w:szCs w:val="24"/>
        </w:rPr>
        <w:t>ere registered as children as EAL students and re</w:t>
      </w:r>
      <w:r w:rsidR="001339FA" w:rsidRPr="00C60A97">
        <w:rPr>
          <w:sz w:val="24"/>
          <w:szCs w:val="24"/>
        </w:rPr>
        <w:t>ceived extra help during class time</w:t>
      </w:r>
      <w:r w:rsidR="00E371C7" w:rsidRPr="00C60A97">
        <w:rPr>
          <w:sz w:val="24"/>
          <w:szCs w:val="24"/>
        </w:rPr>
        <w:t xml:space="preserve">. The year 2 </w:t>
      </w:r>
      <w:r w:rsidR="00E371C7" w:rsidRPr="00C60A97">
        <w:rPr>
          <w:sz w:val="24"/>
          <w:szCs w:val="24"/>
        </w:rPr>
        <w:lastRenderedPageBreak/>
        <w:t>class also had 3 statemented children. This meant that along with Mrs. H, there were 4 other teachers in the classroom</w:t>
      </w:r>
      <w:r w:rsidR="00AB76B8">
        <w:rPr>
          <w:sz w:val="24"/>
          <w:szCs w:val="24"/>
        </w:rPr>
        <w:t>, all of whom were females</w:t>
      </w:r>
      <w:r w:rsidR="00E371C7" w:rsidRPr="00C60A97">
        <w:rPr>
          <w:sz w:val="24"/>
          <w:szCs w:val="24"/>
        </w:rPr>
        <w:t xml:space="preserve">. </w:t>
      </w:r>
      <w:r w:rsidR="00C60A97">
        <w:rPr>
          <w:sz w:val="24"/>
          <w:szCs w:val="24"/>
        </w:rPr>
        <w:t xml:space="preserve">Although looking at all of these aspects of the classroom would be interesting, looking at the effect of 5 adults in a classroom of 19 will be of primary interest in this </w:t>
      </w:r>
      <w:r w:rsidR="00C60A97" w:rsidRPr="00D74FFB">
        <w:rPr>
          <w:sz w:val="24"/>
          <w:szCs w:val="24"/>
        </w:rPr>
        <w:t>section.</w:t>
      </w:r>
      <w:r w:rsidR="00D74FFB" w:rsidRPr="00D74FFB">
        <w:rPr>
          <w:sz w:val="24"/>
          <w:szCs w:val="24"/>
        </w:rPr>
        <w:t xml:space="preserve"> ‘TAs make up 44 per cent of the Welsh primary school workforce, and 17 per cent of the secondary school wor</w:t>
      </w:r>
      <w:r w:rsidR="00D74FFB">
        <w:rPr>
          <w:sz w:val="24"/>
          <w:szCs w:val="24"/>
        </w:rPr>
        <w:t>kforce,’ and this number is steadily rising</w:t>
      </w:r>
      <w:r w:rsidR="00D74FFB">
        <w:rPr>
          <w:rStyle w:val="FootnoteReference"/>
          <w:sz w:val="24"/>
          <w:szCs w:val="24"/>
        </w:rPr>
        <w:footnoteReference w:id="15"/>
      </w:r>
      <w:r w:rsidR="00D74FFB">
        <w:rPr>
          <w:sz w:val="24"/>
          <w:szCs w:val="24"/>
        </w:rPr>
        <w:t>.</w:t>
      </w:r>
      <w:r w:rsidR="00B60719">
        <w:rPr>
          <w:sz w:val="24"/>
          <w:szCs w:val="24"/>
        </w:rPr>
        <w:t xml:space="preserve"> The amount of TA’s in primary schools have risen by 48% </w:t>
      </w:r>
      <w:r w:rsidR="00B60719" w:rsidRPr="00B41638">
        <w:rPr>
          <w:sz w:val="24"/>
          <w:szCs w:val="24"/>
        </w:rPr>
        <w:t>in the past 20 years whilst the number of teachers has only increased by 1%</w:t>
      </w:r>
      <w:r w:rsidR="00B60719" w:rsidRPr="00B41638">
        <w:rPr>
          <w:rStyle w:val="FootnoteReference"/>
          <w:sz w:val="24"/>
          <w:szCs w:val="24"/>
        </w:rPr>
        <w:footnoteReference w:id="16"/>
      </w:r>
      <w:r w:rsidR="00B60719" w:rsidRPr="00B41638">
        <w:rPr>
          <w:sz w:val="24"/>
          <w:szCs w:val="24"/>
        </w:rPr>
        <w:t>.</w:t>
      </w:r>
      <w:r w:rsidR="00B41638" w:rsidRPr="00B41638">
        <w:rPr>
          <w:sz w:val="24"/>
          <w:szCs w:val="24"/>
        </w:rPr>
        <w:t xml:space="preserve"> </w:t>
      </w:r>
      <w:r w:rsidR="00B41638">
        <w:rPr>
          <w:sz w:val="24"/>
          <w:szCs w:val="24"/>
        </w:rPr>
        <w:t>‘</w:t>
      </w:r>
      <w:r w:rsidR="00B41638" w:rsidRPr="00B41638">
        <w:rPr>
          <w:sz w:val="24"/>
          <w:szCs w:val="24"/>
        </w:rPr>
        <w:t>With specific relation to pupils with SEN, head teachers have reported that the inclusion of pupils with SEN has been the main reason for employing greater numbers of TAs within schools</w:t>
      </w:r>
      <w:r w:rsidR="00B41638">
        <w:rPr>
          <w:rStyle w:val="FootnoteReference"/>
          <w:sz w:val="24"/>
          <w:szCs w:val="24"/>
        </w:rPr>
        <w:footnoteReference w:id="17"/>
      </w:r>
      <w:r w:rsidR="00B41638">
        <w:rPr>
          <w:sz w:val="24"/>
          <w:szCs w:val="24"/>
        </w:rPr>
        <w:t>.’</w:t>
      </w:r>
      <w:r w:rsidR="005E37ED">
        <w:rPr>
          <w:sz w:val="24"/>
          <w:szCs w:val="24"/>
        </w:rPr>
        <w:t xml:space="preserve"> </w:t>
      </w:r>
      <w:r w:rsidR="008E3CCE">
        <w:rPr>
          <w:sz w:val="24"/>
          <w:szCs w:val="24"/>
        </w:rPr>
        <w:t>From studies done which look at the relationship between TA and student, we can see that students often view the TA or SEN as a friend more than an educational helper</w:t>
      </w:r>
      <w:r w:rsidR="008E3CCE">
        <w:rPr>
          <w:rStyle w:val="FootnoteReference"/>
          <w:sz w:val="24"/>
          <w:szCs w:val="24"/>
        </w:rPr>
        <w:footnoteReference w:id="18"/>
      </w:r>
      <w:r w:rsidR="008E3CCE">
        <w:rPr>
          <w:sz w:val="24"/>
          <w:szCs w:val="24"/>
        </w:rPr>
        <w:t>.</w:t>
      </w:r>
      <w:r w:rsidR="00C77E99">
        <w:rPr>
          <w:sz w:val="24"/>
          <w:szCs w:val="24"/>
        </w:rPr>
        <w:t xml:space="preserve"> Having such a large amount of TA’s in a classroom, therefore, may make the classroom feel less </w:t>
      </w:r>
      <w:r w:rsidR="002A1C22">
        <w:rPr>
          <w:sz w:val="24"/>
          <w:szCs w:val="24"/>
        </w:rPr>
        <w:t>like an educational environment. The students did often notice the fact that the teacher was more in power than the TA in regards to the students’ education, which may result in students having to understand and adapt to different power dynamics in the classroom, depending on how many TA’s there are in a classroom</w:t>
      </w:r>
      <w:r w:rsidR="002A1C22">
        <w:rPr>
          <w:rStyle w:val="FootnoteReference"/>
          <w:sz w:val="24"/>
          <w:szCs w:val="24"/>
        </w:rPr>
        <w:footnoteReference w:id="19"/>
      </w:r>
      <w:r w:rsidR="002A1C22">
        <w:rPr>
          <w:sz w:val="24"/>
          <w:szCs w:val="24"/>
        </w:rPr>
        <w:t>.</w:t>
      </w:r>
      <w:r w:rsidR="006D2906">
        <w:rPr>
          <w:sz w:val="24"/>
          <w:szCs w:val="24"/>
        </w:rPr>
        <w:t xml:space="preserve"> Statemented children receive their own SEN teacher within the classroom. The effect of this in regards to social development with SEN students could be affected by this, as they spend more time with their assistant in class, though not much research has been done on the matter</w:t>
      </w:r>
      <w:r w:rsidR="008D41DE">
        <w:rPr>
          <w:sz w:val="24"/>
          <w:szCs w:val="24"/>
        </w:rPr>
        <w:t xml:space="preserve"> and may be something which </w:t>
      </w:r>
      <w:r w:rsidR="008D41DE">
        <w:rPr>
          <w:sz w:val="24"/>
          <w:szCs w:val="24"/>
        </w:rPr>
        <w:lastRenderedPageBreak/>
        <w:t>needs to be looked into in the near future</w:t>
      </w:r>
      <w:r w:rsidR="008D41DE">
        <w:rPr>
          <w:rStyle w:val="FootnoteReference"/>
          <w:sz w:val="24"/>
          <w:szCs w:val="24"/>
        </w:rPr>
        <w:footnoteReference w:id="20"/>
      </w:r>
      <w:r w:rsidR="008D41DE">
        <w:rPr>
          <w:sz w:val="24"/>
          <w:szCs w:val="24"/>
        </w:rPr>
        <w:t xml:space="preserve"> </w:t>
      </w:r>
      <w:r w:rsidR="006D2906">
        <w:rPr>
          <w:rStyle w:val="FootnoteReference"/>
          <w:sz w:val="24"/>
          <w:szCs w:val="24"/>
        </w:rPr>
        <w:footnoteReference w:id="21"/>
      </w:r>
      <w:r w:rsidR="006D2906">
        <w:rPr>
          <w:sz w:val="24"/>
          <w:szCs w:val="24"/>
        </w:rPr>
        <w:t>.</w:t>
      </w:r>
      <w:r w:rsidR="002D1865">
        <w:rPr>
          <w:sz w:val="24"/>
          <w:szCs w:val="24"/>
        </w:rPr>
        <w:t xml:space="preserve"> Other</w:t>
      </w:r>
      <w:r w:rsidR="00AF38DD">
        <w:rPr>
          <w:sz w:val="24"/>
          <w:szCs w:val="24"/>
        </w:rPr>
        <w:t xml:space="preserve"> children often wanted to interact with one of the statemented children in</w:t>
      </w:r>
      <w:r w:rsidR="002D1865">
        <w:rPr>
          <w:sz w:val="24"/>
          <w:szCs w:val="24"/>
        </w:rPr>
        <w:t xml:space="preserve"> particular</w:t>
      </w:r>
      <w:r w:rsidR="00AF38DD">
        <w:rPr>
          <w:sz w:val="24"/>
          <w:szCs w:val="24"/>
        </w:rPr>
        <w:t>, but he always seems to be over-aided by his SEN who would eventually run the conversation, this simply doesn’t seem as though it will help the child acquire better social skills or make him as included in the classroom environment as he could be.</w:t>
      </w:r>
      <w:bookmarkStart w:id="0" w:name="_GoBack"/>
      <w:bookmarkEnd w:id="0"/>
    </w:p>
    <w:p w:rsidR="0028450A" w:rsidRDefault="0028450A" w:rsidP="00D93142">
      <w:pPr>
        <w:spacing w:line="480" w:lineRule="auto"/>
      </w:pPr>
    </w:p>
    <w:p w:rsidR="00BA47A0" w:rsidRDefault="0028450A" w:rsidP="00D93142">
      <w:pPr>
        <w:spacing w:line="480" w:lineRule="auto"/>
      </w:pPr>
      <w:r>
        <w:t xml:space="preserve">To conclude, both of the school environments observed were at different levels in the curriculum (KS1 vs. KS2) and therefore it seemed unnecessary to compare actual learning techniques. However, the difference in school ideologies and the way the class was structured seems to have an impact on the students. </w:t>
      </w:r>
      <w:r w:rsidR="00A97454">
        <w:t xml:space="preserve">The difference in the diet of the students in terms of their packed lunches seemed particularly poignant throughout the observation of lunch time, as well as the large difference of free school meal children (Ysgol Y Dderi has around 6% more students on free school meals) and children whose parents chose to do packed lunches.  </w:t>
      </w:r>
      <w:r>
        <w:t>The lack of Welsh in the Year 2 class was shocking and therefore was an important point of mention, though the regulating body doesn’t mention this on their report</w:t>
      </w:r>
      <w:r>
        <w:rPr>
          <w:rStyle w:val="FootnoteReference"/>
        </w:rPr>
        <w:footnoteReference w:id="22"/>
      </w:r>
      <w:r w:rsidR="00EF66C3">
        <w:t>,</w:t>
      </w:r>
      <w:r w:rsidR="00A97454">
        <w:t xml:space="preserve"> it was extremely noticeable during the time spent in class. This does not benefit</w:t>
      </w:r>
      <w:r w:rsidR="00EF66C3">
        <w:t xml:space="preserve"> the children in regards to their bilingual development and, even though there were twelve children with additional needs, the school needs to keep in line with its ethos and speak more Welsh in class</w:t>
      </w:r>
      <w:r w:rsidR="007B438C">
        <w:t xml:space="preserve"> before the language stream is chosen</w:t>
      </w:r>
      <w:r w:rsidR="00EF66C3">
        <w:t>.</w:t>
      </w:r>
      <w:r w:rsidR="006D2906">
        <w:t xml:space="preserve"> The use of TA’s in classrooms needs</w:t>
      </w:r>
      <w:r w:rsidR="008D41DE">
        <w:t xml:space="preserve"> to be regulated to some extent and more studies need to be had on how the use of TA’s and SEN’s in regards to the classroom effect children’s educational and social development.</w:t>
      </w:r>
      <w:r w:rsidR="00A97454">
        <w:t xml:space="preserve"> </w:t>
      </w:r>
    </w:p>
    <w:p w:rsidR="006D2906" w:rsidRDefault="006D2906" w:rsidP="00D93142">
      <w:pPr>
        <w:spacing w:line="480" w:lineRule="auto"/>
      </w:pPr>
    </w:p>
    <w:sdt>
      <w:sdtPr>
        <w:rPr>
          <w:rFonts w:asciiTheme="minorHAnsi" w:eastAsiaTheme="minorHAnsi" w:hAnsiTheme="minorHAnsi" w:cstheme="minorBidi"/>
          <w:color w:val="auto"/>
          <w:sz w:val="22"/>
          <w:szCs w:val="22"/>
          <w:lang w:val="en-GB"/>
        </w:rPr>
        <w:id w:val="133383415"/>
        <w:docPartObj>
          <w:docPartGallery w:val="Bibliographies"/>
          <w:docPartUnique/>
        </w:docPartObj>
      </w:sdtPr>
      <w:sdtEndPr/>
      <w:sdtContent>
        <w:p w:rsidR="00FE6912" w:rsidRDefault="00FE6912">
          <w:pPr>
            <w:pStyle w:val="Heading1"/>
          </w:pPr>
          <w:r>
            <w:t>Bibliography</w:t>
          </w:r>
        </w:p>
        <w:sdt>
          <w:sdtPr>
            <w:rPr>
              <w:sz w:val="24"/>
              <w:szCs w:val="24"/>
            </w:rPr>
            <w:id w:val="111145805"/>
            <w:bibliography/>
          </w:sdtPr>
          <w:sdtEndPr>
            <w:rPr>
              <w:sz w:val="22"/>
              <w:szCs w:val="22"/>
            </w:rPr>
          </w:sdtEndPr>
          <w:sdtContent>
            <w:p w:rsidR="00517BF2" w:rsidRPr="00517BF2" w:rsidRDefault="00517BF2" w:rsidP="00517BF2">
              <w:pPr>
                <w:pStyle w:val="FootnoteText"/>
                <w:rPr>
                  <w:sz w:val="24"/>
                  <w:szCs w:val="24"/>
                </w:rPr>
              </w:pPr>
              <w:r w:rsidRPr="00517BF2">
                <w:rPr>
                  <w:sz w:val="24"/>
                  <w:szCs w:val="24"/>
                </w:rPr>
                <w:t>Ball,</w:t>
              </w:r>
              <w:r>
                <w:rPr>
                  <w:sz w:val="24"/>
                  <w:szCs w:val="24"/>
                </w:rPr>
                <w:t xml:space="preserve"> M. J.,</w:t>
              </w:r>
              <w:r w:rsidRPr="00517BF2">
                <w:rPr>
                  <w:sz w:val="24"/>
                  <w:szCs w:val="24"/>
                </w:rPr>
                <w:t xml:space="preserve"> N. Muller, S. Munro, The Acquisition of the </w:t>
              </w:r>
              <w:proofErr w:type="spellStart"/>
              <w:r w:rsidRPr="00517BF2">
                <w:rPr>
                  <w:sz w:val="24"/>
                  <w:szCs w:val="24"/>
                </w:rPr>
                <w:t>Rhotic</w:t>
              </w:r>
              <w:proofErr w:type="spellEnd"/>
              <w:r w:rsidRPr="00517BF2">
                <w:rPr>
                  <w:sz w:val="24"/>
                  <w:szCs w:val="24"/>
                </w:rPr>
                <w:t xml:space="preserve"> Consonants by Welsh-English bi-lingual children, </w:t>
              </w:r>
              <w:r w:rsidRPr="00517BF2">
                <w:rPr>
                  <w:i/>
                  <w:sz w:val="24"/>
                  <w:szCs w:val="24"/>
                </w:rPr>
                <w:t>International Journal of Bi-</w:t>
              </w:r>
              <w:proofErr w:type="spellStart"/>
              <w:r w:rsidRPr="00517BF2">
                <w:rPr>
                  <w:i/>
                  <w:sz w:val="24"/>
                  <w:szCs w:val="24"/>
                </w:rPr>
                <w:t>linguilism</w:t>
              </w:r>
              <w:proofErr w:type="spellEnd"/>
              <w:r w:rsidRPr="00517BF2">
                <w:rPr>
                  <w:i/>
                  <w:sz w:val="24"/>
                  <w:szCs w:val="24"/>
                </w:rPr>
                <w:t xml:space="preserve"> </w:t>
              </w:r>
              <w:r w:rsidRPr="00517BF2">
                <w:rPr>
                  <w:sz w:val="24"/>
                  <w:szCs w:val="24"/>
                </w:rPr>
                <w:t>5.1 (</w:t>
              </w:r>
              <w:proofErr w:type="spellStart"/>
              <w:r w:rsidRPr="00517BF2">
                <w:rPr>
                  <w:sz w:val="24"/>
                  <w:szCs w:val="24"/>
                </w:rPr>
                <w:t>Multilingua</w:t>
              </w:r>
              <w:proofErr w:type="spellEnd"/>
              <w:r w:rsidRPr="00517BF2">
                <w:rPr>
                  <w:sz w:val="24"/>
                  <w:szCs w:val="24"/>
                </w:rPr>
                <w:t>, 2010) pp.24-29</w:t>
              </w:r>
            </w:p>
            <w:p w:rsidR="00517BF2" w:rsidRDefault="00517BF2" w:rsidP="00FE6912">
              <w:pPr>
                <w:pStyle w:val="FootnoteText"/>
              </w:pPr>
            </w:p>
            <w:p w:rsidR="00517BF2" w:rsidRDefault="00517BF2" w:rsidP="00FE6912">
              <w:pPr>
                <w:pStyle w:val="FootnoteText"/>
                <w:rPr>
                  <w:sz w:val="18"/>
                  <w:szCs w:val="18"/>
                </w:rPr>
              </w:pPr>
            </w:p>
            <w:p w:rsidR="00D74FFB" w:rsidRDefault="00D74FFB" w:rsidP="00FE6912">
              <w:pPr>
                <w:pStyle w:val="FootnoteText"/>
                <w:rPr>
                  <w:sz w:val="24"/>
                  <w:szCs w:val="24"/>
                </w:rPr>
              </w:pPr>
              <w:r w:rsidRPr="00D74FFB">
                <w:rPr>
                  <w:sz w:val="24"/>
                  <w:szCs w:val="24"/>
                </w:rPr>
                <w:t>Blatchford,</w:t>
              </w:r>
              <w:r>
                <w:rPr>
                  <w:sz w:val="24"/>
                  <w:szCs w:val="24"/>
                </w:rPr>
                <w:t xml:space="preserve"> Peter</w:t>
              </w:r>
              <w:r w:rsidRPr="00D74FFB">
                <w:rPr>
                  <w:sz w:val="24"/>
                  <w:szCs w:val="24"/>
                </w:rPr>
                <w:t xml:space="preserve"> Anthony Russell, Rob Webster, </w:t>
              </w:r>
              <w:r w:rsidRPr="00D74FFB">
                <w:rPr>
                  <w:i/>
                  <w:sz w:val="24"/>
                  <w:szCs w:val="24"/>
                </w:rPr>
                <w:t xml:space="preserve">Reassessing the impact of teaching assistants </w:t>
              </w:r>
              <w:r w:rsidRPr="00D74FFB">
                <w:rPr>
                  <w:sz w:val="24"/>
                  <w:szCs w:val="24"/>
                </w:rPr>
                <w:t>(Routledge, 2012)</w:t>
              </w:r>
            </w:p>
            <w:p w:rsidR="00D74FFB" w:rsidRDefault="00D74FFB" w:rsidP="00FE6912">
              <w:pPr>
                <w:pStyle w:val="FootnoteText"/>
                <w:rPr>
                  <w:sz w:val="24"/>
                  <w:szCs w:val="24"/>
                </w:rPr>
              </w:pPr>
            </w:p>
            <w:p w:rsidR="00FE6912" w:rsidRDefault="00FE6912" w:rsidP="00FE6912">
              <w:pPr>
                <w:pStyle w:val="FootnoteText"/>
                <w:rPr>
                  <w:sz w:val="24"/>
                  <w:szCs w:val="24"/>
                </w:rPr>
              </w:pPr>
              <w:r w:rsidRPr="00517BF2">
                <w:rPr>
                  <w:sz w:val="24"/>
                  <w:szCs w:val="24"/>
                </w:rPr>
                <w:t>Brown, K</w:t>
              </w:r>
              <w:r w:rsidR="00C660FA">
                <w:rPr>
                  <w:sz w:val="24"/>
                  <w:szCs w:val="24"/>
                </w:rPr>
                <w:t>.</w:t>
              </w:r>
              <w:r w:rsidRPr="00517BF2">
                <w:rPr>
                  <w:sz w:val="24"/>
                  <w:szCs w:val="24"/>
                </w:rPr>
                <w:t xml:space="preserve">,  H. </w:t>
              </w:r>
              <w:proofErr w:type="spellStart"/>
              <w:r w:rsidRPr="00517BF2">
                <w:rPr>
                  <w:sz w:val="24"/>
                  <w:szCs w:val="24"/>
                </w:rPr>
                <w:t>Mcllveen</w:t>
              </w:r>
              <w:proofErr w:type="spellEnd"/>
              <w:r w:rsidRPr="00517BF2">
                <w:rPr>
                  <w:sz w:val="24"/>
                  <w:szCs w:val="24"/>
                </w:rPr>
                <w:t xml:space="preserve">, C. </w:t>
              </w:r>
              <w:proofErr w:type="spellStart"/>
              <w:r w:rsidRPr="00517BF2">
                <w:rPr>
                  <w:sz w:val="24"/>
                  <w:szCs w:val="24"/>
                </w:rPr>
                <w:t>Strugnell</w:t>
              </w:r>
              <w:proofErr w:type="spellEnd"/>
              <w:r w:rsidRPr="00517BF2">
                <w:rPr>
                  <w:sz w:val="24"/>
                  <w:szCs w:val="24"/>
                </w:rPr>
                <w:t xml:space="preserve">, Nutritional Awareness and Food Preferences of Young </w:t>
              </w:r>
              <w:r w:rsidRPr="0060755F">
                <w:rPr>
                  <w:sz w:val="24"/>
                  <w:szCs w:val="24"/>
                </w:rPr>
                <w:t xml:space="preserve">Consumers, </w:t>
              </w:r>
              <w:r w:rsidRPr="0060755F">
                <w:rPr>
                  <w:i/>
                  <w:sz w:val="24"/>
                  <w:szCs w:val="24"/>
                </w:rPr>
                <w:t>Nutrition and Food Science</w:t>
              </w:r>
              <w:r w:rsidRPr="0060755F">
                <w:rPr>
                  <w:sz w:val="24"/>
                  <w:szCs w:val="24"/>
                </w:rPr>
                <w:t xml:space="preserve"> 30.5 (Nutrition and Food Science, 2000) pp.230-253</w:t>
              </w:r>
            </w:p>
            <w:p w:rsidR="00B41B9E" w:rsidRDefault="00B41B9E" w:rsidP="00FE6912">
              <w:pPr>
                <w:pStyle w:val="FootnoteText"/>
                <w:rPr>
                  <w:sz w:val="24"/>
                  <w:szCs w:val="24"/>
                </w:rPr>
              </w:pPr>
            </w:p>
            <w:p w:rsidR="00B41B9E" w:rsidRPr="00B41B9E" w:rsidRDefault="00B41B9E" w:rsidP="00FE6912">
              <w:pPr>
                <w:pStyle w:val="FootnoteText"/>
                <w:rPr>
                  <w:sz w:val="24"/>
                  <w:szCs w:val="24"/>
                </w:rPr>
              </w:pPr>
              <w:r w:rsidRPr="00B41B9E">
                <w:rPr>
                  <w:i/>
                  <w:sz w:val="24"/>
                  <w:szCs w:val="24"/>
                </w:rPr>
                <w:t>Defining Schools According to Welsh Provision</w:t>
              </w:r>
              <w:r w:rsidRPr="00B41B9E">
                <w:rPr>
                  <w:sz w:val="24"/>
                  <w:szCs w:val="24"/>
                </w:rPr>
                <w:t>, (Welsh Assembly Government, 2007)</w:t>
              </w:r>
            </w:p>
            <w:p w:rsidR="00636309" w:rsidRDefault="00636309" w:rsidP="00FE6912">
              <w:pPr>
                <w:pStyle w:val="FootnoteText"/>
                <w:rPr>
                  <w:sz w:val="24"/>
                  <w:szCs w:val="24"/>
                </w:rPr>
              </w:pPr>
            </w:p>
            <w:p w:rsidR="00636309" w:rsidRDefault="00636309" w:rsidP="00636309">
              <w:pPr>
                <w:pStyle w:val="FootnoteText"/>
                <w:rPr>
                  <w:sz w:val="24"/>
                  <w:szCs w:val="24"/>
                </w:rPr>
              </w:pPr>
              <w:r w:rsidRPr="00636309">
                <w:rPr>
                  <w:i/>
                  <w:sz w:val="24"/>
                  <w:szCs w:val="24"/>
                </w:rPr>
                <w:t>Food in the School Curriculum in Wales</w:t>
              </w:r>
              <w:r w:rsidRPr="00636309">
                <w:rPr>
                  <w:sz w:val="24"/>
                  <w:szCs w:val="24"/>
                </w:rPr>
                <w:t xml:space="preserve"> (Qualifications, Curriculum and Assessment Authority for Wales, 2001)</w:t>
              </w:r>
            </w:p>
            <w:p w:rsidR="0043480B" w:rsidRDefault="0043480B" w:rsidP="00636309">
              <w:pPr>
                <w:pStyle w:val="FootnoteText"/>
                <w:rPr>
                  <w:sz w:val="24"/>
                  <w:szCs w:val="24"/>
                </w:rPr>
              </w:pPr>
            </w:p>
            <w:p w:rsidR="008E3CCE" w:rsidRDefault="008E3CCE" w:rsidP="008E3CCE">
              <w:pPr>
                <w:pStyle w:val="FootnoteText"/>
                <w:rPr>
                  <w:sz w:val="24"/>
                  <w:szCs w:val="24"/>
                </w:rPr>
              </w:pPr>
              <w:r w:rsidRPr="008E3CCE">
                <w:rPr>
                  <w:sz w:val="18"/>
                  <w:szCs w:val="18"/>
                </w:rPr>
                <w:t>Fraser</w:t>
              </w:r>
              <w:r>
                <w:rPr>
                  <w:sz w:val="18"/>
                  <w:szCs w:val="18"/>
                </w:rPr>
                <w:t>, Clare,</w:t>
              </w:r>
              <w:r w:rsidRPr="008E3CCE">
                <w:rPr>
                  <w:sz w:val="18"/>
                  <w:szCs w:val="18"/>
                </w:rPr>
                <w:t xml:space="preserve"> Sara Meadows</w:t>
              </w:r>
              <w:r>
                <w:rPr>
                  <w:sz w:val="18"/>
                  <w:szCs w:val="18"/>
                </w:rPr>
                <w:t>,</w:t>
              </w:r>
              <w:r w:rsidRPr="008E3CCE">
                <w:rPr>
                  <w:sz w:val="18"/>
                  <w:szCs w:val="18"/>
                </w:rPr>
                <w:t xml:space="preserve"> Children's views of Teaching Assistants in primary schools, </w:t>
              </w:r>
              <w:r w:rsidRPr="008E3CCE">
                <w:rPr>
                  <w:i/>
                  <w:sz w:val="18"/>
                  <w:szCs w:val="18"/>
                </w:rPr>
                <w:t>Education 3–13</w:t>
              </w:r>
              <w:r>
                <w:rPr>
                  <w:sz w:val="18"/>
                  <w:szCs w:val="18"/>
                </w:rPr>
                <w:t xml:space="preserve">, 36.4 </w:t>
              </w:r>
              <w:r w:rsidRPr="008E3CCE">
                <w:rPr>
                  <w:sz w:val="18"/>
                  <w:szCs w:val="18"/>
                </w:rPr>
                <w:t>(</w:t>
              </w:r>
              <w:r>
                <w:rPr>
                  <w:sz w:val="18"/>
                  <w:szCs w:val="18"/>
                </w:rPr>
                <w:t xml:space="preserve">Routledge, </w:t>
              </w:r>
              <w:r w:rsidRPr="008E3CCE">
                <w:rPr>
                  <w:sz w:val="18"/>
                  <w:szCs w:val="18"/>
                </w:rPr>
                <w:t>2008)</w:t>
              </w:r>
              <w:r>
                <w:rPr>
                  <w:sz w:val="18"/>
                  <w:szCs w:val="18"/>
                </w:rPr>
                <w:t xml:space="preserve"> pp.351-363</w:t>
              </w:r>
            </w:p>
            <w:p w:rsidR="008E3CCE" w:rsidRDefault="008E3CCE" w:rsidP="00636309">
              <w:pPr>
                <w:pStyle w:val="FootnoteText"/>
                <w:rPr>
                  <w:sz w:val="24"/>
                  <w:szCs w:val="24"/>
                </w:rPr>
              </w:pPr>
            </w:p>
            <w:p w:rsidR="0043480B" w:rsidRPr="0043480B" w:rsidRDefault="0043480B" w:rsidP="0043480B">
              <w:pPr>
                <w:pStyle w:val="FootnoteText"/>
                <w:rPr>
                  <w:sz w:val="24"/>
                  <w:szCs w:val="24"/>
                </w:rPr>
              </w:pPr>
              <w:r>
                <w:rPr>
                  <w:sz w:val="24"/>
                  <w:szCs w:val="24"/>
                </w:rPr>
                <w:t>Hancock, Roger, Will Swann, Allan Marr, Janet Turner, Carrie Cable,</w:t>
              </w:r>
              <w:r w:rsidRPr="0043480B">
                <w:rPr>
                  <w:sz w:val="24"/>
                  <w:szCs w:val="24"/>
                </w:rPr>
                <w:t xml:space="preserve"> Classroom assistants in primary schools: Employment and deployment. Economic and</w:t>
              </w:r>
              <w:r>
                <w:rPr>
                  <w:sz w:val="24"/>
                  <w:szCs w:val="24"/>
                </w:rPr>
                <w:t xml:space="preserve"> Social Research Council</w:t>
              </w:r>
              <w:r w:rsidRPr="0043480B">
                <w:rPr>
                  <w:sz w:val="24"/>
                  <w:szCs w:val="24"/>
                </w:rPr>
                <w:t xml:space="preserve"> (</w:t>
              </w:r>
              <w:r>
                <w:rPr>
                  <w:sz w:val="24"/>
                  <w:szCs w:val="24"/>
                </w:rPr>
                <w:t xml:space="preserve">The Open University, </w:t>
              </w:r>
              <w:r w:rsidRPr="0043480B">
                <w:rPr>
                  <w:sz w:val="24"/>
                  <w:szCs w:val="24"/>
                </w:rPr>
                <w:t>2002)</w:t>
              </w:r>
            </w:p>
            <w:p w:rsidR="0060755F" w:rsidRPr="0060755F" w:rsidRDefault="0060755F" w:rsidP="00FE6912">
              <w:pPr>
                <w:pStyle w:val="FootnoteText"/>
                <w:rPr>
                  <w:sz w:val="24"/>
                  <w:szCs w:val="24"/>
                </w:rPr>
              </w:pPr>
            </w:p>
            <w:p w:rsidR="0060755F" w:rsidRPr="0060755F" w:rsidRDefault="0060755F" w:rsidP="0060755F">
              <w:pPr>
                <w:pStyle w:val="FootnoteText"/>
                <w:rPr>
                  <w:sz w:val="24"/>
                  <w:szCs w:val="24"/>
                </w:rPr>
              </w:pPr>
              <w:r w:rsidRPr="0060755F">
                <w:rPr>
                  <w:sz w:val="24"/>
                  <w:szCs w:val="24"/>
                </w:rPr>
                <w:t>Jones,</w:t>
              </w:r>
              <w:r>
                <w:rPr>
                  <w:sz w:val="24"/>
                  <w:szCs w:val="24"/>
                </w:rPr>
                <w:t xml:space="preserve"> B. M.</w:t>
              </w:r>
              <w:r w:rsidRPr="0060755F">
                <w:rPr>
                  <w:sz w:val="24"/>
                  <w:szCs w:val="24"/>
                </w:rPr>
                <w:t xml:space="preserve"> </w:t>
              </w:r>
              <w:r w:rsidRPr="0060755F">
                <w:rPr>
                  <w:i/>
                  <w:sz w:val="24"/>
                  <w:szCs w:val="24"/>
                </w:rPr>
                <w:t>Linguistic Performance and Language Background: Aberystwyth Studies in Education</w:t>
              </w:r>
              <w:r w:rsidRPr="0060755F">
                <w:rPr>
                  <w:sz w:val="24"/>
                  <w:szCs w:val="24"/>
                </w:rPr>
                <w:t xml:space="preserve"> (Cambrian Printers, 1992)</w:t>
              </w:r>
            </w:p>
            <w:p w:rsidR="00517BF2" w:rsidRPr="00517BF2" w:rsidRDefault="00517BF2" w:rsidP="00FE6912">
              <w:pPr>
                <w:pStyle w:val="FootnoteText"/>
                <w:rPr>
                  <w:sz w:val="24"/>
                  <w:szCs w:val="24"/>
                </w:rPr>
              </w:pPr>
            </w:p>
            <w:p w:rsidR="00DF6DB9" w:rsidRDefault="00DF6DB9" w:rsidP="00FE6912">
              <w:pPr>
                <w:pStyle w:val="FootnoteText"/>
                <w:rPr>
                  <w:sz w:val="24"/>
                  <w:szCs w:val="24"/>
                </w:rPr>
              </w:pPr>
              <w:r w:rsidRPr="00517BF2">
                <w:rPr>
                  <w:sz w:val="24"/>
                  <w:szCs w:val="24"/>
                </w:rPr>
                <w:t xml:space="preserve">Mercer, N. </w:t>
              </w:r>
              <w:r w:rsidRPr="00517BF2">
                <w:rPr>
                  <w:i/>
                  <w:sz w:val="24"/>
                  <w:szCs w:val="24"/>
                </w:rPr>
                <w:t>Words and Minds: How we use Language to Think Together</w:t>
              </w:r>
              <w:r w:rsidRPr="00517BF2">
                <w:rPr>
                  <w:sz w:val="24"/>
                  <w:szCs w:val="24"/>
                </w:rPr>
                <w:t xml:space="preserve"> (Routledge, 2000) </w:t>
              </w:r>
            </w:p>
            <w:p w:rsidR="00C660FA" w:rsidRDefault="00C660FA" w:rsidP="00FE6912">
              <w:pPr>
                <w:pStyle w:val="FootnoteText"/>
                <w:rPr>
                  <w:sz w:val="24"/>
                  <w:szCs w:val="24"/>
                </w:rPr>
              </w:pPr>
            </w:p>
            <w:p w:rsidR="00C660FA" w:rsidRPr="00C660FA" w:rsidRDefault="00C660FA" w:rsidP="00FE6912">
              <w:pPr>
                <w:pStyle w:val="FootnoteText"/>
                <w:rPr>
                  <w:sz w:val="24"/>
                  <w:szCs w:val="24"/>
                </w:rPr>
              </w:pPr>
              <w:r w:rsidRPr="00C660FA">
                <w:rPr>
                  <w:sz w:val="24"/>
                  <w:szCs w:val="24"/>
                </w:rPr>
                <w:t>McCann,</w:t>
              </w:r>
              <w:r>
                <w:rPr>
                  <w:sz w:val="24"/>
                  <w:szCs w:val="24"/>
                </w:rPr>
                <w:t xml:space="preserve"> D.,</w:t>
              </w:r>
              <w:r w:rsidRPr="00C660FA">
                <w:rPr>
                  <w:sz w:val="24"/>
                  <w:szCs w:val="24"/>
                </w:rPr>
                <w:t xml:space="preserve"> A. Barrett, A. Cooper, Food additives and hyperactive behaviour in 3 year-old and 8/9 year old children in the community: a randomised, double-blinded, placebo-controlled trial, </w:t>
              </w:r>
              <w:r w:rsidRPr="00C660FA">
                <w:rPr>
                  <w:i/>
                  <w:sz w:val="24"/>
                  <w:szCs w:val="24"/>
                </w:rPr>
                <w:t>Lancet</w:t>
              </w:r>
              <w:r w:rsidRPr="00C660FA">
                <w:rPr>
                  <w:sz w:val="24"/>
                  <w:szCs w:val="24"/>
                </w:rPr>
                <w:t xml:space="preserve"> 370 (Lancet, 2007) pp.1560,1567 </w:t>
              </w:r>
            </w:p>
            <w:p w:rsidR="00517BF2" w:rsidRPr="00517BF2" w:rsidRDefault="00517BF2" w:rsidP="00FE6912">
              <w:pPr>
                <w:pStyle w:val="FootnoteText"/>
                <w:rPr>
                  <w:sz w:val="24"/>
                  <w:szCs w:val="24"/>
                </w:rPr>
              </w:pPr>
            </w:p>
            <w:p w:rsidR="00636309" w:rsidRDefault="00FE6912" w:rsidP="00517BF2">
              <w:pPr>
                <w:rPr>
                  <w:rFonts w:cstheme="minorHAnsi"/>
                  <w:sz w:val="24"/>
                  <w:szCs w:val="24"/>
                </w:rPr>
              </w:pPr>
              <w:r w:rsidRPr="00517BF2">
                <w:rPr>
                  <w:rFonts w:cstheme="minorHAnsi"/>
                  <w:sz w:val="24"/>
                  <w:szCs w:val="24"/>
                </w:rPr>
                <w:t xml:space="preserve">Moore, Sue, Simon Murphy, Kate Tapper, Laurence Moore, From policy to plate: Barriers to implementing healthy eating policies in primary schools in Wales, </w:t>
              </w:r>
              <w:r w:rsidRPr="00517BF2">
                <w:rPr>
                  <w:rFonts w:cstheme="minorHAnsi"/>
                  <w:i/>
                  <w:sz w:val="24"/>
                  <w:szCs w:val="24"/>
                </w:rPr>
                <w:t xml:space="preserve">Health Policy </w:t>
              </w:r>
              <w:r w:rsidR="00DF6DB9" w:rsidRPr="00517BF2">
                <w:rPr>
                  <w:rFonts w:cstheme="minorHAnsi"/>
                  <w:sz w:val="24"/>
                  <w:szCs w:val="24"/>
                </w:rPr>
                <w:t>94 (Elsevier, 2010) pp.239-245</w:t>
              </w:r>
            </w:p>
            <w:p w:rsidR="00636309" w:rsidRDefault="00636309" w:rsidP="00636309">
              <w:pPr>
                <w:pStyle w:val="FootnoteText"/>
                <w:rPr>
                  <w:sz w:val="24"/>
                  <w:szCs w:val="24"/>
                </w:rPr>
              </w:pPr>
              <w:r w:rsidRPr="00636309">
                <w:rPr>
                  <w:i/>
                  <w:sz w:val="24"/>
                  <w:szCs w:val="24"/>
                </w:rPr>
                <w:t>Standards and Quality in Primary Schools: Welsh</w:t>
              </w:r>
              <w:r w:rsidRPr="00636309">
                <w:rPr>
                  <w:sz w:val="24"/>
                  <w:szCs w:val="24"/>
                </w:rPr>
                <w:t xml:space="preserve"> (Hackman Printers, 1999)</w:t>
              </w:r>
            </w:p>
            <w:p w:rsidR="00636309" w:rsidRPr="00636309" w:rsidRDefault="00636309" w:rsidP="00636309">
              <w:pPr>
                <w:pStyle w:val="FootnoteText"/>
                <w:rPr>
                  <w:sz w:val="24"/>
                  <w:szCs w:val="24"/>
                </w:rPr>
              </w:pPr>
            </w:p>
            <w:p w:rsidR="00517BF2" w:rsidRDefault="00517BF2" w:rsidP="00517BF2">
              <w:pPr>
                <w:rPr>
                  <w:sz w:val="24"/>
                  <w:szCs w:val="24"/>
                </w:rPr>
              </w:pPr>
              <w:r w:rsidRPr="00517BF2">
                <w:rPr>
                  <w:sz w:val="24"/>
                  <w:szCs w:val="24"/>
                </w:rPr>
                <w:t>Wei,</w:t>
              </w:r>
              <w:r w:rsidR="00636309">
                <w:rPr>
                  <w:sz w:val="24"/>
                  <w:szCs w:val="24"/>
                </w:rPr>
                <w:t xml:space="preserve"> Li</w:t>
              </w:r>
              <w:r w:rsidRPr="00517BF2">
                <w:rPr>
                  <w:sz w:val="24"/>
                  <w:szCs w:val="24"/>
                </w:rPr>
                <w:t xml:space="preserve"> </w:t>
              </w:r>
              <w:r w:rsidRPr="00517BF2">
                <w:rPr>
                  <w:i/>
                  <w:sz w:val="24"/>
                  <w:szCs w:val="24"/>
                </w:rPr>
                <w:t xml:space="preserve">Bilingual </w:t>
              </w:r>
              <w:proofErr w:type="spellStart"/>
              <w:r w:rsidRPr="00517BF2">
                <w:rPr>
                  <w:i/>
                  <w:sz w:val="24"/>
                  <w:szCs w:val="24"/>
                </w:rPr>
                <w:t>Childrens</w:t>
              </w:r>
              <w:proofErr w:type="spellEnd"/>
              <w:r w:rsidRPr="00517BF2">
                <w:rPr>
                  <w:i/>
                  <w:sz w:val="24"/>
                  <w:szCs w:val="24"/>
                </w:rPr>
                <w:t xml:space="preserve"> Language and Literacy Development </w:t>
              </w:r>
              <w:r w:rsidRPr="00517BF2">
                <w:rPr>
                  <w:sz w:val="24"/>
                  <w:szCs w:val="24"/>
                </w:rPr>
                <w:t>(Multilingual Matters Ltd. 2003)</w:t>
              </w:r>
            </w:p>
            <w:p w:rsidR="00B41638" w:rsidRPr="00517BF2" w:rsidRDefault="00B41638" w:rsidP="00B41638">
              <w:pPr>
                <w:rPr>
                  <w:rFonts w:cstheme="minorHAnsi"/>
                  <w:sz w:val="24"/>
                  <w:szCs w:val="24"/>
                </w:rPr>
              </w:pPr>
              <w:r>
                <w:t xml:space="preserve">Wren, Understanding the Role of the Teaching Assistant: comparing the views of pupils with SEN and TAs within mainstream Primary Schools, </w:t>
              </w:r>
              <w:r>
                <w:rPr>
                  <w:i/>
                </w:rPr>
                <w:t xml:space="preserve">Support for Learning </w:t>
              </w:r>
              <w:r>
                <w:t>32.1 (</w:t>
              </w:r>
              <w:proofErr w:type="spellStart"/>
              <w:r>
                <w:t>Nasen</w:t>
              </w:r>
              <w:proofErr w:type="spellEnd"/>
              <w:r>
                <w:t>, 2017)</w:t>
              </w:r>
              <w:r>
                <w:t xml:space="preserve"> pp.4-19</w:t>
              </w:r>
            </w:p>
            <w:p w:rsidR="0028450A" w:rsidRDefault="002E224F">
              <w:pPr>
                <w:rPr>
                  <w:rStyle w:val="Hyperlink"/>
                </w:rPr>
              </w:pPr>
              <w:hyperlink r:id="rId7" w:history="1">
                <w:r w:rsidRPr="00C01DCB">
                  <w:rPr>
                    <w:rStyle w:val="Hyperlink"/>
                  </w:rPr>
                  <w:t>https://www.estyn.gov.wales/sites/default/files/documents/Ysgol%20Bro%20Pedr%20en.pdf</w:t>
                </w:r>
              </w:hyperlink>
              <w:r>
                <w:rPr>
                  <w:rStyle w:val="Hyperlink"/>
                </w:rPr>
                <w:t xml:space="preserve"> </w:t>
              </w:r>
              <w:r w:rsidRPr="002E224F">
                <w:rPr>
                  <w:rStyle w:val="Hyperlink"/>
                  <w:color w:val="auto"/>
                  <w:u w:val="none"/>
                </w:rPr>
                <w:t xml:space="preserve">(Accessed on </w:t>
              </w:r>
              <w:r>
                <w:rPr>
                  <w:rStyle w:val="Hyperlink"/>
                  <w:color w:val="auto"/>
                  <w:u w:val="none"/>
                </w:rPr>
                <w:t>19</w:t>
              </w:r>
              <w:r w:rsidRPr="002E224F">
                <w:rPr>
                  <w:rStyle w:val="Hyperlink"/>
                  <w:color w:val="auto"/>
                  <w:u w:val="none"/>
                </w:rPr>
                <w:t>/12/2018)</w:t>
              </w:r>
            </w:p>
            <w:p w:rsidR="0038531F" w:rsidRPr="005B0C84" w:rsidRDefault="002E224F" w:rsidP="002E224F">
              <w:r>
                <w:rPr>
                  <w:rStyle w:val="FootnoteReference"/>
                </w:rPr>
                <w:footnoteRef/>
              </w:r>
              <w:hyperlink r:id="rId8" w:history="1">
                <w:r w:rsidRPr="00C01DCB">
                  <w:rPr>
                    <w:rStyle w:val="Hyperlink"/>
                  </w:rPr>
                  <w:t>https://www.estyn.gov.wales/sites/default/files/documents/Inspection%20report%20Ysgol%20Y%20Dderi%202014_0.pdf.pdf.pdf.pdf.pdf.pdf.pdf.pdf.pdf.pdf</w:t>
                </w:r>
              </w:hyperlink>
              <w:r>
                <w:t xml:space="preserve"> (Accessed on 19/12/2018)</w:t>
              </w:r>
            </w:p>
          </w:sdtContent>
        </w:sdt>
      </w:sdtContent>
    </w:sdt>
    <w:sectPr w:rsidR="0038531F" w:rsidRPr="005B0C8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3121" w:rsidRDefault="008D3121" w:rsidP="00A2309A">
      <w:pPr>
        <w:spacing w:after="0" w:line="240" w:lineRule="auto"/>
      </w:pPr>
      <w:r>
        <w:separator/>
      </w:r>
    </w:p>
  </w:endnote>
  <w:endnote w:type="continuationSeparator" w:id="0">
    <w:p w:rsidR="008D3121" w:rsidRDefault="008D3121" w:rsidP="00A230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52863570"/>
      <w:docPartObj>
        <w:docPartGallery w:val="Page Numbers (Bottom of Page)"/>
        <w:docPartUnique/>
      </w:docPartObj>
    </w:sdtPr>
    <w:sdtEndPr>
      <w:rPr>
        <w:noProof/>
      </w:rPr>
    </w:sdtEndPr>
    <w:sdtContent>
      <w:p w:rsidR="00A2309A" w:rsidRDefault="00A2309A">
        <w:pPr>
          <w:pStyle w:val="Footer"/>
          <w:jc w:val="right"/>
        </w:pPr>
        <w:r>
          <w:fldChar w:fldCharType="begin"/>
        </w:r>
        <w:r>
          <w:instrText xml:space="preserve"> PAGE   \* MERGEFORMAT </w:instrText>
        </w:r>
        <w:r>
          <w:fldChar w:fldCharType="separate"/>
        </w:r>
        <w:r w:rsidR="002D1865">
          <w:rPr>
            <w:noProof/>
          </w:rPr>
          <w:t>2</w:t>
        </w:r>
        <w:r>
          <w:rPr>
            <w:noProof/>
          </w:rPr>
          <w:fldChar w:fldCharType="end"/>
        </w:r>
      </w:p>
    </w:sdtContent>
  </w:sdt>
  <w:p w:rsidR="00A2309A" w:rsidRDefault="00A230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3121" w:rsidRDefault="008D3121" w:rsidP="00A2309A">
      <w:pPr>
        <w:spacing w:after="0" w:line="240" w:lineRule="auto"/>
      </w:pPr>
      <w:r>
        <w:separator/>
      </w:r>
    </w:p>
  </w:footnote>
  <w:footnote w:type="continuationSeparator" w:id="0">
    <w:p w:rsidR="008D3121" w:rsidRDefault="008D3121" w:rsidP="00A2309A">
      <w:pPr>
        <w:spacing w:after="0" w:line="240" w:lineRule="auto"/>
      </w:pPr>
      <w:r>
        <w:continuationSeparator/>
      </w:r>
    </w:p>
  </w:footnote>
  <w:footnote w:id="1">
    <w:p w:rsidR="00667A30" w:rsidRDefault="0038531F" w:rsidP="0038531F">
      <w:pPr>
        <w:pStyle w:val="FootnoteText"/>
      </w:pPr>
      <w:r>
        <w:rPr>
          <w:rStyle w:val="FootnoteReference"/>
        </w:rPr>
        <w:footnoteRef/>
      </w:r>
      <w:r>
        <w:t xml:space="preserve"> </w:t>
      </w:r>
      <w:hyperlink r:id="rId1" w:history="1">
        <w:r w:rsidR="00667A30" w:rsidRPr="00C01DCB">
          <w:rPr>
            <w:rStyle w:val="Hyperlink"/>
          </w:rPr>
          <w:t>https://www.estyn.gov.wales/sites/default/files/documents/Ysgol%20Bro%20Pedr%20en.pdf</w:t>
        </w:r>
      </w:hyperlink>
      <w:r w:rsidR="002E224F">
        <w:t xml:space="preserve"> </w:t>
      </w:r>
      <w:r w:rsidR="002E224F" w:rsidRPr="002E224F">
        <w:rPr>
          <w:rStyle w:val="Hyperlink"/>
          <w:color w:val="auto"/>
          <w:u w:val="none"/>
        </w:rPr>
        <w:t xml:space="preserve">(Accessed on </w:t>
      </w:r>
      <w:r w:rsidR="002E224F">
        <w:rPr>
          <w:rStyle w:val="Hyperlink"/>
          <w:color w:val="auto"/>
          <w:u w:val="none"/>
        </w:rPr>
        <w:t>19</w:t>
      </w:r>
      <w:r w:rsidR="002E224F" w:rsidRPr="002E224F">
        <w:rPr>
          <w:rStyle w:val="Hyperlink"/>
          <w:color w:val="auto"/>
          <w:u w:val="none"/>
        </w:rPr>
        <w:t>/12/2018)</w:t>
      </w:r>
    </w:p>
  </w:footnote>
  <w:footnote w:id="2">
    <w:p w:rsidR="002E224F" w:rsidRDefault="002E224F">
      <w:pPr>
        <w:pStyle w:val="FootnoteText"/>
      </w:pPr>
      <w:r>
        <w:rPr>
          <w:rStyle w:val="FootnoteReference"/>
        </w:rPr>
        <w:footnoteRef/>
      </w:r>
      <w:hyperlink r:id="rId2" w:history="1">
        <w:r w:rsidRPr="00C01DCB">
          <w:rPr>
            <w:rStyle w:val="Hyperlink"/>
          </w:rPr>
          <w:t>https://www.estyn.gov.wales/sites/default/files/documents/Inspection%20report%20Ysgol%20Y%20Dderi%202014_0.pdf.pdf.pdf.pdf.pdf.pdf.pdf.pdf.pdf.pdf</w:t>
        </w:r>
      </w:hyperlink>
      <w:r>
        <w:t xml:space="preserve"> </w:t>
      </w:r>
      <w:r w:rsidRPr="002E224F">
        <w:rPr>
          <w:rStyle w:val="Hyperlink"/>
          <w:color w:val="auto"/>
          <w:u w:val="none"/>
        </w:rPr>
        <w:t xml:space="preserve">(Accessed on </w:t>
      </w:r>
      <w:r>
        <w:rPr>
          <w:rStyle w:val="Hyperlink"/>
          <w:color w:val="auto"/>
          <w:u w:val="none"/>
        </w:rPr>
        <w:t>19</w:t>
      </w:r>
      <w:r w:rsidRPr="002E224F">
        <w:rPr>
          <w:rStyle w:val="Hyperlink"/>
          <w:color w:val="auto"/>
          <w:u w:val="none"/>
        </w:rPr>
        <w:t>/12/2018)</w:t>
      </w:r>
    </w:p>
  </w:footnote>
  <w:footnote w:id="3">
    <w:p w:rsidR="0038531F" w:rsidRPr="00FF06E0" w:rsidRDefault="0038531F" w:rsidP="0038531F">
      <w:pPr>
        <w:autoSpaceDE w:val="0"/>
        <w:autoSpaceDN w:val="0"/>
        <w:adjustRightInd w:val="0"/>
        <w:spacing w:after="0" w:line="240" w:lineRule="auto"/>
        <w:rPr>
          <w:rFonts w:cstheme="minorHAnsi"/>
          <w:sz w:val="18"/>
          <w:szCs w:val="18"/>
        </w:rPr>
      </w:pPr>
      <w:r>
        <w:rPr>
          <w:rStyle w:val="FootnoteReference"/>
        </w:rPr>
        <w:footnoteRef/>
      </w:r>
      <w:r>
        <w:t xml:space="preserve"> </w:t>
      </w:r>
      <w:r w:rsidRPr="00FF06E0">
        <w:rPr>
          <w:rFonts w:cstheme="minorHAnsi"/>
          <w:sz w:val="18"/>
          <w:szCs w:val="18"/>
        </w:rPr>
        <w:t>Sue Moore, Simon Murphy, Kate Tapper, Laurence Moore, From policy to plate: Barriers to implementing healthy eating policies in primary schools in Wales</w:t>
      </w:r>
      <w:r>
        <w:rPr>
          <w:rFonts w:cstheme="minorHAnsi"/>
          <w:sz w:val="18"/>
          <w:szCs w:val="18"/>
        </w:rPr>
        <w:t xml:space="preserve">, </w:t>
      </w:r>
      <w:r>
        <w:rPr>
          <w:rFonts w:cstheme="minorHAnsi"/>
          <w:i/>
          <w:sz w:val="18"/>
          <w:szCs w:val="18"/>
        </w:rPr>
        <w:t xml:space="preserve">Health Policy </w:t>
      </w:r>
      <w:r>
        <w:rPr>
          <w:rFonts w:cstheme="minorHAnsi"/>
          <w:sz w:val="18"/>
          <w:szCs w:val="18"/>
        </w:rPr>
        <w:t>94 (Elsevier, 2010) pp.239</w:t>
      </w:r>
    </w:p>
  </w:footnote>
  <w:footnote w:id="4">
    <w:p w:rsidR="0038531F" w:rsidRPr="00FC67CC" w:rsidRDefault="0038531F" w:rsidP="0038531F">
      <w:pPr>
        <w:pStyle w:val="FootnoteText"/>
        <w:rPr>
          <w:sz w:val="18"/>
          <w:szCs w:val="18"/>
        </w:rPr>
      </w:pPr>
      <w:r w:rsidRPr="00FC67CC">
        <w:rPr>
          <w:rStyle w:val="FootnoteReference"/>
          <w:sz w:val="18"/>
          <w:szCs w:val="18"/>
        </w:rPr>
        <w:footnoteRef/>
      </w:r>
      <w:r w:rsidRPr="00FC67CC">
        <w:rPr>
          <w:sz w:val="18"/>
          <w:szCs w:val="18"/>
        </w:rPr>
        <w:t xml:space="preserve"> </w:t>
      </w:r>
      <w:r w:rsidRPr="00FC67CC">
        <w:rPr>
          <w:rFonts w:cstheme="minorHAnsi"/>
          <w:sz w:val="18"/>
          <w:szCs w:val="18"/>
        </w:rPr>
        <w:t xml:space="preserve">Sue Moore, Simon Murphy, Kate Tapper, Laurence Moore, From policy to plate: Barriers to implementing healthy eating policies in primary schools in Wales, </w:t>
      </w:r>
      <w:r w:rsidRPr="00FC67CC">
        <w:rPr>
          <w:rFonts w:cstheme="minorHAnsi"/>
          <w:i/>
          <w:sz w:val="18"/>
          <w:szCs w:val="18"/>
        </w:rPr>
        <w:t xml:space="preserve">Health Policy </w:t>
      </w:r>
      <w:r w:rsidRPr="00FC67CC">
        <w:rPr>
          <w:rFonts w:cstheme="minorHAnsi"/>
          <w:sz w:val="18"/>
          <w:szCs w:val="18"/>
        </w:rPr>
        <w:t>94 (Elsevier, 2010) pp.240</w:t>
      </w:r>
    </w:p>
  </w:footnote>
  <w:footnote w:id="5">
    <w:p w:rsidR="0038531F" w:rsidRPr="00FC67CC" w:rsidRDefault="0038531F" w:rsidP="0038531F">
      <w:pPr>
        <w:pStyle w:val="FootnoteText"/>
      </w:pPr>
      <w:r w:rsidRPr="00FC67CC">
        <w:rPr>
          <w:rStyle w:val="FootnoteReference"/>
          <w:sz w:val="18"/>
          <w:szCs w:val="18"/>
        </w:rPr>
        <w:footnoteRef/>
      </w:r>
      <w:r w:rsidRPr="00FC67CC">
        <w:rPr>
          <w:sz w:val="18"/>
          <w:szCs w:val="18"/>
        </w:rPr>
        <w:t xml:space="preserve"> K. Brown, H. </w:t>
      </w:r>
      <w:proofErr w:type="spellStart"/>
      <w:r w:rsidRPr="00FC67CC">
        <w:rPr>
          <w:sz w:val="18"/>
          <w:szCs w:val="18"/>
        </w:rPr>
        <w:t>Mcllveen</w:t>
      </w:r>
      <w:proofErr w:type="spellEnd"/>
      <w:r w:rsidRPr="00FC67CC">
        <w:rPr>
          <w:sz w:val="18"/>
          <w:szCs w:val="18"/>
        </w:rPr>
        <w:t xml:space="preserve">, C. </w:t>
      </w:r>
      <w:proofErr w:type="spellStart"/>
      <w:r w:rsidRPr="00FC67CC">
        <w:rPr>
          <w:sz w:val="18"/>
          <w:szCs w:val="18"/>
        </w:rPr>
        <w:t>Strugnell</w:t>
      </w:r>
      <w:proofErr w:type="spellEnd"/>
      <w:r w:rsidRPr="00FC67CC">
        <w:rPr>
          <w:sz w:val="18"/>
          <w:szCs w:val="18"/>
        </w:rPr>
        <w:t xml:space="preserve">, Nutritional Awareness and Food Preferences of Young Consumers, </w:t>
      </w:r>
      <w:r w:rsidRPr="00FC67CC">
        <w:rPr>
          <w:i/>
          <w:sz w:val="18"/>
          <w:szCs w:val="18"/>
        </w:rPr>
        <w:t>Nutrition and Food Science</w:t>
      </w:r>
      <w:r w:rsidRPr="00FC67CC">
        <w:rPr>
          <w:sz w:val="18"/>
          <w:szCs w:val="18"/>
        </w:rPr>
        <w:t xml:space="preserve"> 30.5 (Nutrition</w:t>
      </w:r>
      <w:r>
        <w:rPr>
          <w:sz w:val="18"/>
          <w:szCs w:val="18"/>
        </w:rPr>
        <w:t xml:space="preserve"> and Food Science, 2000</w:t>
      </w:r>
      <w:r>
        <w:t>) pp.230-253</w:t>
      </w:r>
    </w:p>
  </w:footnote>
  <w:footnote w:id="6">
    <w:p w:rsidR="0038531F" w:rsidRDefault="0038531F" w:rsidP="0038531F">
      <w:pPr>
        <w:pStyle w:val="FootnoteText"/>
      </w:pPr>
      <w:r>
        <w:rPr>
          <w:rStyle w:val="FootnoteReference"/>
        </w:rPr>
        <w:footnoteRef/>
      </w:r>
      <w:r>
        <w:t xml:space="preserve"> </w:t>
      </w:r>
      <w:r w:rsidRPr="00FC67CC">
        <w:rPr>
          <w:rFonts w:cstheme="minorHAnsi"/>
          <w:sz w:val="18"/>
          <w:szCs w:val="18"/>
        </w:rPr>
        <w:t xml:space="preserve">Sue Moore, Simon Murphy, Kate Tapper, Laurence Moore, From policy to plate: Barriers to implementing healthy eating policies in primary schools in Wales, </w:t>
      </w:r>
      <w:r w:rsidRPr="00FC67CC">
        <w:rPr>
          <w:rFonts w:cstheme="minorHAnsi"/>
          <w:i/>
          <w:sz w:val="18"/>
          <w:szCs w:val="18"/>
        </w:rPr>
        <w:t xml:space="preserve">Health Policy </w:t>
      </w:r>
      <w:r w:rsidRPr="00FC67CC">
        <w:rPr>
          <w:rFonts w:cstheme="minorHAnsi"/>
          <w:sz w:val="18"/>
          <w:szCs w:val="18"/>
        </w:rPr>
        <w:t>94 (Elsevier, 2010) pp.240</w:t>
      </w:r>
    </w:p>
  </w:footnote>
  <w:footnote w:id="7">
    <w:p w:rsidR="0038531F" w:rsidRDefault="0038531F" w:rsidP="0038531F">
      <w:pPr>
        <w:pStyle w:val="FootnoteText"/>
      </w:pPr>
      <w:r>
        <w:rPr>
          <w:rStyle w:val="FootnoteReference"/>
        </w:rPr>
        <w:footnoteRef/>
      </w:r>
      <w:r>
        <w:t xml:space="preserve"> </w:t>
      </w:r>
      <w:r w:rsidRPr="007F63D6">
        <w:rPr>
          <w:sz w:val="18"/>
          <w:szCs w:val="18"/>
        </w:rPr>
        <w:t xml:space="preserve">D. McCann, A. Barrett, A. Cooper, Food additives and hyperactive behaviour in 3 year-old and 8/9 year old children in the community: a randomised, double-blinded, placebo-controlled trial, </w:t>
      </w:r>
      <w:r w:rsidRPr="007F63D6">
        <w:rPr>
          <w:i/>
          <w:sz w:val="18"/>
          <w:szCs w:val="18"/>
        </w:rPr>
        <w:t>Lancet</w:t>
      </w:r>
      <w:r w:rsidRPr="007F63D6">
        <w:rPr>
          <w:sz w:val="18"/>
          <w:szCs w:val="18"/>
        </w:rPr>
        <w:t xml:space="preserve"> 370 (Lancet, 2007) pp.1560,1567</w:t>
      </w:r>
      <w:r>
        <w:t xml:space="preserve"> </w:t>
      </w:r>
    </w:p>
  </w:footnote>
  <w:footnote w:id="8">
    <w:p w:rsidR="0012271A" w:rsidRPr="0012271A" w:rsidRDefault="0012271A">
      <w:pPr>
        <w:pStyle w:val="FootnoteText"/>
      </w:pPr>
      <w:r>
        <w:rPr>
          <w:rStyle w:val="FootnoteReference"/>
        </w:rPr>
        <w:footnoteRef/>
      </w:r>
      <w:r>
        <w:t xml:space="preserve"> </w:t>
      </w:r>
      <w:r>
        <w:rPr>
          <w:i/>
        </w:rPr>
        <w:t>Food in the School Curriculum in Wales</w:t>
      </w:r>
      <w:r>
        <w:t xml:space="preserve"> (Qualifications, Curriculum and Assessment Authority for Wales, 2001) pp.17</w:t>
      </w:r>
    </w:p>
  </w:footnote>
  <w:footnote w:id="9">
    <w:p w:rsidR="00B41B9E" w:rsidRPr="00B41B9E" w:rsidRDefault="00B41B9E">
      <w:pPr>
        <w:pStyle w:val="FootnoteText"/>
      </w:pPr>
      <w:r>
        <w:rPr>
          <w:rStyle w:val="FootnoteReference"/>
        </w:rPr>
        <w:footnoteRef/>
      </w:r>
      <w:r>
        <w:t xml:space="preserve"> </w:t>
      </w:r>
      <w:r>
        <w:rPr>
          <w:i/>
        </w:rPr>
        <w:t>Defining Schools According to Welsh Provision</w:t>
      </w:r>
      <w:r>
        <w:t>, (Welsh Assembly Government, 2007)</w:t>
      </w:r>
    </w:p>
  </w:footnote>
  <w:footnote w:id="10">
    <w:p w:rsidR="00BE01E9" w:rsidRPr="00BE01E9" w:rsidRDefault="00BE01E9">
      <w:pPr>
        <w:pStyle w:val="FootnoteText"/>
      </w:pPr>
      <w:r>
        <w:rPr>
          <w:rStyle w:val="FootnoteReference"/>
        </w:rPr>
        <w:footnoteRef/>
      </w:r>
      <w:r>
        <w:t xml:space="preserve"> N. Mercer, </w:t>
      </w:r>
      <w:r>
        <w:rPr>
          <w:i/>
        </w:rPr>
        <w:t>Words and Minds: How we use Language to Think Together</w:t>
      </w:r>
      <w:r>
        <w:t xml:space="preserve"> (Routledge, 2000) pp.6</w:t>
      </w:r>
    </w:p>
  </w:footnote>
  <w:footnote w:id="11">
    <w:p w:rsidR="00BE01E9" w:rsidRPr="00BE01E9" w:rsidRDefault="00BE01E9">
      <w:pPr>
        <w:pStyle w:val="FootnoteText"/>
      </w:pPr>
      <w:r>
        <w:rPr>
          <w:rStyle w:val="FootnoteReference"/>
        </w:rPr>
        <w:footnoteRef/>
      </w:r>
      <w:r>
        <w:t xml:space="preserve">Li Wei, </w:t>
      </w:r>
      <w:r>
        <w:rPr>
          <w:i/>
        </w:rPr>
        <w:t xml:space="preserve">Bilingual </w:t>
      </w:r>
      <w:proofErr w:type="spellStart"/>
      <w:r>
        <w:rPr>
          <w:i/>
        </w:rPr>
        <w:t>Childrens</w:t>
      </w:r>
      <w:proofErr w:type="spellEnd"/>
      <w:r>
        <w:rPr>
          <w:i/>
        </w:rPr>
        <w:t xml:space="preserve"> Language and Literacy Development </w:t>
      </w:r>
      <w:r>
        <w:t>(Multilingual Matters Ltd. 2003)</w:t>
      </w:r>
    </w:p>
  </w:footnote>
  <w:footnote w:id="12">
    <w:p w:rsidR="00D93142" w:rsidRPr="00D93142" w:rsidRDefault="00D93142">
      <w:pPr>
        <w:pStyle w:val="FootnoteText"/>
      </w:pPr>
      <w:r>
        <w:rPr>
          <w:rStyle w:val="FootnoteReference"/>
        </w:rPr>
        <w:footnoteRef/>
      </w:r>
      <w:r>
        <w:t xml:space="preserve"> M. J. Ball, N. Muller, S. Munro, The Acquisition of the </w:t>
      </w:r>
      <w:proofErr w:type="spellStart"/>
      <w:r>
        <w:t>Rhotic</w:t>
      </w:r>
      <w:proofErr w:type="spellEnd"/>
      <w:r>
        <w:t xml:space="preserve"> Consonants by Welsh-English bi-lingual children, </w:t>
      </w:r>
      <w:r>
        <w:rPr>
          <w:i/>
        </w:rPr>
        <w:t>International Journal of Bi-</w:t>
      </w:r>
      <w:proofErr w:type="spellStart"/>
      <w:r>
        <w:rPr>
          <w:i/>
        </w:rPr>
        <w:t>linguilism</w:t>
      </w:r>
      <w:proofErr w:type="spellEnd"/>
      <w:r>
        <w:rPr>
          <w:i/>
        </w:rPr>
        <w:t xml:space="preserve"> </w:t>
      </w:r>
      <w:r w:rsidRPr="00D93142">
        <w:t>5.1</w:t>
      </w:r>
      <w:r>
        <w:t xml:space="preserve"> (</w:t>
      </w:r>
      <w:proofErr w:type="spellStart"/>
      <w:r>
        <w:t>Multilingua</w:t>
      </w:r>
      <w:proofErr w:type="spellEnd"/>
      <w:r>
        <w:t>, 2010) pp.24-29</w:t>
      </w:r>
    </w:p>
  </w:footnote>
  <w:footnote w:id="13">
    <w:p w:rsidR="007F5972" w:rsidRPr="00454E53" w:rsidRDefault="007F5972" w:rsidP="007F5972">
      <w:pPr>
        <w:pStyle w:val="FootnoteText"/>
      </w:pPr>
      <w:r>
        <w:rPr>
          <w:rStyle w:val="FootnoteReference"/>
        </w:rPr>
        <w:footnoteRef/>
      </w:r>
      <w:r>
        <w:t xml:space="preserve"> B. M. Jones, </w:t>
      </w:r>
      <w:r>
        <w:rPr>
          <w:i/>
        </w:rPr>
        <w:t>Linguistic Performance and Language Background: Aberystwyth Studies in Education</w:t>
      </w:r>
      <w:r>
        <w:t xml:space="preserve"> (Cambrian Printers, 1992) pp.104 </w:t>
      </w:r>
    </w:p>
  </w:footnote>
  <w:footnote w:id="14">
    <w:p w:rsidR="00636309" w:rsidRPr="00636309" w:rsidRDefault="00636309">
      <w:pPr>
        <w:pStyle w:val="FootnoteText"/>
      </w:pPr>
      <w:r>
        <w:rPr>
          <w:rStyle w:val="FootnoteReference"/>
        </w:rPr>
        <w:footnoteRef/>
      </w:r>
      <w:r>
        <w:t xml:space="preserve"> </w:t>
      </w:r>
      <w:r>
        <w:rPr>
          <w:i/>
        </w:rPr>
        <w:t>Standards and Quality in Primary Schools: Welsh</w:t>
      </w:r>
      <w:r>
        <w:t xml:space="preserve"> (Hackman Printers, 1999)</w:t>
      </w:r>
    </w:p>
  </w:footnote>
  <w:footnote w:id="15">
    <w:p w:rsidR="00D74FFB" w:rsidRPr="00D74FFB" w:rsidRDefault="00D74FFB">
      <w:pPr>
        <w:pStyle w:val="FootnoteText"/>
      </w:pPr>
      <w:r>
        <w:rPr>
          <w:rStyle w:val="FootnoteReference"/>
        </w:rPr>
        <w:footnoteRef/>
      </w:r>
      <w:r>
        <w:t xml:space="preserve"> Peter Blatchford, Anthony Russell, Rob Webster, </w:t>
      </w:r>
      <w:r>
        <w:rPr>
          <w:i/>
        </w:rPr>
        <w:t>R</w:t>
      </w:r>
      <w:r w:rsidRPr="00D74FFB">
        <w:rPr>
          <w:i/>
        </w:rPr>
        <w:t>eassessing the impact of teaching assistants</w:t>
      </w:r>
      <w:r>
        <w:rPr>
          <w:i/>
        </w:rPr>
        <w:t xml:space="preserve"> </w:t>
      </w:r>
      <w:r>
        <w:t>(Routledge, 2012) p.5</w:t>
      </w:r>
    </w:p>
  </w:footnote>
  <w:footnote w:id="16">
    <w:p w:rsidR="00B60719" w:rsidRPr="000A4020" w:rsidRDefault="00B60719" w:rsidP="000A4020">
      <w:pPr>
        <w:pStyle w:val="FootnoteText"/>
        <w:rPr>
          <w:sz w:val="24"/>
          <w:szCs w:val="24"/>
        </w:rPr>
      </w:pPr>
      <w:r>
        <w:rPr>
          <w:rStyle w:val="FootnoteReference"/>
        </w:rPr>
        <w:footnoteRef/>
      </w:r>
      <w:r>
        <w:t xml:space="preserve"> </w:t>
      </w:r>
      <w:r w:rsidRPr="000A4020">
        <w:rPr>
          <w:sz w:val="18"/>
          <w:szCs w:val="18"/>
        </w:rPr>
        <w:t>R</w:t>
      </w:r>
      <w:r w:rsidR="000A4020" w:rsidRPr="000A4020">
        <w:rPr>
          <w:sz w:val="18"/>
          <w:szCs w:val="18"/>
        </w:rPr>
        <w:t>oger</w:t>
      </w:r>
      <w:r w:rsidRPr="000A4020">
        <w:rPr>
          <w:sz w:val="18"/>
          <w:szCs w:val="18"/>
        </w:rPr>
        <w:t xml:space="preserve"> Hancock, </w:t>
      </w:r>
      <w:r w:rsidR="000A4020" w:rsidRPr="000A4020">
        <w:rPr>
          <w:sz w:val="18"/>
          <w:szCs w:val="18"/>
        </w:rPr>
        <w:t>Will Swann, Allan Marr, Janet Turner, Carrie Cable, Classroom assistants in primary schools: Employment and deployment. Economic and Social Research Council (The Open University, 2002)</w:t>
      </w:r>
    </w:p>
  </w:footnote>
  <w:footnote w:id="17">
    <w:p w:rsidR="00B41638" w:rsidRPr="00B41638" w:rsidRDefault="00B41638">
      <w:pPr>
        <w:pStyle w:val="FootnoteText"/>
      </w:pPr>
      <w:r>
        <w:rPr>
          <w:rStyle w:val="FootnoteReference"/>
        </w:rPr>
        <w:footnoteRef/>
      </w:r>
      <w:r>
        <w:t xml:space="preserve"> Alison Wren, Understanding the Role of the Teaching Assistant: comparing the views of pupils with SEN and TAs within mainstream Primary Schools, </w:t>
      </w:r>
      <w:r>
        <w:rPr>
          <w:i/>
        </w:rPr>
        <w:t xml:space="preserve">Support for Learning </w:t>
      </w:r>
      <w:r>
        <w:t>32.1 (</w:t>
      </w:r>
      <w:proofErr w:type="spellStart"/>
      <w:r>
        <w:t>Nasen</w:t>
      </w:r>
      <w:proofErr w:type="spellEnd"/>
      <w:r>
        <w:t xml:space="preserve">, 2017) pp.5 </w:t>
      </w:r>
    </w:p>
  </w:footnote>
  <w:footnote w:id="18">
    <w:p w:rsidR="008E3CCE" w:rsidRDefault="008E3CCE" w:rsidP="008E3CCE">
      <w:pPr>
        <w:pStyle w:val="FootnoteText"/>
      </w:pPr>
      <w:r>
        <w:rPr>
          <w:rStyle w:val="FootnoteReference"/>
        </w:rPr>
        <w:footnoteRef/>
      </w:r>
      <w:r>
        <w:t xml:space="preserve"> </w:t>
      </w:r>
      <w:r w:rsidRPr="008E3CCE">
        <w:rPr>
          <w:sz w:val="18"/>
          <w:szCs w:val="18"/>
        </w:rPr>
        <w:t>Clare Fraser &amp; Sara Meadows Children's views of Teaching Assistants in primary schools, Educa</w:t>
      </w:r>
      <w:r>
        <w:rPr>
          <w:sz w:val="18"/>
          <w:szCs w:val="18"/>
        </w:rPr>
        <w:t xml:space="preserve">tion 3–13, 36.4 </w:t>
      </w:r>
      <w:r w:rsidRPr="008E3CCE">
        <w:rPr>
          <w:sz w:val="18"/>
          <w:szCs w:val="18"/>
        </w:rPr>
        <w:t>(</w:t>
      </w:r>
      <w:r>
        <w:rPr>
          <w:sz w:val="18"/>
          <w:szCs w:val="18"/>
        </w:rPr>
        <w:t xml:space="preserve">Routledge, </w:t>
      </w:r>
      <w:r w:rsidRPr="008E3CCE">
        <w:rPr>
          <w:sz w:val="18"/>
          <w:szCs w:val="18"/>
        </w:rPr>
        <w:t>2008)</w:t>
      </w:r>
      <w:r>
        <w:rPr>
          <w:sz w:val="18"/>
          <w:szCs w:val="18"/>
        </w:rPr>
        <w:t xml:space="preserve"> pp.354</w:t>
      </w:r>
    </w:p>
  </w:footnote>
  <w:footnote w:id="19">
    <w:p w:rsidR="002A1C22" w:rsidRDefault="002A1C22">
      <w:pPr>
        <w:pStyle w:val="FootnoteText"/>
      </w:pPr>
      <w:r>
        <w:rPr>
          <w:rStyle w:val="FootnoteReference"/>
        </w:rPr>
        <w:footnoteRef/>
      </w:r>
      <w:r>
        <w:t xml:space="preserve"> </w:t>
      </w:r>
      <w:r w:rsidRPr="008E3CCE">
        <w:rPr>
          <w:sz w:val="18"/>
          <w:szCs w:val="18"/>
        </w:rPr>
        <w:t>Clare Fraser &amp; Sara Meadows Children's views of Teaching Assistants in primary schools, Educa</w:t>
      </w:r>
      <w:r>
        <w:rPr>
          <w:sz w:val="18"/>
          <w:szCs w:val="18"/>
        </w:rPr>
        <w:t xml:space="preserve">tion 3–13, 36.4 </w:t>
      </w:r>
      <w:r w:rsidRPr="008E3CCE">
        <w:rPr>
          <w:sz w:val="18"/>
          <w:szCs w:val="18"/>
        </w:rPr>
        <w:t>(</w:t>
      </w:r>
      <w:r>
        <w:rPr>
          <w:sz w:val="18"/>
          <w:szCs w:val="18"/>
        </w:rPr>
        <w:t xml:space="preserve">Routledge, </w:t>
      </w:r>
      <w:r w:rsidRPr="008E3CCE">
        <w:rPr>
          <w:sz w:val="18"/>
          <w:szCs w:val="18"/>
        </w:rPr>
        <w:t>2008)</w:t>
      </w:r>
      <w:r>
        <w:rPr>
          <w:sz w:val="18"/>
          <w:szCs w:val="18"/>
        </w:rPr>
        <w:t xml:space="preserve"> pp.</w:t>
      </w:r>
      <w:r>
        <w:rPr>
          <w:sz w:val="18"/>
          <w:szCs w:val="18"/>
        </w:rPr>
        <w:t>360</w:t>
      </w:r>
    </w:p>
  </w:footnote>
  <w:footnote w:id="20">
    <w:p w:rsidR="008D41DE" w:rsidRDefault="008D41DE">
      <w:pPr>
        <w:pStyle w:val="FootnoteText"/>
      </w:pPr>
      <w:r>
        <w:rPr>
          <w:rStyle w:val="FootnoteReference"/>
        </w:rPr>
        <w:footnoteRef/>
      </w:r>
      <w:r>
        <w:t xml:space="preserve"> </w:t>
      </w:r>
      <w:r>
        <w:rPr>
          <w:rStyle w:val="FootnoteReference"/>
        </w:rPr>
        <w:footnoteRef/>
      </w:r>
      <w:r>
        <w:t xml:space="preserve"> Alison Wren, Understanding the Role of the Teaching Assistant: comparing the views of pupils with SEN and TAs within mainstream Primary Schools, </w:t>
      </w:r>
      <w:r>
        <w:rPr>
          <w:i/>
        </w:rPr>
        <w:t xml:space="preserve">Support for Learning </w:t>
      </w:r>
      <w:r>
        <w:t>32.1 (</w:t>
      </w:r>
      <w:proofErr w:type="spellStart"/>
      <w:r>
        <w:t>Nasen</w:t>
      </w:r>
      <w:proofErr w:type="spellEnd"/>
      <w:r>
        <w:t>, 2017) pp.</w:t>
      </w:r>
      <w:r>
        <w:t>4-19</w:t>
      </w:r>
    </w:p>
  </w:footnote>
  <w:footnote w:id="21">
    <w:p w:rsidR="006D2906" w:rsidRDefault="006D2906">
      <w:pPr>
        <w:pStyle w:val="FootnoteText"/>
      </w:pPr>
      <w:r>
        <w:rPr>
          <w:rStyle w:val="FootnoteReference"/>
        </w:rPr>
        <w:footnoteRef/>
      </w:r>
      <w:r>
        <w:t xml:space="preserve"> </w:t>
      </w:r>
      <w:r w:rsidR="008D41DE" w:rsidRPr="000A4020">
        <w:rPr>
          <w:sz w:val="18"/>
          <w:szCs w:val="18"/>
        </w:rPr>
        <w:t>Roger Hancock, Will Swann, Allan Marr, Janet Turner, Carrie Cable, Classroom assistants in primary schools: Employment and deployment. Economic and Social Research Council (The Open University, 2002)</w:t>
      </w:r>
    </w:p>
  </w:footnote>
  <w:footnote w:id="22">
    <w:p w:rsidR="0028450A" w:rsidRDefault="0028450A">
      <w:pPr>
        <w:pStyle w:val="FootnoteText"/>
      </w:pPr>
      <w:r>
        <w:rPr>
          <w:rStyle w:val="FootnoteReference"/>
        </w:rPr>
        <w:footnoteRef/>
      </w:r>
      <w:r>
        <w:t xml:space="preserve"> </w:t>
      </w:r>
      <w:hyperlink r:id="rId3" w:history="1">
        <w:r w:rsidRPr="00C01DCB">
          <w:rPr>
            <w:rStyle w:val="Hyperlink"/>
          </w:rPr>
          <w:t>https://www.estyn.gov.wales/sites/default/files/documents/Ysgol%20Bro%20Pedr%20en.pdf</w:t>
        </w:r>
      </w:hyperlink>
      <w:r>
        <w:t xml:space="preserve"> </w:t>
      </w:r>
      <w:r w:rsidR="002E224F">
        <w:t>(Accessed on 19/12/2018)</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2309A" w:rsidRDefault="00A2309A">
    <w:pPr>
      <w:pStyle w:val="Header"/>
    </w:pPr>
    <w:r>
      <w:t>Melantha Snow</w:t>
    </w:r>
    <w:r>
      <w:ptab w:relativeTo="margin" w:alignment="center" w:leader="none"/>
    </w:r>
    <w:r>
      <w:t>1601759</w:t>
    </w:r>
    <w:r>
      <w:ptab w:relativeTo="margin" w:alignment="right" w:leader="none"/>
    </w:r>
    <w:r>
      <w:t>HPED5002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309A"/>
    <w:rsid w:val="00075724"/>
    <w:rsid w:val="000978BE"/>
    <w:rsid w:val="000A4020"/>
    <w:rsid w:val="000D5578"/>
    <w:rsid w:val="001008BF"/>
    <w:rsid w:val="0012271A"/>
    <w:rsid w:val="001339FA"/>
    <w:rsid w:val="00195770"/>
    <w:rsid w:val="001C5587"/>
    <w:rsid w:val="001D1484"/>
    <w:rsid w:val="001E14A2"/>
    <w:rsid w:val="002539B7"/>
    <w:rsid w:val="0028450A"/>
    <w:rsid w:val="002A1C22"/>
    <w:rsid w:val="002D1865"/>
    <w:rsid w:val="002D41CD"/>
    <w:rsid w:val="002E224F"/>
    <w:rsid w:val="00350F07"/>
    <w:rsid w:val="00366E67"/>
    <w:rsid w:val="0038531F"/>
    <w:rsid w:val="00395B72"/>
    <w:rsid w:val="003B7E83"/>
    <w:rsid w:val="003F5C8E"/>
    <w:rsid w:val="00402E3E"/>
    <w:rsid w:val="0041079B"/>
    <w:rsid w:val="00410982"/>
    <w:rsid w:val="0043480B"/>
    <w:rsid w:val="00454E53"/>
    <w:rsid w:val="004B0C65"/>
    <w:rsid w:val="004F68CC"/>
    <w:rsid w:val="00517BF2"/>
    <w:rsid w:val="005438EF"/>
    <w:rsid w:val="00574408"/>
    <w:rsid w:val="005B0C84"/>
    <w:rsid w:val="005E37ED"/>
    <w:rsid w:val="0060755F"/>
    <w:rsid w:val="006240D9"/>
    <w:rsid w:val="00636309"/>
    <w:rsid w:val="00667A30"/>
    <w:rsid w:val="006D2906"/>
    <w:rsid w:val="006E06CA"/>
    <w:rsid w:val="006F5E5C"/>
    <w:rsid w:val="00722C2D"/>
    <w:rsid w:val="007B438C"/>
    <w:rsid w:val="007E61BA"/>
    <w:rsid w:val="007F5972"/>
    <w:rsid w:val="007F63D6"/>
    <w:rsid w:val="00884A9A"/>
    <w:rsid w:val="008D3121"/>
    <w:rsid w:val="008D41DE"/>
    <w:rsid w:val="008E3CCE"/>
    <w:rsid w:val="00933E80"/>
    <w:rsid w:val="009809CF"/>
    <w:rsid w:val="009C76FF"/>
    <w:rsid w:val="00A2309A"/>
    <w:rsid w:val="00A76993"/>
    <w:rsid w:val="00A90F95"/>
    <w:rsid w:val="00A93E82"/>
    <w:rsid w:val="00A97454"/>
    <w:rsid w:val="00AB76B8"/>
    <w:rsid w:val="00AF340D"/>
    <w:rsid w:val="00AF38DD"/>
    <w:rsid w:val="00B41638"/>
    <w:rsid w:val="00B41B9E"/>
    <w:rsid w:val="00B60719"/>
    <w:rsid w:val="00B70734"/>
    <w:rsid w:val="00B83CF7"/>
    <w:rsid w:val="00BA47A0"/>
    <w:rsid w:val="00BE01E9"/>
    <w:rsid w:val="00BE3969"/>
    <w:rsid w:val="00C132A1"/>
    <w:rsid w:val="00C33955"/>
    <w:rsid w:val="00C60A97"/>
    <w:rsid w:val="00C660FA"/>
    <w:rsid w:val="00C77E99"/>
    <w:rsid w:val="00CE07AC"/>
    <w:rsid w:val="00CE458E"/>
    <w:rsid w:val="00D0607F"/>
    <w:rsid w:val="00D74FFB"/>
    <w:rsid w:val="00D914A2"/>
    <w:rsid w:val="00D93142"/>
    <w:rsid w:val="00DF3F1A"/>
    <w:rsid w:val="00DF6DB9"/>
    <w:rsid w:val="00E371C7"/>
    <w:rsid w:val="00E60B90"/>
    <w:rsid w:val="00E753AD"/>
    <w:rsid w:val="00E75873"/>
    <w:rsid w:val="00E97F4D"/>
    <w:rsid w:val="00EF66C3"/>
    <w:rsid w:val="00F1002A"/>
    <w:rsid w:val="00F1329D"/>
    <w:rsid w:val="00F35E46"/>
    <w:rsid w:val="00F44EDF"/>
    <w:rsid w:val="00FC67CC"/>
    <w:rsid w:val="00FD52E7"/>
    <w:rsid w:val="00FE4222"/>
    <w:rsid w:val="00FE6912"/>
    <w:rsid w:val="00FF0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16680F"/>
  <w15:chartTrackingRefBased/>
  <w15:docId w15:val="{565842BC-28FA-4864-B1F1-D462747AD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E691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230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309A"/>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A2309A"/>
    <w:rPr>
      <w:b/>
      <w:bCs/>
    </w:rPr>
  </w:style>
  <w:style w:type="character" w:styleId="BookTitle">
    <w:name w:val="Book Title"/>
    <w:basedOn w:val="DefaultParagraphFont"/>
    <w:uiPriority w:val="33"/>
    <w:qFormat/>
    <w:rsid w:val="00A2309A"/>
    <w:rPr>
      <w:b/>
      <w:bCs/>
      <w:i/>
      <w:iCs/>
      <w:spacing w:val="5"/>
    </w:rPr>
  </w:style>
  <w:style w:type="paragraph" w:styleId="Header">
    <w:name w:val="header"/>
    <w:basedOn w:val="Normal"/>
    <w:link w:val="HeaderChar"/>
    <w:uiPriority w:val="99"/>
    <w:unhideWhenUsed/>
    <w:rsid w:val="00A230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09A"/>
  </w:style>
  <w:style w:type="paragraph" w:styleId="Footer">
    <w:name w:val="footer"/>
    <w:basedOn w:val="Normal"/>
    <w:link w:val="FooterChar"/>
    <w:uiPriority w:val="99"/>
    <w:unhideWhenUsed/>
    <w:rsid w:val="00A230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09A"/>
  </w:style>
  <w:style w:type="paragraph" w:styleId="FootnoteText">
    <w:name w:val="footnote text"/>
    <w:basedOn w:val="Normal"/>
    <w:link w:val="FootnoteTextChar"/>
    <w:uiPriority w:val="99"/>
    <w:unhideWhenUsed/>
    <w:rsid w:val="00410982"/>
    <w:pPr>
      <w:spacing w:after="0" w:line="240" w:lineRule="auto"/>
    </w:pPr>
    <w:rPr>
      <w:sz w:val="20"/>
      <w:szCs w:val="20"/>
    </w:rPr>
  </w:style>
  <w:style w:type="character" w:customStyle="1" w:styleId="FootnoteTextChar">
    <w:name w:val="Footnote Text Char"/>
    <w:basedOn w:val="DefaultParagraphFont"/>
    <w:link w:val="FootnoteText"/>
    <w:uiPriority w:val="99"/>
    <w:rsid w:val="00410982"/>
    <w:rPr>
      <w:sz w:val="20"/>
      <w:szCs w:val="20"/>
    </w:rPr>
  </w:style>
  <w:style w:type="character" w:styleId="FootnoteReference">
    <w:name w:val="footnote reference"/>
    <w:basedOn w:val="DefaultParagraphFont"/>
    <w:uiPriority w:val="99"/>
    <w:semiHidden/>
    <w:unhideWhenUsed/>
    <w:rsid w:val="00410982"/>
    <w:rPr>
      <w:vertAlign w:val="superscript"/>
    </w:rPr>
  </w:style>
  <w:style w:type="character" w:styleId="Hyperlink">
    <w:name w:val="Hyperlink"/>
    <w:basedOn w:val="DefaultParagraphFont"/>
    <w:uiPriority w:val="99"/>
    <w:unhideWhenUsed/>
    <w:rsid w:val="00410982"/>
    <w:rPr>
      <w:color w:val="0563C1" w:themeColor="hyperlink"/>
      <w:u w:val="single"/>
    </w:rPr>
  </w:style>
  <w:style w:type="character" w:customStyle="1" w:styleId="Heading1Char">
    <w:name w:val="Heading 1 Char"/>
    <w:basedOn w:val="DefaultParagraphFont"/>
    <w:link w:val="Heading1"/>
    <w:uiPriority w:val="9"/>
    <w:rsid w:val="00FE6912"/>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Inspection%20report%20Ysgol%20Y%20Dderi%202014_0.pdf.pdf.pdf.pdf.pdf.pdf.pdf.pdf.pdf.pdf" TargetMode="External"/><Relationship Id="rId3" Type="http://schemas.openxmlformats.org/officeDocument/2006/relationships/settings" Target="settings.xml"/><Relationship Id="rId7" Type="http://schemas.openxmlformats.org/officeDocument/2006/relationships/hyperlink" Target="https://www.estyn.gov.wales/sites/default/files/documents/Ysgol%20Bro%20Pedr%20en.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estyn.gov.wales/sites/default/files/documents/Ysgol%20Bro%20Pedr%20en.pdf" TargetMode="External"/><Relationship Id="rId2" Type="http://schemas.openxmlformats.org/officeDocument/2006/relationships/hyperlink" Target="https://www.estyn.gov.wales/sites/default/files/documents/Inspection%20report%20Ysgol%20Y%20Dderi%202014_0.pdf.pdf.pdf.pdf.pdf.pdf.pdf.pdf.pdf.pdf" TargetMode="External"/><Relationship Id="rId1" Type="http://schemas.openxmlformats.org/officeDocument/2006/relationships/hyperlink" Target="https://www.estyn.gov.wales/sites/default/files/documents/Ysgol%20Bro%20Pedr%20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21A071-42B1-4E3F-9C03-EB9BCC132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6</Pages>
  <Words>1782</Words>
  <Characters>10163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Melantha Snow (1601759)</dc:creator>
  <cp:keywords/>
  <dc:description/>
  <cp:lastModifiedBy>Melantha Snow (1601759)</cp:lastModifiedBy>
  <cp:revision>55</cp:revision>
  <dcterms:created xsi:type="dcterms:W3CDTF">2018-12-07T09:23:00Z</dcterms:created>
  <dcterms:modified xsi:type="dcterms:W3CDTF">2018-12-21T11:23:00Z</dcterms:modified>
</cp:coreProperties>
</file>