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1259517706"/>
        <w:docPartObj>
          <w:docPartGallery w:val="Cover Pages"/>
          <w:docPartUnique/>
        </w:docPartObj>
      </w:sdtPr>
      <w:sdtEndPr>
        <w:rPr>
          <w:rFonts w:ascii="Arial" w:hAnsi="Arial" w:cs="Arial"/>
        </w:rPr>
      </w:sdtEndPr>
      <w:sdtContent>
        <w:p w:rsidR="00391FFD" w:rsidRDefault="00391FFD">
          <w:pPr>
            <w:pStyle w:val="NoSpacing"/>
          </w:pPr>
          <w:r>
            <w:rPr>
              <w:noProof/>
            </w:rP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rsidR="00E539A1" w:rsidRDefault="00E539A1">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rsidR="00E539A1" w:rsidRDefault="00E539A1">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539A1" w:rsidRDefault="00E539A1">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Syeda Begum</w:t>
                                    </w:r>
                                  </w:sdtContent>
                                </w:sdt>
                              </w:p>
                              <w:p w:rsidR="00E539A1" w:rsidRDefault="00E539A1">
                                <w:pPr>
                                  <w:pStyle w:val="NoSpacing"/>
                                  <w:rPr>
                                    <w:caps/>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Student id: 2227588</w:t>
                                    </w:r>
                                  </w:sdtContent>
                                </w:sdt>
                              </w:p>
                              <w:p w:rsidR="00E539A1" w:rsidRDefault="00E539A1">
                                <w:pPr>
                                  <w:pStyle w:val="NoSpacing"/>
                                  <w:rPr>
                                    <w:color w:val="595959" w:themeColor="text1" w:themeTint="A6"/>
                                    <w:sz w:val="20"/>
                                    <w:szCs w:val="20"/>
                                  </w:rPr>
                                </w:pPr>
                                <w:r>
                                  <w:rPr>
                                    <w:color w:val="595959" w:themeColor="text1" w:themeTint="A6"/>
                                    <w:sz w:val="20"/>
                                    <w:szCs w:val="20"/>
                                  </w:rPr>
                                  <w:t>Word Count: 1192</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rsidR="00E539A1" w:rsidRDefault="00E539A1">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Syeda Begum</w:t>
                              </w:r>
                            </w:sdtContent>
                          </w:sdt>
                        </w:p>
                        <w:p w:rsidR="00E539A1" w:rsidRDefault="00E539A1">
                          <w:pPr>
                            <w:pStyle w:val="NoSpacing"/>
                            <w:rPr>
                              <w:caps/>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Student id: 2227588</w:t>
                              </w:r>
                            </w:sdtContent>
                          </w:sdt>
                        </w:p>
                        <w:p w:rsidR="00E539A1" w:rsidRDefault="00E539A1">
                          <w:pPr>
                            <w:pStyle w:val="NoSpacing"/>
                            <w:rPr>
                              <w:color w:val="595959" w:themeColor="text1" w:themeTint="A6"/>
                              <w:sz w:val="20"/>
                              <w:szCs w:val="20"/>
                            </w:rPr>
                          </w:pPr>
                          <w:r>
                            <w:rPr>
                              <w:color w:val="595959" w:themeColor="text1" w:themeTint="A6"/>
                              <w:sz w:val="20"/>
                              <w:szCs w:val="20"/>
                            </w:rPr>
                            <w:t>Word Count: 1192</w:t>
                          </w: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539A1" w:rsidRPr="002965F3" w:rsidRDefault="00E539A1">
                                <w:pPr>
                                  <w:pStyle w:val="NoSpacing"/>
                                  <w:rPr>
                                    <w:rFonts w:asciiTheme="majorHAnsi" w:eastAsiaTheme="majorEastAsia" w:hAnsiTheme="majorHAnsi" w:cstheme="majorBidi"/>
                                    <w:color w:val="262626" w:themeColor="text1" w:themeTint="D9"/>
                                    <w:sz w:val="180"/>
                                  </w:rPr>
                                </w:pPr>
                                <w:sdt>
                                  <w:sdtPr>
                                    <w:rPr>
                                      <w:sz w:val="3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sz w:val="36"/>
                                      </w:rPr>
                                      <w:t>Managing Guest Service Operations</w:t>
                                    </w:r>
                                  </w:sdtContent>
                                </w:sdt>
                              </w:p>
                              <w:p w:rsidR="00E539A1" w:rsidRDefault="00E539A1">
                                <w:pPr>
                                  <w:spacing w:before="120"/>
                                  <w:rPr>
                                    <w:color w:val="404040" w:themeColor="text1" w:themeTint="BF"/>
                                    <w:sz w:val="28"/>
                                    <w:szCs w:val="36"/>
                                  </w:rPr>
                                </w:pPr>
                                <w:sdt>
                                  <w:sdtPr>
                                    <w:rPr>
                                      <w:color w:val="404040" w:themeColor="text1" w:themeTint="BF"/>
                                      <w:sz w:val="28"/>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2965F3">
                                      <w:rPr>
                                        <w:color w:val="404040" w:themeColor="text1" w:themeTint="BF"/>
                                        <w:sz w:val="28"/>
                                        <w:szCs w:val="36"/>
                                      </w:rPr>
                                      <w:t>Module Code: BMIH600</w:t>
                                    </w:r>
                                    <w:r>
                                      <w:rPr>
                                        <w:color w:val="404040" w:themeColor="text1" w:themeTint="BF"/>
                                        <w:sz w:val="28"/>
                                        <w:szCs w:val="36"/>
                                      </w:rPr>
                                      <w:t>3</w:t>
                                    </w:r>
                                  </w:sdtContent>
                                </w:sdt>
                              </w:p>
                              <w:p w:rsidR="00E539A1" w:rsidRPr="002965F3" w:rsidRDefault="00E539A1">
                                <w:pPr>
                                  <w:spacing w:before="120"/>
                                  <w:rPr>
                                    <w:color w:val="404040" w:themeColor="text1" w:themeTint="BF"/>
                                    <w:sz w:val="28"/>
                                    <w:szCs w:val="36"/>
                                  </w:rPr>
                                </w:pPr>
                                <w:r>
                                  <w:rPr>
                                    <w:color w:val="404040" w:themeColor="text1" w:themeTint="BF"/>
                                    <w:sz w:val="28"/>
                                    <w:szCs w:val="36"/>
                                  </w:rPr>
                                  <w:t>Student Log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rsidR="00E539A1" w:rsidRPr="002965F3" w:rsidRDefault="00E539A1">
                          <w:pPr>
                            <w:pStyle w:val="NoSpacing"/>
                            <w:rPr>
                              <w:rFonts w:asciiTheme="majorHAnsi" w:eastAsiaTheme="majorEastAsia" w:hAnsiTheme="majorHAnsi" w:cstheme="majorBidi"/>
                              <w:color w:val="262626" w:themeColor="text1" w:themeTint="D9"/>
                              <w:sz w:val="180"/>
                            </w:rPr>
                          </w:pPr>
                          <w:sdt>
                            <w:sdtPr>
                              <w:rPr>
                                <w:sz w:val="3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sz w:val="36"/>
                                </w:rPr>
                                <w:t>Managing Guest Service Operations</w:t>
                              </w:r>
                            </w:sdtContent>
                          </w:sdt>
                        </w:p>
                        <w:p w:rsidR="00E539A1" w:rsidRDefault="00E539A1">
                          <w:pPr>
                            <w:spacing w:before="120"/>
                            <w:rPr>
                              <w:color w:val="404040" w:themeColor="text1" w:themeTint="BF"/>
                              <w:sz w:val="28"/>
                              <w:szCs w:val="36"/>
                            </w:rPr>
                          </w:pPr>
                          <w:sdt>
                            <w:sdtPr>
                              <w:rPr>
                                <w:color w:val="404040" w:themeColor="text1" w:themeTint="BF"/>
                                <w:sz w:val="28"/>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2965F3">
                                <w:rPr>
                                  <w:color w:val="404040" w:themeColor="text1" w:themeTint="BF"/>
                                  <w:sz w:val="28"/>
                                  <w:szCs w:val="36"/>
                                </w:rPr>
                                <w:t>Module Code: BMIH600</w:t>
                              </w:r>
                              <w:r>
                                <w:rPr>
                                  <w:color w:val="404040" w:themeColor="text1" w:themeTint="BF"/>
                                  <w:sz w:val="28"/>
                                  <w:szCs w:val="36"/>
                                </w:rPr>
                                <w:t>3</w:t>
                              </w:r>
                            </w:sdtContent>
                          </w:sdt>
                        </w:p>
                        <w:p w:rsidR="00E539A1" w:rsidRPr="002965F3" w:rsidRDefault="00E539A1">
                          <w:pPr>
                            <w:spacing w:before="120"/>
                            <w:rPr>
                              <w:color w:val="404040" w:themeColor="text1" w:themeTint="BF"/>
                              <w:sz w:val="28"/>
                              <w:szCs w:val="36"/>
                            </w:rPr>
                          </w:pPr>
                          <w:r>
                            <w:rPr>
                              <w:color w:val="404040" w:themeColor="text1" w:themeTint="BF"/>
                              <w:sz w:val="28"/>
                              <w:szCs w:val="36"/>
                            </w:rPr>
                            <w:t>Student Log</w:t>
                          </w:r>
                        </w:p>
                      </w:txbxContent>
                    </v:textbox>
                    <w10:wrap anchorx="page" anchory="page"/>
                  </v:shape>
                </w:pict>
              </mc:Fallback>
            </mc:AlternateContent>
          </w:r>
        </w:p>
        <w:p w:rsidR="00391FFD" w:rsidRDefault="00391FFD">
          <w:pPr>
            <w:rPr>
              <w:rFonts w:ascii="Arial" w:hAnsi="Arial" w:cs="Arial"/>
            </w:rPr>
          </w:pPr>
          <w:r>
            <w:rPr>
              <w:rFonts w:ascii="Arial" w:hAnsi="Arial" w:cs="Arial"/>
            </w:rPr>
            <w:br w:type="page"/>
          </w:r>
        </w:p>
        <w:bookmarkStart w:id="0" w:name="_GoBack" w:displacedByCustomXml="next"/>
        <w:bookmarkEnd w:id="0" w:displacedByCustomXml="next"/>
      </w:sdtContent>
    </w:sdt>
    <w:p w:rsidR="009939E5" w:rsidRPr="009939E5" w:rsidRDefault="009939E5" w:rsidP="009939E5">
      <w:pPr>
        <w:pStyle w:val="Heading1"/>
      </w:pPr>
      <w:r w:rsidRPr="009939E5">
        <w:lastRenderedPageBreak/>
        <w:t>Introduction</w:t>
      </w:r>
    </w:p>
    <w:p w:rsidR="009939E5" w:rsidRPr="009939E5" w:rsidRDefault="009939E5" w:rsidP="009939E5">
      <w:pPr>
        <w:spacing w:line="360" w:lineRule="auto"/>
        <w:jc w:val="both"/>
        <w:rPr>
          <w:rFonts w:ascii="Arial" w:hAnsi="Arial" w:cs="Arial"/>
          <w:sz w:val="24"/>
        </w:rPr>
      </w:pPr>
      <w:r w:rsidRPr="009939E5">
        <w:rPr>
          <w:rFonts w:ascii="Arial" w:hAnsi="Arial" w:cs="Arial"/>
          <w:sz w:val="24"/>
        </w:rPr>
        <w:t>My Level 6 placement within the Front Office department at Novotel Liverpool Centre provided direct exposure to the operational and managerial dynamics that shape guest service delivery within a four-star UK city-centre hotel. As part of the Accor group, Novotel Liverpool accommodates a diverse mix of corporate, leisure and conference guests, particularly during major city-wide events that significantly increase occupancy and operational pressure. The Front Office department plays a pivotal role in shaping first impressions and overall guest satisfaction, managing check-in and check-out procedures, handling reservations, coordinating group arrivals, resolving complaints and liaising closely with Housekeeping and Food and Beverage to ensure seamless service delivery.</w:t>
      </w:r>
    </w:p>
    <w:p w:rsidR="009939E5" w:rsidRPr="009939E5" w:rsidRDefault="009939E5" w:rsidP="009939E5">
      <w:pPr>
        <w:spacing w:line="360" w:lineRule="auto"/>
        <w:jc w:val="both"/>
        <w:rPr>
          <w:rFonts w:ascii="Arial" w:hAnsi="Arial" w:cs="Arial"/>
          <w:sz w:val="24"/>
        </w:rPr>
      </w:pPr>
      <w:r w:rsidRPr="009939E5">
        <w:rPr>
          <w:rFonts w:ascii="Arial" w:hAnsi="Arial" w:cs="Arial"/>
          <w:sz w:val="24"/>
        </w:rPr>
        <w:t>During my placement, particularly throughout the Labour Party Conference in October 2025 and the busy October half-term period, I observed a key issue affecting guest service: inconsistent management styles depending on which duty manager was on shift. While some managers adopted supportive and empowering leadership behaviours, others defaulted to highly directive approaches during high-pressure periods. This variation influenced staff confidence, decision-making autonomy and the efficiency of service delivery. Drawing upon concepts studied in my Level 5 Management &amp; Organisational Behaviour module, this reflection critically evaluates how leadership inconsistency impacted employee performance and guest experience, and proposes realistic operational improvements grounded in theory.</w:t>
      </w:r>
    </w:p>
    <w:p w:rsidR="009939E5" w:rsidRPr="009939E5" w:rsidRDefault="009939E5" w:rsidP="009939E5">
      <w:pPr>
        <w:pStyle w:val="Heading1"/>
      </w:pPr>
      <w:r w:rsidRPr="009939E5">
        <w:t>Operational Context: High-Pressure Event and Seasonal Demand</w:t>
      </w:r>
    </w:p>
    <w:p w:rsidR="009939E5" w:rsidRPr="009939E5" w:rsidRDefault="009939E5" w:rsidP="009939E5">
      <w:pPr>
        <w:spacing w:line="360" w:lineRule="auto"/>
        <w:jc w:val="both"/>
        <w:rPr>
          <w:rFonts w:ascii="Arial" w:hAnsi="Arial" w:cs="Arial"/>
          <w:sz w:val="24"/>
        </w:rPr>
      </w:pPr>
      <w:r w:rsidRPr="009939E5">
        <w:rPr>
          <w:rFonts w:ascii="Arial" w:hAnsi="Arial" w:cs="Arial"/>
          <w:sz w:val="24"/>
        </w:rPr>
        <w:t>The Labour Party Conference substantially increased occupancy levels across Liverpool, with Novotel hosting large groups of private security personnel deployed for the event. These guests frequently arrived in coordinated groups following long shifts, requiring efficient processing, clear communication and effective service recovery where delays occurred. The environment was operationally demanding and reputationally sensitive.</w:t>
      </w:r>
    </w:p>
    <w:p w:rsidR="009939E5" w:rsidRPr="009939E5" w:rsidRDefault="009939E5" w:rsidP="009939E5">
      <w:pPr>
        <w:spacing w:line="360" w:lineRule="auto"/>
        <w:jc w:val="both"/>
        <w:rPr>
          <w:rFonts w:ascii="Arial" w:hAnsi="Arial" w:cs="Arial"/>
          <w:sz w:val="24"/>
        </w:rPr>
      </w:pPr>
      <w:r w:rsidRPr="009939E5">
        <w:rPr>
          <w:rFonts w:ascii="Arial" w:hAnsi="Arial" w:cs="Arial"/>
          <w:sz w:val="24"/>
        </w:rPr>
        <w:t xml:space="preserve">On one occasion, over 40 security personnel arrived at reception within a short timeframe before all rooms had been released by Housekeeping. Under one duty manager, reception staff were encouraged to manage expectations proactively, provide transparent explanations and offer complimentary refreshments within </w:t>
      </w:r>
      <w:r w:rsidRPr="009939E5">
        <w:rPr>
          <w:rFonts w:ascii="Arial" w:hAnsi="Arial" w:cs="Arial"/>
          <w:sz w:val="24"/>
        </w:rPr>
        <w:lastRenderedPageBreak/>
        <w:t>predefined financial limits. Staff were trusted to exercise judgement, which reduced tension and maintained service flow. The atmosphere remained calm, and guest dissatisfaction was minimised.</w:t>
      </w:r>
    </w:p>
    <w:p w:rsidR="009939E5" w:rsidRPr="009939E5" w:rsidRDefault="009939E5" w:rsidP="009939E5">
      <w:pPr>
        <w:spacing w:line="360" w:lineRule="auto"/>
        <w:jc w:val="both"/>
        <w:rPr>
          <w:rFonts w:ascii="Arial" w:hAnsi="Arial" w:cs="Arial"/>
          <w:sz w:val="24"/>
        </w:rPr>
      </w:pPr>
      <w:r w:rsidRPr="009939E5">
        <w:rPr>
          <w:rFonts w:ascii="Arial" w:hAnsi="Arial" w:cs="Arial"/>
          <w:sz w:val="24"/>
        </w:rPr>
        <w:t>In contrast, during another shift in the same conference period, a different manager adopted a more centralised approach. Receptionists were instructed not to provide any goodwill gestures without managerial approval. When delays occurred, staff were required to seek authorisation before responding. This resulted in visible queues forming at reception, increased guest frustration and reduced staff confidence. Although both managers were operating under similar pressures, the difference in leadership behaviour produced noticeably different service outcomes.</w:t>
      </w:r>
    </w:p>
    <w:p w:rsidR="009939E5" w:rsidRPr="009939E5" w:rsidRDefault="009939E5" w:rsidP="009939E5">
      <w:pPr>
        <w:spacing w:line="360" w:lineRule="auto"/>
        <w:jc w:val="both"/>
        <w:rPr>
          <w:rFonts w:ascii="Arial" w:hAnsi="Arial" w:cs="Arial"/>
          <w:sz w:val="24"/>
        </w:rPr>
      </w:pPr>
      <w:r w:rsidRPr="009939E5">
        <w:rPr>
          <w:rFonts w:ascii="Arial" w:hAnsi="Arial" w:cs="Arial"/>
          <w:sz w:val="24"/>
        </w:rPr>
        <w:t>In addition to conference-related demand, October half term generated increased bookings from families staying for leisure purposes. Unlike the structured arrival patterns of security groups, family arrivals were staggered and often involved additional service requests, such as interconnecting rooms, sofa bed preparation and early access to rooms. This required not only operational efficiency but also emotional sensitivity and clear communication. During half-term shifts where managers encouraged proactive liaison with Housekeeping and supported flexible decision-making, room readiness improved and family satisfaction appeared higher. Conversely, during shifts where managerial guidance was limited or reactive, reception staff had to manage parental frustration independently, increasing cognitive strain and reducing service consistency.</w:t>
      </w:r>
    </w:p>
    <w:p w:rsidR="009939E5" w:rsidRPr="009939E5" w:rsidRDefault="009939E5" w:rsidP="009939E5">
      <w:pPr>
        <w:spacing w:line="360" w:lineRule="auto"/>
        <w:jc w:val="both"/>
        <w:rPr>
          <w:rFonts w:ascii="Arial" w:hAnsi="Arial" w:cs="Arial"/>
          <w:sz w:val="24"/>
        </w:rPr>
      </w:pPr>
      <w:r w:rsidRPr="009939E5">
        <w:rPr>
          <w:rFonts w:ascii="Arial" w:hAnsi="Arial" w:cs="Arial"/>
          <w:sz w:val="24"/>
        </w:rPr>
        <w:t>This comparison highlighted that leadership effectiveness is not confined to high-profile political events but is equally critical during seasonal leisure peaks. Conference guests prioritised efficiency, whereas families valued reassurance and personalised interaction. According to Yukl (2020), effective leadership in service environments requires balancing task-oriented and relationship-oriented behaviours. Where this balance was inconsistent, staff experienced uncertainty regarding priorities and authority, which subtly affected guest interactions.</w:t>
      </w:r>
    </w:p>
    <w:p w:rsidR="009939E5" w:rsidRPr="009939E5" w:rsidRDefault="009939E5" w:rsidP="009939E5">
      <w:pPr>
        <w:pStyle w:val="Heading1"/>
      </w:pPr>
      <w:r w:rsidRPr="009939E5">
        <w:t>Leadership Style and Behavioural Implications</w:t>
      </w:r>
    </w:p>
    <w:p w:rsidR="009939E5" w:rsidRPr="009939E5" w:rsidRDefault="009939E5" w:rsidP="009939E5">
      <w:pPr>
        <w:spacing w:line="360" w:lineRule="auto"/>
        <w:jc w:val="both"/>
        <w:rPr>
          <w:rFonts w:ascii="Arial" w:hAnsi="Arial" w:cs="Arial"/>
          <w:sz w:val="24"/>
        </w:rPr>
      </w:pPr>
      <w:r w:rsidRPr="009939E5">
        <w:rPr>
          <w:rFonts w:ascii="Arial" w:hAnsi="Arial" w:cs="Arial"/>
          <w:sz w:val="24"/>
        </w:rPr>
        <w:t xml:space="preserve">The contrasting managerial approaches can be analysed through Lewin, Lippitt and White’s (1939) leadership framework, which differentiates between autocratic and democratic styles. The directive manager’s approach reflected autocratic </w:t>
      </w:r>
      <w:r w:rsidRPr="009939E5">
        <w:rPr>
          <w:rFonts w:ascii="Arial" w:hAnsi="Arial" w:cs="Arial"/>
          <w:sz w:val="24"/>
        </w:rPr>
        <w:lastRenderedPageBreak/>
        <w:t>characteristics, centralising authority and limiting delegation. In contrast, the supportive manager demonstrated democratic tendencies, encouraging participation and shared responsibility.</w:t>
      </w:r>
    </w:p>
    <w:p w:rsidR="009939E5" w:rsidRPr="009939E5" w:rsidRDefault="009939E5" w:rsidP="009939E5">
      <w:pPr>
        <w:spacing w:line="360" w:lineRule="auto"/>
        <w:jc w:val="both"/>
        <w:rPr>
          <w:rFonts w:ascii="Arial" w:hAnsi="Arial" w:cs="Arial"/>
          <w:sz w:val="24"/>
        </w:rPr>
      </w:pPr>
      <w:r w:rsidRPr="009939E5">
        <w:rPr>
          <w:rFonts w:ascii="Arial" w:hAnsi="Arial" w:cs="Arial"/>
          <w:sz w:val="24"/>
        </w:rPr>
        <w:t xml:space="preserve">While autocratic leadership may enhance short-term control during periods of pressure, participative leadership is generally more effective </w:t>
      </w:r>
      <w:r w:rsidR="00683B81" w:rsidRPr="009939E5">
        <w:rPr>
          <w:rFonts w:ascii="Arial" w:hAnsi="Arial" w:cs="Arial"/>
          <w:sz w:val="24"/>
        </w:rPr>
        <w:t>in-service</w:t>
      </w:r>
      <w:r w:rsidRPr="009939E5">
        <w:rPr>
          <w:rFonts w:ascii="Arial" w:hAnsi="Arial" w:cs="Arial"/>
          <w:sz w:val="24"/>
        </w:rPr>
        <w:t xml:space="preserve"> environments that require adaptability and emotional intelligence (Yukl, 2020). Hospitality employees frequently engage in emotional labour, and empowerment enables authentic and responsive service delivery (Karatepe, 2019). During supportive shifts, I felt more confident addressing minor service failures independently, reducing bottlenecks and enhancing the guest experience.</w:t>
      </w:r>
    </w:p>
    <w:p w:rsidR="009939E5" w:rsidRPr="009939E5" w:rsidRDefault="009939E5" w:rsidP="009939E5">
      <w:pPr>
        <w:spacing w:line="360" w:lineRule="auto"/>
        <w:jc w:val="both"/>
        <w:rPr>
          <w:rFonts w:ascii="Arial" w:hAnsi="Arial" w:cs="Arial"/>
          <w:sz w:val="24"/>
        </w:rPr>
      </w:pPr>
      <w:r w:rsidRPr="009939E5">
        <w:rPr>
          <w:rFonts w:ascii="Arial" w:hAnsi="Arial" w:cs="Arial"/>
          <w:sz w:val="24"/>
        </w:rPr>
        <w:t>McGregor’s (1960) Theory X and Theory Y further contextualises these differences. The restrictive managerial approach implied Theory X assumptions, suggesting employees require close supervision. Conversely, the empowering manager aligned more closely with Theory Y principles, assuming staff are capable and motivated. Psychological empowerment has been linked to improved job performance and satisfaction (Bakker and Demerouti, 2017), which was evident during shifts where autonomy was supported.</w:t>
      </w:r>
    </w:p>
    <w:p w:rsidR="009939E5" w:rsidRPr="009939E5" w:rsidRDefault="009939E5" w:rsidP="009939E5">
      <w:pPr>
        <w:pStyle w:val="Heading1"/>
      </w:pPr>
      <w:r w:rsidRPr="009939E5">
        <w:t>Motivation, Role Clarity and Service Quality</w:t>
      </w:r>
    </w:p>
    <w:p w:rsidR="009939E5" w:rsidRPr="009939E5" w:rsidRDefault="009939E5" w:rsidP="009939E5">
      <w:pPr>
        <w:spacing w:line="360" w:lineRule="auto"/>
        <w:jc w:val="both"/>
        <w:rPr>
          <w:rFonts w:ascii="Arial" w:hAnsi="Arial" w:cs="Arial"/>
          <w:sz w:val="24"/>
        </w:rPr>
      </w:pPr>
      <w:r w:rsidRPr="009939E5">
        <w:rPr>
          <w:rFonts w:ascii="Arial" w:hAnsi="Arial" w:cs="Arial"/>
          <w:sz w:val="24"/>
        </w:rPr>
        <w:t>Herzberg’s (1968) Motivation-Hygiene Theory provides further insight into the behavioural outcomes observed. During peak periods, hygiene factors such as workload intensity were heightened. However, motivators including autonomy, recognition and responsibility varied depending on managerial style. When managers acknowledged efforts during high-pressure check-ins, intrinsic motivation increased. Conversely, when autonomy was restricted, service interactions became more procedural and less personalised.</w:t>
      </w:r>
    </w:p>
    <w:p w:rsidR="009939E5" w:rsidRPr="009939E5" w:rsidRDefault="009939E5" w:rsidP="009939E5">
      <w:pPr>
        <w:spacing w:line="360" w:lineRule="auto"/>
        <w:jc w:val="both"/>
        <w:rPr>
          <w:rFonts w:ascii="Arial" w:hAnsi="Arial" w:cs="Arial"/>
          <w:sz w:val="24"/>
        </w:rPr>
      </w:pPr>
      <w:r w:rsidRPr="009939E5">
        <w:rPr>
          <w:rFonts w:ascii="Arial" w:hAnsi="Arial" w:cs="Arial"/>
          <w:sz w:val="24"/>
        </w:rPr>
        <w:t>Situational Leadership Theory argues that leaders should adapt their approach to employee readiness (Hersey and Blanchard, 1982). However, in this context, leadership variation appeared driven by individual preference rather than strategic adaptation. This inconsistency contributed to role ambiguity, which organisational behaviour research associates with stress and reduced effectiveness (Yukl, 2020). Staff hesitated during service recovery moments, unsure of the boundaries of their authority.</w:t>
      </w:r>
    </w:p>
    <w:p w:rsidR="009939E5" w:rsidRPr="009939E5" w:rsidRDefault="009939E5" w:rsidP="009939E5">
      <w:pPr>
        <w:pStyle w:val="Heading1"/>
      </w:pPr>
      <w:r w:rsidRPr="009939E5">
        <w:lastRenderedPageBreak/>
        <w:t>Service-Profit Chain and Strategic Impact</w:t>
      </w:r>
    </w:p>
    <w:p w:rsidR="009939E5" w:rsidRPr="009939E5" w:rsidRDefault="009939E5" w:rsidP="009939E5">
      <w:pPr>
        <w:spacing w:line="360" w:lineRule="auto"/>
        <w:jc w:val="both"/>
        <w:rPr>
          <w:rFonts w:ascii="Arial" w:hAnsi="Arial" w:cs="Arial"/>
          <w:sz w:val="24"/>
        </w:rPr>
      </w:pPr>
      <w:r w:rsidRPr="009939E5">
        <w:rPr>
          <w:rFonts w:ascii="Arial" w:hAnsi="Arial" w:cs="Arial"/>
          <w:sz w:val="24"/>
        </w:rPr>
        <w:t>The broader organisational implications can be understood through the Service-Profit Chain model. Heskett et al. (1994) argue that internal service quality and employee satisfaction drive customer loyalty and profitability. During supportive managerial shifts, internal communication improved and service recovery occurred at first point of contact. During restrictive shifts, operational bottlenecks and visible waiting times increased dissatisfaction.</w:t>
      </w:r>
    </w:p>
    <w:p w:rsidR="009939E5" w:rsidRPr="009939E5" w:rsidRDefault="009939E5" w:rsidP="009939E5">
      <w:pPr>
        <w:spacing w:line="360" w:lineRule="auto"/>
        <w:jc w:val="both"/>
        <w:rPr>
          <w:rFonts w:ascii="Arial" w:hAnsi="Arial" w:cs="Arial"/>
          <w:sz w:val="24"/>
        </w:rPr>
      </w:pPr>
      <w:r w:rsidRPr="009939E5">
        <w:rPr>
          <w:rFonts w:ascii="Arial" w:hAnsi="Arial" w:cs="Arial"/>
          <w:sz w:val="24"/>
        </w:rPr>
        <w:t>While transactional leadership may protect short-term cost efficiency (Bass, 1985), excessive control in unpredictable service settings can undermine long-term guest value. Furthermore, inconsistencies between Novotel’s guest-centric brand positioning and variable leadership behaviours reflect what Schein (2010) describes as misalignment between espoused values and enacted assumptions. Such misalignment may weaken cultural coherence and competitive positioning in the UK hospitality sector.</w:t>
      </w:r>
    </w:p>
    <w:p w:rsidR="009939E5" w:rsidRPr="009939E5" w:rsidRDefault="009939E5" w:rsidP="009939E5">
      <w:pPr>
        <w:pStyle w:val="Heading1"/>
      </w:pPr>
      <w:r w:rsidRPr="009939E5">
        <w:t>Proposed Operational Improvements</w:t>
      </w:r>
    </w:p>
    <w:p w:rsidR="009939E5" w:rsidRPr="009939E5" w:rsidRDefault="009939E5" w:rsidP="009939E5">
      <w:pPr>
        <w:spacing w:line="360" w:lineRule="auto"/>
        <w:jc w:val="both"/>
        <w:rPr>
          <w:rFonts w:ascii="Arial" w:hAnsi="Arial" w:cs="Arial"/>
          <w:sz w:val="24"/>
        </w:rPr>
      </w:pPr>
      <w:r w:rsidRPr="009939E5">
        <w:rPr>
          <w:rFonts w:ascii="Arial" w:hAnsi="Arial" w:cs="Arial"/>
          <w:sz w:val="24"/>
        </w:rPr>
        <w:t>Three practical improvements are recommended. First, implementing a structured empowerment framework outlining goodwill thresholds would balance service flexibility with financial accountability (Karatepe, 2019). Second, leadership alignment sessions should establish consistent delegation expectations across managers. Third, structured pre-shift briefings during high-demand periods would enhance clarity and commitment, aligning with Locke and Latham’s (2002) goal-setting theory.</w:t>
      </w:r>
    </w:p>
    <w:p w:rsidR="009939E5" w:rsidRPr="009939E5" w:rsidRDefault="009939E5" w:rsidP="009939E5">
      <w:pPr>
        <w:spacing w:line="360" w:lineRule="auto"/>
        <w:jc w:val="both"/>
        <w:rPr>
          <w:rFonts w:ascii="Arial" w:hAnsi="Arial" w:cs="Arial"/>
          <w:sz w:val="24"/>
        </w:rPr>
      </w:pPr>
      <w:r w:rsidRPr="009939E5">
        <w:rPr>
          <w:rFonts w:ascii="Arial" w:hAnsi="Arial" w:cs="Arial"/>
          <w:sz w:val="24"/>
        </w:rPr>
        <w:t>These recommendations demonstrate how Management &amp; Organisational Behaviour theory can be practically translated into operational improvements within a live hospitality environment.</w:t>
      </w:r>
    </w:p>
    <w:p w:rsidR="009939E5" w:rsidRPr="009939E5" w:rsidRDefault="009939E5" w:rsidP="009939E5">
      <w:pPr>
        <w:pStyle w:val="Heading1"/>
      </w:pPr>
      <w:r w:rsidRPr="009939E5">
        <w:t>Conclusion</w:t>
      </w:r>
    </w:p>
    <w:p w:rsidR="009939E5" w:rsidRPr="009939E5" w:rsidRDefault="009939E5" w:rsidP="009939E5">
      <w:pPr>
        <w:spacing w:line="360" w:lineRule="auto"/>
        <w:jc w:val="both"/>
        <w:rPr>
          <w:rFonts w:ascii="Arial" w:hAnsi="Arial" w:cs="Arial"/>
          <w:sz w:val="24"/>
        </w:rPr>
      </w:pPr>
      <w:r w:rsidRPr="009939E5">
        <w:rPr>
          <w:rFonts w:ascii="Arial" w:hAnsi="Arial" w:cs="Arial"/>
          <w:sz w:val="24"/>
        </w:rPr>
        <w:t>My placement at Novotel Liverpool Centre demonstrated that leadership consistency significantly influences employee empowerment, operational efficiency and guest satisfaction. Both high-profile events such as the Labour Party Conference and seasonal peaks like October half term revealed how managerial variation shaped service outcomes. By applying leadership and motivation theories studied at Level 5, I have critically evaluated the organisational impact of inconsistent management styles.</w:t>
      </w:r>
    </w:p>
    <w:p w:rsidR="009939E5" w:rsidRDefault="009939E5" w:rsidP="009939E5">
      <w:pPr>
        <w:spacing w:line="360" w:lineRule="auto"/>
        <w:jc w:val="both"/>
        <w:rPr>
          <w:rFonts w:ascii="Arial" w:hAnsi="Arial" w:cs="Arial"/>
          <w:sz w:val="24"/>
        </w:rPr>
      </w:pPr>
      <w:r w:rsidRPr="009939E5">
        <w:rPr>
          <w:rFonts w:ascii="Arial" w:hAnsi="Arial" w:cs="Arial"/>
          <w:sz w:val="24"/>
        </w:rPr>
        <w:lastRenderedPageBreak/>
        <w:t>This experience has shaped my future leadership philosophy. Effective hospitality leadership requires balancing operational control with empowerment, ensuring consistency while adapting to fluctuating demand. Through structured delegation frameworks and aligned leadership practices, service excellence can be sustained even in complex and high-pressure environments.</w:t>
      </w:r>
    </w:p>
    <w:p w:rsidR="009939E5" w:rsidRDefault="009939E5" w:rsidP="009939E5">
      <w:pPr>
        <w:spacing w:line="360" w:lineRule="auto"/>
        <w:jc w:val="both"/>
        <w:rPr>
          <w:rFonts w:ascii="Arial" w:hAnsi="Arial" w:cs="Arial"/>
          <w:sz w:val="24"/>
        </w:rPr>
      </w:pPr>
    </w:p>
    <w:p w:rsidR="009939E5" w:rsidRDefault="009939E5" w:rsidP="009939E5">
      <w:pPr>
        <w:spacing w:line="360" w:lineRule="auto"/>
        <w:jc w:val="both"/>
        <w:rPr>
          <w:rFonts w:ascii="Arial" w:hAnsi="Arial" w:cs="Arial"/>
          <w:sz w:val="24"/>
        </w:rPr>
      </w:pPr>
    </w:p>
    <w:p w:rsidR="009939E5" w:rsidRDefault="009939E5" w:rsidP="009939E5">
      <w:pPr>
        <w:spacing w:line="360" w:lineRule="auto"/>
        <w:jc w:val="both"/>
        <w:rPr>
          <w:rFonts w:ascii="Arial" w:hAnsi="Arial" w:cs="Arial"/>
          <w:sz w:val="24"/>
        </w:rPr>
      </w:pPr>
    </w:p>
    <w:p w:rsidR="009939E5" w:rsidRDefault="009939E5" w:rsidP="009939E5">
      <w:pPr>
        <w:spacing w:line="360" w:lineRule="auto"/>
        <w:jc w:val="both"/>
        <w:rPr>
          <w:rFonts w:ascii="Arial" w:hAnsi="Arial" w:cs="Arial"/>
          <w:sz w:val="24"/>
        </w:rPr>
      </w:pPr>
    </w:p>
    <w:p w:rsidR="009939E5" w:rsidRDefault="009939E5" w:rsidP="009939E5">
      <w:pPr>
        <w:spacing w:line="360" w:lineRule="auto"/>
        <w:jc w:val="both"/>
        <w:rPr>
          <w:rFonts w:ascii="Arial" w:hAnsi="Arial" w:cs="Arial"/>
          <w:sz w:val="24"/>
        </w:rPr>
      </w:pPr>
    </w:p>
    <w:p w:rsidR="009939E5" w:rsidRDefault="009939E5" w:rsidP="009939E5">
      <w:pPr>
        <w:spacing w:line="360" w:lineRule="auto"/>
        <w:jc w:val="both"/>
        <w:rPr>
          <w:rFonts w:ascii="Arial" w:hAnsi="Arial" w:cs="Arial"/>
          <w:sz w:val="24"/>
        </w:rPr>
      </w:pPr>
    </w:p>
    <w:p w:rsidR="009939E5" w:rsidRDefault="009939E5" w:rsidP="009939E5">
      <w:pPr>
        <w:spacing w:line="360" w:lineRule="auto"/>
        <w:jc w:val="both"/>
        <w:rPr>
          <w:rFonts w:ascii="Arial" w:hAnsi="Arial" w:cs="Arial"/>
          <w:sz w:val="24"/>
        </w:rPr>
      </w:pPr>
    </w:p>
    <w:p w:rsidR="009939E5" w:rsidRDefault="009939E5" w:rsidP="009939E5">
      <w:pPr>
        <w:spacing w:line="360" w:lineRule="auto"/>
        <w:jc w:val="both"/>
        <w:rPr>
          <w:rFonts w:ascii="Arial" w:hAnsi="Arial" w:cs="Arial"/>
          <w:sz w:val="24"/>
        </w:rPr>
      </w:pPr>
    </w:p>
    <w:p w:rsidR="009939E5" w:rsidRDefault="009939E5" w:rsidP="009939E5">
      <w:pPr>
        <w:spacing w:line="360" w:lineRule="auto"/>
        <w:jc w:val="both"/>
        <w:rPr>
          <w:rFonts w:ascii="Arial" w:hAnsi="Arial" w:cs="Arial"/>
          <w:sz w:val="24"/>
        </w:rPr>
      </w:pPr>
    </w:p>
    <w:p w:rsidR="009939E5" w:rsidRDefault="009939E5" w:rsidP="009939E5">
      <w:pPr>
        <w:spacing w:line="360" w:lineRule="auto"/>
        <w:jc w:val="both"/>
        <w:rPr>
          <w:rFonts w:ascii="Arial" w:hAnsi="Arial" w:cs="Arial"/>
          <w:sz w:val="24"/>
        </w:rPr>
      </w:pPr>
    </w:p>
    <w:p w:rsidR="009939E5" w:rsidRDefault="009939E5" w:rsidP="009939E5">
      <w:pPr>
        <w:spacing w:line="360" w:lineRule="auto"/>
        <w:jc w:val="both"/>
        <w:rPr>
          <w:rFonts w:ascii="Arial" w:hAnsi="Arial" w:cs="Arial"/>
          <w:sz w:val="24"/>
        </w:rPr>
      </w:pPr>
    </w:p>
    <w:p w:rsidR="009939E5" w:rsidRDefault="009939E5" w:rsidP="009939E5">
      <w:pPr>
        <w:spacing w:line="360" w:lineRule="auto"/>
        <w:jc w:val="both"/>
        <w:rPr>
          <w:rFonts w:ascii="Arial" w:hAnsi="Arial" w:cs="Arial"/>
          <w:sz w:val="24"/>
        </w:rPr>
      </w:pPr>
    </w:p>
    <w:p w:rsidR="009939E5" w:rsidRDefault="009939E5" w:rsidP="009939E5">
      <w:pPr>
        <w:spacing w:line="360" w:lineRule="auto"/>
        <w:jc w:val="both"/>
        <w:rPr>
          <w:rFonts w:ascii="Arial" w:hAnsi="Arial" w:cs="Arial"/>
          <w:sz w:val="24"/>
        </w:rPr>
      </w:pPr>
    </w:p>
    <w:p w:rsidR="009939E5" w:rsidRDefault="009939E5" w:rsidP="009939E5">
      <w:pPr>
        <w:spacing w:line="360" w:lineRule="auto"/>
        <w:jc w:val="both"/>
        <w:rPr>
          <w:rFonts w:ascii="Arial" w:hAnsi="Arial" w:cs="Arial"/>
          <w:sz w:val="24"/>
        </w:rPr>
      </w:pPr>
    </w:p>
    <w:p w:rsidR="009939E5" w:rsidRDefault="009939E5" w:rsidP="009939E5">
      <w:pPr>
        <w:spacing w:line="360" w:lineRule="auto"/>
        <w:jc w:val="both"/>
        <w:rPr>
          <w:rFonts w:ascii="Arial" w:hAnsi="Arial" w:cs="Arial"/>
          <w:sz w:val="24"/>
        </w:rPr>
      </w:pPr>
    </w:p>
    <w:p w:rsidR="009939E5" w:rsidRDefault="009939E5" w:rsidP="009939E5">
      <w:pPr>
        <w:spacing w:line="360" w:lineRule="auto"/>
        <w:jc w:val="both"/>
        <w:rPr>
          <w:rFonts w:ascii="Arial" w:hAnsi="Arial" w:cs="Arial"/>
          <w:sz w:val="24"/>
        </w:rPr>
      </w:pPr>
    </w:p>
    <w:p w:rsidR="009939E5" w:rsidRDefault="009939E5" w:rsidP="009939E5">
      <w:pPr>
        <w:spacing w:line="360" w:lineRule="auto"/>
        <w:jc w:val="both"/>
        <w:rPr>
          <w:rFonts w:ascii="Arial" w:hAnsi="Arial" w:cs="Arial"/>
          <w:sz w:val="24"/>
        </w:rPr>
      </w:pPr>
    </w:p>
    <w:p w:rsidR="009939E5" w:rsidRDefault="009939E5" w:rsidP="009939E5">
      <w:pPr>
        <w:spacing w:line="360" w:lineRule="auto"/>
        <w:jc w:val="both"/>
        <w:rPr>
          <w:rFonts w:ascii="Arial" w:hAnsi="Arial" w:cs="Arial"/>
          <w:sz w:val="24"/>
        </w:rPr>
      </w:pPr>
    </w:p>
    <w:p w:rsidR="009939E5" w:rsidRDefault="009939E5" w:rsidP="009939E5">
      <w:pPr>
        <w:spacing w:line="360" w:lineRule="auto"/>
        <w:jc w:val="both"/>
        <w:rPr>
          <w:rFonts w:ascii="Arial" w:hAnsi="Arial" w:cs="Arial"/>
          <w:sz w:val="24"/>
        </w:rPr>
      </w:pPr>
    </w:p>
    <w:p w:rsidR="009939E5" w:rsidRPr="009939E5" w:rsidRDefault="009939E5" w:rsidP="009939E5">
      <w:pPr>
        <w:spacing w:line="360" w:lineRule="auto"/>
        <w:jc w:val="both"/>
        <w:rPr>
          <w:rFonts w:ascii="Arial" w:hAnsi="Arial" w:cs="Arial"/>
          <w:sz w:val="24"/>
        </w:rPr>
      </w:pPr>
    </w:p>
    <w:p w:rsidR="009939E5" w:rsidRDefault="009939E5" w:rsidP="009939E5">
      <w:pPr>
        <w:pStyle w:val="Heading1"/>
      </w:pPr>
      <w:r w:rsidRPr="009939E5">
        <w:lastRenderedPageBreak/>
        <w:t xml:space="preserve">Reference List </w:t>
      </w:r>
    </w:p>
    <w:p w:rsidR="009939E5" w:rsidRPr="009939E5" w:rsidRDefault="009939E5" w:rsidP="009939E5"/>
    <w:p w:rsidR="009939E5" w:rsidRPr="009939E5" w:rsidRDefault="009939E5" w:rsidP="009939E5">
      <w:pPr>
        <w:spacing w:line="360" w:lineRule="auto"/>
        <w:jc w:val="both"/>
        <w:rPr>
          <w:rFonts w:ascii="Arial" w:hAnsi="Arial" w:cs="Arial"/>
          <w:sz w:val="24"/>
        </w:rPr>
      </w:pPr>
      <w:r w:rsidRPr="009939E5">
        <w:rPr>
          <w:rFonts w:ascii="Arial" w:hAnsi="Arial" w:cs="Arial"/>
          <w:sz w:val="24"/>
        </w:rPr>
        <w:t>Bakker, A.B. and Demerouti, E. (2017) ‘Job demands–resources theory: Taking stock and looking forward’, Journal of Occupational Health Psychology, 22(3), pp. 273–285.</w:t>
      </w:r>
    </w:p>
    <w:p w:rsidR="009939E5" w:rsidRPr="009939E5" w:rsidRDefault="009939E5" w:rsidP="009939E5">
      <w:pPr>
        <w:spacing w:line="360" w:lineRule="auto"/>
        <w:jc w:val="both"/>
        <w:rPr>
          <w:rFonts w:ascii="Arial" w:hAnsi="Arial" w:cs="Arial"/>
          <w:sz w:val="24"/>
        </w:rPr>
      </w:pPr>
      <w:r w:rsidRPr="009939E5">
        <w:rPr>
          <w:rFonts w:ascii="Arial" w:hAnsi="Arial" w:cs="Arial"/>
          <w:sz w:val="24"/>
        </w:rPr>
        <w:t>Bass, B.M. (1985) Leadership and Performance Beyond Expectations. New York: Free Press.</w:t>
      </w:r>
    </w:p>
    <w:p w:rsidR="009939E5" w:rsidRPr="009939E5" w:rsidRDefault="009939E5" w:rsidP="009939E5">
      <w:pPr>
        <w:spacing w:line="360" w:lineRule="auto"/>
        <w:jc w:val="both"/>
        <w:rPr>
          <w:rFonts w:ascii="Arial" w:hAnsi="Arial" w:cs="Arial"/>
          <w:sz w:val="24"/>
        </w:rPr>
      </w:pPr>
      <w:r w:rsidRPr="009939E5">
        <w:rPr>
          <w:rFonts w:ascii="Arial" w:hAnsi="Arial" w:cs="Arial"/>
          <w:sz w:val="24"/>
        </w:rPr>
        <w:t>Herzberg, F. (1968) ‘One more time: How do you motivate employees?’, Harvard Business Review, 46(1), pp. 53–62.</w:t>
      </w:r>
    </w:p>
    <w:p w:rsidR="009939E5" w:rsidRPr="009939E5" w:rsidRDefault="009939E5" w:rsidP="009939E5">
      <w:pPr>
        <w:spacing w:line="360" w:lineRule="auto"/>
        <w:jc w:val="both"/>
        <w:rPr>
          <w:rFonts w:ascii="Arial" w:hAnsi="Arial" w:cs="Arial"/>
          <w:sz w:val="24"/>
        </w:rPr>
      </w:pPr>
      <w:r w:rsidRPr="009939E5">
        <w:rPr>
          <w:rFonts w:ascii="Arial" w:hAnsi="Arial" w:cs="Arial"/>
          <w:sz w:val="24"/>
        </w:rPr>
        <w:t xml:space="preserve">Hersey, P. and Blanchard, K.H. (1982) Management of Organizational </w:t>
      </w:r>
      <w:r w:rsidR="00683B81" w:rsidRPr="009939E5">
        <w:rPr>
          <w:rFonts w:ascii="Arial" w:hAnsi="Arial" w:cs="Arial"/>
          <w:sz w:val="24"/>
        </w:rPr>
        <w:t>Behaviour</w:t>
      </w:r>
      <w:r w:rsidRPr="009939E5">
        <w:rPr>
          <w:rFonts w:ascii="Arial" w:hAnsi="Arial" w:cs="Arial"/>
          <w:sz w:val="24"/>
        </w:rPr>
        <w:t>. 4th edn. Englewood Cliffs, NJ: Prentice-Hall.</w:t>
      </w:r>
    </w:p>
    <w:p w:rsidR="009939E5" w:rsidRPr="009939E5" w:rsidRDefault="009939E5" w:rsidP="009939E5">
      <w:pPr>
        <w:spacing w:line="360" w:lineRule="auto"/>
        <w:jc w:val="both"/>
        <w:rPr>
          <w:rFonts w:ascii="Arial" w:hAnsi="Arial" w:cs="Arial"/>
          <w:sz w:val="24"/>
        </w:rPr>
      </w:pPr>
      <w:r w:rsidRPr="009939E5">
        <w:rPr>
          <w:rFonts w:ascii="Arial" w:hAnsi="Arial" w:cs="Arial"/>
          <w:sz w:val="24"/>
        </w:rPr>
        <w:t>Heskett, J.L., Jones, T.O., Loveman, G.W., Sasser, W.E. and Schlesinger, L.A. (1994) ‘Putting the service-profit chain to work’, Harvard Business Review, 72(2), pp. 164–174.</w:t>
      </w:r>
    </w:p>
    <w:p w:rsidR="009939E5" w:rsidRPr="009939E5" w:rsidRDefault="009939E5" w:rsidP="009939E5">
      <w:pPr>
        <w:spacing w:line="360" w:lineRule="auto"/>
        <w:jc w:val="both"/>
        <w:rPr>
          <w:rFonts w:ascii="Arial" w:hAnsi="Arial" w:cs="Arial"/>
          <w:sz w:val="24"/>
        </w:rPr>
      </w:pPr>
      <w:r w:rsidRPr="009939E5">
        <w:rPr>
          <w:rFonts w:ascii="Arial" w:hAnsi="Arial" w:cs="Arial"/>
          <w:sz w:val="24"/>
        </w:rPr>
        <w:t>Karatepe, O.M. (2019) ‘Abusive supervision, work engagement and performance outcomes’, International Journal of Contemporary Hospitality Management, 31(2), pp. 605–623.</w:t>
      </w:r>
    </w:p>
    <w:p w:rsidR="009939E5" w:rsidRPr="009939E5" w:rsidRDefault="009939E5" w:rsidP="009939E5">
      <w:pPr>
        <w:spacing w:line="360" w:lineRule="auto"/>
        <w:jc w:val="both"/>
        <w:rPr>
          <w:rFonts w:ascii="Arial" w:hAnsi="Arial" w:cs="Arial"/>
          <w:sz w:val="24"/>
        </w:rPr>
      </w:pPr>
      <w:r w:rsidRPr="009939E5">
        <w:rPr>
          <w:rFonts w:ascii="Arial" w:hAnsi="Arial" w:cs="Arial"/>
          <w:sz w:val="24"/>
        </w:rPr>
        <w:t xml:space="preserve">Lewin, K., Lippitt, R. and White, R.K. (1939) ‘Patterns of aggressive </w:t>
      </w:r>
      <w:r w:rsidR="00683B81" w:rsidRPr="009939E5">
        <w:rPr>
          <w:rFonts w:ascii="Arial" w:hAnsi="Arial" w:cs="Arial"/>
          <w:sz w:val="24"/>
        </w:rPr>
        <w:t>behaviour</w:t>
      </w:r>
      <w:r w:rsidRPr="009939E5">
        <w:rPr>
          <w:rFonts w:ascii="Arial" w:hAnsi="Arial" w:cs="Arial"/>
          <w:sz w:val="24"/>
        </w:rPr>
        <w:t xml:space="preserve"> in experimentally created social climates’, Journal of Social Psychology, 10(2), pp. 271–299.</w:t>
      </w:r>
    </w:p>
    <w:p w:rsidR="009939E5" w:rsidRPr="009939E5" w:rsidRDefault="009939E5" w:rsidP="009939E5">
      <w:pPr>
        <w:spacing w:line="360" w:lineRule="auto"/>
        <w:jc w:val="both"/>
        <w:rPr>
          <w:rFonts w:ascii="Arial" w:hAnsi="Arial" w:cs="Arial"/>
          <w:sz w:val="24"/>
        </w:rPr>
      </w:pPr>
      <w:r w:rsidRPr="009939E5">
        <w:rPr>
          <w:rFonts w:ascii="Arial" w:hAnsi="Arial" w:cs="Arial"/>
          <w:sz w:val="24"/>
        </w:rPr>
        <w:t>Locke, E.A. and Latham, G.P. (2002) ‘Building a practically useful theory of goal setting and task motivation’, American Psychologist, 57(9), pp. 705–717.</w:t>
      </w:r>
    </w:p>
    <w:p w:rsidR="009939E5" w:rsidRPr="009939E5" w:rsidRDefault="009939E5" w:rsidP="009939E5">
      <w:pPr>
        <w:spacing w:line="360" w:lineRule="auto"/>
        <w:jc w:val="both"/>
        <w:rPr>
          <w:rFonts w:ascii="Arial" w:hAnsi="Arial" w:cs="Arial"/>
          <w:sz w:val="24"/>
        </w:rPr>
      </w:pPr>
      <w:r w:rsidRPr="009939E5">
        <w:rPr>
          <w:rFonts w:ascii="Arial" w:hAnsi="Arial" w:cs="Arial"/>
          <w:sz w:val="24"/>
        </w:rPr>
        <w:t>McGregor, D. (1960) The Human Side of Enterprise. New York: McGraw-Hill.</w:t>
      </w:r>
    </w:p>
    <w:p w:rsidR="009939E5" w:rsidRPr="009939E5" w:rsidRDefault="009939E5" w:rsidP="009939E5">
      <w:pPr>
        <w:spacing w:line="360" w:lineRule="auto"/>
        <w:jc w:val="both"/>
        <w:rPr>
          <w:rFonts w:ascii="Arial" w:hAnsi="Arial" w:cs="Arial"/>
          <w:sz w:val="24"/>
        </w:rPr>
      </w:pPr>
      <w:r w:rsidRPr="009939E5">
        <w:rPr>
          <w:rFonts w:ascii="Arial" w:hAnsi="Arial" w:cs="Arial"/>
          <w:sz w:val="24"/>
        </w:rPr>
        <w:t>Schein, E.H. (2010) Organizational Culture and Leadership. 4th edn. San Francisco: Jossey-Bass.</w:t>
      </w:r>
    </w:p>
    <w:p w:rsidR="009939E5" w:rsidRPr="009939E5" w:rsidRDefault="009939E5" w:rsidP="009939E5">
      <w:pPr>
        <w:spacing w:line="360" w:lineRule="auto"/>
        <w:jc w:val="both"/>
        <w:rPr>
          <w:rFonts w:ascii="Arial" w:hAnsi="Arial" w:cs="Arial"/>
          <w:sz w:val="24"/>
        </w:rPr>
      </w:pPr>
      <w:r w:rsidRPr="009939E5">
        <w:rPr>
          <w:rFonts w:ascii="Arial" w:hAnsi="Arial" w:cs="Arial"/>
          <w:sz w:val="24"/>
        </w:rPr>
        <w:t>Yukl, G. (2020) Leadership in Organizations. 9th edn. Harlow: Pearson.</w:t>
      </w:r>
    </w:p>
    <w:p w:rsidR="003F02EE" w:rsidRPr="009939E5" w:rsidRDefault="003F02EE" w:rsidP="009939E5">
      <w:pPr>
        <w:spacing w:line="360" w:lineRule="auto"/>
        <w:jc w:val="both"/>
        <w:rPr>
          <w:rFonts w:ascii="Arial" w:hAnsi="Arial" w:cs="Arial"/>
          <w:sz w:val="24"/>
        </w:rPr>
      </w:pPr>
    </w:p>
    <w:sectPr w:rsidR="003F02EE" w:rsidRPr="009939E5" w:rsidSect="00391FF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4202492"/>
    <w:multiLevelType w:val="multilevel"/>
    <w:tmpl w:val="46824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A5A3EAE"/>
    <w:multiLevelType w:val="multilevel"/>
    <w:tmpl w:val="C686BC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18A0"/>
    <w:rsid w:val="0006103E"/>
    <w:rsid w:val="00067CFC"/>
    <w:rsid w:val="001B5498"/>
    <w:rsid w:val="001B6C86"/>
    <w:rsid w:val="00210DD4"/>
    <w:rsid w:val="00254052"/>
    <w:rsid w:val="002965F3"/>
    <w:rsid w:val="00347ECB"/>
    <w:rsid w:val="00391FFD"/>
    <w:rsid w:val="003E3BD0"/>
    <w:rsid w:val="003F02EE"/>
    <w:rsid w:val="00463C51"/>
    <w:rsid w:val="00683B81"/>
    <w:rsid w:val="007E1885"/>
    <w:rsid w:val="008A57DF"/>
    <w:rsid w:val="008F6316"/>
    <w:rsid w:val="009456BA"/>
    <w:rsid w:val="009551EC"/>
    <w:rsid w:val="009939E5"/>
    <w:rsid w:val="009A33B7"/>
    <w:rsid w:val="009F6D20"/>
    <w:rsid w:val="00A13CD0"/>
    <w:rsid w:val="00A5498D"/>
    <w:rsid w:val="00B7385F"/>
    <w:rsid w:val="00BA197A"/>
    <w:rsid w:val="00C36CA6"/>
    <w:rsid w:val="00E539A1"/>
    <w:rsid w:val="00EB18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BBF6DA"/>
  <w15:chartTrackingRefBased/>
  <w15:docId w15:val="{24E041A7-B1AA-4A7B-9C82-51C261C1DE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1FF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EB18A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9551E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B18A0"/>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EB18A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B18A0"/>
    <w:rPr>
      <w:b/>
      <w:bCs/>
    </w:rPr>
  </w:style>
  <w:style w:type="character" w:styleId="Emphasis">
    <w:name w:val="Emphasis"/>
    <w:basedOn w:val="DefaultParagraphFont"/>
    <w:uiPriority w:val="20"/>
    <w:qFormat/>
    <w:rsid w:val="00EB18A0"/>
    <w:rPr>
      <w:i/>
      <w:iCs/>
    </w:rPr>
  </w:style>
  <w:style w:type="character" w:customStyle="1" w:styleId="Heading3Char">
    <w:name w:val="Heading 3 Char"/>
    <w:basedOn w:val="DefaultParagraphFont"/>
    <w:link w:val="Heading3"/>
    <w:uiPriority w:val="9"/>
    <w:semiHidden/>
    <w:rsid w:val="009551EC"/>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391FF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91FFD"/>
    <w:rPr>
      <w:rFonts w:eastAsiaTheme="minorEastAsia"/>
      <w:lang w:val="en-US"/>
    </w:rPr>
  </w:style>
  <w:style w:type="character" w:customStyle="1" w:styleId="Heading1Char">
    <w:name w:val="Heading 1 Char"/>
    <w:basedOn w:val="DefaultParagraphFont"/>
    <w:link w:val="Heading1"/>
    <w:uiPriority w:val="9"/>
    <w:rsid w:val="00391FFD"/>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391FF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1FFD"/>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A5498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6171729">
      <w:bodyDiv w:val="1"/>
      <w:marLeft w:val="0"/>
      <w:marRight w:val="0"/>
      <w:marTop w:val="0"/>
      <w:marBottom w:val="0"/>
      <w:divBdr>
        <w:top w:val="none" w:sz="0" w:space="0" w:color="auto"/>
        <w:left w:val="none" w:sz="0" w:space="0" w:color="auto"/>
        <w:bottom w:val="none" w:sz="0" w:space="0" w:color="auto"/>
        <w:right w:val="none" w:sz="0" w:space="0" w:color="auto"/>
      </w:divBdr>
    </w:div>
    <w:div w:id="149257014">
      <w:bodyDiv w:val="1"/>
      <w:marLeft w:val="0"/>
      <w:marRight w:val="0"/>
      <w:marTop w:val="0"/>
      <w:marBottom w:val="0"/>
      <w:divBdr>
        <w:top w:val="none" w:sz="0" w:space="0" w:color="auto"/>
        <w:left w:val="none" w:sz="0" w:space="0" w:color="auto"/>
        <w:bottom w:val="none" w:sz="0" w:space="0" w:color="auto"/>
        <w:right w:val="none" w:sz="0" w:space="0" w:color="auto"/>
      </w:divBdr>
    </w:div>
    <w:div w:id="168720783">
      <w:bodyDiv w:val="1"/>
      <w:marLeft w:val="0"/>
      <w:marRight w:val="0"/>
      <w:marTop w:val="0"/>
      <w:marBottom w:val="0"/>
      <w:divBdr>
        <w:top w:val="none" w:sz="0" w:space="0" w:color="auto"/>
        <w:left w:val="none" w:sz="0" w:space="0" w:color="auto"/>
        <w:bottom w:val="none" w:sz="0" w:space="0" w:color="auto"/>
        <w:right w:val="none" w:sz="0" w:space="0" w:color="auto"/>
      </w:divBdr>
    </w:div>
    <w:div w:id="334499195">
      <w:bodyDiv w:val="1"/>
      <w:marLeft w:val="0"/>
      <w:marRight w:val="0"/>
      <w:marTop w:val="0"/>
      <w:marBottom w:val="0"/>
      <w:divBdr>
        <w:top w:val="none" w:sz="0" w:space="0" w:color="auto"/>
        <w:left w:val="none" w:sz="0" w:space="0" w:color="auto"/>
        <w:bottom w:val="none" w:sz="0" w:space="0" w:color="auto"/>
        <w:right w:val="none" w:sz="0" w:space="0" w:color="auto"/>
      </w:divBdr>
    </w:div>
    <w:div w:id="628899454">
      <w:bodyDiv w:val="1"/>
      <w:marLeft w:val="0"/>
      <w:marRight w:val="0"/>
      <w:marTop w:val="0"/>
      <w:marBottom w:val="0"/>
      <w:divBdr>
        <w:top w:val="none" w:sz="0" w:space="0" w:color="auto"/>
        <w:left w:val="none" w:sz="0" w:space="0" w:color="auto"/>
        <w:bottom w:val="none" w:sz="0" w:space="0" w:color="auto"/>
        <w:right w:val="none" w:sz="0" w:space="0" w:color="auto"/>
      </w:divBdr>
    </w:div>
    <w:div w:id="651368934">
      <w:bodyDiv w:val="1"/>
      <w:marLeft w:val="0"/>
      <w:marRight w:val="0"/>
      <w:marTop w:val="0"/>
      <w:marBottom w:val="0"/>
      <w:divBdr>
        <w:top w:val="none" w:sz="0" w:space="0" w:color="auto"/>
        <w:left w:val="none" w:sz="0" w:space="0" w:color="auto"/>
        <w:bottom w:val="none" w:sz="0" w:space="0" w:color="auto"/>
        <w:right w:val="none" w:sz="0" w:space="0" w:color="auto"/>
      </w:divBdr>
    </w:div>
    <w:div w:id="742410057">
      <w:bodyDiv w:val="1"/>
      <w:marLeft w:val="0"/>
      <w:marRight w:val="0"/>
      <w:marTop w:val="0"/>
      <w:marBottom w:val="0"/>
      <w:divBdr>
        <w:top w:val="none" w:sz="0" w:space="0" w:color="auto"/>
        <w:left w:val="none" w:sz="0" w:space="0" w:color="auto"/>
        <w:bottom w:val="none" w:sz="0" w:space="0" w:color="auto"/>
        <w:right w:val="none" w:sz="0" w:space="0" w:color="auto"/>
      </w:divBdr>
    </w:div>
    <w:div w:id="902373976">
      <w:bodyDiv w:val="1"/>
      <w:marLeft w:val="0"/>
      <w:marRight w:val="0"/>
      <w:marTop w:val="0"/>
      <w:marBottom w:val="0"/>
      <w:divBdr>
        <w:top w:val="none" w:sz="0" w:space="0" w:color="auto"/>
        <w:left w:val="none" w:sz="0" w:space="0" w:color="auto"/>
        <w:bottom w:val="none" w:sz="0" w:space="0" w:color="auto"/>
        <w:right w:val="none" w:sz="0" w:space="0" w:color="auto"/>
      </w:divBdr>
    </w:div>
    <w:div w:id="1034039626">
      <w:bodyDiv w:val="1"/>
      <w:marLeft w:val="0"/>
      <w:marRight w:val="0"/>
      <w:marTop w:val="0"/>
      <w:marBottom w:val="0"/>
      <w:divBdr>
        <w:top w:val="none" w:sz="0" w:space="0" w:color="auto"/>
        <w:left w:val="none" w:sz="0" w:space="0" w:color="auto"/>
        <w:bottom w:val="none" w:sz="0" w:space="0" w:color="auto"/>
        <w:right w:val="none" w:sz="0" w:space="0" w:color="auto"/>
      </w:divBdr>
    </w:div>
    <w:div w:id="1051877960">
      <w:bodyDiv w:val="1"/>
      <w:marLeft w:val="0"/>
      <w:marRight w:val="0"/>
      <w:marTop w:val="0"/>
      <w:marBottom w:val="0"/>
      <w:divBdr>
        <w:top w:val="none" w:sz="0" w:space="0" w:color="auto"/>
        <w:left w:val="none" w:sz="0" w:space="0" w:color="auto"/>
        <w:bottom w:val="none" w:sz="0" w:space="0" w:color="auto"/>
        <w:right w:val="none" w:sz="0" w:space="0" w:color="auto"/>
      </w:divBdr>
    </w:div>
    <w:div w:id="1397781012">
      <w:bodyDiv w:val="1"/>
      <w:marLeft w:val="0"/>
      <w:marRight w:val="0"/>
      <w:marTop w:val="0"/>
      <w:marBottom w:val="0"/>
      <w:divBdr>
        <w:top w:val="none" w:sz="0" w:space="0" w:color="auto"/>
        <w:left w:val="none" w:sz="0" w:space="0" w:color="auto"/>
        <w:bottom w:val="none" w:sz="0" w:space="0" w:color="auto"/>
        <w:right w:val="none" w:sz="0" w:space="0" w:color="auto"/>
      </w:divBdr>
    </w:div>
    <w:div w:id="1469517727">
      <w:bodyDiv w:val="1"/>
      <w:marLeft w:val="0"/>
      <w:marRight w:val="0"/>
      <w:marTop w:val="0"/>
      <w:marBottom w:val="0"/>
      <w:divBdr>
        <w:top w:val="none" w:sz="0" w:space="0" w:color="auto"/>
        <w:left w:val="none" w:sz="0" w:space="0" w:color="auto"/>
        <w:bottom w:val="none" w:sz="0" w:space="0" w:color="auto"/>
        <w:right w:val="none" w:sz="0" w:space="0" w:color="auto"/>
      </w:divBdr>
    </w:div>
    <w:div w:id="1496798928">
      <w:bodyDiv w:val="1"/>
      <w:marLeft w:val="0"/>
      <w:marRight w:val="0"/>
      <w:marTop w:val="0"/>
      <w:marBottom w:val="0"/>
      <w:divBdr>
        <w:top w:val="none" w:sz="0" w:space="0" w:color="auto"/>
        <w:left w:val="none" w:sz="0" w:space="0" w:color="auto"/>
        <w:bottom w:val="none" w:sz="0" w:space="0" w:color="auto"/>
        <w:right w:val="none" w:sz="0" w:space="0" w:color="auto"/>
      </w:divBdr>
    </w:div>
    <w:div w:id="1750812346">
      <w:bodyDiv w:val="1"/>
      <w:marLeft w:val="0"/>
      <w:marRight w:val="0"/>
      <w:marTop w:val="0"/>
      <w:marBottom w:val="0"/>
      <w:divBdr>
        <w:top w:val="none" w:sz="0" w:space="0" w:color="auto"/>
        <w:left w:val="none" w:sz="0" w:space="0" w:color="auto"/>
        <w:bottom w:val="none" w:sz="0" w:space="0" w:color="auto"/>
        <w:right w:val="none" w:sz="0" w:space="0" w:color="auto"/>
      </w:divBdr>
    </w:div>
    <w:div w:id="1795519187">
      <w:bodyDiv w:val="1"/>
      <w:marLeft w:val="0"/>
      <w:marRight w:val="0"/>
      <w:marTop w:val="0"/>
      <w:marBottom w:val="0"/>
      <w:divBdr>
        <w:top w:val="none" w:sz="0" w:space="0" w:color="auto"/>
        <w:left w:val="none" w:sz="0" w:space="0" w:color="auto"/>
        <w:bottom w:val="none" w:sz="0" w:space="0" w:color="auto"/>
        <w:right w:val="none" w:sz="0" w:space="0" w:color="auto"/>
      </w:divBdr>
    </w:div>
    <w:div w:id="1832721620">
      <w:bodyDiv w:val="1"/>
      <w:marLeft w:val="0"/>
      <w:marRight w:val="0"/>
      <w:marTop w:val="0"/>
      <w:marBottom w:val="0"/>
      <w:divBdr>
        <w:top w:val="none" w:sz="0" w:space="0" w:color="auto"/>
        <w:left w:val="none" w:sz="0" w:space="0" w:color="auto"/>
        <w:bottom w:val="none" w:sz="0" w:space="0" w:color="auto"/>
        <w:right w:val="none" w:sz="0" w:space="0" w:color="auto"/>
      </w:divBdr>
    </w:div>
    <w:div w:id="1845242651">
      <w:bodyDiv w:val="1"/>
      <w:marLeft w:val="0"/>
      <w:marRight w:val="0"/>
      <w:marTop w:val="0"/>
      <w:marBottom w:val="0"/>
      <w:divBdr>
        <w:top w:val="none" w:sz="0" w:space="0" w:color="auto"/>
        <w:left w:val="none" w:sz="0" w:space="0" w:color="auto"/>
        <w:bottom w:val="none" w:sz="0" w:space="0" w:color="auto"/>
        <w:right w:val="none" w:sz="0" w:space="0" w:color="auto"/>
      </w:divBdr>
    </w:div>
    <w:div w:id="1901671912">
      <w:bodyDiv w:val="1"/>
      <w:marLeft w:val="0"/>
      <w:marRight w:val="0"/>
      <w:marTop w:val="0"/>
      <w:marBottom w:val="0"/>
      <w:divBdr>
        <w:top w:val="none" w:sz="0" w:space="0" w:color="auto"/>
        <w:left w:val="none" w:sz="0" w:space="0" w:color="auto"/>
        <w:bottom w:val="none" w:sz="0" w:space="0" w:color="auto"/>
        <w:right w:val="none" w:sz="0" w:space="0" w:color="auto"/>
      </w:divBdr>
    </w:div>
    <w:div w:id="21290035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7</Pages>
  <Words>1658</Words>
  <Characters>9454</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Managing Guest Service Operations</vt:lpstr>
    </vt:vector>
  </TitlesOfParts>
  <Company>Student id: 2227588</Company>
  <LinksUpToDate>false</LinksUpToDate>
  <CharactersWithSpaces>11090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Guest Service Operations</dc:title>
  <dc:subject>Module Code: BMIH6003</dc:subject>
  <dc:creator>Syeda Begum</dc:creator>
  <cp:keywords/>
  <dc:description/>
  <cp:lastModifiedBy>Ehsana Begum</cp:lastModifiedBy>
  <cp:revision>6</cp:revision>
  <dcterms:created xsi:type="dcterms:W3CDTF">2026-02-11T13:36:00Z</dcterms:created>
  <dcterms:modified xsi:type="dcterms:W3CDTF">2026-02-11T14:15:00Z</dcterms:modified>
</cp:coreProperties>
</file>