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eastAsiaTheme="minorHAnsi"/>
          <w:color w:val="5B9BD5" w:themeColor="accent1"/>
          <w:lang w:val="en-GB"/>
          <w14:textFill>
            <w14:solidFill>
              <w14:schemeClr w14:val="accent1"/>
            </w14:solidFill>
          </w14:textFill>
        </w:rPr>
        <w:id w:val="-1522475554"/>
        <w:docPartObj>
          <w:docPartGallery w:val="AutoText"/>
        </w:docPartObj>
      </w:sdtPr>
      <w:sdtEndPr>
        <w:rPr>
          <w:rFonts w:eastAsiaTheme="minorHAnsi"/>
          <w:color w:val="auto"/>
          <w:lang w:val="en-GB"/>
        </w:rPr>
      </w:sdtEndPr>
      <w:sdtContent>
        <w:p>
          <w:pPr>
            <w:pStyle w:val="11"/>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pPr>
            <w:pStyle w:val="11"/>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DCBCB7F12FD741FCBCDF0AE63ED3B4BF"/>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r>
                <w:rPr>
                  <w:rFonts w:hint="eastAsia" w:asciiTheme="majorHAnsi" w:hAnsiTheme="majorHAnsi" w:eastAsiaTheme="majorEastAsia"/>
                  <w:caps/>
                  <w:color w:val="5B9BD5" w:themeColor="accent1"/>
                  <w:sz w:val="80"/>
                  <w:szCs w:val="80"/>
                  <w:lang w:eastAsia="zh-CN"/>
                  <w14:textFill>
                    <w14:solidFill>
                      <w14:schemeClr w14:val="accent1"/>
                    </w14:solidFill>
                  </w14:textFill>
                </w:rPr>
                <w:t xml:space="preserve">Research and Suggestions for Jewelry Enterprises to Enter the International Market </w:t>
              </w:r>
            </w:sdtContent>
          </w:sdt>
        </w:p>
        <w:sdt>
          <w:sdtPr>
            <w:rPr>
              <w:color w:val="5B9BD5" w:themeColor="accent1"/>
              <w:sz w:val="28"/>
              <w:szCs w:val="28"/>
              <w14:textFill>
                <w14:solidFill>
                  <w14:schemeClr w14:val="accent1"/>
                </w14:solidFill>
              </w14:textFill>
            </w:rPr>
            <w:alias w:val="Subtitle"/>
            <w:id w:val="328029620"/>
            <w:placeholder>
              <w:docPart w:val="C05A49BEB3EC4F328035A1BA055AE16D"/>
            </w:placeholder>
            <w15:dataBinding w:prefixMappings="xmlns:ns0='http://purl.org/dc/elements/1.1/' xmlns:ns1='http://schemas.openxmlformats.org/package/2006/metadata/core-properties' " w:xpath="/ns1:coreProperties[1]/ns0:subject[1]" w:storeItemID="{6C3C8BC8-F283-45AE-878A-BAB7291924A1}"/>
            <w:text/>
          </w:sdtPr>
          <w:sdtEndPr>
            <w:rPr>
              <w:color w:val="5B9BD5" w:themeColor="accent1"/>
              <w:sz w:val="28"/>
              <w:szCs w:val="28"/>
              <w14:textFill>
                <w14:solidFill>
                  <w14:schemeClr w14:val="accent1"/>
                </w14:solidFill>
              </w14:textFill>
            </w:rPr>
          </w:sdtEndPr>
          <w:sdtContent>
            <w:p>
              <w:pPr>
                <w:pStyle w:val="11"/>
                <w:jc w:val="center"/>
                <w:rPr>
                  <w:color w:val="5B9BD5" w:themeColor="accent1"/>
                  <w:sz w:val="28"/>
                  <w:szCs w:val="28"/>
                  <w14:textFill>
                    <w14:solidFill>
                      <w14:schemeClr w14:val="accent1"/>
                    </w14:solidFill>
                  </w14:textFill>
                </w:rPr>
              </w:pPr>
              <w:r>
                <w:rPr>
                  <w:rFonts w:hint="eastAsia"/>
                  <w:color w:val="5B9BD5" w:themeColor="accent1"/>
                  <w:sz w:val="28"/>
                  <w:szCs w:val="28"/>
                  <w:lang w:eastAsia="zh-CN"/>
                  <w14:textFill>
                    <w14:solidFill>
                      <w14:schemeClr w14:val="accent1"/>
                    </w14:solidFill>
                  </w14:textFill>
                </w:rPr>
                <w:t>-----made by the group four{Jiankai Gao (1904304), Jing Wu (1900279), Chuchengsangmu Xina (1904305), Zixu Liu(1801052)}</w:t>
              </w:r>
            </w:p>
          </w:sdtContent>
        </w:sdt>
        <w:p>
          <w:pPr>
            <w:pStyle w:val="11"/>
            <w:spacing w:before="48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9-11-05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1"/>
                                      <w:spacing w:after="40"/>
                                      <w:jc w:val="center"/>
                                      <w:rPr>
                                        <w:caps/>
                                        <w:color w:val="5B9BD5" w:themeColor="accent1"/>
                                        <w:sz w:val="28"/>
                                        <w:szCs w:val="28"/>
                                        <w14:textFill>
                                          <w14:solidFill>
                                            <w14:schemeClr w14:val="accent1"/>
                                          </w14:solidFill>
                                        </w14:textFill>
                                      </w:rPr>
                                    </w:pPr>
                                    <w:r>
                                      <w:rPr>
                                        <w:rFonts w:hint="eastAsia" w:cstheme="minorBidi"/>
                                        <w:caps/>
                                        <w:color w:val="5B9BD5" w:themeColor="accent1"/>
                                        <w:sz w:val="28"/>
                                        <w:szCs w:val="28"/>
                                        <w:lang w:val="en-US" w:eastAsia="zh-CN" w:bidi="ar-SA"/>
                                        <w14:textFill>
                                          <w14:solidFill>
                                            <w14:schemeClr w14:val="accent1"/>
                                          </w14:solidFill>
                                        </w14:textFill>
                                      </w:rPr>
                                      <w:t>November 5, 2019</w:t>
                                    </w:r>
                                  </w:p>
                                </w:sdtContent>
                              </w:sdt>
                              <w:p>
                                <w:pPr>
                                  <w:pStyle w:val="11"/>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1"/>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72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9-11-05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1"/>
                                <w:spacing w:after="40"/>
                                <w:jc w:val="center"/>
                                <w:rPr>
                                  <w:caps/>
                                  <w:color w:val="5B9BD5" w:themeColor="accent1"/>
                                  <w:sz w:val="28"/>
                                  <w:szCs w:val="28"/>
                                  <w14:textFill>
                                    <w14:solidFill>
                                      <w14:schemeClr w14:val="accent1"/>
                                    </w14:solidFill>
                                  </w14:textFill>
                                </w:rPr>
                              </w:pPr>
                              <w:r>
                                <w:rPr>
                                  <w:rFonts w:hint="eastAsia" w:cstheme="minorBidi"/>
                                  <w:caps/>
                                  <w:color w:val="5B9BD5" w:themeColor="accent1"/>
                                  <w:sz w:val="28"/>
                                  <w:szCs w:val="28"/>
                                  <w:lang w:val="en-US" w:eastAsia="zh-CN" w:bidi="ar-SA"/>
                                  <w14:textFill>
                                    <w14:solidFill>
                                      <w14:schemeClr w14:val="accent1"/>
                                    </w14:solidFill>
                                  </w14:textFill>
                                </w:rPr>
                                <w:t>November 5, 2019</w:t>
                              </w:r>
                            </w:p>
                          </w:sdtContent>
                        </w:sdt>
                        <w:p>
                          <w:pPr>
                            <w:pStyle w:val="11"/>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1"/>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2"/>
          </w:pPr>
          <w:r>
            <w:br w:type="page"/>
          </w:r>
          <w:bookmarkStart w:id="0" w:name="_Toc5882"/>
          <w:r>
            <w:t>Executive Summary</w:t>
          </w:r>
          <w:bookmarkEnd w:id="0"/>
        </w:p>
        <w:p>
          <w:r>
            <w:rPr>
              <w:rFonts w:hint="eastAsia"/>
            </w:rPr>
            <w:t>When jewellery companies choose to enter other countries' markets, they need to fully consider the social and cultural factors of the host country. On the one hand, they are population environment factors such as population size, population distribution, age structure, ethnic differences, education level, and on the other hand, values, aesthetic taste, language. Cultural and environmental factors such as writing, religious beliefs, customs, and business practices. Many multinational jewellery companies have experienced some failed marketing in history. Rethinking their mistakes is beneficial to jewellery companies to formulate strategies, effectively invest abroad and open up overseas markets.</w:t>
          </w:r>
        </w:p>
        <w:p/>
        <w:p/>
        <w:p/>
        <w:p/>
        <w:p/>
        <w:p/>
        <w:p/>
        <w:p/>
        <w:p/>
        <w:p/>
        <w:p/>
        <w:p/>
        <w:p/>
        <w:p/>
        <w:p/>
        <w:p/>
        <w:p/>
        <w:p/>
        <w:p/>
        <w:p/>
        <w:p/>
        <w:p/>
        <w:p/>
        <w:p/>
        <w:sdt>
          <w:sdtPr>
            <w:rPr>
              <w:rFonts w:asciiTheme="minorHAnsi" w:hAnsiTheme="minorHAnsi" w:eastAsiaTheme="minorHAnsi" w:cstheme="minorBidi"/>
              <w:color w:val="auto"/>
              <w:sz w:val="22"/>
              <w:szCs w:val="22"/>
              <w:lang w:val="en-GB"/>
            </w:rPr>
            <w:id w:val="-1297214018"/>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pStyle w:val="14"/>
                <w:jc w:val="center"/>
              </w:pPr>
              <w:r>
                <w:t>Table of Contents</w:t>
              </w:r>
            </w:p>
            <w:p>
              <w:pPr>
                <w:pStyle w:val="5"/>
                <w:tabs>
                  <w:tab w:val="right" w:leader="dot" w:pos="9026"/>
                </w:tabs>
              </w:pPr>
              <w:r>
                <w:fldChar w:fldCharType="begin"/>
              </w:r>
              <w:r>
                <w:instrText xml:space="preserve"> TOC \o "1-3" \h \z \u </w:instrText>
              </w:r>
              <w:r>
                <w:fldChar w:fldCharType="separate"/>
              </w:r>
              <w:r>
                <w:fldChar w:fldCharType="begin"/>
              </w:r>
              <w:r>
                <w:instrText xml:space="preserve"> HYPERLINK \l _Toc5882 </w:instrText>
              </w:r>
              <w:r>
                <w:fldChar w:fldCharType="separate"/>
              </w:r>
              <w:r>
                <w:t>Executive Summary</w:t>
              </w:r>
              <w:r>
                <w:tab/>
              </w:r>
              <w:r>
                <w:fldChar w:fldCharType="begin"/>
              </w:r>
              <w:r>
                <w:instrText xml:space="preserve"> PAGEREF _Toc5882 </w:instrText>
              </w:r>
              <w:r>
                <w:fldChar w:fldCharType="separate"/>
              </w:r>
              <w:r>
                <w:t>1</w:t>
              </w:r>
              <w:r>
                <w:fldChar w:fldCharType="end"/>
              </w:r>
              <w:r>
                <w:fldChar w:fldCharType="end"/>
              </w:r>
            </w:p>
            <w:p>
              <w:pPr>
                <w:pStyle w:val="5"/>
                <w:tabs>
                  <w:tab w:val="right" w:leader="dot" w:pos="9026"/>
                </w:tabs>
              </w:pPr>
              <w:r>
                <w:rPr>
                  <w:bCs/>
                </w:rPr>
                <w:fldChar w:fldCharType="begin"/>
              </w:r>
              <w:r>
                <w:rPr>
                  <w:bCs/>
                </w:rPr>
                <w:instrText xml:space="preserve"> HYPERLINK \l _Toc27643 </w:instrText>
              </w:r>
              <w:r>
                <w:rPr>
                  <w:bCs/>
                </w:rPr>
                <w:fldChar w:fldCharType="separate"/>
              </w:r>
              <w:r>
                <w:t>Introduction</w:t>
              </w:r>
              <w:r>
                <w:tab/>
              </w:r>
              <w:r>
                <w:fldChar w:fldCharType="begin"/>
              </w:r>
              <w:r>
                <w:instrText xml:space="preserve"> PAGEREF _Toc27643 </w:instrText>
              </w:r>
              <w:r>
                <w:fldChar w:fldCharType="separate"/>
              </w:r>
              <w:r>
                <w:t>2</w:t>
              </w:r>
              <w:r>
                <w:fldChar w:fldCharType="end"/>
              </w:r>
              <w:r>
                <w:rPr>
                  <w:bCs/>
                </w:rPr>
                <w:fldChar w:fldCharType="end"/>
              </w:r>
            </w:p>
            <w:p>
              <w:pPr>
                <w:pStyle w:val="5"/>
                <w:tabs>
                  <w:tab w:val="right" w:leader="dot" w:pos="9026"/>
                </w:tabs>
              </w:pPr>
              <w:r>
                <w:rPr>
                  <w:bCs/>
                </w:rPr>
                <w:fldChar w:fldCharType="begin"/>
              </w:r>
              <w:r>
                <w:rPr>
                  <w:bCs/>
                </w:rPr>
                <w:instrText xml:space="preserve"> HYPERLINK \l _Toc31967 </w:instrText>
              </w:r>
              <w:r>
                <w:rPr>
                  <w:bCs/>
                </w:rPr>
                <w:fldChar w:fldCharType="separate"/>
              </w:r>
              <w:r>
                <w:t>Main Findings</w:t>
              </w:r>
              <w:bookmarkStart w:id="19" w:name="_GoBack"/>
              <w:bookmarkEnd w:id="19"/>
              <w:r>
                <w:tab/>
              </w:r>
              <w:r>
                <w:fldChar w:fldCharType="begin"/>
              </w:r>
              <w:r>
                <w:instrText xml:space="preserve"> PAGEREF _Toc31967 </w:instrText>
              </w:r>
              <w:r>
                <w:fldChar w:fldCharType="separate"/>
              </w:r>
              <w:r>
                <w:t>4</w:t>
              </w:r>
              <w:r>
                <w:fldChar w:fldCharType="end"/>
              </w:r>
              <w:r>
                <w:rPr>
                  <w:bCs/>
                </w:rPr>
                <w:fldChar w:fldCharType="end"/>
              </w:r>
            </w:p>
            <w:p>
              <w:pPr>
                <w:pStyle w:val="5"/>
                <w:tabs>
                  <w:tab w:val="right" w:leader="dot" w:pos="9026"/>
                </w:tabs>
              </w:pPr>
              <w:r>
                <w:rPr>
                  <w:bCs/>
                </w:rPr>
                <w:fldChar w:fldCharType="begin"/>
              </w:r>
              <w:r>
                <w:rPr>
                  <w:bCs/>
                </w:rPr>
                <w:instrText xml:space="preserve"> HYPERLINK \l _Toc16090 </w:instrText>
              </w:r>
              <w:r>
                <w:rPr>
                  <w:bCs/>
                </w:rPr>
                <w:fldChar w:fldCharType="separate"/>
              </w:r>
              <w:r>
                <w:t>Conclusion</w:t>
              </w:r>
              <w:r>
                <w:tab/>
              </w:r>
              <w:r>
                <w:fldChar w:fldCharType="begin"/>
              </w:r>
              <w:r>
                <w:instrText xml:space="preserve"> PAGEREF _Toc16090 </w:instrText>
              </w:r>
              <w:r>
                <w:fldChar w:fldCharType="separate"/>
              </w:r>
              <w:r>
                <w:t>9</w:t>
              </w:r>
              <w:r>
                <w:fldChar w:fldCharType="end"/>
              </w:r>
              <w:r>
                <w:rPr>
                  <w:bCs/>
                </w:rPr>
                <w:fldChar w:fldCharType="end"/>
              </w:r>
            </w:p>
            <w:p>
              <w:pPr>
                <w:pStyle w:val="5"/>
                <w:tabs>
                  <w:tab w:val="right" w:leader="dot" w:pos="9026"/>
                </w:tabs>
              </w:pPr>
              <w:r>
                <w:rPr>
                  <w:bCs/>
                </w:rPr>
                <w:fldChar w:fldCharType="begin"/>
              </w:r>
              <w:r>
                <w:rPr>
                  <w:bCs/>
                </w:rPr>
                <w:instrText xml:space="preserve"> HYPERLINK \l _Toc5121 </w:instrText>
              </w:r>
              <w:r>
                <w:rPr>
                  <w:bCs/>
                </w:rPr>
                <w:fldChar w:fldCharType="separate"/>
              </w:r>
              <w:r>
                <w:t>Bibliography</w:t>
              </w:r>
              <w:r>
                <w:tab/>
              </w:r>
              <w:r>
                <w:fldChar w:fldCharType="begin"/>
              </w:r>
              <w:r>
                <w:instrText xml:space="preserve"> PAGEREF _Toc5121 </w:instrText>
              </w:r>
              <w:r>
                <w:fldChar w:fldCharType="separate"/>
              </w:r>
              <w:r>
                <w:t>10</w:t>
              </w:r>
              <w:r>
                <w:fldChar w:fldCharType="end"/>
              </w:r>
              <w:r>
                <w:rPr>
                  <w:bCs/>
                </w:rPr>
                <w:fldChar w:fldCharType="end"/>
              </w:r>
            </w:p>
            <w:p>
              <w:pPr>
                <w:pStyle w:val="2"/>
              </w:pPr>
              <w:r>
                <w:rPr>
                  <w:bCs/>
                </w:rPr>
                <w:fldChar w:fldCharType="end"/>
              </w:r>
              <w:bookmarkStart w:id="1" w:name="_Toc27643"/>
            </w:p>
          </w:sdtContent>
        </w:sdt>
        <w:p>
          <w:pPr>
            <w:pStyle w:val="2"/>
          </w:pPr>
        </w:p>
        <w:p>
          <w:pPr>
            <w:pStyle w:val="2"/>
          </w:pPr>
        </w:p>
        <w:p>
          <w:pPr>
            <w:pStyle w:val="2"/>
          </w:pPr>
        </w:p>
        <w:p>
          <w:pPr>
            <w:pStyle w:val="2"/>
          </w:pPr>
        </w:p>
        <w:p>
          <w:pPr>
            <w:pStyle w:val="2"/>
          </w:pPr>
        </w:p>
        <w:p>
          <w:pPr>
            <w:pStyle w:val="2"/>
          </w:pPr>
        </w:p>
        <w:p>
          <w:pPr>
            <w:pStyle w:val="2"/>
          </w:pPr>
        </w:p>
        <w:p>
          <w:pPr>
            <w:pStyle w:val="2"/>
          </w:pPr>
        </w:p>
        <w:p>
          <w:pPr>
            <w:pStyle w:val="2"/>
          </w:pPr>
        </w:p>
        <w:p>
          <w:pPr>
            <w:pStyle w:val="2"/>
          </w:pPr>
        </w:p>
        <w:p/>
        <w:p/>
        <w:p/>
        <w:p/>
        <w:p/>
        <w:p/>
        <w:p/>
        <w:p/>
        <w:p>
          <w:pPr>
            <w:pStyle w:val="2"/>
          </w:pPr>
          <w:r>
            <w:t>Introduction</w:t>
          </w:r>
          <w:bookmarkEnd w:id="1"/>
        </w:p>
        <w:p>
          <w:pPr>
            <w:rPr>
              <w:rFonts w:hint="default"/>
              <w:lang w:val="en-US" w:eastAsia="zh-CN"/>
            </w:rPr>
          </w:pPr>
          <w:r>
            <w:rPr>
              <w:rFonts w:hint="default"/>
              <w:lang w:val="en-US" w:eastAsia="zh-CN"/>
            </w:rPr>
            <w:t>Facing the increasingly integrated global economy and the competitive pressure from domestic and foreign companies, internationalization will become an inevitable choice for enterprises. Choosing the right way to enter, effectively entering the international market, and continuously improving the international competitiveness of enterprises is the key to the success of international operations. This is especially true for most jewelry companies that are new to the international market. This study aims to explore the problems faced by jewelry enterprises in the international market through the study of culture and communication, discover the opportunities and challenges of jewelry enterprises, and make suggestions for jewelry companies to enter the international market according to the reasons for possible failure.</w:t>
          </w:r>
        </w:p>
        <w:p/>
        <w:p/>
        <w:p/>
        <w:p/>
        <w:p/>
        <w:p/>
        <w:p/>
        <w:p/>
        <w:p/>
        <w:p/>
        <w:p/>
        <w:p/>
        <w:p/>
        <w:p/>
        <w:p/>
        <w:p/>
        <w:p/>
        <w:p/>
        <w:p/>
        <w:p/>
        <w:p/>
        <w:p>
          <w:pPr>
            <w:pStyle w:val="2"/>
          </w:pPr>
          <w:bookmarkStart w:id="2" w:name="_Toc31967"/>
          <w:r>
            <w:t>Main Findings</w:t>
          </w:r>
          <w:bookmarkEnd w:id="2"/>
        </w:p>
        <w:p>
          <w:pPr>
            <w:pStyle w:val="2"/>
          </w:pPr>
        </w:p>
        <w:p>
          <w:pPr>
            <w:keepNext w:val="0"/>
            <w:keepLines w:val="0"/>
            <w:pageBreakBefore w:val="0"/>
            <w:kinsoku/>
            <w:wordWrap/>
            <w:overflowPunct/>
            <w:topLinePunct w:val="0"/>
            <w:autoSpaceDE/>
            <w:autoSpaceDN/>
            <w:bidi w:val="0"/>
            <w:adjustRightInd/>
            <w:snapToGrid/>
            <w:spacing w:line="20" w:lineRule="atLeast"/>
            <w:textAlignment w:val="auto"/>
            <w:rPr>
              <w:rFonts w:hint="default" w:eastAsia="宋体"/>
              <w:sz w:val="24"/>
              <w:szCs w:val="24"/>
              <w:lang w:val="en-US" w:eastAsia="zh-CN"/>
            </w:rPr>
          </w:pPr>
          <w:r>
            <w:rPr>
              <w:rFonts w:hint="eastAsia" w:eastAsia="宋体"/>
              <w:b/>
              <w:sz w:val="24"/>
              <w:szCs w:val="24"/>
              <w:lang w:val="en-US" w:eastAsia="zh-CN"/>
            </w:rPr>
            <w:t>1.0</w:t>
          </w:r>
          <w:r>
            <w:rPr>
              <w:b/>
              <w:sz w:val="24"/>
              <w:szCs w:val="24"/>
              <w:lang w:val="en-GB"/>
            </w:rPr>
            <w:t xml:space="preserve">The importance of various skills particularly in relation to building relationships </w:t>
          </w:r>
          <w:r>
            <w:rPr>
              <w:rFonts w:hint="eastAsia" w:eastAsia="宋体"/>
              <w:b/>
              <w:sz w:val="24"/>
              <w:szCs w:val="24"/>
              <w:lang w:val="en-US" w:eastAsia="zh-CN"/>
            </w:rPr>
            <w:t>{written by Chuchengsangmu Xina (1904305)}</w:t>
          </w:r>
        </w:p>
        <w:p>
          <w:pPr>
            <w:rPr>
              <w:rFonts w:hint="default"/>
              <w:lang w:val="en-GB" w:eastAsia="zh-CN"/>
            </w:rPr>
          </w:pPr>
          <w:r>
            <w:rPr>
              <w:rFonts w:hint="default"/>
              <w:lang w:val="en-GB" w:eastAsia="zh-CN"/>
            </w:rPr>
            <w:t xml:space="preserve">Forming effective relationships with others is essential in doing business with people, as it is for expending </w:t>
          </w:r>
          <w:r>
            <w:rPr>
              <w:rFonts w:hint="eastAsia"/>
              <w:lang w:val="en-GB" w:eastAsia="zh-CN"/>
            </w:rPr>
            <w:t>global</w:t>
          </w:r>
          <w:r>
            <w:rPr>
              <w:rFonts w:hint="default"/>
              <w:lang w:val="en-GB" w:eastAsia="zh-CN"/>
            </w:rPr>
            <w:t xml:space="preserve"> business and logistics perspective (Cooper &amp; Gardner, 1993). The various skills in relation to building relationships provides opportunities for businessmen or businesswomen to effectively communicate with their business partners and to know more about their business partners, so that they can obtain the chances to develop or negotiate with their business partners and achieved satisfactory outcomes in the future. The various skills provide people specific ways to build relationships with their targeted parties. </w:t>
          </w:r>
        </w:p>
        <w:p>
          <w:pPr>
            <w:rPr>
              <w:rFonts w:hint="default"/>
              <w:lang w:val="en-GB" w:eastAsia="zh-CN"/>
            </w:rPr>
          </w:pPr>
          <w:r>
            <w:rPr>
              <w:rFonts w:hint="default"/>
              <w:lang w:val="en-GB" w:eastAsia="zh-CN"/>
            </w:rPr>
            <w:t>The various skills for building relationships provides opportunities to foster friendships, so that the business relationships can last for a long time, or turning into even lifetime friendships (Chua, 2012). People use the various skills to bring their relationships with relevant parties closer, for example, by knowing their cultures and gifts giving, so that they have more friends and not just having them as business associates or competitors. By having more friends, people have opportunities to get more value from them.</w:t>
          </w:r>
        </w:p>
        <w:p>
          <w:pPr>
            <w:rPr>
              <w:rFonts w:hint="default"/>
              <w:lang w:val="en-GB" w:eastAsia="zh-CN"/>
            </w:rPr>
          </w:pPr>
          <w:r>
            <w:rPr>
              <w:rFonts w:hint="default"/>
              <w:lang w:val="en-GB" w:eastAsia="zh-CN"/>
            </w:rPr>
            <w:t xml:space="preserve">The various skills are importance in building relationships as a good relationship bonds two business parties together, and it brings you repeat business (Bedford &amp; Hwang, 2013). Attracting new business associates for once only trade is easy, but it is difficult for people to have business associates who are willing to return to your deals. Business associates who trade with you for once only are not going to help the growth of your business in the long-run, as they are not repeating the trading behaviour. A stable and relatively large number of loyal and repeat business associates are the key for people to grow their business to a recognized commercial success, so using the skills to build relationships is essential in doing business. </w:t>
          </w:r>
        </w:p>
        <w:p>
          <w:pPr>
            <w:rPr>
              <w:rFonts w:hint="default"/>
              <w:lang w:val="en-GB" w:eastAsia="zh-CN"/>
            </w:rPr>
          </w:pPr>
          <w:r>
            <w:rPr>
              <w:rFonts w:hint="default"/>
              <w:lang w:val="en-GB" w:eastAsia="zh-CN"/>
            </w:rPr>
            <w:t xml:space="preserve">Using various skills to build relationships also brings trusts from other parties. Current research showed that trust plays an important role in maintaining successful business relationships (Lohtia, Bello &amp; Porter, 2009). People use various skills to build relationships to win trust from other business associates. Effective relationships often bring more business to benefit your business expansion, for the reason that the business associates introduce their own business associates to you as trusting you. </w:t>
          </w:r>
        </w:p>
        <w:p>
          <w:pPr>
            <w:pStyle w:val="4"/>
            <w:numPr>
              <w:ilvl w:val="0"/>
              <w:numId w:val="0"/>
            </w:numPr>
            <w:ind w:leftChars="0"/>
            <w:rPr>
              <w:rFonts w:hint="default" w:ascii="Times New Roman" w:hAnsi="Times New Roman" w:cs="Times New Roman" w:eastAsiaTheme="minorHAnsi"/>
              <w:b/>
              <w:bCs/>
              <w:sz w:val="24"/>
              <w:szCs w:val="24"/>
              <w:lang w:val="en-US" w:eastAsia="zh-CN" w:bidi="ar-SA"/>
            </w:rPr>
          </w:pPr>
          <w:bookmarkStart w:id="3" w:name="_Toc12970"/>
          <w:r>
            <w:rPr>
              <w:rFonts w:hint="eastAsia" w:ascii="Times New Roman" w:hAnsi="Times New Roman" w:cs="Times New Roman" w:eastAsiaTheme="minorHAnsi"/>
              <w:b/>
              <w:bCs/>
              <w:sz w:val="24"/>
              <w:szCs w:val="24"/>
              <w:lang w:val="en-US" w:eastAsia="zh-CN" w:bidi="ar-SA"/>
            </w:rPr>
            <w:t>2.0</w:t>
          </w:r>
          <w:r>
            <w:rPr>
              <w:rFonts w:hint="eastAsia" w:ascii="Times New Roman" w:hAnsi="Times New Roman" w:cs="Times New Roman"/>
              <w:b/>
              <w:bCs/>
              <w:sz w:val="24"/>
              <w:szCs w:val="24"/>
              <w:lang w:val="en-US" w:eastAsia="zh-CN" w:bidi="ar-SA"/>
            </w:rPr>
            <w:t xml:space="preserve">    </w:t>
          </w:r>
          <w:r>
            <w:rPr>
              <w:rFonts w:hint="eastAsia" w:ascii="Times New Roman" w:hAnsi="Times New Roman"/>
              <w:b/>
              <w:bCs/>
              <w:sz w:val="24"/>
              <w:szCs w:val="24"/>
              <w:lang w:val="en-US" w:eastAsia="zh-CN"/>
            </w:rPr>
            <w:t>Social culture and decision making</w:t>
          </w:r>
          <w:r>
            <w:rPr>
              <w:rFonts w:hint="eastAsia" w:ascii="Times New Roman" w:hAnsi="Times New Roman" w:cs="Times New Roman"/>
              <w:b/>
              <w:bCs/>
              <w:sz w:val="24"/>
              <w:szCs w:val="24"/>
              <w:lang w:val="en-US" w:eastAsia="zh-CN" w:bidi="ar-SA"/>
            </w:rPr>
            <w:t xml:space="preserve">  </w:t>
          </w:r>
          <w:r>
            <w:rPr>
              <w:rFonts w:hint="eastAsia" w:eastAsia="宋体"/>
              <w:b/>
              <w:sz w:val="24"/>
              <w:szCs w:val="24"/>
              <w:lang w:val="en-US" w:eastAsia="zh-CN"/>
            </w:rPr>
            <w:t>{written by Jing Wu (1900279)}</w:t>
          </w:r>
          <w:bookmarkEnd w:id="3"/>
        </w:p>
        <w:p>
          <w:pPr>
            <w:rPr>
              <w:rFonts w:hint="default" w:ascii="Times New Roman" w:hAnsi="Times New Roman" w:cs="Times New Roman" w:eastAsiaTheme="minorHAnsi"/>
              <w:b/>
              <w:bCs/>
              <w:sz w:val="24"/>
              <w:szCs w:val="24"/>
              <w:lang w:val="en-GB" w:eastAsia="zh-CN" w:bidi="ar-SA"/>
            </w:rPr>
          </w:pPr>
          <w:r>
            <w:rPr>
              <w:rFonts w:hint="default" w:ascii="Times New Roman" w:hAnsi="Times New Roman" w:cs="Times New Roman" w:eastAsiaTheme="minorHAnsi"/>
              <w:b/>
              <w:bCs/>
              <w:sz w:val="24"/>
              <w:szCs w:val="24"/>
              <w:lang w:val="en-GB" w:eastAsia="zh-CN" w:bidi="ar-SA"/>
            </w:rPr>
            <w:t>2.1Cultural customs</w:t>
          </w:r>
        </w:p>
        <w:p>
          <w:pPr>
            <w:rPr>
              <w:rFonts w:hint="default" w:ascii="Times New Roman" w:hAnsi="Times New Roman" w:cs="Times New Roman"/>
              <w:sz w:val="24"/>
              <w:szCs w:val="24"/>
              <w:lang w:val="en-GB" w:eastAsia="zh-CN"/>
            </w:rPr>
          </w:pPr>
          <w:r>
            <w:rPr>
              <w:rFonts w:hint="default"/>
              <w:lang w:val="en-GB" w:eastAsia="zh-CN"/>
            </w:rPr>
            <w:t>Cultural customs are the difficulties that companies face in entering the international market. Because different countries have different cultural customs, and people in different countries have different aesthetics and positioning of products. If the company wants to enter the international market. Then, companies must understand the cultural customs of the local market. This can help the company enter the local market faster. For example, when a jewelry company enters the Chinese market, the company can design some Chinese-style products for sale.</w:t>
          </w:r>
        </w:p>
        <w:p>
          <w:pPr>
            <w:pStyle w:val="4"/>
            <w:numPr>
              <w:ilvl w:val="0"/>
              <w:numId w:val="0"/>
            </w:numPr>
            <w:ind w:leftChars="0"/>
            <w:rPr>
              <w:rFonts w:hint="default" w:ascii="Times New Roman" w:hAnsi="Times New Roman" w:cs="Times New Roman"/>
              <w:sz w:val="24"/>
              <w:szCs w:val="24"/>
              <w:lang w:val="en-GB" w:eastAsia="zh-CN"/>
            </w:rPr>
          </w:pPr>
          <w:bookmarkStart w:id="4" w:name="_Toc20308"/>
          <w:r>
            <w:rPr>
              <w:rFonts w:hint="default" w:ascii="Times New Roman" w:hAnsi="Times New Roman" w:cs="Times New Roman"/>
              <w:sz w:val="24"/>
              <w:szCs w:val="24"/>
              <w:lang w:val="en-GB" w:eastAsia="zh-CN"/>
            </w:rPr>
            <w:t>2.2Decision making and planning</w:t>
          </w:r>
          <w:bookmarkEnd w:id="4"/>
        </w:p>
        <w:p>
          <w:pPr>
            <w:rPr>
              <w:rFonts w:hint="default"/>
              <w:lang w:val="en-GB" w:eastAsia="zh-CN"/>
            </w:rPr>
          </w:pPr>
          <w:r>
            <w:rPr>
              <w:rFonts w:hint="default"/>
              <w:lang w:val="en-GB" w:eastAsia="zh-CN"/>
            </w:rPr>
            <w:t>When companies enter the international market, companies must have flexibility and adaptability. And different entry methods have different flexibility. When the market size of the target country is large, or the market potential is large. Companies can consider entering in an investment model and expanding sales as much as possible; if the market size of the target country is small. Enterprises can consider entering in export mode and contract mode to ensure the effective use of enterprise resources. In addition, companies can join international strategic alliances. So quickly open up new markets, acquire new technologies, increase productivity, reduce marketing costs, seek strategic competitive strategies, and seek additional sources of funding.</w:t>
          </w:r>
        </w:p>
        <w:p>
          <w:pPr>
            <w:rPr>
              <w:rFonts w:hint="default"/>
              <w:lang w:val="en-GB" w:eastAsia="zh-CN"/>
            </w:rPr>
          </w:pPr>
        </w:p>
        <w:p>
          <w:pPr>
            <w:pStyle w:val="4"/>
            <w:numPr>
              <w:ilvl w:val="0"/>
              <w:numId w:val="0"/>
            </w:numPr>
            <w:ind w:leftChars="0"/>
            <w:rPr>
              <w:rFonts w:hint="default" w:ascii="Times New Roman" w:hAnsi="Times New Roman" w:cs="Times New Roman"/>
              <w:sz w:val="24"/>
              <w:szCs w:val="24"/>
              <w:lang w:val="en-GB" w:eastAsia="zh-CN"/>
            </w:rPr>
          </w:pPr>
          <w:bookmarkStart w:id="5" w:name="_Toc6373"/>
          <w:r>
            <w:rPr>
              <w:rFonts w:hint="default" w:ascii="Times New Roman" w:hAnsi="Times New Roman" w:cs="Times New Roman"/>
              <w:sz w:val="24"/>
              <w:szCs w:val="24"/>
              <w:lang w:val="en-GB" w:eastAsia="zh-CN"/>
            </w:rPr>
            <w:t>2.3Population environment</w:t>
          </w:r>
          <w:bookmarkEnd w:id="5"/>
        </w:p>
        <w:p>
          <w:pPr>
            <w:rPr>
              <w:rFonts w:hint="default"/>
              <w:lang w:val="en-GB" w:eastAsia="zh-CN"/>
            </w:rPr>
          </w:pPr>
          <w:r>
            <w:rPr>
              <w:rFonts w:hint="default"/>
              <w:lang w:val="en-GB" w:eastAsia="zh-CN"/>
            </w:rPr>
            <w:t>The population environment factors mainly cover population size and population distribution. First of all, the size of the population directly affects the size of the market, which in turn will affect marketing strategies. For example, a huge market like China can generally make multinational companies have a special marketing strategy, but some small countries have small market sizes and cannot get targeted marketing strategies. Secondly, urban areas with large population distribution and high population density are more conducive to market research and promotion. In the eastern part of China, the population density is high and the consumption level is high. The marketing strategy may have a better effect. The economy in the central and western regions is relatively backward, and the population density is relatively small, which is relatively poor.</w:t>
          </w:r>
        </w:p>
        <w:p>
          <w:pPr>
            <w:pStyle w:val="4"/>
            <w:numPr>
              <w:ilvl w:val="0"/>
              <w:numId w:val="0"/>
            </w:numPr>
            <w:ind w:leftChars="0"/>
            <w:rPr>
              <w:rFonts w:hint="eastAsia" w:ascii="Times New Roman" w:hAnsi="Times New Roman" w:cs="Times New Roman"/>
              <w:sz w:val="24"/>
              <w:szCs w:val="24"/>
              <w:lang w:val="en-US" w:eastAsia="zh-CN"/>
            </w:rPr>
          </w:pPr>
          <w:bookmarkStart w:id="6" w:name="_Toc4210"/>
          <w:r>
            <w:rPr>
              <w:rFonts w:hint="eastAsia" w:ascii="Times New Roman" w:hAnsi="Times New Roman" w:cs="Times New Roman"/>
              <w:sz w:val="24"/>
              <w:szCs w:val="24"/>
              <w:lang w:val="en-US" w:eastAsia="zh-CN"/>
            </w:rPr>
            <w:t>3.0 Any reasons for possible failure</w:t>
          </w:r>
          <w:r>
            <w:rPr>
              <w:rFonts w:hint="eastAsia" w:eastAsia="宋体"/>
              <w:b/>
              <w:sz w:val="24"/>
              <w:szCs w:val="24"/>
              <w:lang w:val="en-US" w:eastAsia="zh-CN"/>
            </w:rPr>
            <w:t>{written by Zixu Liu(1801052) }</w:t>
          </w:r>
          <w:bookmarkEnd w:id="6"/>
        </w:p>
        <w:p>
          <w:pPr>
            <w:pStyle w:val="4"/>
            <w:numPr>
              <w:ilvl w:val="0"/>
              <w:numId w:val="0"/>
            </w:numPr>
            <w:ind w:leftChars="0"/>
            <w:rPr>
              <w:rFonts w:hint="eastAsia" w:ascii="Times New Roman" w:hAnsi="Times New Roman" w:cs="Times New Roman"/>
              <w:sz w:val="24"/>
              <w:szCs w:val="24"/>
              <w:lang w:val="en-US" w:eastAsia="zh-CN"/>
            </w:rPr>
          </w:pPr>
          <w:bookmarkStart w:id="7" w:name="_Toc21564"/>
          <w:r>
            <w:rPr>
              <w:rFonts w:hint="eastAsia" w:ascii="Times New Roman" w:hAnsi="Times New Roman" w:cs="Times New Roman"/>
              <w:sz w:val="24"/>
              <w:szCs w:val="24"/>
              <w:lang w:val="en-US" w:eastAsia="zh-CN"/>
            </w:rPr>
            <w:t xml:space="preserve">3.1 </w:t>
          </w:r>
          <w:bookmarkStart w:id="8" w:name="_Hlk23215051"/>
          <w:r>
            <w:rPr>
              <w:rFonts w:hint="eastAsia" w:ascii="Times New Roman" w:hAnsi="Times New Roman" w:cs="Times New Roman"/>
              <w:sz w:val="24"/>
              <w:szCs w:val="24"/>
              <w:lang w:val="en-US" w:eastAsia="zh-CN"/>
            </w:rPr>
            <w:t>Hofstede’s cultural dimensions theory</w:t>
          </w:r>
          <w:bookmarkEnd w:id="7"/>
        </w:p>
        <w:bookmarkEnd w:id="8"/>
        <w:p>
          <w:r>
            <w:drawing>
              <wp:inline distT="0" distB="0" distL="114300" distR="114300">
                <wp:extent cx="5730875" cy="3246120"/>
                <wp:effectExtent l="0" t="0" r="3175" b="1143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6"/>
                        <a:stretch>
                          <a:fillRect/>
                        </a:stretch>
                      </pic:blipFill>
                      <pic:spPr>
                        <a:xfrm>
                          <a:off x="0" y="0"/>
                          <a:ext cx="5730875" cy="3246120"/>
                        </a:xfrm>
                        <a:prstGeom prst="rect">
                          <a:avLst/>
                        </a:prstGeom>
                        <a:noFill/>
                        <a:ln>
                          <a:noFill/>
                        </a:ln>
                      </pic:spPr>
                    </pic:pic>
                  </a:graphicData>
                </a:graphic>
              </wp:inline>
            </w:drawing>
          </w:r>
        </w:p>
        <w:p/>
        <w:p>
          <w:pPr>
            <w:pStyle w:val="4"/>
            <w:numPr>
              <w:ilvl w:val="0"/>
              <w:numId w:val="0"/>
            </w:numPr>
            <w:ind w:leftChars="0"/>
            <w:rPr>
              <w:rFonts w:ascii="Times New Roman" w:hAnsi="Times New Roman" w:cs="Times New Roman"/>
              <w:sz w:val="24"/>
              <w:szCs w:val="24"/>
            </w:rPr>
          </w:pPr>
          <w:bookmarkStart w:id="9" w:name="_Toc21503"/>
          <w:r>
            <w:rPr>
              <w:rFonts w:hint="eastAsia" w:ascii="Times New Roman" w:hAnsi="Times New Roman" w:cs="Times New Roman"/>
              <w:sz w:val="24"/>
              <w:szCs w:val="24"/>
              <w:lang w:val="en-US" w:eastAsia="zh-CN"/>
            </w:rPr>
            <w:t>3.1.1</w:t>
          </w:r>
          <w:r>
            <w:rPr>
              <w:rFonts w:ascii="Times New Roman" w:hAnsi="Times New Roman" w:cs="Times New Roman"/>
              <w:sz w:val="24"/>
              <w:szCs w:val="24"/>
            </w:rPr>
            <w:t>Power Distance</w:t>
          </w:r>
          <w:bookmarkEnd w:id="9"/>
        </w:p>
        <w:p>
          <w:pPr>
            <w:rPr>
              <w:rFonts w:ascii="Times New Roman" w:hAnsi="Times New Roman" w:cs="Times New Roman"/>
              <w:sz w:val="24"/>
              <w:szCs w:val="24"/>
            </w:rPr>
          </w:pPr>
          <w:r>
            <w:rPr>
              <w:rFonts w:ascii="Times New Roman" w:hAnsi="Times New Roman" w:cs="Times New Roman"/>
              <w:sz w:val="24"/>
              <w:szCs w:val="24"/>
            </w:rPr>
            <w:t>Europeans and Americans do not value power very much, they pay more attention to their personal abilities. Asian countries pay attention to power because of institutional relations. For this Jewellery Retail group, the aim is expand to Asia, so, this company will definitely hire Asian employees, because the understanding of power is different, Europeans usually make recommendations directly with the employer, but Asians generally do not make recommendations to the employer, the difference in the way of working may be the cause of failure.</w:t>
          </w:r>
        </w:p>
        <w:p>
          <w:pPr>
            <w:pStyle w:val="4"/>
            <w:numPr>
              <w:ilvl w:val="0"/>
              <w:numId w:val="0"/>
            </w:numPr>
            <w:ind w:leftChars="0"/>
            <w:rPr>
              <w:rFonts w:ascii="Times New Roman" w:hAnsi="Times New Roman" w:cs="Times New Roman"/>
              <w:sz w:val="24"/>
              <w:szCs w:val="24"/>
            </w:rPr>
          </w:pPr>
          <w:bookmarkStart w:id="10" w:name="_Toc21507"/>
          <w:r>
            <w:rPr>
              <w:rFonts w:hint="eastAsia" w:ascii="Times New Roman" w:hAnsi="Times New Roman" w:cs="Times New Roman"/>
              <w:sz w:val="24"/>
              <w:szCs w:val="24"/>
              <w:lang w:val="en-US" w:eastAsia="zh-CN"/>
            </w:rPr>
            <w:t>3.1.2</w:t>
          </w:r>
          <w:r>
            <w:rPr>
              <w:rFonts w:ascii="Times New Roman" w:hAnsi="Times New Roman" w:cs="Times New Roman"/>
              <w:sz w:val="24"/>
              <w:szCs w:val="24"/>
            </w:rPr>
            <w:t>Uncertainty Avoidance</w:t>
          </w:r>
          <w:bookmarkEnd w:id="10"/>
        </w:p>
        <w:p>
          <w:pPr>
            <w:rPr>
              <w:rFonts w:ascii="Times New Roman" w:hAnsi="Times New Roman" w:cs="Times New Roman"/>
              <w:sz w:val="24"/>
              <w:szCs w:val="24"/>
            </w:rPr>
          </w:pPr>
          <w:r>
            <w:rPr>
              <w:rFonts w:ascii="Times New Roman" w:hAnsi="Times New Roman" w:cs="Times New Roman"/>
              <w:sz w:val="24"/>
              <w:szCs w:val="24"/>
            </w:rPr>
            <w:t>For this Jewellery Retail group, when this organization meet some problems. Asians usually follow the leadership arrangements and will not solve the problem themselves. But Europeans will solve problems themselves and have a high degree of flexibility. Different ways of dealing with problems can lead to failure.</w:t>
          </w:r>
        </w:p>
        <w:p>
          <w:pPr>
            <w:pStyle w:val="4"/>
            <w:numPr>
              <w:ilvl w:val="0"/>
              <w:numId w:val="0"/>
            </w:numPr>
            <w:ind w:leftChars="0"/>
            <w:rPr>
              <w:rFonts w:ascii="Times New Roman" w:hAnsi="Times New Roman" w:cs="Times New Roman"/>
              <w:sz w:val="24"/>
              <w:szCs w:val="24"/>
            </w:rPr>
          </w:pPr>
          <w:bookmarkStart w:id="11" w:name="_Toc29692"/>
          <w:r>
            <w:rPr>
              <w:rFonts w:hint="eastAsia" w:ascii="Times New Roman" w:hAnsi="Times New Roman" w:cs="Times New Roman"/>
              <w:sz w:val="24"/>
              <w:szCs w:val="24"/>
              <w:lang w:val="en-US" w:eastAsia="zh-CN"/>
            </w:rPr>
            <w:t>3.1.3</w:t>
          </w:r>
          <w:r>
            <w:rPr>
              <w:rFonts w:ascii="Times New Roman" w:hAnsi="Times New Roman" w:cs="Times New Roman"/>
              <w:sz w:val="24"/>
              <w:szCs w:val="24"/>
            </w:rPr>
            <w:t>Individualism versus Collectivism</w:t>
          </w:r>
          <w:bookmarkEnd w:id="11"/>
        </w:p>
        <w:p>
          <w:pPr>
            <w:rPr>
              <w:rFonts w:ascii="Times New Roman" w:hAnsi="Times New Roman" w:cs="Times New Roman"/>
              <w:sz w:val="24"/>
              <w:szCs w:val="24"/>
            </w:rPr>
          </w:pPr>
          <w:r>
            <w:rPr>
              <w:rFonts w:ascii="Times New Roman" w:hAnsi="Times New Roman" w:cs="Times New Roman"/>
              <w:sz w:val="24"/>
              <w:szCs w:val="24"/>
            </w:rPr>
            <w:t>For this Jewellery Retail group, when organizations enter the Asian market, they should respect Asian collectivism rather than promote individual heroism. Asians tend to work together instead of one person. Differences in task execution can lead to failure.</w:t>
          </w:r>
        </w:p>
        <w:p>
          <w:pPr>
            <w:pStyle w:val="4"/>
            <w:numPr>
              <w:ilvl w:val="0"/>
              <w:numId w:val="0"/>
            </w:numPr>
            <w:ind w:leftChars="0"/>
            <w:rPr>
              <w:rFonts w:ascii="Times New Roman" w:hAnsi="Times New Roman" w:cs="Times New Roman"/>
              <w:sz w:val="24"/>
              <w:szCs w:val="24"/>
            </w:rPr>
          </w:pPr>
          <w:bookmarkStart w:id="12" w:name="_Toc6710"/>
          <w:r>
            <w:rPr>
              <w:rFonts w:hint="eastAsia" w:ascii="Times New Roman" w:hAnsi="Times New Roman" w:cs="Times New Roman"/>
              <w:sz w:val="24"/>
              <w:szCs w:val="24"/>
              <w:lang w:val="en-US" w:eastAsia="zh-CN"/>
            </w:rPr>
            <w:t>3.1.4</w:t>
          </w:r>
          <w:r>
            <w:rPr>
              <w:rFonts w:ascii="Times New Roman" w:hAnsi="Times New Roman" w:cs="Times New Roman"/>
              <w:sz w:val="24"/>
              <w:szCs w:val="24"/>
            </w:rPr>
            <w:t>Masculinity versus Femininity</w:t>
          </w:r>
          <w:bookmarkEnd w:id="12"/>
        </w:p>
        <w:p>
          <w:pPr>
            <w:rPr>
              <w:rFonts w:ascii="Times New Roman" w:hAnsi="Times New Roman" w:cs="Times New Roman"/>
              <w:sz w:val="24"/>
              <w:szCs w:val="24"/>
            </w:rPr>
          </w:pPr>
          <w:bookmarkStart w:id="13" w:name="_Hlk23218766"/>
          <w:r>
            <w:rPr>
              <w:rFonts w:ascii="Times New Roman" w:hAnsi="Times New Roman" w:cs="Times New Roman"/>
              <w:sz w:val="24"/>
              <w:szCs w:val="24"/>
            </w:rPr>
            <w:t>For this Jewellery Retail group,</w:t>
          </w:r>
          <w:bookmarkEnd w:id="13"/>
          <w:r>
            <w:rPr>
              <w:rFonts w:ascii="Times New Roman" w:hAnsi="Times New Roman" w:cs="Times New Roman"/>
              <w:sz w:val="24"/>
              <w:szCs w:val="24"/>
            </w:rPr>
            <w:t xml:space="preserve"> this article uses creativity as an example. When companies design new products, Europeans may have many new ideas, but Asians are used to thinking in one direction. They feel that there is a standard answer. Different ways of thinking can lead to failure.</w:t>
          </w:r>
        </w:p>
        <w:p>
          <w:pPr>
            <w:pStyle w:val="4"/>
            <w:numPr>
              <w:ilvl w:val="0"/>
              <w:numId w:val="0"/>
            </w:numPr>
            <w:ind w:leftChars="0"/>
            <w:rPr>
              <w:rFonts w:ascii="Times New Roman" w:hAnsi="Times New Roman" w:cs="Times New Roman"/>
              <w:sz w:val="24"/>
              <w:szCs w:val="24"/>
            </w:rPr>
          </w:pPr>
          <w:bookmarkStart w:id="14" w:name="_Toc8841"/>
          <w:r>
            <w:rPr>
              <w:rFonts w:hint="eastAsia" w:ascii="Times New Roman" w:hAnsi="Times New Roman" w:cs="Times New Roman"/>
              <w:sz w:val="24"/>
              <w:szCs w:val="24"/>
              <w:lang w:val="en-US" w:eastAsia="zh-CN"/>
            </w:rPr>
            <w:t>3.1.5</w:t>
          </w:r>
          <w:r>
            <w:rPr>
              <w:rFonts w:ascii="Times New Roman" w:hAnsi="Times New Roman" w:cs="Times New Roman"/>
              <w:sz w:val="24"/>
              <w:szCs w:val="24"/>
            </w:rPr>
            <w:t>Long-term versus Short-term</w:t>
          </w:r>
          <w:bookmarkEnd w:id="14"/>
        </w:p>
        <w:p>
          <w:pPr>
            <w:rPr>
              <w:rFonts w:ascii="Times New Roman" w:hAnsi="Times New Roman" w:cs="Times New Roman"/>
              <w:sz w:val="24"/>
              <w:szCs w:val="24"/>
            </w:rPr>
          </w:pPr>
          <w:r>
            <w:rPr>
              <w:rFonts w:ascii="Times New Roman" w:hAnsi="Times New Roman" w:cs="Times New Roman"/>
              <w:sz w:val="24"/>
              <w:szCs w:val="24"/>
            </w:rPr>
            <w:t>This dimension refers to the extent to which members of a culture are acceptable to delay the satisfaction of their material, emotional, and social needs. For this Jewellery Retail group, taking decision making as an example, Asians are more focused on long-term interests, and they prefer to make decisions that are conducive to future development. However, Europeans pay more attention to short-term gains, and different ways of making decisions may lead to failure.</w:t>
          </w:r>
        </w:p>
        <w:p>
          <w:pPr>
            <w:pStyle w:val="4"/>
            <w:numPr>
              <w:ilvl w:val="0"/>
              <w:numId w:val="0"/>
            </w:numPr>
            <w:ind w:leftChars="0"/>
            <w:rPr>
              <w:rFonts w:ascii="Times New Roman" w:hAnsi="Times New Roman" w:cs="Times New Roman"/>
              <w:sz w:val="24"/>
              <w:szCs w:val="24"/>
            </w:rPr>
          </w:pPr>
          <w:bookmarkStart w:id="15" w:name="_Toc12347"/>
          <w:r>
            <w:rPr>
              <w:rFonts w:hint="eastAsia" w:ascii="Times New Roman" w:hAnsi="Times New Roman" w:cs="Times New Roman"/>
              <w:sz w:val="24"/>
              <w:szCs w:val="24"/>
              <w:lang w:val="en-US" w:eastAsia="zh-CN"/>
            </w:rPr>
            <w:t>3.1.6</w:t>
          </w:r>
          <w:r>
            <w:rPr>
              <w:rFonts w:ascii="Times New Roman" w:hAnsi="Times New Roman" w:cs="Times New Roman"/>
              <w:sz w:val="24"/>
              <w:szCs w:val="24"/>
            </w:rPr>
            <w:t>Indulgence versus Restraint</w:t>
          </w:r>
          <w:bookmarkEnd w:id="15"/>
        </w:p>
        <w:p>
          <w:pPr>
            <w:rPr>
              <w:rFonts w:ascii="Times New Roman" w:hAnsi="Times New Roman" w:cs="Times New Roman"/>
              <w:sz w:val="24"/>
              <w:szCs w:val="24"/>
            </w:rPr>
          </w:pPr>
          <w:r>
            <w:rPr>
              <w:rFonts w:ascii="Times New Roman" w:hAnsi="Times New Roman" w:cs="Times New Roman"/>
              <w:sz w:val="24"/>
              <w:szCs w:val="24"/>
            </w:rPr>
            <w:t>Asian companies are highly binding on employees. Each employee goes to work at the same time and gets off work. Usually, the working hours per day are more than eight hours. However, European companies have less constraints on employees and employees can freely play their own advantages. Different lifestyles can also lead to failure.</w:t>
          </w:r>
        </w:p>
        <w:p>
          <w:pPr>
            <w:pStyle w:val="2"/>
            <w:rPr>
              <w:rFonts w:hint="eastAsia" w:ascii="Times New Roman" w:hAnsi="Times New Roman" w:cs="Times New Roman" w:eastAsiaTheme="minorHAnsi"/>
              <w:b/>
              <w:bCs/>
              <w:color w:val="auto"/>
              <w:sz w:val="24"/>
              <w:szCs w:val="24"/>
              <w:lang w:val="en-US" w:eastAsia="zh-CN" w:bidi="ar-SA"/>
            </w:rPr>
          </w:pPr>
          <w:bookmarkStart w:id="16" w:name="_Toc3095"/>
          <w:r>
            <w:rPr>
              <w:rFonts w:hint="eastAsia" w:ascii="Times New Roman" w:hAnsi="Times New Roman" w:cs="Times New Roman" w:eastAsiaTheme="minorHAnsi"/>
              <w:b/>
              <w:bCs/>
              <w:color w:val="auto"/>
              <w:sz w:val="24"/>
              <w:szCs w:val="24"/>
              <w:lang w:val="en-US" w:eastAsia="zh-CN" w:bidi="ar-SA"/>
            </w:rPr>
            <w:t>3.2 Impacts of failure to develop relationships with global partners</w:t>
          </w:r>
          <w:bookmarkEnd w:id="16"/>
        </w:p>
        <w:p>
          <w:pPr>
            <w:rPr>
              <w:rFonts w:ascii="Times New Roman" w:hAnsi="Times New Roman" w:cs="Times New Roman"/>
              <w:sz w:val="24"/>
              <w:szCs w:val="24"/>
            </w:rPr>
          </w:pPr>
          <w:r>
            <w:rPr>
              <w:rFonts w:ascii="Times New Roman" w:hAnsi="Times New Roman" w:cs="Times New Roman"/>
              <w:sz w:val="24"/>
              <w:szCs w:val="24"/>
            </w:rPr>
            <w:t>Failed international business exchanges will lead to the inability of enterprises to develop international markets. Enterprises cannot achieve the goals of the mines, nor can they engage in long-term international business cooperation. The company's competitiveness is declining and its revenue is reduced.</w:t>
          </w:r>
        </w:p>
        <w:p>
          <w:pPr>
            <w:rPr>
              <w:rFonts w:hint="default"/>
              <w:lang w:val="en-GB" w:eastAsia="zh-CN"/>
            </w:rPr>
          </w:pPr>
          <w:r>
            <w:rPr>
              <w:rFonts w:ascii="Times New Roman" w:hAnsi="Times New Roman" w:cs="Times New Roman"/>
              <w:sz w:val="24"/>
              <w:szCs w:val="24"/>
            </w:rPr>
            <w:t>The company cannot establish an international partnership with another company, and this company cannot increase brand awareness and increase sales in a short period of time.</w:t>
          </w:r>
        </w:p>
        <w:p>
          <w:pPr>
            <w:rPr>
              <w:rFonts w:hint="default"/>
              <w:lang w:val="en-GB" w:eastAsia="zh-CN"/>
            </w:rPr>
          </w:pPr>
        </w:p>
        <w:p>
          <w:pPr>
            <w:keepNext w:val="0"/>
            <w:keepLines w:val="0"/>
            <w:pageBreakBefore w:val="0"/>
            <w:kinsoku/>
            <w:wordWrap/>
            <w:overflowPunct/>
            <w:topLinePunct w:val="0"/>
            <w:autoSpaceDE/>
            <w:autoSpaceDN/>
            <w:bidi w:val="0"/>
            <w:adjustRightInd/>
            <w:snapToGrid/>
            <w:spacing w:line="20" w:lineRule="atLeast"/>
            <w:textAlignment w:val="auto"/>
            <w:rPr>
              <w:rFonts w:hint="default" w:eastAsia="宋体"/>
              <w:sz w:val="24"/>
              <w:szCs w:val="24"/>
              <w:lang w:val="en-US" w:eastAsia="zh-CN"/>
            </w:rPr>
          </w:pPr>
          <w:r>
            <w:rPr>
              <w:rFonts w:hint="eastAsia" w:eastAsia="宋体"/>
              <w:b/>
              <w:sz w:val="24"/>
              <w:szCs w:val="24"/>
              <w:lang w:val="en-US" w:eastAsia="zh-CN"/>
            </w:rPr>
            <w:t>4.0 recommendation{written by Jiankai Gao (1904304) }</w:t>
          </w:r>
        </w:p>
        <w:p>
          <w:pPr>
            <w:rPr>
              <w:rFonts w:hint="default"/>
              <w:sz w:val="28"/>
              <w:szCs w:val="28"/>
              <w:lang w:val="en-US" w:eastAsia="zh-CN"/>
            </w:rPr>
          </w:pPr>
        </w:p>
        <w:p>
          <w:pPr>
            <w:rPr>
              <w:rFonts w:hint="eastAsia"/>
              <w:lang w:val="en-US" w:eastAsia="zh-CN"/>
            </w:rPr>
          </w:pPr>
          <w:r>
            <w:rPr>
              <w:rFonts w:hint="eastAsia"/>
              <w:lang w:val="en-US" w:eastAsia="zh-CN"/>
            </w:rPr>
            <w:t>For jewelry companies, choosing the right way to enter the international market is a complex issue. Various influencing factors need to be considered, which are internal and external factors and conditions for enterprises to carry out international business activities. External factors include cultural factors, environmental factors, production factors and market factors of the target country. Internal factors include enterprise product factors and resource input factors. Compared with the domestic business environment, it has greater uncertainty, uncontrollability and high risk.</w:t>
          </w:r>
        </w:p>
        <w:p>
          <w:pPr>
            <w:rPr>
              <w:rFonts w:hint="eastAsia"/>
              <w:lang w:val="en-US" w:eastAsia="zh-CN"/>
            </w:rPr>
          </w:pPr>
          <w:r>
            <w:rPr>
              <w:rFonts w:hint="eastAsia"/>
              <w:lang w:val="en-US" w:eastAsia="zh-CN"/>
            </w:rPr>
            <w:t>In view of the main causes of the above problems, the following methods can be effectively solved.</w:t>
          </w:r>
        </w:p>
        <w:p>
          <w:pPr>
            <w:keepNext w:val="0"/>
            <w:keepLines w:val="0"/>
            <w:pageBreakBefore w:val="0"/>
            <w:kinsoku/>
            <w:wordWrap/>
            <w:overflowPunct/>
            <w:topLinePunct w:val="0"/>
            <w:autoSpaceDE/>
            <w:autoSpaceDN/>
            <w:bidi w:val="0"/>
            <w:adjustRightInd/>
            <w:snapToGrid/>
            <w:spacing w:line="20" w:lineRule="atLeast"/>
            <w:textAlignment w:val="auto"/>
            <w:rPr>
              <w:rFonts w:hint="eastAsia"/>
              <w:sz w:val="28"/>
              <w:szCs w:val="28"/>
              <w:lang w:val="en-US" w:eastAsia="zh-CN"/>
            </w:rPr>
          </w:pPr>
          <w:r>
            <w:rPr>
              <w:rFonts w:hint="eastAsia" w:eastAsia="宋体"/>
              <w:b/>
              <w:sz w:val="24"/>
              <w:szCs w:val="24"/>
              <w:lang w:val="en-US" w:eastAsia="zh-CN"/>
            </w:rPr>
            <w:t>4.1 Increase communication</w:t>
          </w:r>
        </w:p>
        <w:p>
          <w:pPr>
            <w:rPr>
              <w:rFonts w:hint="eastAsia"/>
              <w:lang w:val="en-US" w:eastAsia="zh-CN"/>
            </w:rPr>
          </w:pPr>
          <w:r>
            <w:rPr>
              <w:rFonts w:hint="eastAsia"/>
              <w:lang w:val="en-US" w:eastAsia="zh-CN"/>
            </w:rPr>
            <w:t>Almost all of the combined integration will be hampered by obstacles, whether due to cultural conflicts, underemployment or leadership responsibilities, is the only effective solution. If employees don't understand the reasons for the merger, or if they don't know how to work together, then the employee will return to the most familiar path and do things in a familiar way, just as the merger did not happen. After that, power will disappear little by little, and absenteeism, overdue work and even refusal to work. Once this effect is formed, communication will be greatly reduced. Therefore, it is necessary to establish an exchange task force as early as possible in the integration process to eliminate doubts and uncertainties between employees, customers, suppliers and all other major shareholders. Communication has taken on a very important position throughout the integration process. It can be said that many misunderstandings and confrontations in the integration are caused by poor communication. In order to avoid these situations, M&amp;A companies should establish communication channels in various forms to ensure the smooth flow of all kinds of information in formal channels. Employees should have an opportunity to understand the overall picture of the entire acquisition, such as equity changes and future business direction. There are a lot more.</w:t>
          </w:r>
        </w:p>
        <w:p>
          <w:pPr>
            <w:keepNext w:val="0"/>
            <w:keepLines w:val="0"/>
            <w:pageBreakBefore w:val="0"/>
            <w:kinsoku/>
            <w:wordWrap/>
            <w:overflowPunct/>
            <w:topLinePunct w:val="0"/>
            <w:autoSpaceDE/>
            <w:autoSpaceDN/>
            <w:bidi w:val="0"/>
            <w:adjustRightInd/>
            <w:snapToGrid/>
            <w:spacing w:line="20" w:lineRule="atLeast"/>
            <w:textAlignment w:val="auto"/>
            <w:rPr>
              <w:rFonts w:hint="eastAsia"/>
              <w:sz w:val="28"/>
              <w:szCs w:val="28"/>
              <w:lang w:val="en-US" w:eastAsia="zh-CN"/>
            </w:rPr>
          </w:pPr>
          <w:r>
            <w:rPr>
              <w:rFonts w:hint="eastAsia" w:eastAsia="宋体"/>
              <w:b/>
              <w:sz w:val="24"/>
              <w:szCs w:val="24"/>
              <w:lang w:val="en-US" w:eastAsia="zh-CN"/>
            </w:rPr>
            <w:t>4.2 Develop a stable human resources policy.</w:t>
          </w:r>
        </w:p>
        <w:p>
          <w:pPr>
            <w:rPr>
              <w:rFonts w:hint="eastAsia"/>
              <w:lang w:val="en-US" w:eastAsia="zh-CN"/>
            </w:rPr>
          </w:pPr>
          <w:r>
            <w:rPr>
              <w:rFonts w:hint="eastAsia"/>
              <w:lang w:val="en-US" w:eastAsia="zh-CN"/>
            </w:rPr>
            <w:t>Retaining employees is an important task for M&amp;A companies to reduce employee impact and implement cultural integration. Ultimately, employee behavior is a reflection of culture and must be established through certain leadership methods. By developing appropriate human resources policies, company leaders can retain the vast majority of key employees. In order to stabilize the employees of the acquired company, it is necessary to formulate a series of positive human resources policies, introduce some meaningful incentives, locate employees as soon as possible, and relieve employees' psychological pressure and adapt to the new environment. . The actual capabilities and level of the team will be determined as soon as possible.</w:t>
          </w:r>
        </w:p>
        <w:p>
          <w:pPr>
            <w:keepNext w:val="0"/>
            <w:keepLines w:val="0"/>
            <w:pageBreakBefore w:val="0"/>
            <w:kinsoku/>
            <w:wordWrap/>
            <w:overflowPunct/>
            <w:topLinePunct w:val="0"/>
            <w:autoSpaceDE/>
            <w:autoSpaceDN/>
            <w:bidi w:val="0"/>
            <w:adjustRightInd/>
            <w:snapToGrid/>
            <w:spacing w:line="20" w:lineRule="atLeast"/>
            <w:textAlignment w:val="auto"/>
            <w:rPr>
              <w:rFonts w:hint="eastAsia"/>
              <w:sz w:val="28"/>
              <w:szCs w:val="28"/>
              <w:lang w:val="en-US" w:eastAsia="zh-CN"/>
            </w:rPr>
          </w:pPr>
          <w:r>
            <w:rPr>
              <w:rFonts w:hint="eastAsia" w:eastAsia="宋体"/>
              <w:b/>
              <w:sz w:val="24"/>
              <w:szCs w:val="24"/>
              <w:lang w:val="en-US" w:eastAsia="zh-CN"/>
            </w:rPr>
            <w:t>4.3 Select scientific integration models and procedures and plan as early as possible</w:t>
          </w:r>
        </w:p>
        <w:p>
          <w:pPr>
            <w:rPr>
              <w:rFonts w:hint="eastAsia"/>
              <w:lang w:val="en-US" w:eastAsia="zh-CN"/>
            </w:rPr>
          </w:pPr>
          <w:r>
            <w:rPr>
              <w:rFonts w:hint="eastAsia"/>
              <w:lang w:val="en-US" w:eastAsia="zh-CN"/>
            </w:rPr>
            <w:t>Cultural integration is very practical. It needs to consider the specifics of the merger, and it is more complicated and has more variables. Therefore, before starting integration, it is necessary to choose a scientific integration model and procedures to control. In the due diligence phase of M&amp;A, the future cultural integration of the two companies should begin. Although lawyers and accountants are responsible for conducting due diligence on financial and legal aspects, they must also form a dedicated integration team to study the company's information systems, human resources, operations, customer service and other important businesses. It should be emphasized that the merger and acquisition party should hire a special consultant to study the corporate culture of the target company and compare it with its own company to determine the type and characteristics of its corporate culture, and then according to the M&amp;A target.</w:t>
          </w:r>
        </w:p>
        <w:p>
          <w:pPr>
            <w:rPr>
              <w:sz w:val="24"/>
              <w:szCs w:val="24"/>
              <w:lang w:val="en-GB"/>
            </w:rPr>
          </w:pPr>
        </w:p>
        <w:p>
          <w:pPr>
            <w:pStyle w:val="2"/>
            <w:rPr>
              <w:rFonts w:hint="eastAsia"/>
              <w:lang w:val="en-US" w:eastAsia="zh-CN"/>
            </w:rPr>
          </w:pPr>
        </w:p>
        <w:p>
          <w:pPr>
            <w:rPr>
              <w:rFonts w:hint="eastAsia"/>
              <w:lang w:val="en-US" w:eastAsia="zh-CN"/>
            </w:rPr>
          </w:pPr>
        </w:p>
        <w:p>
          <w:pPr>
            <w:pStyle w:val="2"/>
          </w:pPr>
          <w:bookmarkStart w:id="17" w:name="_Toc16090"/>
          <w:r>
            <w:t>Conclusion</w:t>
          </w:r>
          <w:bookmarkEnd w:id="17"/>
          <w:r>
            <w:t xml:space="preserve"> </w:t>
          </w:r>
        </w:p>
        <w:p>
          <w:pPr>
            <w:rPr>
              <w:rFonts w:ascii="Times New Roman" w:hAnsi="Times New Roman" w:cs="Times New Roman"/>
              <w:sz w:val="24"/>
              <w:szCs w:val="24"/>
            </w:rPr>
          </w:pPr>
          <w:r>
            <w:rPr>
              <w:rFonts w:ascii="Times New Roman" w:hAnsi="Times New Roman" w:cs="Times New Roman"/>
              <w:sz w:val="24"/>
              <w:szCs w:val="24"/>
            </w:rPr>
            <w:t>For a company, it is very important to establish a successful international business exchange. Successfully establishing international business exchanges can bring many benefits to the company, such as increased profits and target customers. However, failed international business exchanges will have a negative impact on the company. If the company cannot expand overseas markets, the company's visibility will decrease.</w:t>
          </w:r>
          <w:r>
            <w:t xml:space="preserve"> </w:t>
          </w:r>
          <w:r>
            <w:rPr>
              <w:rFonts w:ascii="Times New Roman" w:hAnsi="Times New Roman" w:cs="Times New Roman"/>
              <w:sz w:val="24"/>
              <w:szCs w:val="24"/>
            </w:rPr>
            <w:t>In order to establish a successful international business communication, the company must have some skills and methods, such as correctly handling cultural differences between different countries. The company must fully understand the cultural customs of the target country, which requires the company to provide targeted training to employees. This report gives the importance of each skill and explains how to develop these skills.</w:t>
          </w:r>
          <w:r>
            <w:t xml:space="preserve"> </w:t>
          </w:r>
          <w:r>
            <w:rPr>
              <w:rFonts w:ascii="Times New Roman" w:hAnsi="Times New Roman" w:cs="Times New Roman"/>
              <w:sz w:val="24"/>
              <w:szCs w:val="24"/>
            </w:rPr>
            <w:t>At the same time, this report uses Hofstede’s six cultural dimensions to analyze the reasons why the company may fail in international business communication, such as different ways of thinking, different ways of dealing with problems and different understanding of power. In view of these factors that may cause failure, this paper puts forward some Suggestions on how to avoid failure.</w:t>
          </w:r>
        </w:p>
        <w:p/>
        <w:p/>
        <w:p/>
        <w:p/>
        <w:p/>
        <w:p/>
        <w:p/>
        <w:p/>
        <w:p/>
        <w:p/>
        <w:p/>
        <w:p/>
        <w:p/>
        <w:p/>
        <w:p/>
        <w:p/>
        <w:p/>
        <w:p/>
        <w:p/>
        <w:p/>
        <w:p>
          <w:pPr>
            <w:pStyle w:val="2"/>
          </w:pPr>
          <w:bookmarkStart w:id="18" w:name="_Toc5121"/>
          <w:r>
            <w:t>Bibliography</w:t>
          </w:r>
          <w:bookmarkEnd w:id="18"/>
        </w:p>
        <w:p/>
        <w:p>
          <w:pPr>
            <w:rPr>
              <w:rFonts w:eastAsiaTheme="minorHAnsi"/>
              <w:color w:val="auto"/>
              <w:lang w:val="en-GB"/>
            </w:rPr>
          </w:pPr>
        </w:p>
      </w:sdtContent>
    </w:sdt>
    <w:p>
      <w:pPr>
        <w:rPr>
          <w:rFonts w:ascii="Times New Roman" w:hAnsi="Times New Roman" w:cs="Times New Roman"/>
          <w:sz w:val="24"/>
          <w:szCs w:val="24"/>
        </w:rPr>
      </w:pPr>
      <w:r>
        <w:rPr>
          <w:rFonts w:ascii="Times New Roman" w:hAnsi="Times New Roman" w:cs="Times New Roman"/>
          <w:sz w:val="24"/>
          <w:szCs w:val="24"/>
        </w:rPr>
        <w:t xml:space="preserve">Geert Hofstede,2005 The 6-D model of national culture [online] Available at &lt;https://geerthofstede.com/culture-geert-hofstede-gert-jan-hofstede/6d-model-of-national-culture/&gt; [Accessed </w:t>
      </w:r>
      <w:r>
        <w:rPr>
          <w:rFonts w:hint="eastAsia" w:ascii="Times New Roman" w:hAnsi="Times New Roman" w:cs="Times New Roman"/>
          <w:sz w:val="24"/>
          <w:szCs w:val="24"/>
        </w:rPr>
        <w:t>28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October]</w:t>
      </w:r>
    </w:p>
    <w:p>
      <w:pPr>
        <w:rPr>
          <w:rFonts w:ascii="Times New Roman" w:hAnsi="Times New Roman" w:cs="Times New Roman"/>
          <w:sz w:val="24"/>
          <w:szCs w:val="24"/>
        </w:rPr>
      </w:pPr>
      <w:r>
        <w:rPr>
          <w:rFonts w:ascii="Times New Roman" w:hAnsi="Times New Roman" w:cs="Times New Roman"/>
          <w:sz w:val="24"/>
          <w:szCs w:val="24"/>
        </w:rPr>
        <w:t>Hongchun, Y.&amp; Lei, L. (2012) Research on the mode of enterprise cross-cultural human resource management based on Hofstede’s cultural dimension, Journal of Science and technology and management, 6, 118-121.</w:t>
      </w:r>
    </w:p>
    <w:p>
      <w:pPr>
        <w:rPr>
          <w:rFonts w:ascii="Times New Roman" w:hAnsi="Times New Roman" w:cs="Times New Roman"/>
          <w:sz w:val="24"/>
          <w:szCs w:val="24"/>
        </w:rPr>
      </w:pPr>
      <w:r>
        <w:rPr>
          <w:rFonts w:ascii="Times New Roman" w:hAnsi="Times New Roman" w:cs="Times New Roman"/>
          <w:sz w:val="24"/>
          <w:szCs w:val="24"/>
        </w:rPr>
        <w:t>Xinhuang, T., &amp; Guan Z., (2006). An Analysis of Hofstede's Cultural Dimension Theory - Cross-cultural Perspective. Journal of Liaodong University (Social Science Edition), 4, 57-61.</w:t>
      </w:r>
    </w:p>
    <w:p>
      <w:pPr>
        <w:rPr>
          <w:rFonts w:ascii="Times New Roman" w:hAnsi="Times New Roman" w:cs="Times New Roman"/>
          <w:sz w:val="24"/>
          <w:szCs w:val="24"/>
        </w:rPr>
      </w:pPr>
      <w:r>
        <w:rPr>
          <w:rFonts w:ascii="Times New Roman" w:hAnsi="Times New Roman" w:cs="Times New Roman"/>
          <w:sz w:val="24"/>
          <w:szCs w:val="24"/>
        </w:rPr>
        <w:t>Ke, Y. (2011). Hofstede’s Cultural Dimension Theory. Journal of Henan College of Finance and Taxation, 4, 87-88.</w:t>
      </w:r>
    </w:p>
    <w:p>
      <w:pPr>
        <w:keepNext w:val="0"/>
        <w:keepLines w:val="0"/>
        <w:pageBreakBefore w:val="0"/>
        <w:kinsoku/>
        <w:wordWrap/>
        <w:overflowPunct/>
        <w:topLinePunct w:val="0"/>
        <w:autoSpaceDE/>
        <w:autoSpaceDN/>
        <w:bidi w:val="0"/>
        <w:adjustRightInd/>
        <w:snapToGrid/>
        <w:spacing w:before="240" w:line="20" w:lineRule="atLeast"/>
        <w:textAlignment w:val="auto"/>
        <w:rPr>
          <w:sz w:val="24"/>
          <w:szCs w:val="24"/>
          <w:lang w:val="en-GB"/>
        </w:rPr>
      </w:pPr>
      <w:r>
        <w:rPr>
          <w:sz w:val="24"/>
          <w:szCs w:val="24"/>
          <w:lang w:val="en-GB"/>
        </w:rPr>
        <w:t xml:space="preserve">Bedford, O &amp; Hwang, S 2013, ‘Building relationships for business in Taiwanese hostess clubs: the psychological and social processes of Guanxi development’, </w:t>
      </w:r>
      <w:r>
        <w:rPr>
          <w:i/>
          <w:sz w:val="24"/>
          <w:szCs w:val="24"/>
          <w:lang w:val="en-GB"/>
        </w:rPr>
        <w:t>Gender, Work &amp; Organization</w:t>
      </w:r>
      <w:r>
        <w:rPr>
          <w:sz w:val="24"/>
          <w:szCs w:val="24"/>
          <w:lang w:val="en-GB"/>
        </w:rPr>
        <w:t>, vol. 20, no. 3, pp. 297-310.</w:t>
      </w:r>
    </w:p>
    <w:p>
      <w:pPr>
        <w:keepNext w:val="0"/>
        <w:keepLines w:val="0"/>
        <w:pageBreakBefore w:val="0"/>
        <w:kinsoku/>
        <w:wordWrap/>
        <w:overflowPunct/>
        <w:topLinePunct w:val="0"/>
        <w:autoSpaceDE/>
        <w:autoSpaceDN/>
        <w:bidi w:val="0"/>
        <w:adjustRightInd/>
        <w:snapToGrid/>
        <w:spacing w:before="240" w:line="20" w:lineRule="atLeast"/>
        <w:textAlignment w:val="auto"/>
        <w:rPr>
          <w:sz w:val="24"/>
          <w:szCs w:val="24"/>
          <w:lang w:val="en-GB"/>
        </w:rPr>
      </w:pPr>
      <w:r>
        <w:rPr>
          <w:sz w:val="24"/>
          <w:szCs w:val="24"/>
          <w:lang w:val="en-GB"/>
        </w:rPr>
        <w:t xml:space="preserve">Chua, R, Y 2012, ‘Building effective business relationships in China’, </w:t>
      </w:r>
      <w:r>
        <w:rPr>
          <w:i/>
          <w:sz w:val="24"/>
          <w:szCs w:val="24"/>
          <w:lang w:val="en-GB"/>
        </w:rPr>
        <w:t>MIT Sloan Management Review</w:t>
      </w:r>
      <w:r>
        <w:rPr>
          <w:sz w:val="24"/>
          <w:szCs w:val="24"/>
          <w:lang w:val="en-GB"/>
        </w:rPr>
        <w:t>, vol. 53, no. 4, pp. 1-7.</w:t>
      </w:r>
    </w:p>
    <w:p>
      <w:pPr>
        <w:keepNext w:val="0"/>
        <w:keepLines w:val="0"/>
        <w:pageBreakBefore w:val="0"/>
        <w:kinsoku/>
        <w:wordWrap/>
        <w:overflowPunct/>
        <w:topLinePunct w:val="0"/>
        <w:autoSpaceDE/>
        <w:autoSpaceDN/>
        <w:bidi w:val="0"/>
        <w:adjustRightInd/>
        <w:snapToGrid/>
        <w:spacing w:before="240" w:line="20" w:lineRule="atLeast"/>
        <w:textAlignment w:val="auto"/>
        <w:rPr>
          <w:sz w:val="24"/>
          <w:szCs w:val="24"/>
          <w:lang w:val="en-GB"/>
        </w:rPr>
      </w:pPr>
      <w:r>
        <w:rPr>
          <w:sz w:val="24"/>
          <w:szCs w:val="24"/>
          <w:lang w:val="en-GB"/>
        </w:rPr>
        <w:t xml:space="preserve">Cooper, M, C &amp; Gardner, J, T 1993, ‘Building good business relationships: more than just partnering or strategic alliances?’, </w:t>
      </w:r>
      <w:r>
        <w:rPr>
          <w:i/>
          <w:sz w:val="24"/>
          <w:szCs w:val="24"/>
          <w:lang w:val="en-GB"/>
        </w:rPr>
        <w:t>International journal of physical distribution &amp; logistic management</w:t>
      </w:r>
      <w:r>
        <w:rPr>
          <w:sz w:val="24"/>
          <w:szCs w:val="24"/>
          <w:lang w:val="en-GB"/>
        </w:rPr>
        <w:t>, vol. 23, no. 6, pp. 14-26.</w:t>
      </w:r>
    </w:p>
    <w:p>
      <w:pPr>
        <w:keepNext w:val="0"/>
        <w:keepLines w:val="0"/>
        <w:pageBreakBefore w:val="0"/>
        <w:kinsoku/>
        <w:wordWrap/>
        <w:overflowPunct/>
        <w:topLinePunct w:val="0"/>
        <w:autoSpaceDE/>
        <w:autoSpaceDN/>
        <w:bidi w:val="0"/>
        <w:adjustRightInd/>
        <w:snapToGrid/>
        <w:spacing w:before="240" w:line="20" w:lineRule="atLeast"/>
        <w:textAlignment w:val="auto"/>
        <w:rPr>
          <w:sz w:val="24"/>
          <w:szCs w:val="24"/>
          <w:lang w:val="en-GB"/>
        </w:rPr>
      </w:pPr>
      <w:r>
        <w:rPr>
          <w:sz w:val="24"/>
          <w:szCs w:val="24"/>
          <w:lang w:val="en-GB"/>
        </w:rPr>
        <w:t>Lohtia, R, Bello, D, C, &amp; Porter, C, E 2009, ‘Building trust in US-Japanese business relationships: mediating role of cultural sensitivity’, Industrial Marketing Management, vol. 38, no. 3, pp. 239-252.</w:t>
      </w:r>
    </w:p>
    <w:p>
      <w:pPr>
        <w:pStyle w:val="16"/>
        <w:ind w:left="0" w:leftChars="0" w:firstLine="0" w:firstLineChars="0"/>
        <w:jc w:val="left"/>
        <w:rPr>
          <w:rFonts w:asciiTheme="minorHAnsi" w:hAnsiTheme="minorHAnsi" w:eastAsiaTheme="minorHAnsi" w:cstheme="minorBidi"/>
          <w:sz w:val="24"/>
          <w:szCs w:val="24"/>
          <w:lang w:val="en-GB" w:eastAsia="en-US" w:bidi="ar-SA"/>
        </w:rPr>
      </w:pPr>
      <w:r>
        <w:rPr>
          <w:rFonts w:hint="eastAsia" w:asciiTheme="minorHAnsi" w:hAnsiTheme="minorHAnsi" w:eastAsiaTheme="minorHAnsi" w:cstheme="minorBidi"/>
          <w:sz w:val="24"/>
          <w:szCs w:val="24"/>
          <w:lang w:val="en-US" w:eastAsia="zh-CN" w:bidi="ar-SA"/>
        </w:rPr>
        <w:t>Zhi</w:t>
      </w:r>
      <w:r>
        <w:rPr>
          <w:rFonts w:hint="eastAsia" w:asciiTheme="minorHAnsi" w:hAnsiTheme="minorHAnsi" w:eastAsiaTheme="minorHAnsi" w:cstheme="minorBidi"/>
          <w:sz w:val="24"/>
          <w:szCs w:val="24"/>
          <w:lang w:val="en-GB" w:eastAsia="en-US" w:bidi="ar-SA"/>
        </w:rPr>
        <w:t>,</w:t>
      </w:r>
      <w:r>
        <w:rPr>
          <w:rFonts w:asciiTheme="minorHAnsi" w:hAnsiTheme="minorHAnsi" w:eastAsiaTheme="minorHAnsi" w:cstheme="minorBidi"/>
          <w:sz w:val="24"/>
          <w:szCs w:val="24"/>
          <w:lang w:val="en-GB" w:eastAsia="en-US" w:bidi="ar-SA"/>
        </w:rPr>
        <w:t xml:space="preserve"> W. (20</w:t>
      </w:r>
      <w:r>
        <w:rPr>
          <w:rFonts w:hint="eastAsia" w:asciiTheme="minorHAnsi" w:hAnsiTheme="minorHAnsi" w:eastAsiaTheme="minorHAnsi" w:cstheme="minorBidi"/>
          <w:sz w:val="24"/>
          <w:szCs w:val="24"/>
          <w:lang w:val="en-US" w:eastAsia="zh-CN" w:bidi="ar-SA"/>
        </w:rPr>
        <w:t>1</w:t>
      </w:r>
      <w:r>
        <w:rPr>
          <w:rFonts w:asciiTheme="minorHAnsi" w:hAnsiTheme="minorHAnsi" w:eastAsiaTheme="minorHAnsi" w:cstheme="minorBidi"/>
          <w:sz w:val="24"/>
          <w:szCs w:val="24"/>
          <w:lang w:val="en-GB" w:eastAsia="en-US" w:bidi="ar-SA"/>
        </w:rPr>
        <w:t xml:space="preserve">7). </w:t>
      </w:r>
      <w:r>
        <w:rPr>
          <w:rFonts w:hint="eastAsia" w:asciiTheme="minorHAnsi" w:hAnsiTheme="minorHAnsi" w:eastAsiaTheme="minorHAnsi" w:cstheme="minorBidi"/>
          <w:sz w:val="24"/>
          <w:szCs w:val="24"/>
          <w:lang w:val="en-GB" w:eastAsia="en-US" w:bidi="ar-SA"/>
        </w:rPr>
        <w:t>Analysis of factors affecting the company's entry into the international market</w:t>
      </w:r>
      <w:r>
        <w:rPr>
          <w:rFonts w:asciiTheme="minorHAnsi" w:hAnsiTheme="minorHAnsi" w:eastAsiaTheme="minorHAnsi" w:cstheme="minorBidi"/>
          <w:sz w:val="24"/>
          <w:szCs w:val="24"/>
          <w:lang w:val="en-GB" w:eastAsia="en-US" w:bidi="ar-SA"/>
        </w:rPr>
        <w:t>. Available from: </w:t>
      </w:r>
      <w:r>
        <w:rPr>
          <w:rFonts w:hint="eastAsia" w:asciiTheme="minorHAnsi" w:hAnsiTheme="minorHAnsi" w:eastAsiaTheme="minorHAnsi" w:cstheme="minorBidi"/>
          <w:sz w:val="24"/>
          <w:szCs w:val="24"/>
          <w:lang w:val="en-GB" w:eastAsia="en-US" w:bidi="ar-SA"/>
        </w:rPr>
        <w:fldChar w:fldCharType="begin"/>
      </w:r>
      <w:r>
        <w:rPr>
          <w:rFonts w:hint="eastAsia" w:asciiTheme="minorHAnsi" w:hAnsiTheme="minorHAnsi" w:eastAsiaTheme="minorHAnsi" w:cstheme="minorBidi"/>
          <w:sz w:val="24"/>
          <w:szCs w:val="24"/>
          <w:lang w:val="en-GB" w:eastAsia="en-US" w:bidi="ar-SA"/>
        </w:rPr>
        <w:instrText xml:space="preserve"> HYPERLINK "C:\\Users\\Mirage\\Desktop\\QQ浏览器.lnk" </w:instrText>
      </w:r>
      <w:r>
        <w:rPr>
          <w:rFonts w:hint="eastAsia" w:asciiTheme="minorHAnsi" w:hAnsiTheme="minorHAnsi" w:eastAsiaTheme="minorHAnsi" w:cstheme="minorBidi"/>
          <w:sz w:val="24"/>
          <w:szCs w:val="24"/>
          <w:lang w:val="en-GB" w:eastAsia="en-US" w:bidi="ar-SA"/>
        </w:rPr>
        <w:fldChar w:fldCharType="separate"/>
      </w:r>
      <w:r>
        <w:rPr>
          <w:rFonts w:hint="eastAsia" w:asciiTheme="minorHAnsi" w:hAnsiTheme="minorHAnsi" w:eastAsiaTheme="minorHAnsi" w:cstheme="minorBidi"/>
          <w:sz w:val="24"/>
          <w:szCs w:val="24"/>
          <w:lang w:val="en-GB" w:eastAsia="en-US" w:bidi="ar-SA"/>
        </w:rPr>
        <w:t>https://zhidao.baidu.com/question/48969274.html</w:t>
      </w:r>
      <w:r>
        <w:rPr>
          <w:rFonts w:hint="eastAsia" w:asciiTheme="minorHAnsi" w:hAnsiTheme="minorHAnsi" w:eastAsiaTheme="minorHAnsi" w:cstheme="minorBidi"/>
          <w:sz w:val="24"/>
          <w:szCs w:val="24"/>
          <w:lang w:val="en-GB" w:eastAsia="en-US" w:bidi="ar-SA"/>
        </w:rPr>
        <w:fldChar w:fldCharType="end"/>
      </w:r>
      <w:r>
        <w:rPr>
          <w:rFonts w:asciiTheme="minorHAnsi" w:hAnsiTheme="minorHAnsi" w:eastAsiaTheme="minorHAnsi" w:cstheme="minorBidi"/>
          <w:sz w:val="24"/>
          <w:szCs w:val="24"/>
          <w:lang w:val="en-GB" w:eastAsia="en-US" w:bidi="ar-SA"/>
        </w:rPr>
        <w:t xml:space="preserve"> [Accessed on </w:t>
      </w:r>
      <w:r>
        <w:rPr>
          <w:rFonts w:hint="eastAsia" w:asciiTheme="minorHAnsi" w:hAnsiTheme="minorHAnsi" w:eastAsiaTheme="minorHAnsi" w:cstheme="minorBidi"/>
          <w:sz w:val="24"/>
          <w:szCs w:val="24"/>
          <w:lang w:val="en-US" w:eastAsia="zh-CN" w:bidi="ar-SA"/>
        </w:rPr>
        <w:t>24</w:t>
      </w:r>
      <w:r>
        <w:rPr>
          <w:rFonts w:asciiTheme="minorHAnsi" w:hAnsiTheme="minorHAnsi" w:eastAsiaTheme="minorHAnsi" w:cstheme="minorBidi"/>
          <w:sz w:val="24"/>
          <w:szCs w:val="24"/>
          <w:lang w:val="en-GB" w:eastAsia="en-US" w:bidi="ar-SA"/>
        </w:rPr>
        <w:t>th October 201</w:t>
      </w:r>
      <w:r>
        <w:rPr>
          <w:rFonts w:hint="eastAsia" w:asciiTheme="minorHAnsi" w:hAnsiTheme="minorHAnsi" w:eastAsiaTheme="minorHAnsi" w:cstheme="minorBidi"/>
          <w:sz w:val="24"/>
          <w:szCs w:val="24"/>
          <w:lang w:val="en-US" w:eastAsia="zh-CN" w:bidi="ar-SA"/>
        </w:rPr>
        <w:t>9</w:t>
      </w:r>
      <w:r>
        <w:rPr>
          <w:rFonts w:asciiTheme="minorHAnsi" w:hAnsiTheme="minorHAnsi" w:eastAsiaTheme="minorHAnsi" w:cstheme="minorBidi"/>
          <w:sz w:val="24"/>
          <w:szCs w:val="24"/>
          <w:lang w:val="en-GB" w:eastAsia="en-US" w:bidi="ar-SA"/>
        </w:rPr>
        <w:t>].</w:t>
      </w:r>
    </w:p>
    <w:p>
      <w:pPr>
        <w:pStyle w:val="16"/>
        <w:ind w:left="0" w:leftChars="0" w:firstLine="0" w:firstLineChars="0"/>
        <w:jc w:val="left"/>
        <w:rPr>
          <w:rFonts w:asciiTheme="minorHAnsi" w:hAnsiTheme="minorHAnsi" w:eastAsiaTheme="minorHAnsi" w:cstheme="minorBidi"/>
          <w:sz w:val="24"/>
          <w:szCs w:val="24"/>
          <w:lang w:val="en-GB" w:eastAsia="en-US" w:bidi="ar-SA"/>
        </w:rPr>
      </w:pPr>
      <w:r>
        <w:rPr>
          <w:rFonts w:hint="eastAsia" w:asciiTheme="minorHAnsi" w:hAnsiTheme="minorHAnsi" w:eastAsiaTheme="minorHAnsi" w:cstheme="minorBidi"/>
          <w:sz w:val="24"/>
          <w:szCs w:val="24"/>
          <w:lang w:val="en-US" w:eastAsia="zh-CN" w:bidi="ar-SA"/>
        </w:rPr>
        <w:t>Zhi</w:t>
      </w:r>
      <w:r>
        <w:rPr>
          <w:rFonts w:hint="eastAsia" w:asciiTheme="minorHAnsi" w:hAnsiTheme="minorHAnsi" w:eastAsiaTheme="minorHAnsi" w:cstheme="minorBidi"/>
          <w:sz w:val="24"/>
          <w:szCs w:val="24"/>
          <w:lang w:val="en-GB" w:eastAsia="en-US" w:bidi="ar-SA"/>
        </w:rPr>
        <w:t>,</w:t>
      </w:r>
      <w:r>
        <w:rPr>
          <w:rFonts w:asciiTheme="minorHAnsi" w:hAnsiTheme="minorHAnsi" w:eastAsiaTheme="minorHAnsi" w:cstheme="minorBidi"/>
          <w:sz w:val="24"/>
          <w:szCs w:val="24"/>
          <w:lang w:val="en-GB" w:eastAsia="en-US" w:bidi="ar-SA"/>
        </w:rPr>
        <w:t xml:space="preserve"> W. (20</w:t>
      </w:r>
      <w:r>
        <w:rPr>
          <w:rFonts w:hint="eastAsia" w:asciiTheme="minorHAnsi" w:hAnsiTheme="minorHAnsi" w:eastAsiaTheme="minorHAnsi" w:cstheme="minorBidi"/>
          <w:sz w:val="24"/>
          <w:szCs w:val="24"/>
          <w:lang w:val="en-US" w:eastAsia="zh-CN" w:bidi="ar-SA"/>
        </w:rPr>
        <w:t>16</w:t>
      </w:r>
      <w:r>
        <w:rPr>
          <w:rFonts w:asciiTheme="minorHAnsi" w:hAnsiTheme="minorHAnsi" w:eastAsiaTheme="minorHAnsi" w:cstheme="minorBidi"/>
          <w:sz w:val="24"/>
          <w:szCs w:val="24"/>
          <w:lang w:val="en-GB" w:eastAsia="en-US" w:bidi="ar-SA"/>
        </w:rPr>
        <w:t xml:space="preserve">). </w:t>
      </w:r>
      <w:r>
        <w:rPr>
          <w:rFonts w:hint="eastAsia" w:asciiTheme="minorHAnsi" w:hAnsiTheme="minorHAnsi" w:eastAsiaTheme="minorHAnsi" w:cstheme="minorBidi"/>
          <w:sz w:val="24"/>
          <w:szCs w:val="24"/>
          <w:lang w:val="en-GB" w:eastAsia="en-US" w:bidi="ar-SA"/>
        </w:rPr>
        <w:t>What are the main factors that companies consider when deciding to enter the international market?</w:t>
      </w:r>
      <w:r>
        <w:rPr>
          <w:rFonts w:asciiTheme="minorHAnsi" w:hAnsiTheme="minorHAnsi" w:eastAsiaTheme="minorHAnsi" w:cstheme="minorBidi"/>
          <w:sz w:val="24"/>
          <w:szCs w:val="24"/>
          <w:lang w:val="en-GB" w:eastAsia="en-US" w:bidi="ar-SA"/>
        </w:rPr>
        <w:t>. Available from: </w:t>
      </w:r>
      <w:r>
        <w:rPr>
          <w:rFonts w:hint="eastAsia" w:asciiTheme="minorHAnsi" w:hAnsiTheme="minorHAnsi" w:eastAsiaTheme="minorHAnsi" w:cstheme="minorBidi"/>
          <w:sz w:val="24"/>
          <w:szCs w:val="24"/>
          <w:lang w:val="en-GB" w:eastAsia="en-US" w:bidi="ar-SA"/>
        </w:rPr>
        <w:fldChar w:fldCharType="begin"/>
      </w:r>
      <w:r>
        <w:rPr>
          <w:rFonts w:hint="eastAsia" w:asciiTheme="minorHAnsi" w:hAnsiTheme="minorHAnsi" w:eastAsiaTheme="minorHAnsi" w:cstheme="minorBidi"/>
          <w:sz w:val="24"/>
          <w:szCs w:val="24"/>
          <w:lang w:val="en-GB" w:eastAsia="en-US" w:bidi="ar-SA"/>
        </w:rPr>
        <w:instrText xml:space="preserve"> HYPERLINK "C:\\Users\\Mirage\\Desktop\\QQ浏览器.lnk" </w:instrText>
      </w:r>
      <w:r>
        <w:rPr>
          <w:rFonts w:hint="eastAsia" w:asciiTheme="minorHAnsi" w:hAnsiTheme="minorHAnsi" w:eastAsiaTheme="minorHAnsi" w:cstheme="minorBidi"/>
          <w:sz w:val="24"/>
          <w:szCs w:val="24"/>
          <w:lang w:val="en-GB" w:eastAsia="en-US" w:bidi="ar-SA"/>
        </w:rPr>
        <w:fldChar w:fldCharType="separate"/>
      </w:r>
      <w:r>
        <w:rPr>
          <w:rFonts w:hint="eastAsia" w:asciiTheme="minorHAnsi" w:hAnsiTheme="minorHAnsi" w:eastAsiaTheme="minorHAnsi" w:cstheme="minorBidi"/>
          <w:sz w:val="24"/>
          <w:szCs w:val="24"/>
          <w:lang w:val="en-GB" w:eastAsia="en-US" w:bidi="ar-SA"/>
        </w:rPr>
        <w:t>https://iask.sina.com.cn/b/10TsrEJYL6u9.html</w:t>
      </w:r>
      <w:r>
        <w:rPr>
          <w:rFonts w:hint="eastAsia" w:asciiTheme="minorHAnsi" w:hAnsiTheme="minorHAnsi" w:eastAsiaTheme="minorHAnsi" w:cstheme="minorBidi"/>
          <w:sz w:val="24"/>
          <w:szCs w:val="24"/>
          <w:lang w:val="en-GB" w:eastAsia="en-US" w:bidi="ar-SA"/>
        </w:rPr>
        <w:fldChar w:fldCharType="end"/>
      </w:r>
      <w:r>
        <w:rPr>
          <w:rFonts w:asciiTheme="minorHAnsi" w:hAnsiTheme="minorHAnsi" w:eastAsiaTheme="minorHAnsi" w:cstheme="minorBidi"/>
          <w:sz w:val="24"/>
          <w:szCs w:val="24"/>
          <w:lang w:val="en-GB" w:eastAsia="en-US" w:bidi="ar-SA"/>
        </w:rPr>
        <w:t xml:space="preserve"> [Accessed on </w:t>
      </w:r>
      <w:r>
        <w:rPr>
          <w:rFonts w:hint="eastAsia" w:asciiTheme="minorHAnsi" w:hAnsiTheme="minorHAnsi" w:eastAsiaTheme="minorHAnsi" w:cstheme="minorBidi"/>
          <w:sz w:val="24"/>
          <w:szCs w:val="24"/>
          <w:lang w:val="en-US" w:eastAsia="zh-CN" w:bidi="ar-SA"/>
        </w:rPr>
        <w:t>26</w:t>
      </w:r>
      <w:r>
        <w:rPr>
          <w:rFonts w:asciiTheme="minorHAnsi" w:hAnsiTheme="minorHAnsi" w:eastAsiaTheme="minorHAnsi" w:cstheme="minorBidi"/>
          <w:sz w:val="24"/>
          <w:szCs w:val="24"/>
          <w:lang w:val="en-GB" w:eastAsia="en-US" w:bidi="ar-SA"/>
        </w:rPr>
        <w:t>th October 201</w:t>
      </w:r>
      <w:r>
        <w:rPr>
          <w:rFonts w:hint="eastAsia" w:asciiTheme="minorHAnsi" w:hAnsiTheme="minorHAnsi" w:eastAsiaTheme="minorHAnsi" w:cstheme="minorBidi"/>
          <w:sz w:val="24"/>
          <w:szCs w:val="24"/>
          <w:lang w:val="en-US" w:eastAsia="zh-CN" w:bidi="ar-SA"/>
        </w:rPr>
        <w:t>9</w:t>
      </w:r>
      <w:r>
        <w:rPr>
          <w:rFonts w:asciiTheme="minorHAnsi" w:hAnsiTheme="minorHAnsi" w:eastAsiaTheme="minorHAnsi" w:cstheme="minorBidi"/>
          <w:sz w:val="24"/>
          <w:szCs w:val="24"/>
          <w:lang w:val="en-GB" w:eastAsia="en-US" w:bidi="ar-SA"/>
        </w:rPr>
        <w:t>].</w:t>
      </w:r>
    </w:p>
    <w:p>
      <w:pPr>
        <w:pStyle w:val="16"/>
        <w:ind w:left="0" w:leftChars="0" w:firstLine="0" w:firstLineChars="0"/>
        <w:jc w:val="left"/>
        <w:rPr>
          <w:rFonts w:asciiTheme="minorHAnsi" w:hAnsiTheme="minorHAnsi" w:eastAsiaTheme="minorHAnsi" w:cstheme="minorBidi"/>
          <w:sz w:val="24"/>
          <w:szCs w:val="24"/>
          <w:lang w:val="en-GB" w:eastAsia="en-US" w:bidi="ar-SA"/>
        </w:rPr>
      </w:pPr>
      <w:r>
        <w:rPr>
          <w:rFonts w:hint="eastAsia" w:asciiTheme="minorHAnsi" w:hAnsiTheme="minorHAnsi" w:eastAsiaTheme="minorHAnsi" w:cstheme="minorBidi"/>
          <w:sz w:val="24"/>
          <w:szCs w:val="24"/>
          <w:lang w:val="en-US" w:eastAsia="zh-CN" w:bidi="ar-SA"/>
        </w:rPr>
        <w:t>Zhi</w:t>
      </w:r>
      <w:r>
        <w:rPr>
          <w:rFonts w:hint="eastAsia" w:asciiTheme="minorHAnsi" w:hAnsiTheme="minorHAnsi" w:eastAsiaTheme="minorHAnsi" w:cstheme="minorBidi"/>
          <w:sz w:val="24"/>
          <w:szCs w:val="24"/>
          <w:lang w:val="en-GB" w:eastAsia="en-US" w:bidi="ar-SA"/>
        </w:rPr>
        <w:t>,</w:t>
      </w:r>
      <w:r>
        <w:rPr>
          <w:rFonts w:asciiTheme="minorHAnsi" w:hAnsiTheme="minorHAnsi" w:eastAsiaTheme="minorHAnsi" w:cstheme="minorBidi"/>
          <w:sz w:val="24"/>
          <w:szCs w:val="24"/>
          <w:lang w:val="en-GB" w:eastAsia="en-US" w:bidi="ar-SA"/>
        </w:rPr>
        <w:t xml:space="preserve"> W. (20</w:t>
      </w:r>
      <w:r>
        <w:rPr>
          <w:rFonts w:hint="eastAsia" w:asciiTheme="minorHAnsi" w:hAnsiTheme="minorHAnsi" w:eastAsiaTheme="minorHAnsi" w:cstheme="minorBidi"/>
          <w:sz w:val="24"/>
          <w:szCs w:val="24"/>
          <w:lang w:val="en-US" w:eastAsia="zh-CN" w:bidi="ar-SA"/>
        </w:rPr>
        <w:t>18</w:t>
      </w:r>
      <w:r>
        <w:rPr>
          <w:rFonts w:asciiTheme="minorHAnsi" w:hAnsiTheme="minorHAnsi" w:eastAsiaTheme="minorHAnsi" w:cstheme="minorBidi"/>
          <w:sz w:val="24"/>
          <w:szCs w:val="24"/>
          <w:lang w:val="en-GB" w:eastAsia="en-US" w:bidi="ar-SA"/>
        </w:rPr>
        <w:t xml:space="preserve">). </w:t>
      </w:r>
      <w:r>
        <w:rPr>
          <w:rFonts w:hint="eastAsia" w:asciiTheme="minorHAnsi" w:hAnsiTheme="minorHAnsi" w:eastAsiaTheme="minorHAnsi" w:cstheme="minorBidi"/>
          <w:sz w:val="24"/>
          <w:szCs w:val="24"/>
          <w:lang w:val="en-GB" w:eastAsia="en-US" w:bidi="ar-SA"/>
        </w:rPr>
        <w:t>Factors affecting the way companies enter the international market</w:t>
      </w:r>
      <w:r>
        <w:rPr>
          <w:rFonts w:asciiTheme="minorHAnsi" w:hAnsiTheme="minorHAnsi" w:eastAsiaTheme="minorHAnsi" w:cstheme="minorBidi"/>
          <w:sz w:val="24"/>
          <w:szCs w:val="24"/>
          <w:lang w:val="en-GB" w:eastAsia="en-US" w:bidi="ar-SA"/>
        </w:rPr>
        <w:t>. Available from:</w:t>
      </w:r>
      <w:r>
        <w:rPr>
          <w:rFonts w:hint="eastAsia" w:asciiTheme="minorHAnsi" w:hAnsiTheme="minorHAnsi" w:eastAsiaTheme="minorHAnsi" w:cstheme="minorBidi"/>
          <w:sz w:val="24"/>
          <w:szCs w:val="24"/>
          <w:lang w:val="en-GB" w:eastAsia="en-US" w:bidi="ar-SA"/>
        </w:rPr>
        <w:t> </w:t>
      </w:r>
      <w:r>
        <w:rPr>
          <w:rFonts w:hint="eastAsia" w:asciiTheme="minorHAnsi" w:hAnsiTheme="minorHAnsi" w:eastAsiaTheme="minorHAnsi" w:cstheme="minorBidi"/>
          <w:sz w:val="24"/>
          <w:szCs w:val="24"/>
          <w:lang w:val="en-GB" w:eastAsia="en-US" w:bidi="ar-SA"/>
        </w:rPr>
        <w:fldChar w:fldCharType="begin"/>
      </w:r>
      <w:r>
        <w:rPr>
          <w:rFonts w:hint="eastAsia" w:asciiTheme="minorHAnsi" w:hAnsiTheme="minorHAnsi" w:eastAsiaTheme="minorHAnsi" w:cstheme="minorBidi"/>
          <w:sz w:val="24"/>
          <w:szCs w:val="24"/>
          <w:lang w:val="en-GB" w:eastAsia="en-US" w:bidi="ar-SA"/>
        </w:rPr>
        <w:instrText xml:space="preserve"> HYPERLINK "C:\\Users\\Mirage\\Desktop\\QQ浏览器.lnk" </w:instrText>
      </w:r>
      <w:r>
        <w:rPr>
          <w:rFonts w:hint="eastAsia" w:asciiTheme="minorHAnsi" w:hAnsiTheme="minorHAnsi" w:eastAsiaTheme="minorHAnsi" w:cstheme="minorBidi"/>
          <w:sz w:val="24"/>
          <w:szCs w:val="24"/>
          <w:lang w:val="en-GB" w:eastAsia="en-US" w:bidi="ar-SA"/>
        </w:rPr>
        <w:fldChar w:fldCharType="separate"/>
      </w:r>
      <w:r>
        <w:rPr>
          <w:rFonts w:hint="eastAsia" w:asciiTheme="minorHAnsi" w:hAnsiTheme="minorHAnsi" w:eastAsiaTheme="minorHAnsi" w:cstheme="minorBidi"/>
          <w:sz w:val="24"/>
          <w:szCs w:val="24"/>
          <w:lang w:val="en-GB" w:eastAsia="en-US" w:bidi="ar-SA"/>
        </w:rPr>
        <w:t>http://blog.sina.com.cn/s/blog_7d6668220100rp2k.html</w:t>
      </w:r>
      <w:r>
        <w:rPr>
          <w:rFonts w:hint="eastAsia" w:asciiTheme="minorHAnsi" w:hAnsiTheme="minorHAnsi" w:eastAsiaTheme="minorHAnsi" w:cstheme="minorBidi"/>
          <w:sz w:val="24"/>
          <w:szCs w:val="24"/>
          <w:lang w:val="en-GB" w:eastAsia="en-US" w:bidi="ar-SA"/>
        </w:rPr>
        <w:fldChar w:fldCharType="end"/>
      </w:r>
      <w:r>
        <w:rPr>
          <w:rFonts w:asciiTheme="minorHAnsi" w:hAnsiTheme="minorHAnsi" w:eastAsiaTheme="minorHAnsi" w:cstheme="minorBidi"/>
          <w:sz w:val="24"/>
          <w:szCs w:val="24"/>
          <w:lang w:val="en-GB" w:eastAsia="en-US" w:bidi="ar-SA"/>
        </w:rPr>
        <w:t xml:space="preserve"> [Accessed on </w:t>
      </w:r>
      <w:r>
        <w:rPr>
          <w:rFonts w:hint="eastAsia" w:asciiTheme="minorHAnsi" w:hAnsiTheme="minorHAnsi" w:eastAsiaTheme="minorHAnsi" w:cstheme="minorBidi"/>
          <w:sz w:val="24"/>
          <w:szCs w:val="24"/>
          <w:lang w:val="en-US" w:eastAsia="zh-CN" w:bidi="ar-SA"/>
        </w:rPr>
        <w:t>17</w:t>
      </w:r>
      <w:r>
        <w:rPr>
          <w:rFonts w:asciiTheme="minorHAnsi" w:hAnsiTheme="minorHAnsi" w:eastAsiaTheme="minorHAnsi" w:cstheme="minorBidi"/>
          <w:sz w:val="24"/>
          <w:szCs w:val="24"/>
          <w:lang w:val="en-GB" w:eastAsia="en-US" w:bidi="ar-SA"/>
        </w:rPr>
        <w:t>th October 201</w:t>
      </w:r>
      <w:r>
        <w:rPr>
          <w:rFonts w:hint="eastAsia" w:asciiTheme="minorHAnsi" w:hAnsiTheme="minorHAnsi" w:eastAsiaTheme="minorHAnsi" w:cstheme="minorBidi"/>
          <w:sz w:val="24"/>
          <w:szCs w:val="24"/>
          <w:lang w:val="en-US" w:eastAsia="zh-CN" w:bidi="ar-SA"/>
        </w:rPr>
        <w:t>9</w:t>
      </w:r>
      <w:r>
        <w:rPr>
          <w:rFonts w:asciiTheme="minorHAnsi" w:hAnsiTheme="minorHAnsi" w:eastAsiaTheme="minorHAnsi" w:cstheme="minorBidi"/>
          <w:sz w:val="24"/>
          <w:szCs w:val="24"/>
          <w:lang w:val="en-GB" w:eastAsia="en-US" w:bidi="ar-SA"/>
        </w:rPr>
        <w:t>].</w:t>
      </w:r>
    </w:p>
    <w:p/>
    <w:sectPr>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Helvetica">
    <w:altName w:val="Arial"/>
    <w:panose1 w:val="020B0604020202020204"/>
    <w:charset w:val="00"/>
    <w:family w:val="swiss"/>
    <w:pitch w:val="default"/>
    <w:sig w:usb0="00000000" w:usb1="00000000"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323421"/>
    <w:rsid w:val="00324CCD"/>
    <w:rsid w:val="004A11F6"/>
    <w:rsid w:val="004D519C"/>
    <w:rsid w:val="007D1947"/>
    <w:rsid w:val="00A12B58"/>
    <w:rsid w:val="00AA2A91"/>
    <w:rsid w:val="00CA09F3"/>
    <w:rsid w:val="00D854A5"/>
    <w:rsid w:val="08467547"/>
    <w:rsid w:val="238B0E21"/>
    <w:rsid w:val="35BD00C6"/>
    <w:rsid w:val="43D053C1"/>
    <w:rsid w:val="62D576DF"/>
    <w:rsid w:val="668F6D69"/>
    <w:rsid w:val="68391524"/>
    <w:rsid w:val="70F05E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unhideWhenUsed/>
    <w:qFormat/>
    <w:uiPriority w:val="9"/>
    <w:pPr>
      <w:keepNext/>
      <w:keepLines/>
      <w:spacing w:before="260" w:after="260" w:line="416" w:lineRule="auto"/>
      <w:outlineLvl w:val="2"/>
    </w:pPr>
    <w:rPr>
      <w:b/>
      <w:bCs/>
      <w:sz w:val="32"/>
      <w:szCs w:val="32"/>
    </w:rPr>
  </w:style>
  <w:style w:type="character" w:default="1" w:styleId="8">
    <w:name w:val="Default Paragraph Font"/>
    <w:semiHidden/>
    <w:unhideWhenUsed/>
    <w:qFormat/>
    <w:uiPriority w:val="1"/>
  </w:style>
  <w:style w:type="table" w:default="1" w:styleId="10">
    <w:name w:val="Normal Table"/>
    <w:semiHidden/>
    <w:unhideWhenUsed/>
    <w:uiPriority w:val="99"/>
    <w:tblPr>
      <w:tblLayout w:type="fixed"/>
      <w:tblCellMar>
        <w:top w:w="0" w:type="dxa"/>
        <w:left w:w="108" w:type="dxa"/>
        <w:bottom w:w="0" w:type="dxa"/>
        <w:right w:w="108" w:type="dxa"/>
      </w:tblCellMar>
    </w:tblPr>
  </w:style>
  <w:style w:type="paragraph" w:styleId="5">
    <w:name w:val="toc 1"/>
    <w:basedOn w:val="1"/>
    <w:next w:val="1"/>
    <w:unhideWhenUsed/>
    <w:uiPriority w:val="39"/>
    <w:pPr>
      <w:spacing w:after="100"/>
    </w:pPr>
  </w:style>
  <w:style w:type="paragraph" w:styleId="6">
    <w:name w:val="toc 2"/>
    <w:basedOn w:val="1"/>
    <w:next w:val="1"/>
    <w:unhideWhenUsed/>
    <w:qFormat/>
    <w:uiPriority w:val="39"/>
    <w:pPr>
      <w:spacing w:after="100"/>
      <w:ind w:left="220"/>
    </w:pPr>
  </w:style>
  <w:style w:type="paragraph" w:styleId="7">
    <w:name w:val="toc 3"/>
    <w:basedOn w:val="1"/>
    <w:next w:val="1"/>
    <w:semiHidden/>
    <w:unhideWhenUsed/>
    <w:uiPriority w:val="39"/>
    <w:pPr>
      <w:ind w:left="840" w:leftChars="400"/>
    </w:pPr>
  </w:style>
  <w:style w:type="character" w:styleId="9">
    <w:name w:val="Hyperlink"/>
    <w:basedOn w:val="8"/>
    <w:unhideWhenUsed/>
    <w:qFormat/>
    <w:uiPriority w:val="99"/>
    <w:rPr>
      <w:color w:val="0563C1" w:themeColor="hyperlink"/>
      <w:u w:val="single"/>
      <w14:textFill>
        <w14:solidFill>
          <w14:schemeClr w14:val="hlink"/>
        </w14:solidFill>
      </w14:textFill>
    </w:rPr>
  </w:style>
  <w:style w:type="paragraph" w:styleId="11">
    <w:name w:val="No Spacing"/>
    <w:link w:val="12"/>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2">
    <w:name w:val="No Spacing Char"/>
    <w:basedOn w:val="8"/>
    <w:link w:val="11"/>
    <w:qFormat/>
    <w:uiPriority w:val="1"/>
    <w:rPr>
      <w:rFonts w:eastAsiaTheme="minorEastAsia"/>
      <w:lang w:val="en-US"/>
    </w:rPr>
  </w:style>
  <w:style w:type="character" w:customStyle="1" w:styleId="13">
    <w:name w:val="Heading 1 Char"/>
    <w:basedOn w:val="8"/>
    <w:link w:val="2"/>
    <w:qFormat/>
    <w:uiPriority w:val="9"/>
    <w:rPr>
      <w:rFonts w:asciiTheme="majorHAnsi" w:hAnsiTheme="majorHAnsi" w:eastAsiaTheme="majorEastAsia" w:cstheme="majorBidi"/>
      <w:color w:val="2E75B6" w:themeColor="accent1" w:themeShade="BF"/>
      <w:sz w:val="32"/>
      <w:szCs w:val="32"/>
    </w:rPr>
  </w:style>
  <w:style w:type="paragraph" w:customStyle="1" w:styleId="14">
    <w:name w:val="TOC Heading"/>
    <w:basedOn w:val="2"/>
    <w:next w:val="1"/>
    <w:unhideWhenUsed/>
    <w:qFormat/>
    <w:uiPriority w:val="39"/>
    <w:pPr>
      <w:outlineLvl w:val="9"/>
    </w:pPr>
    <w:rPr>
      <w:lang w:val="en-US"/>
    </w:rPr>
  </w:style>
  <w:style w:type="character" w:customStyle="1" w:styleId="15">
    <w:name w:val="Heading 2 Char"/>
    <w:basedOn w:val="8"/>
    <w:link w:val="3"/>
    <w:qFormat/>
    <w:uiPriority w:val="9"/>
    <w:rPr>
      <w:rFonts w:asciiTheme="majorHAnsi" w:hAnsiTheme="majorHAnsi" w:eastAsiaTheme="majorEastAsia" w:cstheme="majorBidi"/>
      <w:color w:val="2E75B6" w:themeColor="accent1" w:themeShade="BF"/>
      <w:sz w:val="26"/>
      <w:szCs w:val="26"/>
    </w:rPr>
  </w:style>
  <w:style w:type="paragraph" w:styleId="16">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glossaryDocument" Target="glossary/document.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C05A49BEB3EC4F328035A1BA055AE16D"/>
        <w:style w:val=""/>
        <w:category>
          <w:name w:val="General"/>
          <w:gallery w:val="placeholder"/>
        </w:category>
        <w:types>
          <w:type w:val="bbPlcHdr"/>
        </w:types>
        <w:behaviors>
          <w:behavior w:val="content"/>
        </w:behaviors>
        <w:description w:val=""/>
        <w:guid w:val="{2F9EDAE1-96CC-45E7-9EE6-6186D7545074}"/>
      </w:docPartPr>
      <w:docPartBody>
        <w:p>
          <w:pPr>
            <w:pStyle w:val="5"/>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7E66AB"/>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uiPriority="1" w:name="Default Paragraph Font"/>
    <w:lsdException w:qFormat="1"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semiHidden/>
    <w:unhideWhenUsed/>
    <w:uiPriority w:val="1"/>
  </w:style>
  <w:style w:type="table" w:default="1" w:styleId="3">
    <w:name w:val="Normal Table"/>
    <w:semiHidden/>
    <w:unhideWhenUsed/>
    <w:qFormat/>
    <w:uiPriority w:val="99"/>
    <w:tblPr>
      <w:tblLayout w:type="fixed"/>
      <w:tblCellMar>
        <w:top w:w="0" w:type="dxa"/>
        <w:left w:w="108" w:type="dxa"/>
        <w:bottom w:w="0" w:type="dxa"/>
        <w:right w:w="108" w:type="dxa"/>
      </w:tblCellMar>
    </w:tblPr>
  </w:style>
  <w:style w:type="paragraph" w:customStyle="1" w:styleId="4">
    <w:name w:val="DCBCB7F12FD741FCBCDF0AE63ED3B4BF"/>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3BD1B9C-0F26-4974-9750-51CA3D8B3374}">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7</Pages>
  <Words>138</Words>
  <Characters>792</Characters>
  <Lines>6</Lines>
  <Paragraphs>1</Paragraphs>
  <TotalTime>1</TotalTime>
  <ScaleCrop>false</ScaleCrop>
  <LinksUpToDate>false</LinksUpToDate>
  <CharactersWithSpaces>929</CharactersWithSpaces>
  <Application>WPS Office_11.2.0.8335_F1E327BC-269C-435d-A152-05C5408002CA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2018-12-11T10:19:00Z</dcterms:created>
  <dc:creator>Marie Pitson</dc:creator>
  <cp:lastModifiedBy>高健恺</cp:lastModifiedBy>
  <dcterms:modified xsi:type="dcterms:W3CDTF">2019-11-07T16:34:55Z</dcterms:modified>
  <dc:subject>-----made by the group four{Jiankai Gao (1904304), Jing Wu (1900279), Chuchengsangmu Xina (1904305), Zixu Liu(1801052)}</dc:subject>
  <dc:title>Research and Suggestions for Jewelry Enterprises to Enter the International Market </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1033-11.2.0.8335</vt:lpwstr>
  </property>
</Properties>
</file>