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2703A" w14:textId="77777777" w:rsidR="00001A19" w:rsidRPr="00390141" w:rsidRDefault="00000000">
      <w:pPr>
        <w:spacing w:line="360" w:lineRule="auto"/>
        <w:rPr>
          <w:rFonts w:ascii="Arial" w:eastAsia="Arial" w:hAnsi="Arial" w:cs="Arial"/>
          <w:sz w:val="32"/>
          <w:szCs w:val="32"/>
        </w:rPr>
      </w:pPr>
      <w:bookmarkStart w:id="0" w:name="_oujll19nyecf" w:colFirst="0" w:colLast="0"/>
      <w:bookmarkEnd w:id="0"/>
      <w:r w:rsidRPr="00390141">
        <w:rPr>
          <w:rFonts w:ascii="Arial" w:hAnsi="Arial" w:cs="Arial"/>
          <w:noProof/>
          <w:sz w:val="32"/>
          <w:szCs w:val="32"/>
        </w:rPr>
        <w:drawing>
          <wp:anchor distT="0" distB="0" distL="114300" distR="114300" simplePos="0" relativeHeight="251658240" behindDoc="0" locked="0" layoutInCell="1" hidden="0" allowOverlap="1" wp14:anchorId="2B24D273" wp14:editId="3EAA5547">
            <wp:simplePos x="0" y="0"/>
            <wp:positionH relativeFrom="column">
              <wp:posOffset>1</wp:posOffset>
            </wp:positionH>
            <wp:positionV relativeFrom="paragraph">
              <wp:posOffset>292100</wp:posOffset>
            </wp:positionV>
            <wp:extent cx="1809750" cy="723900"/>
            <wp:effectExtent l="0" t="0" r="0" b="0"/>
            <wp:wrapSquare wrapText="bothSides" distT="0" distB="0" distL="114300" distR="114300"/>
            <wp:docPr id="7" name="image3.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3.png" descr="Discover University of Wales Trinity Saint David"/>
                    <pic:cNvPicPr preferRelativeResize="0"/>
                  </pic:nvPicPr>
                  <pic:blipFill>
                    <a:blip r:embed="rId6"/>
                    <a:srcRect/>
                    <a:stretch>
                      <a:fillRect/>
                    </a:stretch>
                  </pic:blipFill>
                  <pic:spPr>
                    <a:xfrm>
                      <a:off x="0" y="0"/>
                      <a:ext cx="1809750" cy="723900"/>
                    </a:xfrm>
                    <a:prstGeom prst="rect">
                      <a:avLst/>
                    </a:prstGeom>
                    <a:ln/>
                  </pic:spPr>
                </pic:pic>
              </a:graphicData>
            </a:graphic>
          </wp:anchor>
        </w:drawing>
      </w:r>
    </w:p>
    <w:p w14:paraId="080857AF" w14:textId="77777777" w:rsidR="00001A19" w:rsidRPr="00390141" w:rsidRDefault="00001A19">
      <w:pPr>
        <w:spacing w:line="360" w:lineRule="auto"/>
        <w:rPr>
          <w:rFonts w:ascii="Arial" w:eastAsia="Arial" w:hAnsi="Arial" w:cs="Arial"/>
          <w:sz w:val="32"/>
          <w:szCs w:val="32"/>
        </w:rPr>
      </w:pPr>
    </w:p>
    <w:p w14:paraId="43189CBB" w14:textId="77777777" w:rsidR="00001A19" w:rsidRPr="00390141" w:rsidRDefault="00001A19">
      <w:pPr>
        <w:spacing w:line="360" w:lineRule="auto"/>
        <w:rPr>
          <w:rFonts w:ascii="Arial" w:eastAsia="Arial" w:hAnsi="Arial" w:cs="Arial"/>
          <w:sz w:val="32"/>
          <w:szCs w:val="32"/>
        </w:rPr>
      </w:pPr>
    </w:p>
    <w:p w14:paraId="224188B4" w14:textId="77777777" w:rsidR="00001A19" w:rsidRPr="00390141" w:rsidRDefault="00001A19">
      <w:pPr>
        <w:spacing w:line="360" w:lineRule="auto"/>
        <w:rPr>
          <w:rFonts w:ascii="Arial" w:eastAsia="Arial" w:hAnsi="Arial" w:cs="Arial"/>
          <w:sz w:val="32"/>
          <w:szCs w:val="32"/>
        </w:rPr>
      </w:pPr>
    </w:p>
    <w:p w14:paraId="472621E7" w14:textId="77777777" w:rsidR="00001A19" w:rsidRPr="00390141" w:rsidRDefault="00001A19">
      <w:pPr>
        <w:tabs>
          <w:tab w:val="left" w:pos="6540"/>
        </w:tabs>
        <w:spacing w:line="360" w:lineRule="auto"/>
        <w:rPr>
          <w:rFonts w:ascii="Arial" w:eastAsia="Arial" w:hAnsi="Arial" w:cs="Arial"/>
          <w:sz w:val="32"/>
          <w:szCs w:val="32"/>
        </w:rPr>
      </w:pPr>
    </w:p>
    <w:p w14:paraId="1CEF83D2" w14:textId="77777777" w:rsidR="00001A19" w:rsidRPr="00390141" w:rsidRDefault="00000000">
      <w:pPr>
        <w:tabs>
          <w:tab w:val="left" w:pos="6540"/>
        </w:tabs>
        <w:spacing w:line="360" w:lineRule="auto"/>
        <w:rPr>
          <w:rFonts w:ascii="Arial" w:eastAsia="Arial" w:hAnsi="Arial" w:cs="Arial"/>
          <w:sz w:val="32"/>
          <w:szCs w:val="32"/>
        </w:rPr>
      </w:pPr>
      <w:bookmarkStart w:id="1" w:name="_tlpisphpy4wu" w:colFirst="0" w:colLast="0"/>
      <w:bookmarkEnd w:id="1"/>
      <w:r w:rsidRPr="00390141">
        <w:rPr>
          <w:rFonts w:ascii="Arial" w:eastAsia="Arial" w:hAnsi="Arial" w:cs="Arial"/>
          <w:b/>
          <w:bCs/>
          <w:sz w:val="32"/>
          <w:szCs w:val="32"/>
        </w:rPr>
        <w:t>Student name</w:t>
      </w:r>
      <w:r w:rsidRPr="00390141">
        <w:rPr>
          <w:rFonts w:ascii="Arial" w:eastAsia="Arial" w:hAnsi="Arial" w:cs="Arial"/>
          <w:sz w:val="32"/>
          <w:szCs w:val="32"/>
        </w:rPr>
        <w:t xml:space="preserve">: Elisha Hakizumwami </w:t>
      </w:r>
    </w:p>
    <w:p w14:paraId="2BA0CE28" w14:textId="77777777" w:rsidR="00001A19" w:rsidRPr="00390141" w:rsidRDefault="00000000">
      <w:pPr>
        <w:tabs>
          <w:tab w:val="left" w:pos="6540"/>
        </w:tabs>
        <w:spacing w:line="360" w:lineRule="auto"/>
        <w:rPr>
          <w:rFonts w:ascii="Arial" w:eastAsia="Arial" w:hAnsi="Arial" w:cs="Arial"/>
          <w:sz w:val="32"/>
          <w:szCs w:val="32"/>
        </w:rPr>
      </w:pPr>
      <w:r w:rsidRPr="00390141">
        <w:rPr>
          <w:rFonts w:ascii="Arial" w:eastAsia="Arial" w:hAnsi="Arial" w:cs="Arial"/>
          <w:b/>
          <w:bCs/>
          <w:sz w:val="32"/>
          <w:szCs w:val="32"/>
        </w:rPr>
        <w:t>Student ID</w:t>
      </w:r>
      <w:r w:rsidRPr="00390141">
        <w:rPr>
          <w:rFonts w:ascii="Arial" w:eastAsia="Arial" w:hAnsi="Arial" w:cs="Arial"/>
          <w:sz w:val="32"/>
          <w:szCs w:val="32"/>
        </w:rPr>
        <w:t>: 2438662</w:t>
      </w:r>
    </w:p>
    <w:p w14:paraId="53119737" w14:textId="77777777" w:rsidR="00001A19" w:rsidRPr="00390141" w:rsidRDefault="00000000">
      <w:pPr>
        <w:tabs>
          <w:tab w:val="left" w:pos="6540"/>
        </w:tabs>
        <w:spacing w:line="360" w:lineRule="auto"/>
        <w:rPr>
          <w:rFonts w:ascii="Arial" w:eastAsia="Arial" w:hAnsi="Arial" w:cs="Arial"/>
          <w:sz w:val="32"/>
          <w:szCs w:val="32"/>
        </w:rPr>
      </w:pPr>
      <w:r w:rsidRPr="00390141">
        <w:rPr>
          <w:rFonts w:ascii="Arial" w:eastAsia="Arial" w:hAnsi="Arial" w:cs="Arial"/>
          <w:b/>
          <w:bCs/>
          <w:sz w:val="32"/>
          <w:szCs w:val="32"/>
        </w:rPr>
        <w:t>Module name</w:t>
      </w:r>
      <w:r w:rsidRPr="00390141">
        <w:rPr>
          <w:rFonts w:ascii="Arial" w:eastAsia="Arial" w:hAnsi="Arial" w:cs="Arial"/>
          <w:sz w:val="32"/>
          <w:szCs w:val="32"/>
        </w:rPr>
        <w:t xml:space="preserve">: Introduction to health and social care </w:t>
      </w:r>
    </w:p>
    <w:p w14:paraId="64E30C25" w14:textId="77777777" w:rsidR="00001A19" w:rsidRPr="00390141" w:rsidRDefault="00000000">
      <w:pPr>
        <w:tabs>
          <w:tab w:val="left" w:pos="6540"/>
        </w:tabs>
        <w:spacing w:line="360" w:lineRule="auto"/>
        <w:rPr>
          <w:rFonts w:ascii="Arial" w:eastAsia="Arial" w:hAnsi="Arial" w:cs="Arial"/>
          <w:sz w:val="32"/>
          <w:szCs w:val="32"/>
        </w:rPr>
      </w:pPr>
      <w:r w:rsidRPr="00390141">
        <w:rPr>
          <w:rFonts w:ascii="Arial" w:eastAsia="Arial" w:hAnsi="Arial" w:cs="Arial"/>
          <w:b/>
          <w:bCs/>
          <w:sz w:val="32"/>
          <w:szCs w:val="32"/>
        </w:rPr>
        <w:t>Module code</w:t>
      </w:r>
      <w:r w:rsidRPr="00390141">
        <w:rPr>
          <w:rFonts w:ascii="Arial" w:eastAsia="Arial" w:hAnsi="Arial" w:cs="Arial"/>
          <w:sz w:val="32"/>
          <w:szCs w:val="32"/>
        </w:rPr>
        <w:t>: LCHS4003_LONDON</w:t>
      </w:r>
    </w:p>
    <w:p w14:paraId="7555C83F" w14:textId="4ACAFEC1" w:rsidR="00001A19" w:rsidRPr="00390141" w:rsidRDefault="00000000">
      <w:pPr>
        <w:rPr>
          <w:rFonts w:ascii="Arial" w:hAnsi="Arial" w:cs="Arial"/>
          <w:sz w:val="32"/>
          <w:szCs w:val="32"/>
        </w:rPr>
        <w:sectPr w:rsidR="00001A19" w:rsidRPr="00390141">
          <w:headerReference w:type="default" r:id="rId7"/>
          <w:footerReference w:type="default" r:id="rId8"/>
          <w:pgSz w:w="11906" w:h="16838"/>
          <w:pgMar w:top="1440" w:right="1440" w:bottom="1440" w:left="1440" w:header="708" w:footer="708" w:gutter="0"/>
          <w:pgNumType w:start="1"/>
          <w:cols w:space="720"/>
        </w:sectPr>
      </w:pPr>
      <w:r w:rsidRPr="00390141">
        <w:rPr>
          <w:rFonts w:ascii="Arial" w:eastAsia="Arial" w:hAnsi="Arial" w:cs="Arial"/>
          <w:b/>
          <w:bCs/>
          <w:sz w:val="32"/>
          <w:szCs w:val="32"/>
        </w:rPr>
        <w:t>Lecturer name</w:t>
      </w:r>
      <w:r w:rsidR="00ED5277" w:rsidRPr="00390141">
        <w:rPr>
          <w:rFonts w:ascii="Arial" w:eastAsia="Arial" w:hAnsi="Arial" w:cs="Arial"/>
          <w:b/>
          <w:bCs/>
          <w:sz w:val="32"/>
          <w:szCs w:val="32"/>
        </w:rPr>
        <w:t>:</w:t>
      </w:r>
      <w:r w:rsidRPr="00390141">
        <w:rPr>
          <w:rFonts w:ascii="Arial" w:hAnsi="Arial" w:cs="Arial"/>
          <w:sz w:val="32"/>
          <w:szCs w:val="32"/>
        </w:rPr>
        <w:t xml:space="preserve"> </w:t>
      </w:r>
      <w:r w:rsidR="00EC1E0B">
        <w:rPr>
          <w:rFonts w:ascii="Arial" w:hAnsi="Arial" w:cs="Arial"/>
          <w:sz w:val="32"/>
          <w:szCs w:val="32"/>
        </w:rPr>
        <w:t>M</w:t>
      </w:r>
      <w:r w:rsidR="00EC1E0B" w:rsidRPr="00EC1E0B">
        <w:rPr>
          <w:rFonts w:ascii="Arial" w:hAnsi="Arial" w:cs="Arial"/>
          <w:sz w:val="32"/>
          <w:szCs w:val="32"/>
        </w:rPr>
        <w:t>uhammed Aliyu</w:t>
      </w:r>
    </w:p>
    <w:p w14:paraId="6FF12C46" w14:textId="1DAB6050" w:rsidR="0026598A" w:rsidRPr="0026598A" w:rsidRDefault="0026598A" w:rsidP="00390141">
      <w:pPr>
        <w:rPr>
          <w:rFonts w:ascii="Arial" w:hAnsi="Arial" w:cs="Arial"/>
          <w:b/>
          <w:bCs/>
          <w:sz w:val="28"/>
          <w:szCs w:val="28"/>
        </w:rPr>
      </w:pPr>
      <w:r w:rsidRPr="0026598A">
        <w:rPr>
          <w:rFonts w:ascii="Arial" w:hAnsi="Arial" w:cs="Arial"/>
          <w:b/>
          <w:bCs/>
          <w:sz w:val="28"/>
          <w:szCs w:val="28"/>
        </w:rPr>
        <w:lastRenderedPageBreak/>
        <w:t xml:space="preserve">The case study of </w:t>
      </w:r>
      <w:proofErr w:type="spellStart"/>
      <w:r w:rsidRPr="0026598A">
        <w:rPr>
          <w:rFonts w:ascii="Arial" w:hAnsi="Arial" w:cs="Arial"/>
          <w:b/>
          <w:bCs/>
          <w:sz w:val="28"/>
          <w:szCs w:val="28"/>
        </w:rPr>
        <w:t>Mrs</w:t>
      </w:r>
      <w:proofErr w:type="spellEnd"/>
      <w:r w:rsidRPr="0026598A">
        <w:rPr>
          <w:rFonts w:ascii="Arial" w:hAnsi="Arial" w:cs="Arial"/>
          <w:b/>
          <w:bCs/>
          <w:sz w:val="28"/>
          <w:szCs w:val="28"/>
        </w:rPr>
        <w:t xml:space="preserve"> </w:t>
      </w:r>
      <w:r w:rsidR="006578F4">
        <w:rPr>
          <w:rFonts w:ascii="Arial" w:hAnsi="Arial" w:cs="Arial"/>
          <w:b/>
          <w:bCs/>
          <w:sz w:val="28"/>
          <w:szCs w:val="28"/>
        </w:rPr>
        <w:t>Mann</w:t>
      </w:r>
    </w:p>
    <w:p w14:paraId="3588E839" w14:textId="77777777" w:rsidR="0026598A" w:rsidRDefault="0026598A" w:rsidP="00390141">
      <w:pPr>
        <w:rPr>
          <w:rFonts w:ascii="Arial" w:hAnsi="Arial" w:cs="Arial"/>
          <w:b/>
          <w:bCs/>
        </w:rPr>
      </w:pPr>
    </w:p>
    <w:p w14:paraId="7A055EFF" w14:textId="123C7CB5" w:rsidR="00390141" w:rsidRPr="00390141" w:rsidRDefault="00390141" w:rsidP="00390141">
      <w:pPr>
        <w:rPr>
          <w:rFonts w:ascii="Arial" w:hAnsi="Arial" w:cs="Arial"/>
          <w:b/>
          <w:bCs/>
        </w:rPr>
      </w:pPr>
      <w:r w:rsidRPr="00390141">
        <w:rPr>
          <w:rFonts w:ascii="Arial" w:hAnsi="Arial" w:cs="Arial"/>
          <w:b/>
          <w:bCs/>
        </w:rPr>
        <w:t>Introduction</w:t>
      </w:r>
    </w:p>
    <w:p w14:paraId="4DCB97E1" w14:textId="77777777" w:rsidR="00390141" w:rsidRPr="00390141" w:rsidRDefault="00390141" w:rsidP="00390141">
      <w:pPr>
        <w:rPr>
          <w:rFonts w:ascii="Arial" w:hAnsi="Arial" w:cs="Arial"/>
        </w:rPr>
      </w:pPr>
      <w:r w:rsidRPr="00390141">
        <w:rPr>
          <w:rFonts w:ascii="Arial" w:hAnsi="Arial" w:cs="Arial"/>
        </w:rPr>
        <w:t>The case study of Mrs. Mann, following hip replacement surgery, reviews the core components of high-quality person-centered care within the community setting like effective communication, correct administrative methods, and collaborative multi-agency works.</w:t>
      </w:r>
    </w:p>
    <w:p w14:paraId="4729D1DD" w14:textId="607A4590" w:rsidR="00390141" w:rsidRPr="00390141" w:rsidRDefault="00390141" w:rsidP="00390141">
      <w:pPr>
        <w:rPr>
          <w:rFonts w:ascii="Arial" w:hAnsi="Arial" w:cs="Arial"/>
        </w:rPr>
      </w:pPr>
      <w:r w:rsidRPr="00390141">
        <w:rPr>
          <w:rFonts w:ascii="Arial" w:hAnsi="Arial" w:cs="Arial"/>
        </w:rPr>
        <w:t xml:space="preserve"> The loneliness and non-fluency to English language emphasize the need for the care team to adapt effective communication strategies to work with family, general practitioner, community physiotherapist, and domiciliary care workers. </w:t>
      </w:r>
    </w:p>
    <w:p w14:paraId="5F7C7992" w14:textId="592AF809" w:rsidR="00390141" w:rsidRPr="00390141" w:rsidRDefault="00390141" w:rsidP="00390141">
      <w:pPr>
        <w:rPr>
          <w:rFonts w:ascii="Arial" w:hAnsi="Arial" w:cs="Arial"/>
        </w:rPr>
      </w:pPr>
      <w:r w:rsidRPr="00390141">
        <w:rPr>
          <w:rFonts w:ascii="Arial" w:hAnsi="Arial" w:cs="Arial"/>
        </w:rPr>
        <w:t xml:space="preserve">The case study also highlights the potential risks related to defective communication process, which is already indicated in delayed medication adjustment. The case study analyzes the importance of effective communication and associated legal and ethical responsibilities while providing services to families and communities. It also focuses on effective administrative practices, while handling personal information, also the role accurate records in safe care delivery. </w:t>
      </w:r>
    </w:p>
    <w:p w14:paraId="3B1A4A8F" w14:textId="09D585D9" w:rsidR="00390141" w:rsidRPr="00390141" w:rsidRDefault="00390141" w:rsidP="00390141">
      <w:pPr>
        <w:rPr>
          <w:rFonts w:ascii="Arial" w:hAnsi="Arial" w:cs="Arial"/>
        </w:rPr>
      </w:pPr>
      <w:r w:rsidRPr="00390141">
        <w:rPr>
          <w:rFonts w:ascii="Arial" w:hAnsi="Arial" w:cs="Arial"/>
        </w:rPr>
        <w:t>The case study also discusses teamwork between different professionals, responsible for Mann’s care, and their implications for a safe person-centered care.</w:t>
      </w:r>
    </w:p>
    <w:p w14:paraId="7AAB1568" w14:textId="77777777" w:rsidR="00390141" w:rsidRPr="00390141" w:rsidRDefault="00390141" w:rsidP="00390141">
      <w:pPr>
        <w:rPr>
          <w:rFonts w:ascii="Arial" w:hAnsi="Arial" w:cs="Arial"/>
          <w:b/>
          <w:bCs/>
        </w:rPr>
      </w:pPr>
      <w:r w:rsidRPr="00390141">
        <w:rPr>
          <w:rFonts w:ascii="Arial" w:hAnsi="Arial" w:cs="Arial"/>
          <w:b/>
          <w:bCs/>
        </w:rPr>
        <w:t>The importance of effective communication in Mrs. Mann’s care</w:t>
      </w:r>
    </w:p>
    <w:p w14:paraId="05E21832" w14:textId="77777777" w:rsidR="00390141" w:rsidRPr="00390141" w:rsidRDefault="00390141" w:rsidP="00390141">
      <w:pPr>
        <w:rPr>
          <w:rFonts w:ascii="Arial" w:hAnsi="Arial" w:cs="Arial"/>
        </w:rPr>
      </w:pPr>
      <w:r w:rsidRPr="00390141">
        <w:rPr>
          <w:rFonts w:ascii="Arial" w:hAnsi="Arial" w:cs="Arial"/>
        </w:rPr>
        <w:t xml:space="preserve">Effective communication is the basic step of safety and quality patient centered care. In Mrs. Mann’s case, her language barrier is the priority issue of concern by the care team. </w:t>
      </w:r>
    </w:p>
    <w:p w14:paraId="6F58AD69" w14:textId="77777777" w:rsidR="00390141" w:rsidRPr="00390141" w:rsidRDefault="00390141" w:rsidP="00390141">
      <w:pPr>
        <w:rPr>
          <w:rFonts w:ascii="Arial" w:hAnsi="Arial" w:cs="Arial"/>
        </w:rPr>
      </w:pPr>
      <w:r w:rsidRPr="00390141">
        <w:rPr>
          <w:rFonts w:ascii="Arial" w:hAnsi="Arial" w:cs="Arial"/>
        </w:rPr>
        <w:t xml:space="preserve">The services rendered for users should be delivered with fairness, respect, equality, and dignity, irrespective of culture, age and disability (Stenhouse, 2021). </w:t>
      </w:r>
    </w:p>
    <w:p w14:paraId="66B68FB5" w14:textId="168E622A" w:rsidR="00390141" w:rsidRPr="00390141" w:rsidRDefault="00390141" w:rsidP="00390141">
      <w:pPr>
        <w:rPr>
          <w:rFonts w:ascii="Arial" w:hAnsi="Arial" w:cs="Arial"/>
        </w:rPr>
      </w:pPr>
      <w:r w:rsidRPr="00390141">
        <w:rPr>
          <w:rFonts w:ascii="Arial" w:hAnsi="Arial" w:cs="Arial"/>
        </w:rPr>
        <w:t xml:space="preserve">To overcome the language barrier, the practical application is to seek the help of professional interpreters, to whom the care team can rely (Jaeger et al., 2019). Professional interpreting services ensure accuracy and confidentiality with respect to Mrs. Mann’s autonomy. The SOLER communication method, which says, sit squarely, lean forward the person, eye contact with relax mood can foster communication (Nandini, 2020). The application of SOLER while communicating encourages non-verbal engagement, build trust and empathy. </w:t>
      </w:r>
    </w:p>
    <w:p w14:paraId="10611F3C" w14:textId="1E420B41" w:rsidR="00390141" w:rsidRPr="00390141" w:rsidRDefault="00390141" w:rsidP="00390141">
      <w:pPr>
        <w:rPr>
          <w:rFonts w:ascii="Arial" w:hAnsi="Arial" w:cs="Arial"/>
        </w:rPr>
      </w:pPr>
      <w:r w:rsidRPr="00390141">
        <w:rPr>
          <w:rFonts w:ascii="Arial" w:hAnsi="Arial" w:cs="Arial"/>
        </w:rPr>
        <w:t xml:space="preserve">This sort of non-verbal communication helps to reduce anxiety and stress among clients. </w:t>
      </w:r>
    </w:p>
    <w:p w14:paraId="78F7FC5D" w14:textId="65D7AE2E" w:rsidR="00390141" w:rsidRPr="00390141" w:rsidRDefault="00390141" w:rsidP="00390141">
      <w:pPr>
        <w:rPr>
          <w:rFonts w:ascii="Arial" w:hAnsi="Arial" w:cs="Arial"/>
        </w:rPr>
      </w:pPr>
      <w:r w:rsidRPr="00390141">
        <w:rPr>
          <w:rFonts w:ascii="Arial" w:hAnsi="Arial" w:cs="Arial"/>
        </w:rPr>
        <w:t>Cultural barrier is another aspect, for that the care givers must develop cultural competence, by respecting the person’s cultural beliefs and values (Nandini, 2020). Culturally related communication always helps to promote a trusty relationship between the client and professionals. During the communication with Mrs. Mann, consider her wishes, especially while giving personal care and consider the inclusion of her daughter in discussions if she demands.</w:t>
      </w:r>
    </w:p>
    <w:p w14:paraId="770BCA76" w14:textId="77777777" w:rsidR="00390141" w:rsidRPr="00390141" w:rsidRDefault="00390141" w:rsidP="00390141">
      <w:pPr>
        <w:rPr>
          <w:rFonts w:ascii="Arial" w:hAnsi="Arial" w:cs="Arial"/>
        </w:rPr>
      </w:pPr>
      <w:r w:rsidRPr="00390141">
        <w:rPr>
          <w:rFonts w:ascii="Arial" w:hAnsi="Arial" w:cs="Arial"/>
        </w:rPr>
        <w:t xml:space="preserve">The gap occurred in the medication adjustment of Mrs. Mann, clearly shows the communication defect. Miscommunication between the GP, care agency and visiting staff may lead to medication errors and ultimately affect the health of Mrs. Mann. </w:t>
      </w:r>
    </w:p>
    <w:p w14:paraId="5C996522" w14:textId="7BCCB369" w:rsidR="00390141" w:rsidRPr="00390141" w:rsidRDefault="00390141" w:rsidP="00390141">
      <w:pPr>
        <w:rPr>
          <w:rFonts w:ascii="Arial" w:hAnsi="Arial" w:cs="Arial"/>
        </w:rPr>
      </w:pPr>
      <w:r w:rsidRPr="00390141">
        <w:rPr>
          <w:rFonts w:ascii="Arial" w:hAnsi="Arial" w:cs="Arial"/>
        </w:rPr>
        <w:t xml:space="preserve">Clear verbal and written communications like daily notes, handover data, communication details with other professionals, must be recorded accurately and promptly to avoid errors </w:t>
      </w:r>
      <w:proofErr w:type="spellStart"/>
      <w:r w:rsidRPr="00390141">
        <w:rPr>
          <w:rFonts w:ascii="Arial" w:hAnsi="Arial" w:cs="Arial"/>
        </w:rPr>
        <w:t>Korkoryi</w:t>
      </w:r>
      <w:proofErr w:type="spellEnd"/>
      <w:r w:rsidRPr="00390141">
        <w:rPr>
          <w:rFonts w:ascii="Arial" w:hAnsi="Arial" w:cs="Arial"/>
        </w:rPr>
        <w:t xml:space="preserve"> Jr, 2024). The structured formats like SBAR (Situation, Background, Assessment, </w:t>
      </w:r>
      <w:r w:rsidRPr="00390141">
        <w:rPr>
          <w:rFonts w:ascii="Arial" w:hAnsi="Arial" w:cs="Arial"/>
        </w:rPr>
        <w:lastRenderedPageBreak/>
        <w:t>Recommendations) are very helpful to convey information and its clarity reduces bias and promotes decision making (Noh &amp; Park, 2022).</w:t>
      </w:r>
    </w:p>
    <w:p w14:paraId="1A7C8BD8" w14:textId="1F0E1F1F" w:rsidR="00390141" w:rsidRPr="00390141" w:rsidRDefault="00390141" w:rsidP="00390141">
      <w:pPr>
        <w:rPr>
          <w:rFonts w:ascii="Arial" w:hAnsi="Arial" w:cs="Arial"/>
        </w:rPr>
      </w:pPr>
      <w:r w:rsidRPr="00390141">
        <w:rPr>
          <w:rFonts w:ascii="Arial" w:hAnsi="Arial" w:cs="Arial"/>
        </w:rPr>
        <w:t xml:space="preserve">The involvement of family members in patient care is very important to enhance trust and clarity of the services rendered. The involvement of Mann’s daughter in supporting and caring for her mother plays a vital role in safe health services. </w:t>
      </w:r>
      <w:proofErr w:type="spellStart"/>
      <w:r w:rsidRPr="00390141">
        <w:rPr>
          <w:rFonts w:ascii="Arial" w:hAnsi="Arial" w:cs="Arial"/>
        </w:rPr>
        <w:t>Mrs</w:t>
      </w:r>
      <w:proofErr w:type="spellEnd"/>
      <w:r w:rsidRPr="00390141">
        <w:rPr>
          <w:rFonts w:ascii="Arial" w:hAnsi="Arial" w:cs="Arial"/>
        </w:rPr>
        <w:t xml:space="preserve"> Mann and family should always feel a space for open communication with assurance to their privacy and rights. Hence, an effective communication in Mann’ care need an understanding of language, adaptation and respect to the culture, exchange of information correctly and in time, and coordination of inter professional team members. </w:t>
      </w:r>
    </w:p>
    <w:p w14:paraId="03C9B22E" w14:textId="2B9BFE6E" w:rsidR="00390141" w:rsidRPr="00390141" w:rsidRDefault="00390141" w:rsidP="00390141">
      <w:pPr>
        <w:rPr>
          <w:rFonts w:ascii="Arial" w:hAnsi="Arial" w:cs="Arial"/>
        </w:rPr>
      </w:pPr>
      <w:r w:rsidRPr="00390141">
        <w:rPr>
          <w:rFonts w:ascii="Arial" w:hAnsi="Arial" w:cs="Arial"/>
        </w:rPr>
        <w:t>By following effective communication tools, the health care system could deliver safe, high-quality care for people by following the ethical and legal principles errors (Noh &amp; Park, 2022).</w:t>
      </w:r>
    </w:p>
    <w:p w14:paraId="6BC5469B" w14:textId="77777777" w:rsidR="00390141" w:rsidRPr="00390141" w:rsidRDefault="00390141" w:rsidP="00390141">
      <w:pPr>
        <w:rPr>
          <w:rFonts w:ascii="Arial" w:hAnsi="Arial" w:cs="Arial"/>
          <w:b/>
          <w:bCs/>
        </w:rPr>
      </w:pPr>
      <w:r w:rsidRPr="00390141">
        <w:rPr>
          <w:rFonts w:ascii="Arial" w:hAnsi="Arial" w:cs="Arial"/>
          <w:b/>
          <w:bCs/>
        </w:rPr>
        <w:t>Importance of Good Administrative skills within professional practice related Mann’s care</w:t>
      </w:r>
    </w:p>
    <w:p w14:paraId="40417E6D" w14:textId="77777777" w:rsidR="00390141" w:rsidRPr="00390141" w:rsidRDefault="00390141" w:rsidP="00390141">
      <w:pPr>
        <w:rPr>
          <w:rFonts w:ascii="Arial" w:hAnsi="Arial" w:cs="Arial"/>
        </w:rPr>
      </w:pPr>
      <w:r w:rsidRPr="00390141">
        <w:rPr>
          <w:rFonts w:ascii="Arial" w:hAnsi="Arial" w:cs="Arial"/>
        </w:rPr>
        <w:t xml:space="preserve">Efficient administrative policies and practices always deliver safe, and continuous quality services to people, family and community (Care Quality Commission, 2023). </w:t>
      </w:r>
    </w:p>
    <w:p w14:paraId="0A32957C" w14:textId="4BD18754" w:rsidR="00390141" w:rsidRPr="00390141" w:rsidRDefault="00390141" w:rsidP="00390141">
      <w:pPr>
        <w:rPr>
          <w:rFonts w:ascii="Arial" w:hAnsi="Arial" w:cs="Arial"/>
        </w:rPr>
      </w:pPr>
      <w:r w:rsidRPr="00390141">
        <w:rPr>
          <w:rFonts w:ascii="Arial" w:hAnsi="Arial" w:cs="Arial"/>
        </w:rPr>
        <w:t>In case of Mrs. Mann, the three important factors, inconsistent documentation, missed communication, and delayed medication adjustment might have led to serious impacts. The situation shows poor administrative skills, which are core professional competencies for safe health care practice.</w:t>
      </w:r>
    </w:p>
    <w:p w14:paraId="126F1DA9" w14:textId="77777777" w:rsidR="00390141" w:rsidRPr="00390141" w:rsidRDefault="00390141" w:rsidP="00390141">
      <w:pPr>
        <w:rPr>
          <w:rFonts w:ascii="Arial" w:hAnsi="Arial" w:cs="Arial"/>
        </w:rPr>
      </w:pPr>
      <w:r w:rsidRPr="00390141">
        <w:rPr>
          <w:rFonts w:ascii="Arial" w:hAnsi="Arial" w:cs="Arial"/>
        </w:rPr>
        <w:t xml:space="preserve">Record keeping is not at all an administrative skill, rather it is also a legal responsibility for an organization to function effectively. The health records and nurses’ notes are considered as important category of data which should be prepared and protected for specific purposes. Incomplete or inaccurate data brings out serious risk for both the person and health care professionals (Krey et al., 2024). Lack of consistency in Mrs. Mann’s documentation led to confusion about her medication status and missing records led to delay in making timely decision by GP. Inadequate documentation or record keeping is a major contributing factor for adverse reactions, especially for geriatric clients with complex needs (Noh &amp; Park, 2022). For Mrs. Mann, maintaining clear, and structured care plans is necessary to avoid medical errors and to promote rehabilitation goals. </w:t>
      </w:r>
    </w:p>
    <w:p w14:paraId="519D5C2F" w14:textId="43759F5A" w:rsidR="00390141" w:rsidRPr="00390141" w:rsidRDefault="00390141" w:rsidP="00390141">
      <w:pPr>
        <w:rPr>
          <w:rFonts w:ascii="Arial" w:hAnsi="Arial" w:cs="Arial"/>
        </w:rPr>
      </w:pPr>
      <w:r w:rsidRPr="00390141">
        <w:rPr>
          <w:rFonts w:ascii="Arial" w:hAnsi="Arial" w:cs="Arial"/>
        </w:rPr>
        <w:t>Care workers should follow consistency in maintaining person-related data to improve the response time across multi agency teams.</w:t>
      </w:r>
    </w:p>
    <w:p w14:paraId="36C87678" w14:textId="77777777" w:rsidR="00390141" w:rsidRPr="00390141" w:rsidRDefault="00390141" w:rsidP="00390141">
      <w:pPr>
        <w:rPr>
          <w:rFonts w:ascii="Arial" w:hAnsi="Arial" w:cs="Arial"/>
        </w:rPr>
      </w:pPr>
      <w:r w:rsidRPr="00390141">
        <w:rPr>
          <w:rFonts w:ascii="Arial" w:hAnsi="Arial" w:cs="Arial"/>
        </w:rPr>
        <w:t>Information sharing is an important administrative skill for safe care.</w:t>
      </w:r>
    </w:p>
    <w:p w14:paraId="1B75E80C" w14:textId="38019247" w:rsidR="00390141" w:rsidRPr="00390141" w:rsidRDefault="00390141" w:rsidP="00390141">
      <w:pPr>
        <w:rPr>
          <w:rFonts w:ascii="Arial" w:hAnsi="Arial" w:cs="Arial"/>
        </w:rPr>
      </w:pPr>
      <w:r w:rsidRPr="00390141">
        <w:rPr>
          <w:rFonts w:ascii="Arial" w:hAnsi="Arial" w:cs="Arial"/>
        </w:rPr>
        <w:t xml:space="preserve">The information should be shared securely and proportionately with those who want to know. </w:t>
      </w:r>
    </w:p>
    <w:p w14:paraId="7B7B4EF9" w14:textId="77777777" w:rsidR="00390141" w:rsidRPr="00390141" w:rsidRDefault="00390141" w:rsidP="00390141">
      <w:pPr>
        <w:rPr>
          <w:rFonts w:ascii="Arial" w:hAnsi="Arial" w:cs="Arial"/>
        </w:rPr>
      </w:pPr>
      <w:r w:rsidRPr="00390141">
        <w:rPr>
          <w:rFonts w:ascii="Arial" w:hAnsi="Arial" w:cs="Arial"/>
        </w:rPr>
        <w:t>In the case of Mrs. Mann, delayed access to the GP, physiotherapist and care workers regarding the status lead to medication errors. In health care system, the information should be conveyed or exchanged through digital system or written forms to continue the quality services (Wager et al., 2021).</w:t>
      </w:r>
    </w:p>
    <w:p w14:paraId="1CE66260" w14:textId="2F556E75" w:rsidR="00390141" w:rsidRPr="00390141" w:rsidRDefault="00390141" w:rsidP="00390141">
      <w:pPr>
        <w:rPr>
          <w:rFonts w:ascii="Arial" w:hAnsi="Arial" w:cs="Arial"/>
        </w:rPr>
      </w:pPr>
      <w:r w:rsidRPr="00390141">
        <w:rPr>
          <w:rFonts w:ascii="Arial" w:hAnsi="Arial" w:cs="Arial"/>
        </w:rPr>
        <w:t xml:space="preserve"> Care givers must be educated and trained to do documentation procedures on time and ensure that the documentation is completed in each shift to avoid the risk of omissions.</w:t>
      </w:r>
    </w:p>
    <w:p w14:paraId="4D58B48C" w14:textId="6C4C54C0" w:rsidR="00390141" w:rsidRPr="00390141" w:rsidRDefault="00390141" w:rsidP="00390141">
      <w:pPr>
        <w:rPr>
          <w:rFonts w:ascii="Arial" w:hAnsi="Arial" w:cs="Arial"/>
        </w:rPr>
      </w:pPr>
      <w:r w:rsidRPr="00390141">
        <w:rPr>
          <w:rFonts w:ascii="Arial" w:hAnsi="Arial" w:cs="Arial"/>
        </w:rPr>
        <w:t xml:space="preserve">Mrs. Mann’s care plan should be aligned with the rehabilitation plan by making proper management appointments. The information should be conveyed to physiotherapist, and the administrative team should make sure that the information is updated with care team promptly. If there is any change in the medication plan, that should be communicated to all </w:t>
      </w:r>
      <w:r w:rsidRPr="00390141">
        <w:rPr>
          <w:rFonts w:ascii="Arial" w:hAnsi="Arial" w:cs="Arial"/>
        </w:rPr>
        <w:lastRenderedPageBreak/>
        <w:t>team members of the delivery care, and the dose of medication should be double checked before administration and should be neatly charted.</w:t>
      </w:r>
    </w:p>
    <w:p w14:paraId="4C2017A7" w14:textId="77777777" w:rsidR="00390141" w:rsidRPr="00390141" w:rsidRDefault="00390141" w:rsidP="00390141">
      <w:pPr>
        <w:rPr>
          <w:rFonts w:ascii="Arial" w:hAnsi="Arial" w:cs="Arial"/>
        </w:rPr>
      </w:pPr>
      <w:r w:rsidRPr="00390141">
        <w:rPr>
          <w:rFonts w:ascii="Arial" w:hAnsi="Arial" w:cs="Arial"/>
        </w:rPr>
        <w:t xml:space="preserve">The care team need high quality administrative skills in addition to care services for safeguarding Mrs. Mann’s health and well-being. </w:t>
      </w:r>
    </w:p>
    <w:p w14:paraId="5F133720" w14:textId="1553D507" w:rsidR="00390141" w:rsidRPr="00390141" w:rsidRDefault="00390141" w:rsidP="00390141">
      <w:pPr>
        <w:rPr>
          <w:rFonts w:ascii="Arial" w:hAnsi="Arial" w:cs="Arial"/>
        </w:rPr>
      </w:pPr>
      <w:r w:rsidRPr="00390141">
        <w:rPr>
          <w:rFonts w:ascii="Arial" w:hAnsi="Arial" w:cs="Arial"/>
        </w:rPr>
        <w:t>An efficient record keeping system, reduces risks, maintains professional communication and avoids medical errors Wager et al., 2021).</w:t>
      </w:r>
    </w:p>
    <w:p w14:paraId="7F369F69" w14:textId="77777777" w:rsidR="00390141" w:rsidRPr="00390141" w:rsidRDefault="00390141" w:rsidP="00390141">
      <w:pPr>
        <w:rPr>
          <w:rFonts w:ascii="Arial" w:hAnsi="Arial" w:cs="Arial"/>
          <w:b/>
          <w:bCs/>
        </w:rPr>
      </w:pPr>
      <w:r w:rsidRPr="00390141">
        <w:rPr>
          <w:rFonts w:ascii="Arial" w:hAnsi="Arial" w:cs="Arial"/>
          <w:b/>
          <w:bCs/>
        </w:rPr>
        <w:t>Importance of collaborative working with other professionals in case of Mrs. Mann</w:t>
      </w:r>
    </w:p>
    <w:p w14:paraId="232C2DB6" w14:textId="77777777" w:rsidR="00390141" w:rsidRPr="00390141" w:rsidRDefault="00390141" w:rsidP="00390141">
      <w:pPr>
        <w:rPr>
          <w:rFonts w:ascii="Arial" w:hAnsi="Arial" w:cs="Arial"/>
        </w:rPr>
      </w:pPr>
      <w:r w:rsidRPr="00390141">
        <w:rPr>
          <w:rFonts w:ascii="Arial" w:hAnsi="Arial" w:cs="Arial"/>
        </w:rPr>
        <w:t>While meeting the complex needs of person, collaborative teamwork is essential, especially for geriatric people. Even though multiple professionals are involved in Mrs. Mann’s treatment plan, the lack of coordination and communication led to delayed medication management. The integrative work of GP, Physiotherapist, domiciliary care staff and her daughter is important in managing the case of Mrs. Mann, which reduces errors and promote safe recovery. The team members should have a shared knowledge of information which meet the person’s needs, goals and preferences (Marriott</w:t>
      </w:r>
      <w:r w:rsidRPr="00390141">
        <w:rPr>
          <w:rFonts w:ascii="Cambria Math" w:hAnsi="Cambria Math" w:cs="Cambria Math"/>
        </w:rPr>
        <w:t>‐</w:t>
      </w:r>
      <w:r w:rsidRPr="00390141">
        <w:rPr>
          <w:rFonts w:ascii="Arial" w:hAnsi="Arial" w:cs="Arial"/>
        </w:rPr>
        <w:t>Statham et al., 2023).</w:t>
      </w:r>
    </w:p>
    <w:p w14:paraId="17590DE0" w14:textId="33CE2066" w:rsidR="00390141" w:rsidRPr="00390141" w:rsidRDefault="00390141" w:rsidP="00390141">
      <w:pPr>
        <w:rPr>
          <w:rFonts w:ascii="Arial" w:hAnsi="Arial" w:cs="Arial"/>
        </w:rPr>
      </w:pPr>
      <w:r w:rsidRPr="00390141">
        <w:rPr>
          <w:rFonts w:ascii="Arial" w:hAnsi="Arial" w:cs="Arial"/>
        </w:rPr>
        <w:t xml:space="preserve"> All the members of the management team of Mrs. Mann should be aware of her rehabilitation progress, pain management needs, mobility restrictions, medication schedule, cultural and language preferences. The supportive tool for effective collaboration is SBAR, which includes situation summary, background, assessment and recommendations (Noh &amp; Park, 2022).  The application of the tool helps with easy understanding and decision making. Inter professional meetings either face to face or online help to evaluate the progress of the treatment, discuss any changes or modification required, and plan for new implementations. Another effective method is adoption of a case management model, where one team leader, of all the professionals involved in person care, acts as a primary point of contact. </w:t>
      </w:r>
    </w:p>
    <w:p w14:paraId="6D8E88B6" w14:textId="18BF6FAF" w:rsidR="00390141" w:rsidRPr="00390141" w:rsidRDefault="00390141" w:rsidP="00390141">
      <w:pPr>
        <w:rPr>
          <w:rFonts w:ascii="Arial" w:hAnsi="Arial" w:cs="Arial"/>
        </w:rPr>
      </w:pPr>
      <w:r w:rsidRPr="00390141">
        <w:rPr>
          <w:rFonts w:ascii="Arial" w:hAnsi="Arial" w:cs="Arial"/>
        </w:rPr>
        <w:t>In case of Mrs. Mann, GP may reassess the need for any changes in the pain management regime, and the care giver identifies the changes in her behavior or mobility, and the physiotherapist identifies her level of tolerance while moving etc. And the error could have managed if one of the team members had taken up the responsibility as a leader. The challenges that usually arise for collaborative teamwork include, the different organizational culture, communication gaps, unclear roles and workload pressure (</w:t>
      </w:r>
      <w:proofErr w:type="spellStart"/>
      <w:r w:rsidRPr="00390141">
        <w:rPr>
          <w:rFonts w:ascii="Arial" w:hAnsi="Arial" w:cs="Arial"/>
        </w:rPr>
        <w:t>Alrehaili</w:t>
      </w:r>
      <w:proofErr w:type="spellEnd"/>
      <w:r w:rsidRPr="00390141">
        <w:rPr>
          <w:rFonts w:ascii="Arial" w:hAnsi="Arial" w:cs="Arial"/>
        </w:rPr>
        <w:t xml:space="preserve"> et al., 2024). Strategies to overcome these barriers are clear definition of roles and responsibilities, agreed communication methods, proper sharing of information and accurate documentation. In case of Mrs. Mann use of interpreters to overcome the language, barrier is essential to support the person and family with consistent communication. Hence collaborative work always provides a safe person-centered quality care which is also useful to support the person for speedy recovery and independence.</w:t>
      </w:r>
    </w:p>
    <w:p w14:paraId="101F9AD7" w14:textId="77777777" w:rsidR="00390141" w:rsidRPr="00390141" w:rsidRDefault="00390141" w:rsidP="00390141">
      <w:pPr>
        <w:rPr>
          <w:rFonts w:ascii="Arial" w:hAnsi="Arial" w:cs="Arial"/>
          <w:b/>
          <w:bCs/>
        </w:rPr>
      </w:pPr>
      <w:r w:rsidRPr="00390141">
        <w:rPr>
          <w:rFonts w:ascii="Arial" w:hAnsi="Arial" w:cs="Arial"/>
          <w:b/>
          <w:bCs/>
        </w:rPr>
        <w:t>Conclusion</w:t>
      </w:r>
    </w:p>
    <w:p w14:paraId="5934B028" w14:textId="0C4F358A" w:rsidR="00390141" w:rsidRPr="00390141" w:rsidRDefault="00390141" w:rsidP="00390141">
      <w:pPr>
        <w:rPr>
          <w:rFonts w:ascii="Arial" w:hAnsi="Arial" w:cs="Arial"/>
        </w:rPr>
      </w:pPr>
      <w:r w:rsidRPr="00390141">
        <w:rPr>
          <w:rFonts w:ascii="Arial" w:hAnsi="Arial" w:cs="Arial"/>
        </w:rPr>
        <w:t>Mrs. Mann’s case shows the importance of collaborative and effective communication, administrative practices, and other related care related activities to deliver a safe, quality service to people who seek health support. Addition of digital documentation, and culturally sensitive approaches, bring out complete personal satisfaction and help to make the team work easier and effective. High quality administrative skills help to reduce risks, and security and confidentiality of person data. Proper documentation process is mandatory to prevent medical errors and prevent inter professional conflicts. Hence an effective collaboration between GP, physiotherapist, care workers and family members highlights the significance of a cohesive care plan.</w:t>
      </w:r>
    </w:p>
    <w:p w14:paraId="5556C838" w14:textId="77777777" w:rsidR="00390141" w:rsidRPr="00390141" w:rsidRDefault="00390141" w:rsidP="00390141">
      <w:pPr>
        <w:rPr>
          <w:rFonts w:ascii="Arial" w:hAnsi="Arial" w:cs="Arial"/>
          <w:b/>
          <w:bCs/>
        </w:rPr>
      </w:pPr>
      <w:r w:rsidRPr="00390141">
        <w:rPr>
          <w:rFonts w:ascii="Arial" w:hAnsi="Arial" w:cs="Arial"/>
          <w:b/>
          <w:bCs/>
        </w:rPr>
        <w:lastRenderedPageBreak/>
        <w:t>References</w:t>
      </w:r>
    </w:p>
    <w:p w14:paraId="7D4BF670" w14:textId="77777777" w:rsidR="00390141" w:rsidRPr="00390141" w:rsidRDefault="00390141" w:rsidP="00390141">
      <w:pPr>
        <w:rPr>
          <w:rFonts w:ascii="Arial" w:hAnsi="Arial" w:cs="Arial"/>
        </w:rPr>
      </w:pPr>
      <w:proofErr w:type="spellStart"/>
      <w:r w:rsidRPr="00390141">
        <w:rPr>
          <w:rFonts w:ascii="Arial" w:hAnsi="Arial" w:cs="Arial"/>
        </w:rPr>
        <w:t>Alrehaili</w:t>
      </w:r>
      <w:proofErr w:type="spellEnd"/>
      <w:r w:rsidRPr="00390141">
        <w:rPr>
          <w:rFonts w:ascii="Arial" w:hAnsi="Arial" w:cs="Arial"/>
        </w:rPr>
        <w:t xml:space="preserve">, M. M., </w:t>
      </w:r>
      <w:proofErr w:type="spellStart"/>
      <w:r w:rsidRPr="00390141">
        <w:rPr>
          <w:rFonts w:ascii="Arial" w:hAnsi="Arial" w:cs="Arial"/>
        </w:rPr>
        <w:t>Alrashedi</w:t>
      </w:r>
      <w:proofErr w:type="spellEnd"/>
      <w:r w:rsidRPr="00390141">
        <w:rPr>
          <w:rFonts w:ascii="Arial" w:hAnsi="Arial" w:cs="Arial"/>
        </w:rPr>
        <w:t xml:space="preserve">, G. S. O., </w:t>
      </w:r>
      <w:proofErr w:type="spellStart"/>
      <w:r w:rsidRPr="00390141">
        <w:rPr>
          <w:rFonts w:ascii="Arial" w:hAnsi="Arial" w:cs="Arial"/>
        </w:rPr>
        <w:t>Alshammary</w:t>
      </w:r>
      <w:proofErr w:type="spellEnd"/>
      <w:r w:rsidRPr="00390141">
        <w:rPr>
          <w:rFonts w:ascii="Arial" w:hAnsi="Arial" w:cs="Arial"/>
        </w:rPr>
        <w:t xml:space="preserve">, G. R. S., Alshammari, N. R., Alshammari, F. K., </w:t>
      </w:r>
      <w:proofErr w:type="spellStart"/>
      <w:r w:rsidRPr="00390141">
        <w:rPr>
          <w:rFonts w:ascii="Arial" w:hAnsi="Arial" w:cs="Arial"/>
        </w:rPr>
        <w:t>Dagreri</w:t>
      </w:r>
      <w:proofErr w:type="spellEnd"/>
      <w:r w:rsidRPr="00390141">
        <w:rPr>
          <w:rFonts w:ascii="Arial" w:hAnsi="Arial" w:cs="Arial"/>
        </w:rPr>
        <w:t xml:space="preserve">, W. A., ... &amp; </w:t>
      </w:r>
      <w:proofErr w:type="spellStart"/>
      <w:r w:rsidRPr="00390141">
        <w:rPr>
          <w:rFonts w:ascii="Arial" w:hAnsi="Arial" w:cs="Arial"/>
        </w:rPr>
        <w:t>Alenezi</w:t>
      </w:r>
      <w:proofErr w:type="spellEnd"/>
      <w:r w:rsidRPr="00390141">
        <w:rPr>
          <w:rFonts w:ascii="Arial" w:hAnsi="Arial" w:cs="Arial"/>
        </w:rPr>
        <w:t>, F. A. (2024). Caring under pressure: Unraveling the crisis of nursing workload and stress in modern healthcare. Journal of International Crisis and Risk Communication Research, 7(S4), 7. 10.63278/jicrcr.vi.2467</w:t>
      </w:r>
    </w:p>
    <w:p w14:paraId="663A2EAE" w14:textId="77777777" w:rsidR="00390141" w:rsidRPr="00390141" w:rsidRDefault="00390141" w:rsidP="00390141">
      <w:pPr>
        <w:rPr>
          <w:rFonts w:ascii="Arial" w:hAnsi="Arial" w:cs="Arial"/>
        </w:rPr>
      </w:pPr>
      <w:r w:rsidRPr="00390141">
        <w:rPr>
          <w:rFonts w:ascii="Arial" w:hAnsi="Arial" w:cs="Arial"/>
        </w:rPr>
        <w:t>Care Quality Commission. (2023). Fundamental standards. https://www.cqc.org.uk/about-us/fundamental-standards</w:t>
      </w:r>
    </w:p>
    <w:p w14:paraId="611DBD20" w14:textId="77777777" w:rsidR="00390141" w:rsidRPr="00390141" w:rsidRDefault="00390141" w:rsidP="00390141">
      <w:pPr>
        <w:rPr>
          <w:rFonts w:ascii="Arial" w:hAnsi="Arial" w:cs="Arial"/>
        </w:rPr>
      </w:pPr>
      <w:r w:rsidRPr="00390141">
        <w:rPr>
          <w:rFonts w:ascii="Arial" w:hAnsi="Arial" w:cs="Arial"/>
        </w:rPr>
        <w:t xml:space="preserve">Jaeger, F. N., </w:t>
      </w:r>
      <w:proofErr w:type="spellStart"/>
      <w:r w:rsidRPr="00390141">
        <w:rPr>
          <w:rFonts w:ascii="Arial" w:hAnsi="Arial" w:cs="Arial"/>
        </w:rPr>
        <w:t>Pellaud</w:t>
      </w:r>
      <w:proofErr w:type="spellEnd"/>
      <w:r w:rsidRPr="00390141">
        <w:rPr>
          <w:rFonts w:ascii="Arial" w:hAnsi="Arial" w:cs="Arial"/>
        </w:rPr>
        <w:t>, N., Laville, B., &amp; Klauser, P. (2019). Barriers to and solutions for addressing insufficient professional interpreter use in primary healthcare. BMC health services research, 19(1), 753. https://doi.org/10.1186/s12913-019-4628-6</w:t>
      </w:r>
    </w:p>
    <w:p w14:paraId="4CED4E63" w14:textId="77777777" w:rsidR="00390141" w:rsidRPr="00390141" w:rsidRDefault="00390141" w:rsidP="00390141">
      <w:pPr>
        <w:rPr>
          <w:rFonts w:ascii="Arial" w:hAnsi="Arial" w:cs="Arial"/>
        </w:rPr>
      </w:pPr>
      <w:proofErr w:type="spellStart"/>
      <w:r w:rsidRPr="00390141">
        <w:rPr>
          <w:rFonts w:ascii="Arial" w:hAnsi="Arial" w:cs="Arial"/>
        </w:rPr>
        <w:t>Korkoryi</w:t>
      </w:r>
      <w:proofErr w:type="spellEnd"/>
      <w:r w:rsidRPr="00390141">
        <w:rPr>
          <w:rFonts w:ascii="Arial" w:hAnsi="Arial" w:cs="Arial"/>
        </w:rPr>
        <w:t xml:space="preserve"> Jr, D. M. (2024). Communication barriers and medical errors affecting patients with limited or non-existent written or spoken English proficiency. South University.</w:t>
      </w:r>
    </w:p>
    <w:p w14:paraId="46E51D08" w14:textId="77777777" w:rsidR="00390141" w:rsidRPr="00390141" w:rsidRDefault="00390141" w:rsidP="00390141">
      <w:pPr>
        <w:rPr>
          <w:rFonts w:ascii="Arial" w:hAnsi="Arial" w:cs="Arial"/>
        </w:rPr>
      </w:pPr>
      <w:r w:rsidRPr="00390141">
        <w:rPr>
          <w:rFonts w:ascii="Arial" w:hAnsi="Arial" w:cs="Arial"/>
        </w:rPr>
        <w:t xml:space="preserve">Krey, L., Rabea, Z., Krause, O., Greten, S., Heck, J., Boeck, A. L., ... &amp; </w:t>
      </w:r>
      <w:proofErr w:type="spellStart"/>
      <w:r w:rsidRPr="00390141">
        <w:rPr>
          <w:rFonts w:ascii="Arial" w:hAnsi="Arial" w:cs="Arial"/>
        </w:rPr>
        <w:t>Klietz</w:t>
      </w:r>
      <w:proofErr w:type="spellEnd"/>
      <w:r w:rsidRPr="00390141">
        <w:rPr>
          <w:rFonts w:ascii="Arial" w:hAnsi="Arial" w:cs="Arial"/>
        </w:rPr>
        <w:t>, M. (2024). Missing medical data in neurological emergency care compromise patient safety and healthcare resources. Journal of Clinical Medicine, 13(21), 6344. https://doi.org/10.3390/jcm13216344</w:t>
      </w:r>
    </w:p>
    <w:p w14:paraId="5E97996A" w14:textId="77777777" w:rsidR="00390141" w:rsidRPr="00390141" w:rsidRDefault="00390141" w:rsidP="00390141">
      <w:pPr>
        <w:rPr>
          <w:rFonts w:ascii="Arial" w:hAnsi="Arial" w:cs="Arial"/>
        </w:rPr>
      </w:pPr>
      <w:r w:rsidRPr="00390141">
        <w:rPr>
          <w:rFonts w:ascii="Arial" w:hAnsi="Arial" w:cs="Arial"/>
        </w:rPr>
        <w:t>Marriott</w:t>
      </w:r>
      <w:r w:rsidRPr="00390141">
        <w:rPr>
          <w:rFonts w:ascii="Cambria Math" w:hAnsi="Cambria Math" w:cs="Cambria Math"/>
        </w:rPr>
        <w:t>‐</w:t>
      </w:r>
      <w:r w:rsidRPr="00390141">
        <w:rPr>
          <w:rFonts w:ascii="Arial" w:hAnsi="Arial" w:cs="Arial"/>
        </w:rPr>
        <w:t>Statham, K., Dickson, C. A., &amp; Hardiman, M. (2023). Sharing decision</w:t>
      </w:r>
      <w:r w:rsidRPr="00390141">
        <w:rPr>
          <w:rFonts w:ascii="Cambria Math" w:hAnsi="Cambria Math" w:cs="Cambria Math"/>
        </w:rPr>
        <w:t>‐</w:t>
      </w:r>
      <w:r w:rsidRPr="00390141">
        <w:rPr>
          <w:rFonts w:ascii="Arial" w:hAnsi="Arial" w:cs="Arial"/>
        </w:rPr>
        <w:t>making between the older person and the nurse: A scoping review. International Journal of Older People Nursing, 18(1), e12507.  https://doi.org/10.1111/opn.12507</w:t>
      </w:r>
    </w:p>
    <w:p w14:paraId="78E56BB8" w14:textId="77777777" w:rsidR="00390141" w:rsidRPr="00390141" w:rsidRDefault="00390141" w:rsidP="00390141">
      <w:pPr>
        <w:rPr>
          <w:rFonts w:ascii="Arial" w:hAnsi="Arial" w:cs="Arial"/>
        </w:rPr>
      </w:pPr>
      <w:r w:rsidRPr="00390141">
        <w:rPr>
          <w:rFonts w:ascii="Arial" w:hAnsi="Arial" w:cs="Arial"/>
        </w:rPr>
        <w:t>Nandini. (2020). S.O.L.E.R way of communication in nursing. Asian Journal of Nursing Education and Research, 10(1), 110–111.</w:t>
      </w:r>
    </w:p>
    <w:p w14:paraId="1462677C" w14:textId="77777777" w:rsidR="00390141" w:rsidRPr="00390141" w:rsidRDefault="00390141" w:rsidP="00390141">
      <w:pPr>
        <w:rPr>
          <w:rFonts w:ascii="Arial" w:hAnsi="Arial" w:cs="Arial"/>
        </w:rPr>
      </w:pPr>
      <w:r w:rsidRPr="00390141">
        <w:rPr>
          <w:rFonts w:ascii="Arial" w:hAnsi="Arial" w:cs="Arial"/>
        </w:rPr>
        <w:t>https://doi.org/10.5958/2349-2996.2020.00025.7</w:t>
      </w:r>
    </w:p>
    <w:p w14:paraId="1E28BA6B" w14:textId="77777777" w:rsidR="00390141" w:rsidRPr="00390141" w:rsidRDefault="00390141" w:rsidP="00390141">
      <w:pPr>
        <w:rPr>
          <w:rFonts w:ascii="Arial" w:hAnsi="Arial" w:cs="Arial"/>
        </w:rPr>
      </w:pPr>
      <w:r w:rsidRPr="00390141">
        <w:rPr>
          <w:rFonts w:ascii="Arial" w:hAnsi="Arial" w:cs="Arial"/>
        </w:rPr>
        <w:t>Noh, G. O., &amp; Park, M. J. (2022). Effectiveness of incorporating Situation-Background-Assessment-Recommendation (SBAR) methods into simulation-based education for nursing students: a quasi-experimental study. Nurse Education Today, 109, 105252. https://doi.org/10.1016/j.nedt.2021.105252</w:t>
      </w:r>
    </w:p>
    <w:p w14:paraId="1B846175" w14:textId="77777777" w:rsidR="00390141" w:rsidRPr="00390141" w:rsidRDefault="00390141" w:rsidP="00390141">
      <w:pPr>
        <w:rPr>
          <w:rFonts w:ascii="Arial" w:hAnsi="Arial" w:cs="Arial"/>
        </w:rPr>
      </w:pPr>
      <w:r w:rsidRPr="00390141">
        <w:rPr>
          <w:rFonts w:ascii="Arial" w:hAnsi="Arial" w:cs="Arial"/>
        </w:rPr>
        <w:t>Stenhouse, R. (2021). Understanding equality and diversity in nursing practice. Nursing Standard, 36(2), 27-33. https://doi.org/10.7748/ns.2020.e11562</w:t>
      </w:r>
    </w:p>
    <w:p w14:paraId="31EB4E3A" w14:textId="409B7D07" w:rsidR="00001A19" w:rsidRPr="00390141" w:rsidRDefault="00390141" w:rsidP="00390141">
      <w:pPr>
        <w:rPr>
          <w:rFonts w:ascii="Arial" w:hAnsi="Arial" w:cs="Arial"/>
        </w:rPr>
      </w:pPr>
      <w:r w:rsidRPr="00390141">
        <w:rPr>
          <w:rFonts w:ascii="Arial" w:hAnsi="Arial" w:cs="Arial"/>
        </w:rPr>
        <w:t>Wager, K. A., Lee, F. W., &amp; Glaser, J. P. (2021). Health care information systems: a practical approach for health care management. John Wiley &amp; Sons.</w:t>
      </w:r>
    </w:p>
    <w:sectPr w:rsidR="00001A19" w:rsidRPr="00390141">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47884" w14:textId="77777777" w:rsidR="00041C04" w:rsidRDefault="00041C04">
      <w:pPr>
        <w:spacing w:after="0" w:line="240" w:lineRule="auto"/>
      </w:pPr>
      <w:r>
        <w:separator/>
      </w:r>
    </w:p>
  </w:endnote>
  <w:endnote w:type="continuationSeparator" w:id="0">
    <w:p w14:paraId="6D7487AE" w14:textId="77777777" w:rsidR="00041C04" w:rsidRDefault="00041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B44C598F-867F-4BF4-A27E-C716CFE9CD30}"/>
    <w:embedBold r:id="rId2" w:fontKey="{8459C322-9D7D-4B4B-BF0E-ECBFC51306AF}"/>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2098EC42-8079-47E2-9E95-3FC534488AB7}"/>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4" w:fontKey="{6928E670-4D58-4762-89F4-D162A525F6BA}"/>
  </w:font>
  <w:font w:name="Cambria">
    <w:panose1 w:val="02040503050406030204"/>
    <w:charset w:val="00"/>
    <w:family w:val="roman"/>
    <w:pitch w:val="variable"/>
    <w:sig w:usb0="E00006FF" w:usb1="420024FF" w:usb2="02000000" w:usb3="00000000" w:csb0="0000019F" w:csb1="00000000"/>
    <w:embedRegular r:id="rId5" w:fontKey="{60465DE2-DCD5-4969-802C-1629D34914A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532B7" w14:textId="77777777" w:rsidR="00001A19" w:rsidRDefault="00000000">
    <w:pPr>
      <w:pBdr>
        <w:top w:val="single" w:sz="4" w:space="1" w:color="D9D9D9"/>
        <w:left w:val="nil"/>
        <w:bottom w:val="nil"/>
        <w:right w:val="nil"/>
        <w:between w:val="nil"/>
      </w:pBdr>
      <w:tabs>
        <w:tab w:val="center" w:pos="4513"/>
        <w:tab w:val="right" w:pos="9026"/>
      </w:tabs>
      <w:spacing w:after="0" w:line="240" w:lineRule="auto"/>
      <w:rPr>
        <w:b/>
        <w:bCs/>
        <w:color w:val="000000"/>
      </w:rPr>
    </w:pPr>
    <w:r>
      <w:rPr>
        <w:color w:val="000000"/>
      </w:rPr>
      <w:fldChar w:fldCharType="begin"/>
    </w:r>
    <w:r>
      <w:rPr>
        <w:color w:val="000000"/>
      </w:rPr>
      <w:instrText>PAGE</w:instrText>
    </w:r>
    <w:r>
      <w:rPr>
        <w:color w:val="000000"/>
      </w:rPr>
      <w:fldChar w:fldCharType="separate"/>
    </w:r>
    <w:r w:rsidR="00ED5277">
      <w:rPr>
        <w:noProof/>
        <w:color w:val="000000"/>
      </w:rPr>
      <w:t>1</w:t>
    </w:r>
    <w:r>
      <w:rPr>
        <w:color w:val="000000"/>
      </w:rPr>
      <w:fldChar w:fldCharType="end"/>
    </w:r>
    <w:r>
      <w:rPr>
        <w:b/>
        <w:bCs/>
        <w:color w:val="000000"/>
      </w:rPr>
      <w:t xml:space="preserve"> | </w:t>
    </w:r>
    <w:r>
      <w:rPr>
        <w:color w:val="7F7F7F"/>
      </w:rPr>
      <w:t>Page</w:t>
    </w:r>
  </w:p>
  <w:p w14:paraId="04773A4D" w14:textId="77777777" w:rsidR="00001A19" w:rsidRDefault="00001A19">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DBADD" w14:textId="77777777" w:rsidR="00041C04" w:rsidRDefault="00041C04">
      <w:pPr>
        <w:spacing w:after="0" w:line="240" w:lineRule="auto"/>
      </w:pPr>
      <w:r>
        <w:separator/>
      </w:r>
    </w:p>
  </w:footnote>
  <w:footnote w:type="continuationSeparator" w:id="0">
    <w:p w14:paraId="6D433291" w14:textId="77777777" w:rsidR="00041C04" w:rsidRDefault="00041C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1E245" w14:textId="77777777" w:rsidR="00001A19" w:rsidRDefault="00000000">
    <w:pPr>
      <w:pBdr>
        <w:top w:val="nil"/>
        <w:left w:val="nil"/>
        <w:bottom w:val="nil"/>
        <w:right w:val="nil"/>
        <w:between w:val="nil"/>
      </w:pBdr>
      <w:tabs>
        <w:tab w:val="center" w:pos="4513"/>
        <w:tab w:val="right" w:pos="9026"/>
      </w:tabs>
      <w:spacing w:after="0" w:line="240" w:lineRule="auto"/>
      <w:ind w:left="11520"/>
      <w:rPr>
        <w:color w:val="000000"/>
      </w:rPr>
    </w:pPr>
    <w:r>
      <w:rPr>
        <w:noProof/>
        <w:color w:val="000000"/>
      </w:rPr>
      <w:drawing>
        <wp:inline distT="0" distB="0" distL="0" distR="0" wp14:anchorId="5DEA9B01" wp14:editId="0C496E9A">
          <wp:extent cx="2184540" cy="436908"/>
          <wp:effectExtent l="0" t="0" r="0" b="0"/>
          <wp:docPr id="10" name="image4.png" descr="UWTSD LOGO"/>
          <wp:cNvGraphicFramePr/>
          <a:graphic xmlns:a="http://schemas.openxmlformats.org/drawingml/2006/main">
            <a:graphicData uri="http://schemas.openxmlformats.org/drawingml/2006/picture">
              <pic:pic xmlns:pic="http://schemas.openxmlformats.org/drawingml/2006/picture">
                <pic:nvPicPr>
                  <pic:cNvPr id="0" name="image4.png" descr="UWTSD LOGO"/>
                  <pic:cNvPicPr preferRelativeResize="0"/>
                </pic:nvPicPr>
                <pic:blipFill>
                  <a:blip r:embed="rId1"/>
                  <a:srcRect/>
                  <a:stretch>
                    <a:fillRect/>
                  </a:stretch>
                </pic:blipFill>
                <pic:spPr>
                  <a:xfrm>
                    <a:off x="0" y="0"/>
                    <a:ext cx="2184540" cy="436908"/>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1A19"/>
    <w:rsid w:val="00001A19"/>
    <w:rsid w:val="00041C04"/>
    <w:rsid w:val="00053B6F"/>
    <w:rsid w:val="00203590"/>
    <w:rsid w:val="0026598A"/>
    <w:rsid w:val="00390141"/>
    <w:rsid w:val="004325DF"/>
    <w:rsid w:val="006578F4"/>
    <w:rsid w:val="00791B9F"/>
    <w:rsid w:val="0093103C"/>
    <w:rsid w:val="009E02C4"/>
    <w:rsid w:val="00A560D5"/>
    <w:rsid w:val="00AB6C5B"/>
    <w:rsid w:val="00C4270E"/>
    <w:rsid w:val="00C6282A"/>
    <w:rsid w:val="00D923E9"/>
    <w:rsid w:val="00EC1E0B"/>
    <w:rsid w:val="00ED52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15CA7"/>
  <w15:docId w15:val="{C8DD75C0-DF29-4BC6-80CC-C04CD5AE8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1882</Words>
  <Characters>10733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447732289598</dc:creator>
  <cp:keywords/>
  <dc:description/>
  <cp:lastModifiedBy>447732289598</cp:lastModifiedBy>
  <cp:revision>3</cp:revision>
  <dcterms:created xsi:type="dcterms:W3CDTF">2025-12-19T01:33:00Z</dcterms:created>
  <dcterms:modified xsi:type="dcterms:W3CDTF">2025-12-19T01:34:00Z</dcterms:modified>
</cp:coreProperties>
</file>