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1CE23" w14:textId="77777777" w:rsidR="00C862EF" w:rsidRPr="004B3E05" w:rsidRDefault="00C862EF" w:rsidP="001C077C">
      <w:pPr>
        <w:spacing w:line="360" w:lineRule="auto"/>
        <w:rPr>
          <w:rFonts w:ascii="Times New Roman" w:eastAsia="Times New Roman" w:hAnsi="Times New Roman" w:cs="Times New Roman"/>
          <w:b/>
          <w:sz w:val="32"/>
          <w:szCs w:val="32"/>
          <w:highlight w:val="white"/>
        </w:rPr>
      </w:pPr>
    </w:p>
    <w:p w14:paraId="3FF0AD51" w14:textId="1EFF7B42" w:rsidR="00C862EF" w:rsidRPr="004B3E05" w:rsidRDefault="001C077C" w:rsidP="00C862EF">
      <w:pPr>
        <w:spacing w:line="360" w:lineRule="auto"/>
        <w:jc w:val="center"/>
        <w:rPr>
          <w:rFonts w:ascii="Times New Roman" w:eastAsia="Times New Roman" w:hAnsi="Times New Roman" w:cs="Times New Roman"/>
          <w:b/>
          <w:sz w:val="32"/>
          <w:szCs w:val="32"/>
          <w:highlight w:val="white"/>
        </w:rPr>
      </w:pPr>
      <w:r w:rsidRPr="00FA361E">
        <w:rPr>
          <w:lang w:eastAsia="en-GB"/>
        </w:rPr>
        <w:fldChar w:fldCharType="begin"/>
      </w:r>
      <w:r w:rsidRPr="00FA361E">
        <w:rPr>
          <w:lang w:eastAsia="en-GB"/>
        </w:rPr>
        <w:instrText xml:space="preserve"> INCLUDEPICTURE "/var/folders/n5/64c3yn0n4svdswx9ryn7969m0000gn/T/com.microsoft.Word/WebArchiveCopyPasteTempFiles/page1image53854416" \* MERGEFORMATINET </w:instrText>
      </w:r>
      <w:r w:rsidRPr="00FA361E">
        <w:rPr>
          <w:lang w:eastAsia="en-GB"/>
        </w:rPr>
        <w:fldChar w:fldCharType="separate"/>
      </w:r>
      <w:r w:rsidRPr="00FA361E">
        <w:rPr>
          <w:noProof/>
          <w:lang w:eastAsia="en-GB"/>
        </w:rPr>
        <w:drawing>
          <wp:inline distT="0" distB="0" distL="0" distR="0" wp14:anchorId="4A284EFE" wp14:editId="076B5313">
            <wp:extent cx="1804670" cy="721995"/>
            <wp:effectExtent l="0" t="0" r="0" b="0"/>
            <wp:docPr id="1" name="Picture 1" descr="page1image5385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38544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4670" cy="721995"/>
                    </a:xfrm>
                    <a:prstGeom prst="rect">
                      <a:avLst/>
                    </a:prstGeom>
                    <a:noFill/>
                    <a:ln>
                      <a:noFill/>
                    </a:ln>
                  </pic:spPr>
                </pic:pic>
              </a:graphicData>
            </a:graphic>
          </wp:inline>
        </w:drawing>
      </w:r>
      <w:r w:rsidRPr="00FA361E">
        <w:rPr>
          <w:lang w:eastAsia="en-GB"/>
        </w:rPr>
        <w:fldChar w:fldCharType="end"/>
      </w:r>
    </w:p>
    <w:p w14:paraId="2194876B" w14:textId="77777777" w:rsidR="00C862EF" w:rsidRPr="004B3E05" w:rsidRDefault="00C862EF" w:rsidP="00C862EF">
      <w:pPr>
        <w:spacing w:line="360" w:lineRule="auto"/>
        <w:jc w:val="center"/>
        <w:rPr>
          <w:rFonts w:ascii="Times New Roman" w:eastAsia="Times New Roman" w:hAnsi="Times New Roman" w:cs="Times New Roman"/>
          <w:b/>
          <w:sz w:val="32"/>
          <w:szCs w:val="32"/>
          <w:highlight w:val="white"/>
        </w:rPr>
      </w:pPr>
    </w:p>
    <w:p w14:paraId="534DFB16" w14:textId="77777777" w:rsidR="00C862EF" w:rsidRPr="004B3E05" w:rsidRDefault="00C862EF" w:rsidP="001C077C">
      <w:pPr>
        <w:spacing w:line="360" w:lineRule="auto"/>
        <w:rPr>
          <w:rFonts w:ascii="Times New Roman" w:eastAsia="Times New Roman" w:hAnsi="Times New Roman" w:cs="Times New Roman"/>
          <w:b/>
          <w:sz w:val="32"/>
          <w:szCs w:val="32"/>
          <w:highlight w:val="white"/>
        </w:rPr>
      </w:pPr>
    </w:p>
    <w:p w14:paraId="18D435BB" w14:textId="584CB320" w:rsidR="00C862EF" w:rsidRDefault="00C862EF" w:rsidP="00C862EF">
      <w:pPr>
        <w:spacing w:line="360" w:lineRule="auto"/>
        <w:jc w:val="center"/>
        <w:rPr>
          <w:rFonts w:ascii="Times New Roman" w:eastAsia="Times New Roman" w:hAnsi="Times New Roman" w:cs="Times New Roman"/>
          <w:b/>
          <w:sz w:val="32"/>
          <w:szCs w:val="32"/>
          <w:highlight w:val="white"/>
        </w:rPr>
      </w:pPr>
    </w:p>
    <w:p w14:paraId="0CEBFC79" w14:textId="77777777" w:rsidR="00377259" w:rsidRPr="004B3E05" w:rsidRDefault="00377259" w:rsidP="00C862EF">
      <w:pPr>
        <w:spacing w:line="360" w:lineRule="auto"/>
        <w:jc w:val="center"/>
        <w:rPr>
          <w:rFonts w:ascii="Times New Roman" w:eastAsia="Times New Roman" w:hAnsi="Times New Roman" w:cs="Times New Roman"/>
          <w:b/>
          <w:sz w:val="32"/>
          <w:szCs w:val="32"/>
          <w:highlight w:val="white"/>
        </w:rPr>
      </w:pPr>
    </w:p>
    <w:p w14:paraId="39221F8F" w14:textId="77777777" w:rsidR="00C862EF" w:rsidRPr="004B3E05" w:rsidRDefault="00C862EF" w:rsidP="00C862EF">
      <w:pPr>
        <w:spacing w:line="360" w:lineRule="auto"/>
        <w:jc w:val="center"/>
        <w:rPr>
          <w:rFonts w:ascii="Times New Roman" w:eastAsia="Times New Roman" w:hAnsi="Times New Roman" w:cs="Times New Roman"/>
          <w:b/>
          <w:sz w:val="32"/>
          <w:szCs w:val="32"/>
          <w:highlight w:val="white"/>
        </w:rPr>
      </w:pPr>
    </w:p>
    <w:p w14:paraId="7083487A" w14:textId="77777777" w:rsidR="001C077C" w:rsidRDefault="00C862EF" w:rsidP="00C862EF">
      <w:pPr>
        <w:spacing w:line="360" w:lineRule="auto"/>
        <w:jc w:val="center"/>
        <w:rPr>
          <w:rFonts w:ascii="Times New Roman" w:eastAsia="Times New Roman" w:hAnsi="Times New Roman" w:cs="Times New Roman"/>
          <w:b/>
          <w:sz w:val="32"/>
          <w:szCs w:val="32"/>
        </w:rPr>
      </w:pPr>
      <w:r w:rsidRPr="004B3E05">
        <w:rPr>
          <w:rFonts w:ascii="Times New Roman" w:eastAsia="Times New Roman" w:hAnsi="Times New Roman" w:cs="Times New Roman"/>
          <w:b/>
          <w:sz w:val="32"/>
          <w:szCs w:val="32"/>
          <w:highlight w:val="white"/>
        </w:rPr>
        <w:t>INTERNATIONAL FINANCIAL MANAGEMENT</w:t>
      </w:r>
    </w:p>
    <w:p w14:paraId="3F8A4F7F" w14:textId="14841371" w:rsidR="001C077C" w:rsidRDefault="001C077C" w:rsidP="00C862E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w:t>
      </w:r>
    </w:p>
    <w:p w14:paraId="29EA9F2F" w14:textId="28E98C57" w:rsidR="001C077C" w:rsidRDefault="001C077C" w:rsidP="00C862EF">
      <w:pPr>
        <w:spacing w:line="360" w:lineRule="auto"/>
        <w:jc w:val="center"/>
        <w:rPr>
          <w:rFonts w:ascii="Times New Roman" w:eastAsia="Times New Roman" w:hAnsi="Times New Roman" w:cs="Times New Roman"/>
          <w:b/>
          <w:sz w:val="32"/>
          <w:szCs w:val="32"/>
        </w:rPr>
      </w:pPr>
    </w:p>
    <w:p w14:paraId="22B9BD46" w14:textId="23DE2D62" w:rsidR="001C077C" w:rsidRDefault="001C077C" w:rsidP="00C862EF">
      <w:pPr>
        <w:spacing w:line="360" w:lineRule="auto"/>
        <w:jc w:val="center"/>
        <w:rPr>
          <w:rFonts w:ascii="Times New Roman" w:eastAsia="Times New Roman" w:hAnsi="Times New Roman" w:cs="Times New Roman"/>
          <w:b/>
          <w:sz w:val="32"/>
          <w:szCs w:val="32"/>
        </w:rPr>
      </w:pPr>
    </w:p>
    <w:p w14:paraId="1D7FDD0C" w14:textId="77777777" w:rsidR="00377259" w:rsidRDefault="00377259" w:rsidP="00C862EF">
      <w:pPr>
        <w:spacing w:line="360" w:lineRule="auto"/>
        <w:jc w:val="center"/>
        <w:rPr>
          <w:rFonts w:ascii="Times New Roman" w:eastAsia="Times New Roman" w:hAnsi="Times New Roman" w:cs="Times New Roman"/>
          <w:b/>
          <w:sz w:val="32"/>
          <w:szCs w:val="32"/>
        </w:rPr>
      </w:pPr>
    </w:p>
    <w:p w14:paraId="4E17088D" w14:textId="64AFF2F2" w:rsidR="001C077C" w:rsidRDefault="001C077C" w:rsidP="001C077C">
      <w:pPr>
        <w:spacing w:line="360" w:lineRule="auto"/>
        <w:jc w:val="right"/>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Florin Alin Cretulescu (1911820)</w:t>
      </w:r>
    </w:p>
    <w:p w14:paraId="4D081311" w14:textId="49D05542" w:rsidR="001C077C" w:rsidRDefault="001C077C" w:rsidP="001C077C">
      <w:pPr>
        <w:spacing w:line="360" w:lineRule="auto"/>
        <w:jc w:val="right"/>
        <w:rPr>
          <w:rFonts w:ascii="Times New Roman" w:eastAsia="Times New Roman" w:hAnsi="Times New Roman" w:cs="Times New Roman"/>
          <w:b/>
          <w:sz w:val="32"/>
          <w:szCs w:val="32"/>
        </w:rPr>
      </w:pPr>
    </w:p>
    <w:p w14:paraId="586395E6" w14:textId="7F7A78FC" w:rsidR="001C077C" w:rsidRDefault="001C077C" w:rsidP="001C077C">
      <w:pPr>
        <w:spacing w:line="360" w:lineRule="auto"/>
        <w:jc w:val="right"/>
        <w:rPr>
          <w:rFonts w:ascii="Times New Roman" w:eastAsia="Times New Roman" w:hAnsi="Times New Roman" w:cs="Times New Roman"/>
          <w:b/>
          <w:sz w:val="32"/>
          <w:szCs w:val="32"/>
        </w:rPr>
      </w:pPr>
    </w:p>
    <w:p w14:paraId="188052FC" w14:textId="0DFC55B5" w:rsidR="001C077C" w:rsidRDefault="001C077C" w:rsidP="001C077C">
      <w:pPr>
        <w:spacing w:line="360" w:lineRule="auto"/>
        <w:jc w:val="right"/>
        <w:rPr>
          <w:rFonts w:ascii="Times New Roman" w:eastAsia="Times New Roman" w:hAnsi="Times New Roman" w:cs="Times New Roman"/>
          <w:b/>
          <w:sz w:val="32"/>
          <w:szCs w:val="32"/>
        </w:rPr>
      </w:pPr>
    </w:p>
    <w:p w14:paraId="2470B129" w14:textId="74241C48" w:rsidR="001C077C" w:rsidRDefault="001C077C" w:rsidP="001C077C">
      <w:pPr>
        <w:spacing w:line="360" w:lineRule="auto"/>
        <w:jc w:val="right"/>
        <w:rPr>
          <w:rFonts w:ascii="Times New Roman" w:eastAsia="Times New Roman" w:hAnsi="Times New Roman" w:cs="Times New Roman"/>
          <w:b/>
          <w:sz w:val="32"/>
          <w:szCs w:val="32"/>
        </w:rPr>
      </w:pPr>
    </w:p>
    <w:p w14:paraId="285DFD1B" w14:textId="38C3AD88" w:rsidR="001C077C" w:rsidRDefault="001C077C" w:rsidP="001C077C">
      <w:pPr>
        <w:spacing w:line="360" w:lineRule="auto"/>
        <w:jc w:val="right"/>
        <w:rPr>
          <w:rFonts w:ascii="Times New Roman" w:eastAsia="Times New Roman" w:hAnsi="Times New Roman" w:cs="Times New Roman"/>
          <w:b/>
          <w:sz w:val="32"/>
          <w:szCs w:val="32"/>
        </w:rPr>
      </w:pPr>
    </w:p>
    <w:p w14:paraId="50AE67C7" w14:textId="4DD025F8" w:rsidR="001C077C" w:rsidRDefault="001C077C" w:rsidP="001C077C">
      <w:pPr>
        <w:spacing w:line="360" w:lineRule="auto"/>
        <w:jc w:val="right"/>
        <w:rPr>
          <w:rFonts w:ascii="Times New Roman" w:eastAsia="Times New Roman" w:hAnsi="Times New Roman" w:cs="Times New Roman"/>
          <w:b/>
          <w:sz w:val="32"/>
          <w:szCs w:val="32"/>
        </w:rPr>
      </w:pPr>
    </w:p>
    <w:p w14:paraId="454D6B6B" w14:textId="77777777" w:rsidR="001C077C" w:rsidRDefault="001C077C" w:rsidP="001C077C">
      <w:pPr>
        <w:spacing w:line="360" w:lineRule="auto"/>
        <w:jc w:val="center"/>
        <w:rPr>
          <w:rFonts w:ascii="Times New Roman" w:eastAsia="Times New Roman" w:hAnsi="Times New Roman" w:cs="Times New Roman"/>
          <w:b/>
          <w:sz w:val="32"/>
          <w:szCs w:val="32"/>
        </w:rPr>
      </w:pPr>
    </w:p>
    <w:p w14:paraId="1D1FA8AF" w14:textId="7BFF3F4C" w:rsidR="001C077C" w:rsidRDefault="00C344A7" w:rsidP="001C077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May</w:t>
      </w:r>
      <w:r w:rsidR="001C077C">
        <w:rPr>
          <w:rFonts w:ascii="Times New Roman" w:eastAsia="Times New Roman" w:hAnsi="Times New Roman" w:cs="Times New Roman"/>
          <w:b/>
          <w:sz w:val="32"/>
          <w:szCs w:val="32"/>
        </w:rPr>
        <w:t xml:space="preserve"> 2022</w:t>
      </w:r>
    </w:p>
    <w:p w14:paraId="00000001" w14:textId="4DAE9A8D" w:rsidR="00B9383E" w:rsidRPr="004B3E05" w:rsidRDefault="00B9383E" w:rsidP="001C077C">
      <w:pPr>
        <w:spacing w:line="360" w:lineRule="auto"/>
        <w:rPr>
          <w:rFonts w:ascii="Times New Roman" w:eastAsia="Times New Roman" w:hAnsi="Times New Roman" w:cs="Times New Roman"/>
          <w:b/>
          <w:sz w:val="32"/>
          <w:szCs w:val="32"/>
          <w:highlight w:val="white"/>
        </w:rPr>
      </w:pPr>
    </w:p>
    <w:sdt>
      <w:sdtPr>
        <w:rPr>
          <w:rFonts w:ascii="Arial" w:eastAsia="Arial" w:hAnsi="Arial" w:cs="Arial"/>
          <w:color w:val="auto"/>
          <w:sz w:val="22"/>
          <w:szCs w:val="22"/>
          <w:lang w:val="en-GB" w:eastAsia="en-IN"/>
        </w:rPr>
        <w:id w:val="-1468353945"/>
        <w:docPartObj>
          <w:docPartGallery w:val="Table of Contents"/>
          <w:docPartUnique/>
        </w:docPartObj>
      </w:sdtPr>
      <w:sdtEndPr>
        <w:rPr>
          <w:b/>
          <w:bCs/>
          <w:noProof/>
        </w:rPr>
      </w:sdtEndPr>
      <w:sdtContent>
        <w:p w14:paraId="0068029D" w14:textId="6D516901" w:rsidR="00C862EF" w:rsidRPr="004B3E05" w:rsidRDefault="00C862EF" w:rsidP="00C862EF">
          <w:pPr>
            <w:pStyle w:val="TOCHeading"/>
            <w:spacing w:line="360" w:lineRule="auto"/>
            <w:jc w:val="center"/>
            <w:rPr>
              <w:rFonts w:ascii="Times New Roman" w:hAnsi="Times New Roman" w:cs="Times New Roman"/>
              <w:b/>
              <w:bCs/>
              <w:color w:val="auto"/>
              <w:sz w:val="28"/>
              <w:szCs w:val="28"/>
            </w:rPr>
          </w:pPr>
          <w:r w:rsidRPr="004B3E05">
            <w:rPr>
              <w:rFonts w:ascii="Times New Roman" w:hAnsi="Times New Roman" w:cs="Times New Roman"/>
              <w:b/>
              <w:bCs/>
              <w:color w:val="auto"/>
              <w:sz w:val="28"/>
              <w:szCs w:val="28"/>
            </w:rPr>
            <w:t>Table of Contents</w:t>
          </w:r>
        </w:p>
        <w:p w14:paraId="44E171D6" w14:textId="53750F32" w:rsidR="00C862EF" w:rsidRPr="004B3E05" w:rsidRDefault="00C862EF" w:rsidP="00C862EF">
          <w:pPr>
            <w:pStyle w:val="TOC1"/>
            <w:tabs>
              <w:tab w:val="right" w:leader="dot" w:pos="9350"/>
            </w:tabs>
            <w:spacing w:line="360" w:lineRule="auto"/>
            <w:jc w:val="both"/>
            <w:rPr>
              <w:rFonts w:ascii="Times New Roman" w:hAnsi="Times New Roman" w:cs="Times New Roman"/>
              <w:noProof/>
              <w:sz w:val="24"/>
              <w:szCs w:val="24"/>
            </w:rPr>
          </w:pPr>
          <w:r w:rsidRPr="004B3E05">
            <w:rPr>
              <w:rFonts w:ascii="Times New Roman" w:hAnsi="Times New Roman" w:cs="Times New Roman"/>
              <w:sz w:val="24"/>
              <w:szCs w:val="24"/>
            </w:rPr>
            <w:fldChar w:fldCharType="begin"/>
          </w:r>
          <w:r w:rsidRPr="004B3E05">
            <w:rPr>
              <w:rFonts w:ascii="Times New Roman" w:hAnsi="Times New Roman" w:cs="Times New Roman"/>
              <w:sz w:val="24"/>
              <w:szCs w:val="24"/>
            </w:rPr>
            <w:instrText xml:space="preserve"> TOC \o "1-3" \h \z \u </w:instrText>
          </w:r>
          <w:r w:rsidRPr="004B3E05">
            <w:rPr>
              <w:rFonts w:ascii="Times New Roman" w:hAnsi="Times New Roman" w:cs="Times New Roman"/>
              <w:sz w:val="24"/>
              <w:szCs w:val="24"/>
            </w:rPr>
            <w:fldChar w:fldCharType="separate"/>
          </w:r>
          <w:hyperlink w:anchor="_Toc101018002" w:history="1">
            <w:r w:rsidRPr="004B3E05">
              <w:rPr>
                <w:rStyle w:val="Hyperlink"/>
                <w:rFonts w:ascii="Times New Roman" w:hAnsi="Times New Roman" w:cs="Times New Roman"/>
                <w:noProof/>
                <w:color w:val="auto"/>
                <w:sz w:val="24"/>
                <w:szCs w:val="24"/>
                <w:highlight w:val="white"/>
              </w:rPr>
              <w:t>Introduction</w:t>
            </w:r>
            <w:r w:rsidRPr="004B3E05">
              <w:rPr>
                <w:rFonts w:ascii="Times New Roman" w:hAnsi="Times New Roman" w:cs="Times New Roman"/>
                <w:noProof/>
                <w:webHidden/>
                <w:sz w:val="24"/>
                <w:szCs w:val="24"/>
              </w:rPr>
              <w:tab/>
            </w:r>
            <w:r w:rsidRPr="004B3E05">
              <w:rPr>
                <w:rFonts w:ascii="Times New Roman" w:hAnsi="Times New Roman" w:cs="Times New Roman"/>
                <w:noProof/>
                <w:webHidden/>
                <w:sz w:val="24"/>
                <w:szCs w:val="24"/>
              </w:rPr>
              <w:fldChar w:fldCharType="begin"/>
            </w:r>
            <w:r w:rsidRPr="004B3E05">
              <w:rPr>
                <w:rFonts w:ascii="Times New Roman" w:hAnsi="Times New Roman" w:cs="Times New Roman"/>
                <w:noProof/>
                <w:webHidden/>
                <w:sz w:val="24"/>
                <w:szCs w:val="24"/>
              </w:rPr>
              <w:instrText xml:space="preserve"> PAGEREF _Toc101018002 \h </w:instrText>
            </w:r>
            <w:r w:rsidRPr="004B3E05">
              <w:rPr>
                <w:rFonts w:ascii="Times New Roman" w:hAnsi="Times New Roman" w:cs="Times New Roman"/>
                <w:noProof/>
                <w:webHidden/>
                <w:sz w:val="24"/>
                <w:szCs w:val="24"/>
              </w:rPr>
            </w:r>
            <w:r w:rsidRPr="004B3E05">
              <w:rPr>
                <w:rFonts w:ascii="Times New Roman" w:hAnsi="Times New Roman" w:cs="Times New Roman"/>
                <w:noProof/>
                <w:webHidden/>
                <w:sz w:val="24"/>
                <w:szCs w:val="24"/>
              </w:rPr>
              <w:fldChar w:fldCharType="separate"/>
            </w:r>
            <w:r w:rsidR="00202E35" w:rsidRPr="004B3E05">
              <w:rPr>
                <w:rFonts w:ascii="Times New Roman" w:hAnsi="Times New Roman" w:cs="Times New Roman"/>
                <w:noProof/>
                <w:webHidden/>
                <w:sz w:val="24"/>
                <w:szCs w:val="24"/>
              </w:rPr>
              <w:t>2</w:t>
            </w:r>
            <w:r w:rsidRPr="004B3E05">
              <w:rPr>
                <w:rFonts w:ascii="Times New Roman" w:hAnsi="Times New Roman" w:cs="Times New Roman"/>
                <w:noProof/>
                <w:webHidden/>
                <w:sz w:val="24"/>
                <w:szCs w:val="24"/>
              </w:rPr>
              <w:fldChar w:fldCharType="end"/>
            </w:r>
          </w:hyperlink>
        </w:p>
        <w:p w14:paraId="17D8EB66" w14:textId="56FAF121" w:rsidR="00C862EF" w:rsidRPr="004B3E05" w:rsidRDefault="0073214A" w:rsidP="00C862EF">
          <w:pPr>
            <w:pStyle w:val="TOC1"/>
            <w:tabs>
              <w:tab w:val="right" w:leader="dot" w:pos="9350"/>
            </w:tabs>
            <w:spacing w:line="360" w:lineRule="auto"/>
            <w:jc w:val="both"/>
            <w:rPr>
              <w:rFonts w:ascii="Times New Roman" w:hAnsi="Times New Roman" w:cs="Times New Roman"/>
              <w:noProof/>
              <w:sz w:val="24"/>
              <w:szCs w:val="24"/>
            </w:rPr>
          </w:pPr>
          <w:hyperlink w:anchor="_Toc101018003" w:history="1">
            <w:r w:rsidR="00C862EF" w:rsidRPr="004B3E05">
              <w:rPr>
                <w:rStyle w:val="Hyperlink"/>
                <w:rFonts w:ascii="Times New Roman" w:hAnsi="Times New Roman" w:cs="Times New Roman"/>
                <w:noProof/>
                <w:color w:val="auto"/>
                <w:sz w:val="24"/>
                <w:szCs w:val="24"/>
                <w:highlight w:val="white"/>
              </w:rPr>
              <w:t>Critically analyse and evaluate your chosen multinational corporation’s dividend distribution policy</w:t>
            </w:r>
            <w:r w:rsidR="00C862EF" w:rsidRPr="004B3E05">
              <w:rPr>
                <w:rFonts w:ascii="Times New Roman" w:hAnsi="Times New Roman" w:cs="Times New Roman"/>
                <w:noProof/>
                <w:webHidden/>
                <w:sz w:val="24"/>
                <w:szCs w:val="24"/>
              </w:rPr>
              <w:tab/>
            </w:r>
            <w:r w:rsidR="00C862EF" w:rsidRPr="004B3E05">
              <w:rPr>
                <w:rFonts w:ascii="Times New Roman" w:hAnsi="Times New Roman" w:cs="Times New Roman"/>
                <w:noProof/>
                <w:webHidden/>
                <w:sz w:val="24"/>
                <w:szCs w:val="24"/>
              </w:rPr>
              <w:fldChar w:fldCharType="begin"/>
            </w:r>
            <w:r w:rsidR="00C862EF" w:rsidRPr="004B3E05">
              <w:rPr>
                <w:rFonts w:ascii="Times New Roman" w:hAnsi="Times New Roman" w:cs="Times New Roman"/>
                <w:noProof/>
                <w:webHidden/>
                <w:sz w:val="24"/>
                <w:szCs w:val="24"/>
              </w:rPr>
              <w:instrText xml:space="preserve"> PAGEREF _Toc101018003 \h </w:instrText>
            </w:r>
            <w:r w:rsidR="00C862EF" w:rsidRPr="004B3E05">
              <w:rPr>
                <w:rFonts w:ascii="Times New Roman" w:hAnsi="Times New Roman" w:cs="Times New Roman"/>
                <w:noProof/>
                <w:webHidden/>
                <w:sz w:val="24"/>
                <w:szCs w:val="24"/>
              </w:rPr>
            </w:r>
            <w:r w:rsidR="00C862EF" w:rsidRPr="004B3E05">
              <w:rPr>
                <w:rFonts w:ascii="Times New Roman" w:hAnsi="Times New Roman" w:cs="Times New Roman"/>
                <w:noProof/>
                <w:webHidden/>
                <w:sz w:val="24"/>
                <w:szCs w:val="24"/>
              </w:rPr>
              <w:fldChar w:fldCharType="separate"/>
            </w:r>
            <w:r w:rsidR="00202E35" w:rsidRPr="004B3E05">
              <w:rPr>
                <w:rFonts w:ascii="Times New Roman" w:hAnsi="Times New Roman" w:cs="Times New Roman"/>
                <w:noProof/>
                <w:webHidden/>
                <w:sz w:val="24"/>
                <w:szCs w:val="24"/>
              </w:rPr>
              <w:t>2</w:t>
            </w:r>
            <w:r w:rsidR="00C862EF" w:rsidRPr="004B3E05">
              <w:rPr>
                <w:rFonts w:ascii="Times New Roman" w:hAnsi="Times New Roman" w:cs="Times New Roman"/>
                <w:noProof/>
                <w:webHidden/>
                <w:sz w:val="24"/>
                <w:szCs w:val="24"/>
              </w:rPr>
              <w:fldChar w:fldCharType="end"/>
            </w:r>
          </w:hyperlink>
        </w:p>
        <w:p w14:paraId="77CB548F" w14:textId="0E4703B6" w:rsidR="00C862EF" w:rsidRPr="004B3E05" w:rsidRDefault="0073214A" w:rsidP="00C862EF">
          <w:pPr>
            <w:pStyle w:val="TOC1"/>
            <w:tabs>
              <w:tab w:val="right" w:leader="dot" w:pos="9350"/>
            </w:tabs>
            <w:spacing w:line="360" w:lineRule="auto"/>
            <w:jc w:val="both"/>
            <w:rPr>
              <w:rFonts w:ascii="Times New Roman" w:hAnsi="Times New Roman" w:cs="Times New Roman"/>
              <w:noProof/>
              <w:sz w:val="24"/>
              <w:szCs w:val="24"/>
            </w:rPr>
          </w:pPr>
          <w:hyperlink w:anchor="_Toc101018004" w:history="1">
            <w:r w:rsidR="00C862EF" w:rsidRPr="004B3E05">
              <w:rPr>
                <w:rStyle w:val="Hyperlink"/>
                <w:rFonts w:ascii="Times New Roman" w:hAnsi="Times New Roman" w:cs="Times New Roman"/>
                <w:noProof/>
                <w:color w:val="auto"/>
                <w:sz w:val="24"/>
                <w:szCs w:val="24"/>
                <w:highlight w:val="white"/>
              </w:rPr>
              <w:t>Critically analyse the efficient market hypothesis theory in the context of your chosen multinational corporation’s operations</w:t>
            </w:r>
            <w:r w:rsidR="00C862EF" w:rsidRPr="004B3E05">
              <w:rPr>
                <w:rFonts w:ascii="Times New Roman" w:hAnsi="Times New Roman" w:cs="Times New Roman"/>
                <w:noProof/>
                <w:webHidden/>
                <w:sz w:val="24"/>
                <w:szCs w:val="24"/>
              </w:rPr>
              <w:tab/>
            </w:r>
            <w:r w:rsidR="00C862EF" w:rsidRPr="004B3E05">
              <w:rPr>
                <w:rFonts w:ascii="Times New Roman" w:hAnsi="Times New Roman" w:cs="Times New Roman"/>
                <w:noProof/>
                <w:webHidden/>
                <w:sz w:val="24"/>
                <w:szCs w:val="24"/>
              </w:rPr>
              <w:fldChar w:fldCharType="begin"/>
            </w:r>
            <w:r w:rsidR="00C862EF" w:rsidRPr="004B3E05">
              <w:rPr>
                <w:rFonts w:ascii="Times New Roman" w:hAnsi="Times New Roman" w:cs="Times New Roman"/>
                <w:noProof/>
                <w:webHidden/>
                <w:sz w:val="24"/>
                <w:szCs w:val="24"/>
              </w:rPr>
              <w:instrText xml:space="preserve"> PAGEREF _Toc101018004 \h </w:instrText>
            </w:r>
            <w:r w:rsidR="00C862EF" w:rsidRPr="004B3E05">
              <w:rPr>
                <w:rFonts w:ascii="Times New Roman" w:hAnsi="Times New Roman" w:cs="Times New Roman"/>
                <w:noProof/>
                <w:webHidden/>
                <w:sz w:val="24"/>
                <w:szCs w:val="24"/>
              </w:rPr>
            </w:r>
            <w:r w:rsidR="00C862EF" w:rsidRPr="004B3E05">
              <w:rPr>
                <w:rFonts w:ascii="Times New Roman" w:hAnsi="Times New Roman" w:cs="Times New Roman"/>
                <w:noProof/>
                <w:webHidden/>
                <w:sz w:val="24"/>
                <w:szCs w:val="24"/>
              </w:rPr>
              <w:fldChar w:fldCharType="separate"/>
            </w:r>
            <w:r w:rsidR="00202E35" w:rsidRPr="004B3E05">
              <w:rPr>
                <w:rFonts w:ascii="Times New Roman" w:hAnsi="Times New Roman" w:cs="Times New Roman"/>
                <w:noProof/>
                <w:webHidden/>
                <w:sz w:val="24"/>
                <w:szCs w:val="24"/>
              </w:rPr>
              <w:t>3</w:t>
            </w:r>
            <w:r w:rsidR="00C862EF" w:rsidRPr="004B3E05">
              <w:rPr>
                <w:rFonts w:ascii="Times New Roman" w:hAnsi="Times New Roman" w:cs="Times New Roman"/>
                <w:noProof/>
                <w:webHidden/>
                <w:sz w:val="24"/>
                <w:szCs w:val="24"/>
              </w:rPr>
              <w:fldChar w:fldCharType="end"/>
            </w:r>
          </w:hyperlink>
        </w:p>
        <w:p w14:paraId="4E77EE1B" w14:textId="5B610660" w:rsidR="00C862EF" w:rsidRPr="004B3E05" w:rsidRDefault="0073214A" w:rsidP="00C862EF">
          <w:pPr>
            <w:pStyle w:val="TOC1"/>
            <w:tabs>
              <w:tab w:val="right" w:leader="dot" w:pos="9350"/>
            </w:tabs>
            <w:spacing w:line="360" w:lineRule="auto"/>
            <w:jc w:val="both"/>
            <w:rPr>
              <w:rFonts w:ascii="Times New Roman" w:hAnsi="Times New Roman" w:cs="Times New Roman"/>
              <w:noProof/>
              <w:sz w:val="24"/>
              <w:szCs w:val="24"/>
            </w:rPr>
          </w:pPr>
          <w:hyperlink w:anchor="_Toc101018005" w:history="1">
            <w:r w:rsidR="00C862EF" w:rsidRPr="004B3E05">
              <w:rPr>
                <w:rStyle w:val="Hyperlink"/>
                <w:rFonts w:ascii="Times New Roman" w:hAnsi="Times New Roman" w:cs="Times New Roman"/>
                <w:noProof/>
                <w:color w:val="auto"/>
                <w:sz w:val="24"/>
                <w:szCs w:val="24"/>
                <w:highlight w:val="white"/>
              </w:rPr>
              <w:t>Critically analyse and evaluate your chosen multinational corporation’s methods of appraising projects.</w:t>
            </w:r>
            <w:r w:rsidR="00C862EF" w:rsidRPr="004B3E05">
              <w:rPr>
                <w:rFonts w:ascii="Times New Roman" w:hAnsi="Times New Roman" w:cs="Times New Roman"/>
                <w:noProof/>
                <w:webHidden/>
                <w:sz w:val="24"/>
                <w:szCs w:val="24"/>
              </w:rPr>
              <w:tab/>
            </w:r>
            <w:r w:rsidR="00C862EF" w:rsidRPr="004B3E05">
              <w:rPr>
                <w:rFonts w:ascii="Times New Roman" w:hAnsi="Times New Roman" w:cs="Times New Roman"/>
                <w:noProof/>
                <w:webHidden/>
                <w:sz w:val="24"/>
                <w:szCs w:val="24"/>
              </w:rPr>
              <w:fldChar w:fldCharType="begin"/>
            </w:r>
            <w:r w:rsidR="00C862EF" w:rsidRPr="004B3E05">
              <w:rPr>
                <w:rFonts w:ascii="Times New Roman" w:hAnsi="Times New Roman" w:cs="Times New Roman"/>
                <w:noProof/>
                <w:webHidden/>
                <w:sz w:val="24"/>
                <w:szCs w:val="24"/>
              </w:rPr>
              <w:instrText xml:space="preserve"> PAGEREF _Toc101018005 \h </w:instrText>
            </w:r>
            <w:r w:rsidR="00C862EF" w:rsidRPr="004B3E05">
              <w:rPr>
                <w:rFonts w:ascii="Times New Roman" w:hAnsi="Times New Roman" w:cs="Times New Roman"/>
                <w:noProof/>
                <w:webHidden/>
                <w:sz w:val="24"/>
                <w:szCs w:val="24"/>
              </w:rPr>
            </w:r>
            <w:r w:rsidR="00C862EF" w:rsidRPr="004B3E05">
              <w:rPr>
                <w:rFonts w:ascii="Times New Roman" w:hAnsi="Times New Roman" w:cs="Times New Roman"/>
                <w:noProof/>
                <w:webHidden/>
                <w:sz w:val="24"/>
                <w:szCs w:val="24"/>
              </w:rPr>
              <w:fldChar w:fldCharType="separate"/>
            </w:r>
            <w:r w:rsidR="00202E35" w:rsidRPr="004B3E05">
              <w:rPr>
                <w:rFonts w:ascii="Times New Roman" w:hAnsi="Times New Roman" w:cs="Times New Roman"/>
                <w:noProof/>
                <w:webHidden/>
                <w:sz w:val="24"/>
                <w:szCs w:val="24"/>
              </w:rPr>
              <w:t>4</w:t>
            </w:r>
            <w:r w:rsidR="00C862EF" w:rsidRPr="004B3E05">
              <w:rPr>
                <w:rFonts w:ascii="Times New Roman" w:hAnsi="Times New Roman" w:cs="Times New Roman"/>
                <w:noProof/>
                <w:webHidden/>
                <w:sz w:val="24"/>
                <w:szCs w:val="24"/>
              </w:rPr>
              <w:fldChar w:fldCharType="end"/>
            </w:r>
          </w:hyperlink>
        </w:p>
        <w:p w14:paraId="69F65AE5" w14:textId="344C774E" w:rsidR="00C862EF" w:rsidRPr="004B3E05" w:rsidRDefault="0073214A" w:rsidP="00C862EF">
          <w:pPr>
            <w:pStyle w:val="TOC1"/>
            <w:tabs>
              <w:tab w:val="right" w:leader="dot" w:pos="9350"/>
            </w:tabs>
            <w:spacing w:line="360" w:lineRule="auto"/>
            <w:jc w:val="both"/>
            <w:rPr>
              <w:rFonts w:ascii="Times New Roman" w:hAnsi="Times New Roman" w:cs="Times New Roman"/>
              <w:noProof/>
              <w:sz w:val="24"/>
              <w:szCs w:val="24"/>
            </w:rPr>
          </w:pPr>
          <w:hyperlink w:anchor="_Toc101018006" w:history="1">
            <w:r w:rsidR="00C862EF" w:rsidRPr="004B3E05">
              <w:rPr>
                <w:rStyle w:val="Hyperlink"/>
                <w:rFonts w:ascii="Times New Roman" w:hAnsi="Times New Roman" w:cs="Times New Roman"/>
                <w:noProof/>
                <w:color w:val="auto"/>
                <w:sz w:val="24"/>
                <w:szCs w:val="24"/>
                <w:highlight w:val="white"/>
              </w:rPr>
              <w:t>Conclusion</w:t>
            </w:r>
            <w:r w:rsidR="00C862EF" w:rsidRPr="004B3E05">
              <w:rPr>
                <w:rFonts w:ascii="Times New Roman" w:hAnsi="Times New Roman" w:cs="Times New Roman"/>
                <w:noProof/>
                <w:webHidden/>
                <w:sz w:val="24"/>
                <w:szCs w:val="24"/>
              </w:rPr>
              <w:tab/>
            </w:r>
            <w:r w:rsidR="00C862EF" w:rsidRPr="004B3E05">
              <w:rPr>
                <w:rFonts w:ascii="Times New Roman" w:hAnsi="Times New Roman" w:cs="Times New Roman"/>
                <w:noProof/>
                <w:webHidden/>
                <w:sz w:val="24"/>
                <w:szCs w:val="24"/>
              </w:rPr>
              <w:fldChar w:fldCharType="begin"/>
            </w:r>
            <w:r w:rsidR="00C862EF" w:rsidRPr="004B3E05">
              <w:rPr>
                <w:rFonts w:ascii="Times New Roman" w:hAnsi="Times New Roman" w:cs="Times New Roman"/>
                <w:noProof/>
                <w:webHidden/>
                <w:sz w:val="24"/>
                <w:szCs w:val="24"/>
              </w:rPr>
              <w:instrText xml:space="preserve"> PAGEREF _Toc101018006 \h </w:instrText>
            </w:r>
            <w:r w:rsidR="00C862EF" w:rsidRPr="004B3E05">
              <w:rPr>
                <w:rFonts w:ascii="Times New Roman" w:hAnsi="Times New Roman" w:cs="Times New Roman"/>
                <w:noProof/>
                <w:webHidden/>
                <w:sz w:val="24"/>
                <w:szCs w:val="24"/>
              </w:rPr>
            </w:r>
            <w:r w:rsidR="00C862EF" w:rsidRPr="004B3E05">
              <w:rPr>
                <w:rFonts w:ascii="Times New Roman" w:hAnsi="Times New Roman" w:cs="Times New Roman"/>
                <w:noProof/>
                <w:webHidden/>
                <w:sz w:val="24"/>
                <w:szCs w:val="24"/>
              </w:rPr>
              <w:fldChar w:fldCharType="separate"/>
            </w:r>
            <w:r w:rsidR="00202E35" w:rsidRPr="004B3E05">
              <w:rPr>
                <w:rFonts w:ascii="Times New Roman" w:hAnsi="Times New Roman" w:cs="Times New Roman"/>
                <w:noProof/>
                <w:webHidden/>
                <w:sz w:val="24"/>
                <w:szCs w:val="24"/>
              </w:rPr>
              <w:t>5</w:t>
            </w:r>
            <w:r w:rsidR="00C862EF" w:rsidRPr="004B3E05">
              <w:rPr>
                <w:rFonts w:ascii="Times New Roman" w:hAnsi="Times New Roman" w:cs="Times New Roman"/>
                <w:noProof/>
                <w:webHidden/>
                <w:sz w:val="24"/>
                <w:szCs w:val="24"/>
              </w:rPr>
              <w:fldChar w:fldCharType="end"/>
            </w:r>
          </w:hyperlink>
        </w:p>
        <w:p w14:paraId="2B0A0245" w14:textId="7EBC3DF8" w:rsidR="00C862EF" w:rsidRPr="004B3E05" w:rsidRDefault="0073214A" w:rsidP="00C862EF">
          <w:pPr>
            <w:pStyle w:val="TOC1"/>
            <w:tabs>
              <w:tab w:val="right" w:leader="dot" w:pos="9350"/>
            </w:tabs>
            <w:spacing w:line="360" w:lineRule="auto"/>
            <w:jc w:val="both"/>
            <w:rPr>
              <w:rFonts w:ascii="Times New Roman" w:hAnsi="Times New Roman" w:cs="Times New Roman"/>
              <w:noProof/>
              <w:sz w:val="24"/>
              <w:szCs w:val="24"/>
            </w:rPr>
          </w:pPr>
          <w:hyperlink w:anchor="_Toc101018007" w:history="1">
            <w:r w:rsidR="00C862EF" w:rsidRPr="004B3E05">
              <w:rPr>
                <w:rStyle w:val="Hyperlink"/>
                <w:rFonts w:ascii="Times New Roman" w:hAnsi="Times New Roman" w:cs="Times New Roman"/>
                <w:noProof/>
                <w:color w:val="auto"/>
                <w:sz w:val="24"/>
                <w:szCs w:val="24"/>
                <w:highlight w:val="white"/>
              </w:rPr>
              <w:t>References</w:t>
            </w:r>
            <w:r w:rsidR="00C862EF" w:rsidRPr="004B3E05">
              <w:rPr>
                <w:rFonts w:ascii="Times New Roman" w:hAnsi="Times New Roman" w:cs="Times New Roman"/>
                <w:noProof/>
                <w:webHidden/>
                <w:sz w:val="24"/>
                <w:szCs w:val="24"/>
              </w:rPr>
              <w:tab/>
            </w:r>
            <w:r w:rsidR="00C862EF" w:rsidRPr="004B3E05">
              <w:rPr>
                <w:rFonts w:ascii="Times New Roman" w:hAnsi="Times New Roman" w:cs="Times New Roman"/>
                <w:noProof/>
                <w:webHidden/>
                <w:sz w:val="24"/>
                <w:szCs w:val="24"/>
              </w:rPr>
              <w:fldChar w:fldCharType="begin"/>
            </w:r>
            <w:r w:rsidR="00C862EF" w:rsidRPr="004B3E05">
              <w:rPr>
                <w:rFonts w:ascii="Times New Roman" w:hAnsi="Times New Roman" w:cs="Times New Roman"/>
                <w:noProof/>
                <w:webHidden/>
                <w:sz w:val="24"/>
                <w:szCs w:val="24"/>
              </w:rPr>
              <w:instrText xml:space="preserve"> PAGEREF _Toc101018007 \h </w:instrText>
            </w:r>
            <w:r w:rsidR="00C862EF" w:rsidRPr="004B3E05">
              <w:rPr>
                <w:rFonts w:ascii="Times New Roman" w:hAnsi="Times New Roman" w:cs="Times New Roman"/>
                <w:noProof/>
                <w:webHidden/>
                <w:sz w:val="24"/>
                <w:szCs w:val="24"/>
              </w:rPr>
            </w:r>
            <w:r w:rsidR="00C862EF" w:rsidRPr="004B3E05">
              <w:rPr>
                <w:rFonts w:ascii="Times New Roman" w:hAnsi="Times New Roman" w:cs="Times New Roman"/>
                <w:noProof/>
                <w:webHidden/>
                <w:sz w:val="24"/>
                <w:szCs w:val="24"/>
              </w:rPr>
              <w:fldChar w:fldCharType="separate"/>
            </w:r>
            <w:r w:rsidR="00202E35" w:rsidRPr="004B3E05">
              <w:rPr>
                <w:rFonts w:ascii="Times New Roman" w:hAnsi="Times New Roman" w:cs="Times New Roman"/>
                <w:noProof/>
                <w:webHidden/>
                <w:sz w:val="24"/>
                <w:szCs w:val="24"/>
              </w:rPr>
              <w:t>6</w:t>
            </w:r>
            <w:r w:rsidR="00C862EF" w:rsidRPr="004B3E05">
              <w:rPr>
                <w:rFonts w:ascii="Times New Roman" w:hAnsi="Times New Roman" w:cs="Times New Roman"/>
                <w:noProof/>
                <w:webHidden/>
                <w:sz w:val="24"/>
                <w:szCs w:val="24"/>
              </w:rPr>
              <w:fldChar w:fldCharType="end"/>
            </w:r>
          </w:hyperlink>
        </w:p>
        <w:p w14:paraId="3138F6FC" w14:textId="17F6ACD7" w:rsidR="00C862EF" w:rsidRPr="004B3E05" w:rsidRDefault="00C862EF" w:rsidP="00C862EF">
          <w:pPr>
            <w:spacing w:line="360" w:lineRule="auto"/>
            <w:jc w:val="both"/>
          </w:pPr>
          <w:r w:rsidRPr="004B3E05">
            <w:rPr>
              <w:rFonts w:ascii="Times New Roman" w:hAnsi="Times New Roman" w:cs="Times New Roman"/>
              <w:b/>
              <w:bCs/>
              <w:noProof/>
              <w:sz w:val="24"/>
              <w:szCs w:val="24"/>
            </w:rPr>
            <w:fldChar w:fldCharType="end"/>
          </w:r>
        </w:p>
      </w:sdtContent>
    </w:sdt>
    <w:p w14:paraId="7B189A67" w14:textId="77777777" w:rsidR="00C862EF" w:rsidRPr="004B3E05" w:rsidRDefault="00C862EF">
      <w:pPr>
        <w:rPr>
          <w:rFonts w:ascii="Times New Roman" w:eastAsia="Times New Roman" w:hAnsi="Times New Roman" w:cs="Times New Roman"/>
          <w:b/>
          <w:sz w:val="28"/>
          <w:szCs w:val="28"/>
          <w:highlight w:val="white"/>
        </w:rPr>
      </w:pPr>
      <w:r w:rsidRPr="004B3E05">
        <w:rPr>
          <w:highlight w:val="white"/>
        </w:rPr>
        <w:br w:type="page"/>
      </w:r>
    </w:p>
    <w:p w14:paraId="00000002" w14:textId="0FAF3138" w:rsidR="00B9383E" w:rsidRDefault="00195DC8" w:rsidP="001C077C">
      <w:pPr>
        <w:pStyle w:val="Heading1"/>
        <w:jc w:val="center"/>
        <w:rPr>
          <w:color w:val="auto"/>
          <w:highlight w:val="white"/>
        </w:rPr>
      </w:pPr>
      <w:bookmarkStart w:id="0" w:name="_Toc101018002"/>
      <w:r w:rsidRPr="004B3E05">
        <w:rPr>
          <w:color w:val="auto"/>
          <w:highlight w:val="white"/>
        </w:rPr>
        <w:lastRenderedPageBreak/>
        <w:t>Introduction</w:t>
      </w:r>
      <w:bookmarkEnd w:id="0"/>
    </w:p>
    <w:p w14:paraId="4EFFF6CD" w14:textId="4CABFEEC" w:rsidR="001C077C" w:rsidRDefault="001C077C" w:rsidP="001C077C">
      <w:pPr>
        <w:rPr>
          <w:highlight w:val="white"/>
        </w:rPr>
      </w:pPr>
    </w:p>
    <w:p w14:paraId="7D5F8583" w14:textId="77777777" w:rsidR="001C077C" w:rsidRPr="001C077C" w:rsidRDefault="001C077C" w:rsidP="001C077C">
      <w:pPr>
        <w:rPr>
          <w:highlight w:val="white"/>
        </w:rPr>
      </w:pPr>
    </w:p>
    <w:p w14:paraId="00000003" w14:textId="631FF5AA" w:rsidR="00B9383E" w:rsidRDefault="00195DC8" w:rsidP="001C077C">
      <w:pPr>
        <w:spacing w:line="360" w:lineRule="auto"/>
        <w:ind w:firstLine="720"/>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International finance is mostly the research of the financial transitions that takes place between two or more nations. International finance mainly indicates over the dimensions such as “</w:t>
      </w:r>
      <w:r w:rsidRPr="004B3E05">
        <w:rPr>
          <w:rFonts w:ascii="Times New Roman" w:eastAsia="Times New Roman" w:hAnsi="Times New Roman" w:cs="Times New Roman"/>
          <w:b/>
          <w:i/>
          <w:sz w:val="24"/>
          <w:szCs w:val="24"/>
          <w:highlight w:val="white"/>
        </w:rPr>
        <w:t>currency exchange rates</w:t>
      </w:r>
      <w:r w:rsidRPr="004B3E05">
        <w:rPr>
          <w:rFonts w:ascii="Times New Roman" w:eastAsia="Times New Roman" w:hAnsi="Times New Roman" w:cs="Times New Roman"/>
          <w:sz w:val="24"/>
          <w:szCs w:val="24"/>
          <w:highlight w:val="white"/>
        </w:rPr>
        <w:t>” and “</w:t>
      </w:r>
      <w:r w:rsidRPr="004B3E05">
        <w:rPr>
          <w:rFonts w:ascii="Times New Roman" w:eastAsia="Times New Roman" w:hAnsi="Times New Roman" w:cs="Times New Roman"/>
          <w:b/>
          <w:i/>
          <w:sz w:val="24"/>
          <w:szCs w:val="24"/>
          <w:highlight w:val="white"/>
        </w:rPr>
        <w:t>foreign direct investment</w:t>
      </w:r>
      <w:r w:rsidRPr="004B3E05">
        <w:rPr>
          <w:rFonts w:ascii="Times New Roman" w:eastAsia="Times New Roman" w:hAnsi="Times New Roman" w:cs="Times New Roman"/>
          <w:sz w:val="24"/>
          <w:szCs w:val="24"/>
          <w:highlight w:val="white"/>
        </w:rPr>
        <w:t>”. Increased globalisation rates in the countries have exaggerated the significance of financial management. International finance mostly dispenses with the economic transactions between various nations “</w:t>
      </w:r>
      <w:r w:rsidRPr="004B3E05">
        <w:rPr>
          <w:rFonts w:ascii="Times New Roman" w:eastAsia="Times New Roman" w:hAnsi="Times New Roman" w:cs="Times New Roman"/>
          <w:b/>
          <w:i/>
          <w:sz w:val="24"/>
          <w:szCs w:val="24"/>
          <w:highlight w:val="white"/>
        </w:rPr>
        <w:t>rather than narrowly focusing on individual markets</w:t>
      </w:r>
      <w:r w:rsidRPr="004B3E05">
        <w:rPr>
          <w:rFonts w:ascii="Times New Roman" w:eastAsia="Times New Roman" w:hAnsi="Times New Roman" w:cs="Times New Roman"/>
          <w:sz w:val="24"/>
          <w:szCs w:val="24"/>
          <w:highlight w:val="white"/>
        </w:rPr>
        <w:t xml:space="preserve">”. This essay mainly aims to discuss the dividend distribution policy of the organisation Tesco PLC. The organisation Tesco PLC is a British multinational </w:t>
      </w:r>
      <w:r w:rsidR="00C862EF" w:rsidRPr="004B3E05">
        <w:rPr>
          <w:rFonts w:ascii="Times New Roman" w:eastAsia="Times New Roman" w:hAnsi="Times New Roman" w:cs="Times New Roman"/>
          <w:sz w:val="24"/>
          <w:szCs w:val="24"/>
          <w:highlight w:val="white"/>
        </w:rPr>
        <w:t>retail-based</w:t>
      </w:r>
      <w:r w:rsidRPr="004B3E05">
        <w:rPr>
          <w:rFonts w:ascii="Times New Roman" w:eastAsia="Times New Roman" w:hAnsi="Times New Roman" w:cs="Times New Roman"/>
          <w:sz w:val="24"/>
          <w:szCs w:val="24"/>
          <w:highlight w:val="white"/>
        </w:rPr>
        <w:t xml:space="preserve"> groceries and general merchandise headquartered in Welwyn Garden City, England. The organisation has achieved the third position among the global retail industries because of its huge revenue. The organisation Tesco PLC acquired a huge revenue of </w:t>
      </w:r>
      <w:r w:rsidRPr="004B3E05">
        <w:rPr>
          <w:rFonts w:ascii="Times New Roman" w:eastAsia="Times New Roman" w:hAnsi="Times New Roman" w:cs="Times New Roman"/>
          <w:b/>
          <w:i/>
          <w:sz w:val="24"/>
          <w:szCs w:val="24"/>
          <w:highlight w:val="white"/>
        </w:rPr>
        <w:t>57.887</w:t>
      </w:r>
      <w:r w:rsidRPr="004B3E05">
        <w:rPr>
          <w:rFonts w:ascii="Times New Roman" w:eastAsia="Times New Roman" w:hAnsi="Times New Roman" w:cs="Times New Roman"/>
          <w:sz w:val="24"/>
          <w:szCs w:val="24"/>
          <w:highlight w:val="white"/>
        </w:rPr>
        <w:t xml:space="preserve"> British pounds in the financial year 2021 (Tescoplc, 2022a). The organisation has potentially expanded its brand in the five nations across Europe such as Hungary, Ireland, Slovakia and Czech Republic and among all the grocery retailers in the country United Kingdom, Tesco PLC is the “market leader of the groceries” in the considered country, United Kingdom. This essay will also discuss the market hypothesis of the considered organisation Tesco PLC and its methods of appraising projects will also be discussed in this essay. Unlike other organisations Tesco PLC’S business operations have also faced certain financial challenges regarding “</w:t>
      </w:r>
      <w:r w:rsidRPr="004B3E05">
        <w:rPr>
          <w:rFonts w:ascii="Times New Roman" w:eastAsia="Times New Roman" w:hAnsi="Times New Roman" w:cs="Times New Roman"/>
          <w:b/>
          <w:i/>
          <w:sz w:val="24"/>
          <w:szCs w:val="24"/>
          <w:highlight w:val="white"/>
        </w:rPr>
        <w:t>tax rates, current and impending legislation, political instability, unemployment rate</w:t>
      </w:r>
      <w:r w:rsidRPr="004B3E05">
        <w:rPr>
          <w:rFonts w:ascii="Times New Roman" w:eastAsia="Times New Roman" w:hAnsi="Times New Roman" w:cs="Times New Roman"/>
          <w:sz w:val="24"/>
          <w:szCs w:val="24"/>
          <w:highlight w:val="white"/>
        </w:rPr>
        <w:t xml:space="preserve">” as well the current economic condition of the </w:t>
      </w:r>
      <w:r w:rsidR="00C862EF" w:rsidRPr="004B3E05">
        <w:rPr>
          <w:rFonts w:ascii="Times New Roman" w:eastAsia="Times New Roman" w:hAnsi="Times New Roman" w:cs="Times New Roman"/>
          <w:sz w:val="24"/>
          <w:szCs w:val="24"/>
          <w:highlight w:val="white"/>
        </w:rPr>
        <w:t>country United</w:t>
      </w:r>
      <w:r w:rsidRPr="004B3E05">
        <w:rPr>
          <w:rFonts w:ascii="Times New Roman" w:eastAsia="Times New Roman" w:hAnsi="Times New Roman" w:cs="Times New Roman"/>
          <w:sz w:val="24"/>
          <w:szCs w:val="24"/>
          <w:highlight w:val="white"/>
        </w:rPr>
        <w:t xml:space="preserve"> Kingdom. </w:t>
      </w:r>
    </w:p>
    <w:p w14:paraId="235C476A" w14:textId="77777777" w:rsidR="001C077C" w:rsidRPr="004B3E05" w:rsidRDefault="001C077C" w:rsidP="00377259">
      <w:pPr>
        <w:spacing w:line="360" w:lineRule="auto"/>
        <w:jc w:val="both"/>
        <w:rPr>
          <w:rFonts w:ascii="Times New Roman" w:eastAsia="Times New Roman" w:hAnsi="Times New Roman" w:cs="Times New Roman"/>
          <w:sz w:val="24"/>
          <w:szCs w:val="24"/>
          <w:highlight w:val="white"/>
        </w:rPr>
      </w:pPr>
    </w:p>
    <w:p w14:paraId="00000004" w14:textId="624E6F99" w:rsidR="00B9383E" w:rsidRDefault="00195DC8" w:rsidP="001C077C">
      <w:pPr>
        <w:pStyle w:val="Heading1"/>
        <w:jc w:val="center"/>
        <w:rPr>
          <w:color w:val="auto"/>
          <w:highlight w:val="white"/>
        </w:rPr>
      </w:pPr>
      <w:bookmarkStart w:id="1" w:name="_Toc101018003"/>
      <w:r w:rsidRPr="004B3E05">
        <w:rPr>
          <w:color w:val="auto"/>
          <w:highlight w:val="white"/>
        </w:rPr>
        <w:t>Critically analyse and evaluate your chosen multinational corporation’s dividend distribution policy</w:t>
      </w:r>
      <w:bookmarkEnd w:id="1"/>
    </w:p>
    <w:p w14:paraId="761C36F7" w14:textId="77777777" w:rsidR="001C077C" w:rsidRPr="001C077C" w:rsidRDefault="001C077C" w:rsidP="001C077C">
      <w:pPr>
        <w:rPr>
          <w:highlight w:val="white"/>
        </w:rPr>
      </w:pPr>
    </w:p>
    <w:p w14:paraId="00000005" w14:textId="26A78926" w:rsidR="00B9383E" w:rsidRDefault="00195DC8" w:rsidP="001C077C">
      <w:pPr>
        <w:spacing w:line="360" w:lineRule="auto"/>
        <w:ind w:firstLine="720"/>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 xml:space="preserve">As stated by the authors Jaara </w:t>
      </w:r>
      <w:r w:rsidRPr="004B3E05">
        <w:rPr>
          <w:rFonts w:ascii="Times New Roman" w:eastAsia="Times New Roman" w:hAnsi="Times New Roman" w:cs="Times New Roman"/>
          <w:i/>
          <w:sz w:val="24"/>
          <w:szCs w:val="24"/>
          <w:highlight w:val="white"/>
        </w:rPr>
        <w:t>et al</w:t>
      </w:r>
      <w:r w:rsidRPr="004B3E05">
        <w:rPr>
          <w:rFonts w:ascii="Times New Roman" w:eastAsia="Times New Roman" w:hAnsi="Times New Roman" w:cs="Times New Roman"/>
          <w:sz w:val="24"/>
          <w:szCs w:val="24"/>
          <w:highlight w:val="white"/>
        </w:rPr>
        <w:t>. (2018) dividend policy are mostly the payments that are made out of organisation’s profit and the payments are mostly made to the individuals who possess the “</w:t>
      </w:r>
      <w:r w:rsidRPr="004B3E05">
        <w:rPr>
          <w:rFonts w:ascii="Times New Roman" w:eastAsia="Times New Roman" w:hAnsi="Times New Roman" w:cs="Times New Roman"/>
          <w:b/>
          <w:i/>
          <w:sz w:val="24"/>
          <w:szCs w:val="24"/>
          <w:highlight w:val="white"/>
        </w:rPr>
        <w:t>shares on the Recorded dated</w:t>
      </w:r>
      <w:r w:rsidRPr="004B3E05">
        <w:rPr>
          <w:rFonts w:ascii="Times New Roman" w:eastAsia="Times New Roman" w:hAnsi="Times New Roman" w:cs="Times New Roman"/>
          <w:sz w:val="24"/>
          <w:szCs w:val="24"/>
          <w:highlight w:val="white"/>
        </w:rPr>
        <w:t>”. The prevalence of payments done through payments are mostly determined by organisation’s dividend policies and the “amount paid per share” depends on the “</w:t>
      </w:r>
      <w:r w:rsidRPr="004B3E05">
        <w:rPr>
          <w:rFonts w:ascii="Times New Roman" w:eastAsia="Times New Roman" w:hAnsi="Times New Roman" w:cs="Times New Roman"/>
          <w:b/>
          <w:i/>
          <w:sz w:val="24"/>
          <w:szCs w:val="24"/>
          <w:highlight w:val="white"/>
        </w:rPr>
        <w:t>number of shares</w:t>
      </w:r>
      <w:r w:rsidRPr="004B3E05">
        <w:rPr>
          <w:rFonts w:ascii="Times New Roman" w:eastAsia="Times New Roman" w:hAnsi="Times New Roman" w:cs="Times New Roman"/>
          <w:sz w:val="24"/>
          <w:szCs w:val="24"/>
          <w:highlight w:val="white"/>
        </w:rPr>
        <w:t>” that are taken over by the shareholders generally at the “</w:t>
      </w:r>
      <w:r w:rsidRPr="004B3E05">
        <w:rPr>
          <w:rFonts w:ascii="Times New Roman" w:eastAsia="Times New Roman" w:hAnsi="Times New Roman" w:cs="Times New Roman"/>
          <w:b/>
          <w:i/>
          <w:sz w:val="24"/>
          <w:szCs w:val="24"/>
          <w:highlight w:val="white"/>
        </w:rPr>
        <w:t>Recorded date</w:t>
      </w:r>
      <w:r w:rsidRPr="004B3E05">
        <w:rPr>
          <w:rFonts w:ascii="Times New Roman" w:eastAsia="Times New Roman" w:hAnsi="Times New Roman" w:cs="Times New Roman"/>
          <w:sz w:val="24"/>
          <w:szCs w:val="24"/>
          <w:highlight w:val="white"/>
        </w:rPr>
        <w:t xml:space="preserve">”. The organisation Tesco PLC often clear its dividends through cash or by its </w:t>
      </w:r>
      <w:r w:rsidRPr="004B3E05">
        <w:rPr>
          <w:rFonts w:ascii="Times New Roman" w:eastAsia="Times New Roman" w:hAnsi="Times New Roman" w:cs="Times New Roman"/>
          <w:sz w:val="24"/>
          <w:szCs w:val="24"/>
          <w:highlight w:val="white"/>
        </w:rPr>
        <w:lastRenderedPageBreak/>
        <w:t xml:space="preserve">shares. In order to clear all its dividends within the allocated time period, </w:t>
      </w:r>
      <w:r w:rsidR="00C862EF" w:rsidRPr="004B3E05">
        <w:rPr>
          <w:rFonts w:ascii="Times New Roman" w:eastAsia="Times New Roman" w:hAnsi="Times New Roman" w:cs="Times New Roman"/>
          <w:sz w:val="24"/>
          <w:szCs w:val="24"/>
          <w:highlight w:val="white"/>
        </w:rPr>
        <w:t>Tesco</w:t>
      </w:r>
      <w:r w:rsidRPr="004B3E05">
        <w:rPr>
          <w:rFonts w:ascii="Times New Roman" w:eastAsia="Times New Roman" w:hAnsi="Times New Roman" w:cs="Times New Roman"/>
          <w:sz w:val="24"/>
          <w:szCs w:val="24"/>
          <w:highlight w:val="white"/>
        </w:rPr>
        <w:t xml:space="preserve"> PLC </w:t>
      </w:r>
      <w:r w:rsidR="00C862EF" w:rsidRPr="004B3E05">
        <w:rPr>
          <w:rFonts w:ascii="Times New Roman" w:eastAsia="Times New Roman" w:hAnsi="Times New Roman" w:cs="Times New Roman"/>
          <w:sz w:val="24"/>
          <w:szCs w:val="24"/>
          <w:highlight w:val="white"/>
        </w:rPr>
        <w:t xml:space="preserve">consults </w:t>
      </w:r>
      <w:r w:rsidR="00C862EF" w:rsidRPr="004B3E05">
        <w:rPr>
          <w:sz w:val="24"/>
          <w:szCs w:val="24"/>
          <w:highlight w:val="white"/>
        </w:rPr>
        <w:t>“</w:t>
      </w:r>
      <w:r w:rsidRPr="004B3E05">
        <w:rPr>
          <w:rFonts w:ascii="Times New Roman" w:eastAsia="Times New Roman" w:hAnsi="Times New Roman" w:cs="Times New Roman"/>
          <w:b/>
          <w:i/>
          <w:sz w:val="24"/>
          <w:szCs w:val="24"/>
          <w:highlight w:val="white"/>
        </w:rPr>
        <w:t>London Stock Exchange Dividend Procedure Timetable</w:t>
      </w:r>
      <w:r w:rsidR="00C862EF" w:rsidRPr="004B3E05">
        <w:rPr>
          <w:rFonts w:ascii="Times New Roman" w:eastAsia="Times New Roman" w:hAnsi="Times New Roman" w:cs="Times New Roman"/>
          <w:sz w:val="24"/>
          <w:szCs w:val="24"/>
          <w:highlight w:val="white"/>
        </w:rPr>
        <w:t>”</w:t>
      </w:r>
      <w:r w:rsidRPr="004B3E05">
        <w:rPr>
          <w:rFonts w:ascii="Times New Roman" w:eastAsia="Times New Roman" w:hAnsi="Times New Roman" w:cs="Times New Roman"/>
          <w:sz w:val="24"/>
          <w:szCs w:val="24"/>
          <w:highlight w:val="white"/>
        </w:rPr>
        <w:t xml:space="preserve"> to determine which shares are sold or paid without any entitlement towards the dividend payments that are going to clear in the coming days (Tescoplc, 2022b). Depending on the determined date of the payment</w:t>
      </w:r>
      <w:r w:rsidRPr="004B3E05">
        <w:rPr>
          <w:rFonts w:ascii="Times New Roman" w:eastAsia="Times New Roman" w:hAnsi="Times New Roman" w:cs="Times New Roman"/>
          <w:b/>
          <w:i/>
          <w:sz w:val="24"/>
          <w:szCs w:val="24"/>
          <w:highlight w:val="white"/>
        </w:rPr>
        <w:t xml:space="preserve">, </w:t>
      </w:r>
      <w:r w:rsidRPr="004B3E05">
        <w:rPr>
          <w:rFonts w:ascii="Times New Roman" w:eastAsia="Times New Roman" w:hAnsi="Times New Roman" w:cs="Times New Roman"/>
          <w:sz w:val="24"/>
          <w:szCs w:val="24"/>
          <w:highlight w:val="white"/>
        </w:rPr>
        <w:t>the organisation tries to clear its ex-dividends before the “</w:t>
      </w:r>
      <w:r w:rsidRPr="004B3E05">
        <w:rPr>
          <w:rFonts w:ascii="Times New Roman" w:eastAsia="Times New Roman" w:hAnsi="Times New Roman" w:cs="Times New Roman"/>
          <w:b/>
          <w:i/>
          <w:sz w:val="24"/>
          <w:szCs w:val="24"/>
          <w:highlight w:val="white"/>
        </w:rPr>
        <w:t>business day preceding the record date</w:t>
      </w:r>
      <w:r w:rsidRPr="004B3E05">
        <w:rPr>
          <w:rFonts w:ascii="Times New Roman" w:eastAsia="Times New Roman" w:hAnsi="Times New Roman" w:cs="Times New Roman"/>
          <w:sz w:val="24"/>
          <w:szCs w:val="24"/>
          <w:highlight w:val="white"/>
        </w:rPr>
        <w:t>”. The organisation generally clears all its dividends by directly transferring the amount to the shareholders account or by creating</w:t>
      </w:r>
      <w:r w:rsidR="00C862EF" w:rsidRPr="004B3E05">
        <w:rPr>
          <w:rFonts w:ascii="Times New Roman" w:eastAsia="Times New Roman" w:hAnsi="Times New Roman" w:cs="Times New Roman"/>
          <w:sz w:val="24"/>
          <w:szCs w:val="24"/>
          <w:highlight w:val="white"/>
        </w:rPr>
        <w:t xml:space="preserve"> </w:t>
      </w:r>
      <w:r w:rsidRPr="004B3E05">
        <w:rPr>
          <w:rFonts w:ascii="Times New Roman" w:eastAsia="Times New Roman" w:hAnsi="Times New Roman" w:cs="Times New Roman"/>
          <w:sz w:val="24"/>
          <w:szCs w:val="24"/>
          <w:highlight w:val="white"/>
        </w:rPr>
        <w:t>a “</w:t>
      </w:r>
      <w:r w:rsidRPr="004B3E05">
        <w:rPr>
          <w:rFonts w:ascii="Times New Roman" w:eastAsia="Times New Roman" w:hAnsi="Times New Roman" w:cs="Times New Roman"/>
          <w:b/>
          <w:i/>
          <w:sz w:val="24"/>
          <w:szCs w:val="24"/>
          <w:highlight w:val="white"/>
        </w:rPr>
        <w:t>society account</w:t>
      </w:r>
      <w:r w:rsidRPr="004B3E05">
        <w:rPr>
          <w:rFonts w:ascii="Times New Roman" w:eastAsia="Times New Roman" w:hAnsi="Times New Roman" w:cs="Times New Roman"/>
          <w:sz w:val="24"/>
          <w:szCs w:val="24"/>
          <w:highlight w:val="white"/>
        </w:rPr>
        <w:t xml:space="preserve">”. Sudden outbreak of the pandemic has created major uncertainty in the business operations of the retail sectors in the country UK. Unlike other retail organisations like Sainsbury and Morrison, Tesco has also faced financial challenges while clearing its </w:t>
      </w:r>
      <w:r w:rsidRPr="004B3E05">
        <w:rPr>
          <w:rFonts w:ascii="Times New Roman" w:eastAsia="Times New Roman" w:hAnsi="Times New Roman" w:cs="Times New Roman"/>
          <w:b/>
          <w:i/>
          <w:sz w:val="24"/>
          <w:szCs w:val="24"/>
          <w:highlight w:val="white"/>
        </w:rPr>
        <w:t xml:space="preserve">taxes </w:t>
      </w:r>
      <w:r w:rsidRPr="004B3E05">
        <w:rPr>
          <w:rFonts w:ascii="Times New Roman" w:eastAsia="Times New Roman" w:hAnsi="Times New Roman" w:cs="Times New Roman"/>
          <w:sz w:val="24"/>
          <w:szCs w:val="24"/>
          <w:highlight w:val="white"/>
        </w:rPr>
        <w:t xml:space="preserve">and </w:t>
      </w:r>
      <w:r w:rsidRPr="004B3E05">
        <w:rPr>
          <w:rFonts w:ascii="Times New Roman" w:eastAsia="Times New Roman" w:hAnsi="Times New Roman" w:cs="Times New Roman"/>
          <w:b/>
          <w:i/>
          <w:sz w:val="24"/>
          <w:szCs w:val="24"/>
          <w:highlight w:val="white"/>
        </w:rPr>
        <w:t>dividends</w:t>
      </w:r>
      <w:r w:rsidRPr="004B3E05">
        <w:rPr>
          <w:rFonts w:ascii="Times New Roman" w:eastAsia="Times New Roman" w:hAnsi="Times New Roman" w:cs="Times New Roman"/>
          <w:sz w:val="24"/>
          <w:szCs w:val="24"/>
          <w:highlight w:val="white"/>
        </w:rPr>
        <w:t xml:space="preserve"> at the second quarter of financial year 2020. Investors of the organisation Tesco PLC suggested the firm to develop a “</w:t>
      </w:r>
      <w:r w:rsidRPr="004B3E05">
        <w:rPr>
          <w:rFonts w:ascii="Times New Roman" w:eastAsia="Times New Roman" w:hAnsi="Times New Roman" w:cs="Times New Roman"/>
          <w:b/>
          <w:i/>
          <w:sz w:val="24"/>
          <w:szCs w:val="24"/>
          <w:highlight w:val="white"/>
        </w:rPr>
        <w:t>Dividend Reinvestment plan</w:t>
      </w:r>
      <w:r w:rsidRPr="004B3E05">
        <w:rPr>
          <w:rFonts w:ascii="Times New Roman" w:eastAsia="Times New Roman" w:hAnsi="Times New Roman" w:cs="Times New Roman"/>
          <w:sz w:val="24"/>
          <w:szCs w:val="24"/>
          <w:highlight w:val="white"/>
        </w:rPr>
        <w:t>” and accordingly sent a cheque to the shareholders in their registered address. Investors of Tesco PLC have suggested focusing more on paying the shareholders by transferring the amount in their respective bank accounts or by creating a “</w:t>
      </w:r>
      <w:r w:rsidRPr="004B3E05">
        <w:rPr>
          <w:rFonts w:ascii="Times New Roman" w:eastAsia="Times New Roman" w:hAnsi="Times New Roman" w:cs="Times New Roman"/>
          <w:b/>
          <w:i/>
          <w:sz w:val="24"/>
          <w:szCs w:val="24"/>
          <w:highlight w:val="white"/>
        </w:rPr>
        <w:t>society account through the BACS system</w:t>
      </w:r>
      <w:r w:rsidRPr="004B3E05">
        <w:rPr>
          <w:rFonts w:ascii="Times New Roman" w:eastAsia="Times New Roman" w:hAnsi="Times New Roman" w:cs="Times New Roman"/>
          <w:sz w:val="24"/>
          <w:szCs w:val="24"/>
          <w:highlight w:val="white"/>
        </w:rPr>
        <w:t xml:space="preserve">”. As per the view of the authors Howard </w:t>
      </w:r>
      <w:r w:rsidRPr="004B3E05">
        <w:rPr>
          <w:rFonts w:ascii="Times New Roman" w:eastAsia="Times New Roman" w:hAnsi="Times New Roman" w:cs="Times New Roman"/>
          <w:i/>
          <w:sz w:val="24"/>
          <w:szCs w:val="24"/>
          <w:highlight w:val="white"/>
        </w:rPr>
        <w:t>et al</w:t>
      </w:r>
      <w:r w:rsidRPr="004B3E05">
        <w:rPr>
          <w:rFonts w:ascii="Times New Roman" w:eastAsia="Times New Roman" w:hAnsi="Times New Roman" w:cs="Times New Roman"/>
          <w:sz w:val="24"/>
          <w:szCs w:val="24"/>
          <w:highlight w:val="white"/>
        </w:rPr>
        <w:t xml:space="preserve">. (2018), following the BACS methods of paying dividends the payment procedures have become convenient and fast, checks are not being stolen or getting lost in the procedure, the organisation has observed reduction in its fraud risks, and the procedure has also enhanced less consumption of paper. Shareholders potentially receive the updates regarding the dividends that have been created in their respective accounts and the procedure has become very </w:t>
      </w:r>
      <w:r w:rsidR="00C862EF" w:rsidRPr="004B3E05">
        <w:rPr>
          <w:rFonts w:ascii="Times New Roman" w:eastAsia="Times New Roman" w:hAnsi="Times New Roman" w:cs="Times New Roman"/>
          <w:sz w:val="24"/>
          <w:szCs w:val="24"/>
          <w:highlight w:val="white"/>
        </w:rPr>
        <w:t>hassle-free</w:t>
      </w:r>
      <w:r w:rsidRPr="004B3E05">
        <w:rPr>
          <w:rFonts w:ascii="Times New Roman" w:eastAsia="Times New Roman" w:hAnsi="Times New Roman" w:cs="Times New Roman"/>
          <w:sz w:val="24"/>
          <w:szCs w:val="24"/>
          <w:highlight w:val="white"/>
        </w:rPr>
        <w:t xml:space="preserve"> for the considered organisation Tesco PLC. Finally</w:t>
      </w:r>
      <w:r w:rsidR="00C862EF" w:rsidRPr="004B3E05">
        <w:rPr>
          <w:rFonts w:ascii="Times New Roman" w:eastAsia="Times New Roman" w:hAnsi="Times New Roman" w:cs="Times New Roman"/>
          <w:sz w:val="24"/>
          <w:szCs w:val="24"/>
          <w:highlight w:val="white"/>
        </w:rPr>
        <w:t>,</w:t>
      </w:r>
      <w:r w:rsidRPr="004B3E05">
        <w:rPr>
          <w:rFonts w:ascii="Times New Roman" w:eastAsia="Times New Roman" w:hAnsi="Times New Roman" w:cs="Times New Roman"/>
          <w:sz w:val="24"/>
          <w:szCs w:val="24"/>
          <w:highlight w:val="white"/>
        </w:rPr>
        <w:t xml:space="preserve"> Tesco PLC updates its “</w:t>
      </w:r>
      <w:r w:rsidRPr="004B3E05">
        <w:rPr>
          <w:rFonts w:ascii="Times New Roman" w:eastAsia="Times New Roman" w:hAnsi="Times New Roman" w:cs="Times New Roman"/>
          <w:b/>
          <w:i/>
          <w:sz w:val="24"/>
          <w:szCs w:val="24"/>
          <w:highlight w:val="white"/>
        </w:rPr>
        <w:t>dividend instructions</w:t>
      </w:r>
      <w:r w:rsidRPr="004B3E05">
        <w:rPr>
          <w:rFonts w:ascii="Times New Roman" w:eastAsia="Times New Roman" w:hAnsi="Times New Roman" w:cs="Times New Roman"/>
          <w:sz w:val="24"/>
          <w:szCs w:val="24"/>
          <w:highlight w:val="white"/>
        </w:rPr>
        <w:t>” by completing all the procedures of a “</w:t>
      </w:r>
      <w:r w:rsidRPr="004B3E05">
        <w:rPr>
          <w:rFonts w:ascii="Times New Roman" w:eastAsia="Times New Roman" w:hAnsi="Times New Roman" w:cs="Times New Roman"/>
          <w:b/>
          <w:i/>
          <w:sz w:val="24"/>
          <w:szCs w:val="24"/>
          <w:highlight w:val="white"/>
        </w:rPr>
        <w:t>bank mandate form</w:t>
      </w:r>
      <w:r w:rsidRPr="004B3E05">
        <w:rPr>
          <w:rFonts w:ascii="Times New Roman" w:eastAsia="Times New Roman" w:hAnsi="Times New Roman" w:cs="Times New Roman"/>
          <w:sz w:val="24"/>
          <w:szCs w:val="24"/>
          <w:highlight w:val="white"/>
        </w:rPr>
        <w:t>” (Tescoplc, 2022b). The organisation has potentially overcome its financial challenges through its “</w:t>
      </w:r>
      <w:r w:rsidRPr="004B3E05">
        <w:rPr>
          <w:rFonts w:ascii="Times New Roman" w:eastAsia="Times New Roman" w:hAnsi="Times New Roman" w:cs="Times New Roman"/>
          <w:b/>
          <w:i/>
          <w:sz w:val="24"/>
          <w:szCs w:val="24"/>
          <w:highlight w:val="white"/>
        </w:rPr>
        <w:t>Dividend Reinvestment Plan</w:t>
      </w:r>
      <w:r w:rsidRPr="004B3E05">
        <w:rPr>
          <w:rFonts w:ascii="Times New Roman" w:eastAsia="Times New Roman" w:hAnsi="Times New Roman" w:cs="Times New Roman"/>
          <w:sz w:val="24"/>
          <w:szCs w:val="24"/>
          <w:highlight w:val="white"/>
        </w:rPr>
        <w:t xml:space="preserve">”, this plan has allowed the organisation to reinvest in its cash dividends. </w:t>
      </w:r>
    </w:p>
    <w:p w14:paraId="121CB295" w14:textId="77777777" w:rsidR="001C077C" w:rsidRPr="004B3E05" w:rsidRDefault="001C077C" w:rsidP="001C077C">
      <w:pPr>
        <w:spacing w:line="360" w:lineRule="auto"/>
        <w:ind w:firstLine="720"/>
        <w:jc w:val="both"/>
        <w:rPr>
          <w:rFonts w:ascii="Times New Roman" w:eastAsia="Times New Roman" w:hAnsi="Times New Roman" w:cs="Times New Roman"/>
          <w:sz w:val="24"/>
          <w:szCs w:val="24"/>
          <w:highlight w:val="white"/>
        </w:rPr>
      </w:pPr>
    </w:p>
    <w:p w14:paraId="00000006" w14:textId="28D8E500" w:rsidR="00B9383E" w:rsidRDefault="00195DC8" w:rsidP="001C077C">
      <w:pPr>
        <w:pStyle w:val="Heading1"/>
        <w:jc w:val="center"/>
        <w:rPr>
          <w:color w:val="auto"/>
          <w:highlight w:val="white"/>
        </w:rPr>
      </w:pPr>
      <w:bookmarkStart w:id="2" w:name="_Toc101018004"/>
      <w:r w:rsidRPr="004B3E05">
        <w:rPr>
          <w:color w:val="auto"/>
          <w:highlight w:val="white"/>
        </w:rPr>
        <w:t>Critically analyse the efficient market hypothesis theory in the context of your chosen multinational corporation’s operations</w:t>
      </w:r>
      <w:bookmarkEnd w:id="2"/>
    </w:p>
    <w:p w14:paraId="23D5F616" w14:textId="77777777" w:rsidR="001C077C" w:rsidRPr="001C077C" w:rsidRDefault="001C077C" w:rsidP="001C077C">
      <w:pPr>
        <w:rPr>
          <w:highlight w:val="white"/>
        </w:rPr>
      </w:pPr>
    </w:p>
    <w:p w14:paraId="244996EE" w14:textId="20CF45D3" w:rsidR="001C077C" w:rsidRDefault="00195DC8" w:rsidP="001C077C">
      <w:pPr>
        <w:spacing w:line="360" w:lineRule="auto"/>
        <w:ind w:firstLine="720"/>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w:t>
      </w:r>
      <w:r w:rsidRPr="004B3E05">
        <w:rPr>
          <w:rFonts w:ascii="Times New Roman" w:eastAsia="Times New Roman" w:hAnsi="Times New Roman" w:cs="Times New Roman"/>
          <w:b/>
          <w:i/>
          <w:sz w:val="24"/>
          <w:szCs w:val="24"/>
          <w:highlight w:val="white"/>
        </w:rPr>
        <w:t>Efficient market hypothesis</w:t>
      </w:r>
      <w:r w:rsidRPr="004B3E05">
        <w:rPr>
          <w:rFonts w:ascii="Times New Roman" w:eastAsia="Times New Roman" w:hAnsi="Times New Roman" w:cs="Times New Roman"/>
          <w:sz w:val="24"/>
          <w:szCs w:val="24"/>
          <w:highlight w:val="white"/>
        </w:rPr>
        <w:t>” also known as “</w:t>
      </w:r>
      <w:r w:rsidRPr="004B3E05">
        <w:rPr>
          <w:rFonts w:ascii="Times New Roman" w:eastAsia="Times New Roman" w:hAnsi="Times New Roman" w:cs="Times New Roman"/>
          <w:b/>
          <w:i/>
          <w:sz w:val="24"/>
          <w:szCs w:val="24"/>
          <w:highlight w:val="white"/>
        </w:rPr>
        <w:t>efficient market theory</w:t>
      </w:r>
      <w:r w:rsidRPr="004B3E05">
        <w:rPr>
          <w:rFonts w:ascii="Times New Roman" w:eastAsia="Times New Roman" w:hAnsi="Times New Roman" w:cs="Times New Roman"/>
          <w:sz w:val="24"/>
          <w:szCs w:val="24"/>
          <w:highlight w:val="white"/>
        </w:rPr>
        <w:t>” is mostly a hypothesis that elaborates that the “</w:t>
      </w:r>
      <w:r w:rsidRPr="004B3E05">
        <w:rPr>
          <w:rFonts w:ascii="Times New Roman" w:eastAsia="Times New Roman" w:hAnsi="Times New Roman" w:cs="Times New Roman"/>
          <w:b/>
          <w:i/>
          <w:sz w:val="24"/>
          <w:szCs w:val="24"/>
          <w:highlight w:val="white"/>
        </w:rPr>
        <w:t xml:space="preserve">share prices </w:t>
      </w:r>
      <w:r w:rsidR="00C862EF" w:rsidRPr="004B3E05">
        <w:rPr>
          <w:rFonts w:ascii="Times New Roman" w:eastAsia="Times New Roman" w:hAnsi="Times New Roman" w:cs="Times New Roman"/>
          <w:b/>
          <w:i/>
          <w:sz w:val="24"/>
          <w:szCs w:val="24"/>
          <w:highlight w:val="white"/>
        </w:rPr>
        <w:t>reflect</w:t>
      </w:r>
      <w:r w:rsidRPr="004B3E05">
        <w:rPr>
          <w:rFonts w:ascii="Times New Roman" w:eastAsia="Times New Roman" w:hAnsi="Times New Roman" w:cs="Times New Roman"/>
          <w:sz w:val="24"/>
          <w:szCs w:val="24"/>
          <w:highlight w:val="white"/>
        </w:rPr>
        <w:t xml:space="preserve">” all the necessary information about the organisation's stock market. As per the view of the authors Rossi and Gunardi </w:t>
      </w:r>
      <w:r w:rsidR="00C862EF" w:rsidRPr="004B3E05">
        <w:rPr>
          <w:rFonts w:ascii="Times New Roman" w:eastAsia="Times New Roman" w:hAnsi="Times New Roman" w:cs="Times New Roman"/>
          <w:sz w:val="24"/>
          <w:szCs w:val="24"/>
          <w:highlight w:val="white"/>
        </w:rPr>
        <w:t>(2018)</w:t>
      </w:r>
      <w:r w:rsidR="00AA07E8">
        <w:rPr>
          <w:rFonts w:ascii="Times New Roman" w:eastAsia="Times New Roman" w:hAnsi="Times New Roman" w:cs="Times New Roman"/>
          <w:sz w:val="24"/>
          <w:szCs w:val="24"/>
          <w:highlight w:val="white"/>
        </w:rPr>
        <w:t>,</w:t>
      </w:r>
      <w:r w:rsidRPr="004B3E05">
        <w:rPr>
          <w:rFonts w:ascii="Times New Roman" w:eastAsia="Times New Roman" w:hAnsi="Times New Roman" w:cs="Times New Roman"/>
          <w:sz w:val="24"/>
          <w:szCs w:val="24"/>
          <w:highlight w:val="white"/>
        </w:rPr>
        <w:t xml:space="preserve"> most of the time “</w:t>
      </w:r>
      <w:r w:rsidRPr="004B3E05">
        <w:rPr>
          <w:rFonts w:ascii="Times New Roman" w:eastAsia="Times New Roman" w:hAnsi="Times New Roman" w:cs="Times New Roman"/>
          <w:b/>
          <w:i/>
          <w:sz w:val="24"/>
          <w:szCs w:val="24"/>
          <w:highlight w:val="white"/>
        </w:rPr>
        <w:t>stock always trades</w:t>
      </w:r>
      <w:r w:rsidRPr="004B3E05">
        <w:rPr>
          <w:rFonts w:ascii="Times New Roman" w:eastAsia="Times New Roman" w:hAnsi="Times New Roman" w:cs="Times New Roman"/>
          <w:sz w:val="24"/>
          <w:szCs w:val="24"/>
          <w:highlight w:val="white"/>
        </w:rPr>
        <w:t>” at its “</w:t>
      </w:r>
      <w:r w:rsidRPr="004B3E05">
        <w:rPr>
          <w:rFonts w:ascii="Times New Roman" w:eastAsia="Times New Roman" w:hAnsi="Times New Roman" w:cs="Times New Roman"/>
          <w:b/>
          <w:i/>
          <w:sz w:val="24"/>
          <w:szCs w:val="24"/>
          <w:highlight w:val="white"/>
        </w:rPr>
        <w:t>fair value on the exchanges</w:t>
      </w:r>
      <w:r w:rsidRPr="004B3E05">
        <w:rPr>
          <w:rFonts w:ascii="Times New Roman" w:eastAsia="Times New Roman" w:hAnsi="Times New Roman" w:cs="Times New Roman"/>
          <w:sz w:val="24"/>
          <w:szCs w:val="24"/>
          <w:highlight w:val="white"/>
        </w:rPr>
        <w:t xml:space="preserve">” and this aspect most of the time </w:t>
      </w:r>
      <w:r w:rsidRPr="004B3E05">
        <w:rPr>
          <w:rFonts w:ascii="Times New Roman" w:eastAsia="Times New Roman" w:hAnsi="Times New Roman" w:cs="Times New Roman"/>
          <w:sz w:val="24"/>
          <w:szCs w:val="24"/>
          <w:highlight w:val="white"/>
        </w:rPr>
        <w:lastRenderedPageBreak/>
        <w:t>makes it difficult for those investors who generally “</w:t>
      </w:r>
      <w:r w:rsidRPr="004B3E05">
        <w:rPr>
          <w:rFonts w:ascii="Times New Roman" w:eastAsia="Times New Roman" w:hAnsi="Times New Roman" w:cs="Times New Roman"/>
          <w:b/>
          <w:i/>
          <w:sz w:val="24"/>
          <w:szCs w:val="24"/>
          <w:highlight w:val="white"/>
        </w:rPr>
        <w:t>sell stocks for inflated prices</w:t>
      </w:r>
      <w:r w:rsidRPr="004B3E05">
        <w:rPr>
          <w:rFonts w:ascii="Times New Roman" w:eastAsia="Times New Roman" w:hAnsi="Times New Roman" w:cs="Times New Roman"/>
          <w:sz w:val="24"/>
          <w:szCs w:val="24"/>
          <w:highlight w:val="white"/>
        </w:rPr>
        <w:t>” and “</w:t>
      </w:r>
      <w:r w:rsidRPr="004B3E05">
        <w:rPr>
          <w:rFonts w:ascii="Times New Roman" w:eastAsia="Times New Roman" w:hAnsi="Times New Roman" w:cs="Times New Roman"/>
          <w:b/>
          <w:i/>
          <w:sz w:val="24"/>
          <w:szCs w:val="24"/>
          <w:highlight w:val="white"/>
        </w:rPr>
        <w:t>purchased undervalued stock</w:t>
      </w:r>
      <w:r w:rsidRPr="004B3E05">
        <w:rPr>
          <w:rFonts w:ascii="Times New Roman" w:eastAsia="Times New Roman" w:hAnsi="Times New Roman" w:cs="Times New Roman"/>
          <w:sz w:val="24"/>
          <w:szCs w:val="24"/>
          <w:highlight w:val="white"/>
        </w:rPr>
        <w:t>”. Whereas, the author Walsh (2021)</w:t>
      </w:r>
      <w:r w:rsidR="00AA07E8">
        <w:rPr>
          <w:rFonts w:ascii="Times New Roman" w:eastAsia="Times New Roman" w:hAnsi="Times New Roman" w:cs="Times New Roman"/>
          <w:sz w:val="24"/>
          <w:szCs w:val="24"/>
          <w:highlight w:val="white"/>
        </w:rPr>
        <w:t>,</w:t>
      </w:r>
      <w:r w:rsidRPr="004B3E05">
        <w:rPr>
          <w:rFonts w:ascii="Times New Roman" w:eastAsia="Times New Roman" w:hAnsi="Times New Roman" w:cs="Times New Roman"/>
          <w:sz w:val="24"/>
          <w:szCs w:val="24"/>
          <w:highlight w:val="white"/>
        </w:rPr>
        <w:t xml:space="preserve"> has opined that it is not always possible to transcend the entire markets of the respective countries through “</w:t>
      </w:r>
      <w:r w:rsidRPr="004B3E05">
        <w:rPr>
          <w:rFonts w:ascii="Times New Roman" w:eastAsia="Times New Roman" w:hAnsi="Times New Roman" w:cs="Times New Roman"/>
          <w:b/>
          <w:i/>
          <w:sz w:val="24"/>
          <w:szCs w:val="24"/>
          <w:highlight w:val="white"/>
        </w:rPr>
        <w:t>market timing</w:t>
      </w:r>
      <w:r w:rsidRPr="004B3E05">
        <w:rPr>
          <w:rFonts w:ascii="Times New Roman" w:eastAsia="Times New Roman" w:hAnsi="Times New Roman" w:cs="Times New Roman"/>
          <w:sz w:val="24"/>
          <w:szCs w:val="24"/>
          <w:highlight w:val="white"/>
        </w:rPr>
        <w:t>” or “</w:t>
      </w:r>
      <w:r w:rsidRPr="004B3E05">
        <w:rPr>
          <w:rFonts w:ascii="Times New Roman" w:eastAsia="Times New Roman" w:hAnsi="Times New Roman" w:cs="Times New Roman"/>
          <w:b/>
          <w:i/>
          <w:sz w:val="24"/>
          <w:szCs w:val="24"/>
          <w:highlight w:val="white"/>
        </w:rPr>
        <w:t>expert stock selection</w:t>
      </w:r>
      <w:r w:rsidRPr="004B3E05">
        <w:rPr>
          <w:rFonts w:ascii="Times New Roman" w:eastAsia="Times New Roman" w:hAnsi="Times New Roman" w:cs="Times New Roman"/>
          <w:sz w:val="24"/>
          <w:szCs w:val="24"/>
          <w:highlight w:val="white"/>
        </w:rPr>
        <w:t>”. Both the authors have stated the only way an investor can generate more returns on their investments is through “</w:t>
      </w:r>
      <w:r w:rsidRPr="004B3E05">
        <w:rPr>
          <w:rFonts w:ascii="Times New Roman" w:eastAsia="Times New Roman" w:hAnsi="Times New Roman" w:cs="Times New Roman"/>
          <w:b/>
          <w:i/>
          <w:sz w:val="24"/>
          <w:szCs w:val="24"/>
          <w:highlight w:val="white"/>
        </w:rPr>
        <w:t>purchasing riskier investments</w:t>
      </w:r>
      <w:r w:rsidRPr="004B3E05">
        <w:rPr>
          <w:rFonts w:ascii="Times New Roman" w:eastAsia="Times New Roman" w:hAnsi="Times New Roman" w:cs="Times New Roman"/>
          <w:sz w:val="24"/>
          <w:szCs w:val="24"/>
          <w:highlight w:val="white"/>
        </w:rPr>
        <w:t>”. Market conditions of the Central Europe were not similar with that of Ireland and the United Kingdom. Sudden outbreak of the pandemic has decreased the sale rate to 27 per cent from the month of October in the financial year 2020 to the month of the January of the Financial year 2021 in the Central European Countries the sales were more than 45 per cent before the onset of the pandemic period (Worldbank, 2022). Customers were focusing more on consuming services and products online than going anywhere else in order to avoid direct contact. When the pandemic was at its peak the government of the country United Kingdom strictly restricted the sale of the non-food products and focused more on the consumption of the necessities. Tesco encouraged its consumers to shop from the local markets in the UK. Local markets of the Central European were very smaller and did not observe the</w:t>
      </w:r>
      <w:r w:rsidRPr="004B3E05">
        <w:rPr>
          <w:rFonts w:ascii="Times New Roman" w:eastAsia="Times New Roman" w:hAnsi="Times New Roman" w:cs="Times New Roman"/>
          <w:b/>
          <w:i/>
          <w:sz w:val="24"/>
          <w:szCs w:val="24"/>
          <w:highlight w:val="white"/>
        </w:rPr>
        <w:t xml:space="preserve"> </w:t>
      </w:r>
      <w:r w:rsidRPr="004B3E05">
        <w:rPr>
          <w:rFonts w:ascii="Times New Roman" w:eastAsia="Times New Roman" w:hAnsi="Times New Roman" w:cs="Times New Roman"/>
          <w:sz w:val="24"/>
          <w:szCs w:val="24"/>
          <w:highlight w:val="white"/>
        </w:rPr>
        <w:t>“</w:t>
      </w:r>
      <w:r w:rsidRPr="004B3E05">
        <w:rPr>
          <w:rFonts w:ascii="Times New Roman" w:eastAsia="Times New Roman" w:hAnsi="Times New Roman" w:cs="Times New Roman"/>
          <w:b/>
          <w:i/>
          <w:sz w:val="24"/>
          <w:szCs w:val="24"/>
          <w:highlight w:val="white"/>
        </w:rPr>
        <w:t xml:space="preserve">same level of switching </w:t>
      </w:r>
      <w:r w:rsidR="001C077C" w:rsidRPr="004B3E05">
        <w:rPr>
          <w:rFonts w:ascii="Times New Roman" w:eastAsia="Times New Roman" w:hAnsi="Times New Roman" w:cs="Times New Roman"/>
          <w:b/>
          <w:i/>
          <w:sz w:val="24"/>
          <w:szCs w:val="24"/>
          <w:highlight w:val="white"/>
        </w:rPr>
        <w:t>to</w:t>
      </w:r>
      <w:r w:rsidRPr="004B3E05">
        <w:rPr>
          <w:rFonts w:ascii="Times New Roman" w:eastAsia="Times New Roman" w:hAnsi="Times New Roman" w:cs="Times New Roman"/>
          <w:b/>
          <w:i/>
          <w:sz w:val="24"/>
          <w:szCs w:val="24"/>
          <w:highlight w:val="white"/>
        </w:rPr>
        <w:t xml:space="preserve"> in-home consumption</w:t>
      </w:r>
      <w:r w:rsidRPr="004B3E05">
        <w:rPr>
          <w:rFonts w:ascii="Times New Roman" w:eastAsia="Times New Roman" w:hAnsi="Times New Roman" w:cs="Times New Roman"/>
          <w:sz w:val="24"/>
          <w:szCs w:val="24"/>
          <w:highlight w:val="white"/>
        </w:rPr>
        <w:t xml:space="preserve">”. As a result, hypermarkets of the organisation Tesco fell by 3 per cent in the Central European Countries. The overall online business of the organisation Tesco PLC increased by 90 per cent (Statista, 2022). As compared to the country United Kingdom, the organisation acquired more losses in the central European countries, the pandemic Covid-19 held back the operating profit of 124 million British pounds of the organisation and </w:t>
      </w:r>
      <w:r w:rsidRPr="004B3E05">
        <w:rPr>
          <w:rFonts w:ascii="Times New Roman" w:eastAsia="Times New Roman" w:hAnsi="Times New Roman" w:cs="Times New Roman"/>
          <w:b/>
          <w:i/>
          <w:sz w:val="24"/>
          <w:szCs w:val="24"/>
          <w:highlight w:val="white"/>
        </w:rPr>
        <w:t xml:space="preserve">25 million </w:t>
      </w:r>
      <w:r w:rsidRPr="004B3E05">
        <w:rPr>
          <w:rFonts w:ascii="Times New Roman" w:eastAsia="Times New Roman" w:hAnsi="Times New Roman" w:cs="Times New Roman"/>
          <w:sz w:val="24"/>
          <w:szCs w:val="24"/>
          <w:highlight w:val="white"/>
        </w:rPr>
        <w:t xml:space="preserve">British pounds </w:t>
      </w:r>
      <w:r w:rsidRPr="004B3E05">
        <w:rPr>
          <w:rFonts w:ascii="Times New Roman" w:eastAsia="Times New Roman" w:hAnsi="Times New Roman" w:cs="Times New Roman"/>
          <w:b/>
          <w:i/>
          <w:sz w:val="24"/>
          <w:szCs w:val="24"/>
          <w:highlight w:val="white"/>
        </w:rPr>
        <w:t>sales tax</w:t>
      </w:r>
      <w:r w:rsidRPr="004B3E05">
        <w:rPr>
          <w:rFonts w:ascii="Times New Roman" w:eastAsia="Times New Roman" w:hAnsi="Times New Roman" w:cs="Times New Roman"/>
          <w:sz w:val="24"/>
          <w:szCs w:val="24"/>
          <w:highlight w:val="white"/>
        </w:rPr>
        <w:t xml:space="preserve"> were introduced in Hungary (Worldbank, 2022). In order to manage its debt portfolio</w:t>
      </w:r>
      <w:r w:rsidR="00C862EF" w:rsidRPr="004B3E05">
        <w:rPr>
          <w:rFonts w:ascii="Times New Roman" w:eastAsia="Times New Roman" w:hAnsi="Times New Roman" w:cs="Times New Roman"/>
          <w:sz w:val="24"/>
          <w:szCs w:val="24"/>
          <w:highlight w:val="white"/>
        </w:rPr>
        <w:t>,</w:t>
      </w:r>
      <w:r w:rsidRPr="004B3E05">
        <w:rPr>
          <w:rFonts w:ascii="Times New Roman" w:eastAsia="Times New Roman" w:hAnsi="Times New Roman" w:cs="Times New Roman"/>
          <w:sz w:val="24"/>
          <w:szCs w:val="24"/>
          <w:highlight w:val="white"/>
        </w:rPr>
        <w:t xml:space="preserve"> the organisation took necessary actions in funding its operational markets and acquired access to 2.5 billion British pounds of “</w:t>
      </w:r>
      <w:r w:rsidRPr="004B3E05">
        <w:rPr>
          <w:rFonts w:ascii="Times New Roman" w:eastAsia="Times New Roman" w:hAnsi="Times New Roman" w:cs="Times New Roman"/>
          <w:b/>
          <w:i/>
          <w:sz w:val="24"/>
          <w:szCs w:val="24"/>
          <w:highlight w:val="white"/>
        </w:rPr>
        <w:t>committed facilities</w:t>
      </w:r>
      <w:r w:rsidRPr="004B3E05">
        <w:rPr>
          <w:rFonts w:ascii="Times New Roman" w:eastAsia="Times New Roman" w:hAnsi="Times New Roman" w:cs="Times New Roman"/>
          <w:sz w:val="24"/>
          <w:szCs w:val="24"/>
          <w:highlight w:val="white"/>
        </w:rPr>
        <w:t>” which were not drawn by the organisation. At the third quarter of the financial year 2020 the organisation possessed cash liquidity of 2.1 billion British pounds and the “</w:t>
      </w:r>
      <w:r w:rsidRPr="004B3E05">
        <w:rPr>
          <w:rFonts w:ascii="Times New Roman" w:eastAsia="Times New Roman" w:hAnsi="Times New Roman" w:cs="Times New Roman"/>
          <w:b/>
          <w:i/>
          <w:sz w:val="24"/>
          <w:szCs w:val="24"/>
          <w:highlight w:val="white"/>
        </w:rPr>
        <w:t>annual maturities</w:t>
      </w:r>
      <w:r w:rsidRPr="004B3E05">
        <w:rPr>
          <w:rFonts w:ascii="Times New Roman" w:eastAsia="Times New Roman" w:hAnsi="Times New Roman" w:cs="Times New Roman"/>
          <w:sz w:val="24"/>
          <w:szCs w:val="24"/>
          <w:highlight w:val="white"/>
        </w:rPr>
        <w:t xml:space="preserve">” of 1 billion British pounds (Tescoplc, 2022a). </w:t>
      </w:r>
    </w:p>
    <w:p w14:paraId="1F87C410" w14:textId="77777777" w:rsidR="001C077C" w:rsidRPr="004B3E05" w:rsidRDefault="001C077C" w:rsidP="00377259">
      <w:pPr>
        <w:spacing w:line="360" w:lineRule="auto"/>
        <w:jc w:val="both"/>
        <w:rPr>
          <w:rFonts w:ascii="Times New Roman" w:eastAsia="Times New Roman" w:hAnsi="Times New Roman" w:cs="Times New Roman"/>
          <w:sz w:val="24"/>
          <w:szCs w:val="24"/>
          <w:highlight w:val="white"/>
        </w:rPr>
      </w:pPr>
    </w:p>
    <w:p w14:paraId="24E7BCF7" w14:textId="5CA22885" w:rsidR="001C077C" w:rsidRDefault="00195DC8" w:rsidP="00377259">
      <w:pPr>
        <w:pStyle w:val="Heading1"/>
        <w:jc w:val="center"/>
        <w:rPr>
          <w:color w:val="auto"/>
          <w:highlight w:val="white"/>
        </w:rPr>
      </w:pPr>
      <w:bookmarkStart w:id="3" w:name="_Toc101018005"/>
      <w:r w:rsidRPr="004B3E05">
        <w:rPr>
          <w:color w:val="auto"/>
          <w:highlight w:val="white"/>
        </w:rPr>
        <w:t>Critically analyse and evaluate your chosen multinational corporation’s methods of appraising projects.</w:t>
      </w:r>
      <w:bookmarkEnd w:id="3"/>
    </w:p>
    <w:p w14:paraId="53F95F71" w14:textId="77777777" w:rsidR="00377259" w:rsidRPr="00377259" w:rsidRDefault="00377259" w:rsidP="00377259">
      <w:pPr>
        <w:rPr>
          <w:highlight w:val="white"/>
        </w:rPr>
      </w:pPr>
    </w:p>
    <w:p w14:paraId="00000009" w14:textId="694925F9" w:rsidR="00B9383E" w:rsidRDefault="00195DC8" w:rsidP="001C077C">
      <w:pPr>
        <w:spacing w:line="360" w:lineRule="auto"/>
        <w:ind w:firstLine="720"/>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As opined by the author Jane (2018)</w:t>
      </w:r>
      <w:r w:rsidR="00AA07E8">
        <w:rPr>
          <w:rFonts w:ascii="Times New Roman" w:eastAsia="Times New Roman" w:hAnsi="Times New Roman" w:cs="Times New Roman"/>
          <w:sz w:val="24"/>
          <w:szCs w:val="24"/>
          <w:highlight w:val="white"/>
        </w:rPr>
        <w:t>,</w:t>
      </w:r>
      <w:r w:rsidRPr="004B3E05">
        <w:rPr>
          <w:rFonts w:ascii="Times New Roman" w:eastAsia="Times New Roman" w:hAnsi="Times New Roman" w:cs="Times New Roman"/>
          <w:sz w:val="24"/>
          <w:szCs w:val="24"/>
          <w:highlight w:val="white"/>
        </w:rPr>
        <w:t xml:space="preserve"> finance is mostly the life blood of the business organisations across the world. </w:t>
      </w:r>
      <w:r w:rsidR="00C862EF" w:rsidRPr="004B3E05">
        <w:rPr>
          <w:rFonts w:ascii="Times New Roman" w:eastAsia="Times New Roman" w:hAnsi="Times New Roman" w:cs="Times New Roman"/>
          <w:sz w:val="24"/>
          <w:szCs w:val="24"/>
          <w:highlight w:val="white"/>
        </w:rPr>
        <w:t>However,</w:t>
      </w:r>
      <w:r w:rsidRPr="004B3E05">
        <w:rPr>
          <w:rFonts w:ascii="Times New Roman" w:eastAsia="Times New Roman" w:hAnsi="Times New Roman" w:cs="Times New Roman"/>
          <w:sz w:val="24"/>
          <w:szCs w:val="24"/>
          <w:highlight w:val="white"/>
        </w:rPr>
        <w:t xml:space="preserve"> without proper financing undertaking any kind of </w:t>
      </w:r>
      <w:r w:rsidRPr="004B3E05">
        <w:rPr>
          <w:rFonts w:ascii="Times New Roman" w:eastAsia="Times New Roman" w:hAnsi="Times New Roman" w:cs="Times New Roman"/>
          <w:sz w:val="24"/>
          <w:szCs w:val="24"/>
          <w:highlight w:val="white"/>
        </w:rPr>
        <w:lastRenderedPageBreak/>
        <w:t>business operation be it minor or major is not possible. “</w:t>
      </w:r>
      <w:r w:rsidRPr="004B3E05">
        <w:rPr>
          <w:rFonts w:ascii="Times New Roman" w:eastAsia="Times New Roman" w:hAnsi="Times New Roman" w:cs="Times New Roman"/>
          <w:b/>
          <w:i/>
          <w:sz w:val="24"/>
          <w:szCs w:val="24"/>
          <w:highlight w:val="white"/>
        </w:rPr>
        <w:t>Source of finances</w:t>
      </w:r>
      <w:r w:rsidRPr="004B3E05">
        <w:rPr>
          <w:rFonts w:ascii="Times New Roman" w:eastAsia="Times New Roman" w:hAnsi="Times New Roman" w:cs="Times New Roman"/>
          <w:sz w:val="24"/>
          <w:szCs w:val="24"/>
          <w:highlight w:val="white"/>
        </w:rPr>
        <w:t xml:space="preserve">” like </w:t>
      </w:r>
      <w:r w:rsidRPr="004B3E05">
        <w:rPr>
          <w:rFonts w:ascii="Times New Roman" w:eastAsia="Times New Roman" w:hAnsi="Times New Roman" w:cs="Times New Roman"/>
          <w:b/>
          <w:i/>
          <w:sz w:val="24"/>
          <w:szCs w:val="24"/>
          <w:highlight w:val="white"/>
        </w:rPr>
        <w:t>term loans</w:t>
      </w:r>
      <w:r w:rsidRPr="004B3E05">
        <w:rPr>
          <w:rFonts w:ascii="Times New Roman" w:eastAsia="Times New Roman" w:hAnsi="Times New Roman" w:cs="Times New Roman"/>
          <w:sz w:val="24"/>
          <w:szCs w:val="24"/>
          <w:highlight w:val="white"/>
        </w:rPr>
        <w:t xml:space="preserve">, </w:t>
      </w:r>
      <w:r w:rsidRPr="004B3E05">
        <w:rPr>
          <w:rFonts w:ascii="Times New Roman" w:eastAsia="Times New Roman" w:hAnsi="Times New Roman" w:cs="Times New Roman"/>
          <w:b/>
          <w:i/>
          <w:sz w:val="24"/>
          <w:szCs w:val="24"/>
          <w:highlight w:val="white"/>
        </w:rPr>
        <w:t>retained earnings</w:t>
      </w:r>
      <w:r w:rsidRPr="004B3E05">
        <w:rPr>
          <w:rFonts w:ascii="Times New Roman" w:eastAsia="Times New Roman" w:hAnsi="Times New Roman" w:cs="Times New Roman"/>
          <w:sz w:val="24"/>
          <w:szCs w:val="24"/>
          <w:highlight w:val="white"/>
        </w:rPr>
        <w:t>,</w:t>
      </w:r>
      <w:r w:rsidRPr="004B3E05">
        <w:rPr>
          <w:rFonts w:ascii="Times New Roman" w:eastAsia="Times New Roman" w:hAnsi="Times New Roman" w:cs="Times New Roman"/>
          <w:b/>
          <w:i/>
          <w:sz w:val="24"/>
          <w:szCs w:val="24"/>
          <w:highlight w:val="white"/>
        </w:rPr>
        <w:t xml:space="preserve"> debentures</w:t>
      </w:r>
      <w:r w:rsidRPr="004B3E05">
        <w:rPr>
          <w:rFonts w:ascii="Times New Roman" w:eastAsia="Times New Roman" w:hAnsi="Times New Roman" w:cs="Times New Roman"/>
          <w:sz w:val="24"/>
          <w:szCs w:val="24"/>
          <w:highlight w:val="white"/>
        </w:rPr>
        <w:t xml:space="preserve">, </w:t>
      </w:r>
      <w:r w:rsidRPr="004B3E05">
        <w:rPr>
          <w:rFonts w:ascii="Times New Roman" w:eastAsia="Times New Roman" w:hAnsi="Times New Roman" w:cs="Times New Roman"/>
          <w:b/>
          <w:i/>
          <w:sz w:val="24"/>
          <w:szCs w:val="24"/>
          <w:highlight w:val="white"/>
        </w:rPr>
        <w:t>venture funding</w:t>
      </w:r>
      <w:r w:rsidRPr="004B3E05">
        <w:rPr>
          <w:rFonts w:ascii="Times New Roman" w:eastAsia="Times New Roman" w:hAnsi="Times New Roman" w:cs="Times New Roman"/>
          <w:sz w:val="24"/>
          <w:szCs w:val="24"/>
          <w:highlight w:val="white"/>
        </w:rPr>
        <w:t>,</w:t>
      </w:r>
      <w:r w:rsidRPr="004B3E05">
        <w:rPr>
          <w:rFonts w:ascii="Times New Roman" w:eastAsia="Times New Roman" w:hAnsi="Times New Roman" w:cs="Times New Roman"/>
          <w:b/>
          <w:i/>
          <w:sz w:val="24"/>
          <w:szCs w:val="24"/>
          <w:highlight w:val="white"/>
        </w:rPr>
        <w:t xml:space="preserve"> euro issues</w:t>
      </w:r>
      <w:r w:rsidRPr="004B3E05">
        <w:rPr>
          <w:rFonts w:ascii="Times New Roman" w:eastAsia="Times New Roman" w:hAnsi="Times New Roman" w:cs="Times New Roman"/>
          <w:sz w:val="24"/>
          <w:szCs w:val="24"/>
          <w:highlight w:val="white"/>
        </w:rPr>
        <w:t xml:space="preserve">, </w:t>
      </w:r>
      <w:r w:rsidRPr="004B3E05">
        <w:rPr>
          <w:rFonts w:ascii="Times New Roman" w:eastAsia="Times New Roman" w:hAnsi="Times New Roman" w:cs="Times New Roman"/>
          <w:b/>
          <w:i/>
          <w:sz w:val="24"/>
          <w:szCs w:val="24"/>
          <w:highlight w:val="white"/>
        </w:rPr>
        <w:t>credit</w:t>
      </w:r>
      <w:r w:rsidRPr="004B3E05">
        <w:rPr>
          <w:rFonts w:ascii="Times New Roman" w:eastAsia="Times New Roman" w:hAnsi="Times New Roman" w:cs="Times New Roman"/>
          <w:sz w:val="24"/>
          <w:szCs w:val="24"/>
          <w:highlight w:val="white"/>
        </w:rPr>
        <w:t xml:space="preserve"> and the </w:t>
      </w:r>
      <w:r w:rsidRPr="004B3E05">
        <w:rPr>
          <w:rFonts w:ascii="Times New Roman" w:eastAsia="Times New Roman" w:hAnsi="Times New Roman" w:cs="Times New Roman"/>
          <w:b/>
          <w:i/>
          <w:sz w:val="24"/>
          <w:szCs w:val="24"/>
          <w:highlight w:val="white"/>
        </w:rPr>
        <w:t>loans</w:t>
      </w:r>
      <w:r w:rsidRPr="004B3E05">
        <w:rPr>
          <w:rFonts w:ascii="Times New Roman" w:eastAsia="Times New Roman" w:hAnsi="Times New Roman" w:cs="Times New Roman"/>
          <w:sz w:val="24"/>
          <w:szCs w:val="24"/>
          <w:highlight w:val="white"/>
        </w:rPr>
        <w:t xml:space="preserve"> of the </w:t>
      </w:r>
      <w:r w:rsidRPr="004B3E05">
        <w:rPr>
          <w:rFonts w:ascii="Times New Roman" w:eastAsia="Times New Roman" w:hAnsi="Times New Roman" w:cs="Times New Roman"/>
          <w:b/>
          <w:i/>
          <w:sz w:val="24"/>
          <w:szCs w:val="24"/>
          <w:highlight w:val="white"/>
        </w:rPr>
        <w:t>working capital</w:t>
      </w:r>
      <w:r w:rsidRPr="004B3E05">
        <w:rPr>
          <w:rFonts w:ascii="Times New Roman" w:eastAsia="Times New Roman" w:hAnsi="Times New Roman" w:cs="Times New Roman"/>
          <w:sz w:val="24"/>
          <w:szCs w:val="24"/>
          <w:highlight w:val="white"/>
        </w:rPr>
        <w:t xml:space="preserve"> plays a huge role in boosting up the business operations of the organisations. Potential “</w:t>
      </w:r>
      <w:r w:rsidRPr="004B3E05">
        <w:rPr>
          <w:rFonts w:ascii="Times New Roman" w:eastAsia="Times New Roman" w:hAnsi="Times New Roman" w:cs="Times New Roman"/>
          <w:b/>
          <w:i/>
          <w:sz w:val="24"/>
          <w:szCs w:val="24"/>
          <w:highlight w:val="white"/>
        </w:rPr>
        <w:t>allocation of funds</w:t>
      </w:r>
      <w:r w:rsidRPr="004B3E05">
        <w:rPr>
          <w:rFonts w:ascii="Times New Roman" w:eastAsia="Times New Roman" w:hAnsi="Times New Roman" w:cs="Times New Roman"/>
          <w:sz w:val="24"/>
          <w:szCs w:val="24"/>
          <w:highlight w:val="white"/>
        </w:rPr>
        <w:t>” and “</w:t>
      </w:r>
      <w:r w:rsidRPr="004B3E05">
        <w:rPr>
          <w:rFonts w:ascii="Times New Roman" w:eastAsia="Times New Roman" w:hAnsi="Times New Roman" w:cs="Times New Roman"/>
          <w:b/>
          <w:i/>
          <w:sz w:val="24"/>
          <w:szCs w:val="24"/>
          <w:highlight w:val="white"/>
        </w:rPr>
        <w:t>proper utilisation of the resources</w:t>
      </w:r>
      <w:r w:rsidRPr="004B3E05">
        <w:rPr>
          <w:rFonts w:ascii="Times New Roman" w:eastAsia="Times New Roman" w:hAnsi="Times New Roman" w:cs="Times New Roman"/>
          <w:sz w:val="24"/>
          <w:szCs w:val="24"/>
          <w:highlight w:val="white"/>
        </w:rPr>
        <w:t>” must be under only the control of the</w:t>
      </w:r>
      <w:r w:rsidRPr="004B3E05">
        <w:rPr>
          <w:rFonts w:ascii="Times New Roman" w:eastAsia="Times New Roman" w:hAnsi="Times New Roman" w:cs="Times New Roman"/>
          <w:b/>
          <w:i/>
          <w:sz w:val="24"/>
          <w:szCs w:val="24"/>
          <w:highlight w:val="white"/>
        </w:rPr>
        <w:t xml:space="preserve"> finance managers</w:t>
      </w:r>
      <w:r w:rsidRPr="004B3E05">
        <w:rPr>
          <w:rFonts w:ascii="Times New Roman" w:eastAsia="Times New Roman" w:hAnsi="Times New Roman" w:cs="Times New Roman"/>
          <w:sz w:val="24"/>
          <w:szCs w:val="24"/>
          <w:highlight w:val="white"/>
        </w:rPr>
        <w:t xml:space="preserve"> or the </w:t>
      </w:r>
      <w:r w:rsidRPr="004B3E05">
        <w:rPr>
          <w:rFonts w:ascii="Times New Roman" w:eastAsia="Times New Roman" w:hAnsi="Times New Roman" w:cs="Times New Roman"/>
          <w:b/>
          <w:i/>
          <w:sz w:val="24"/>
          <w:szCs w:val="24"/>
          <w:highlight w:val="white"/>
        </w:rPr>
        <w:t>finance associates</w:t>
      </w:r>
      <w:r w:rsidRPr="004B3E05">
        <w:rPr>
          <w:rFonts w:ascii="Times New Roman" w:eastAsia="Times New Roman" w:hAnsi="Times New Roman" w:cs="Times New Roman"/>
          <w:sz w:val="24"/>
          <w:szCs w:val="24"/>
          <w:highlight w:val="white"/>
        </w:rPr>
        <w:t>. Organisation Tesco PLC has imposed “</w:t>
      </w:r>
      <w:r w:rsidRPr="004B3E05">
        <w:rPr>
          <w:rFonts w:ascii="Times New Roman" w:eastAsia="Times New Roman" w:hAnsi="Times New Roman" w:cs="Times New Roman"/>
          <w:b/>
          <w:i/>
          <w:sz w:val="24"/>
          <w:szCs w:val="24"/>
          <w:highlight w:val="white"/>
        </w:rPr>
        <w:t>Valuation methods and approaches techniques</w:t>
      </w:r>
      <w:r w:rsidRPr="004B3E05">
        <w:rPr>
          <w:rFonts w:ascii="Times New Roman" w:eastAsia="Times New Roman" w:hAnsi="Times New Roman" w:cs="Times New Roman"/>
          <w:sz w:val="24"/>
          <w:szCs w:val="24"/>
          <w:highlight w:val="white"/>
        </w:rPr>
        <w:t xml:space="preserve">” in order to appraise all of its projects. The </w:t>
      </w:r>
      <w:r w:rsidR="00C862EF" w:rsidRPr="004B3E05">
        <w:rPr>
          <w:rFonts w:ascii="Times New Roman" w:eastAsia="Times New Roman" w:hAnsi="Times New Roman" w:cs="Times New Roman"/>
          <w:sz w:val="24"/>
          <w:szCs w:val="24"/>
          <w:highlight w:val="white"/>
        </w:rPr>
        <w:t>retail-based</w:t>
      </w:r>
      <w:r w:rsidRPr="004B3E05">
        <w:rPr>
          <w:rFonts w:ascii="Times New Roman" w:eastAsia="Times New Roman" w:hAnsi="Times New Roman" w:cs="Times New Roman"/>
          <w:sz w:val="24"/>
          <w:szCs w:val="24"/>
          <w:highlight w:val="white"/>
        </w:rPr>
        <w:t xml:space="preserve"> organisation Tesco PLC conducts all of its business operations under the regulations of the “</w:t>
      </w:r>
      <w:r w:rsidRPr="004B3E05">
        <w:rPr>
          <w:rFonts w:ascii="Times New Roman" w:eastAsia="Times New Roman" w:hAnsi="Times New Roman" w:cs="Times New Roman"/>
          <w:b/>
          <w:i/>
          <w:sz w:val="24"/>
          <w:szCs w:val="24"/>
          <w:highlight w:val="white"/>
        </w:rPr>
        <w:t>London Stock Exchange</w:t>
      </w:r>
      <w:r w:rsidRPr="004B3E05">
        <w:rPr>
          <w:rFonts w:ascii="Times New Roman" w:eastAsia="Times New Roman" w:hAnsi="Times New Roman" w:cs="Times New Roman"/>
          <w:sz w:val="24"/>
          <w:szCs w:val="24"/>
          <w:highlight w:val="white"/>
        </w:rPr>
        <w:t>” the organisation has considered Capital Budgeting as a “</w:t>
      </w:r>
      <w:r w:rsidRPr="004B3E05">
        <w:rPr>
          <w:rFonts w:ascii="Times New Roman" w:eastAsia="Times New Roman" w:hAnsi="Times New Roman" w:cs="Times New Roman"/>
          <w:b/>
          <w:i/>
          <w:sz w:val="24"/>
          <w:szCs w:val="24"/>
          <w:highlight w:val="white"/>
        </w:rPr>
        <w:t>technique of entity</w:t>
      </w:r>
      <w:r w:rsidRPr="004B3E05">
        <w:rPr>
          <w:rFonts w:ascii="Times New Roman" w:eastAsia="Times New Roman" w:hAnsi="Times New Roman" w:cs="Times New Roman"/>
          <w:sz w:val="24"/>
          <w:szCs w:val="24"/>
          <w:highlight w:val="white"/>
        </w:rPr>
        <w:t>” to plan for its capital assets necessary for conducting the business operations. Capital budgets have helped the organisation Tesco PLC to determine in which segments of its business operations needs more investment and in which segment the organisation is overspending (Kengatharan, 2018). This technique has helped the organisation to determine whether the organisation should invest more on its “</w:t>
      </w:r>
      <w:r w:rsidRPr="004B3E05">
        <w:rPr>
          <w:rFonts w:ascii="Times New Roman" w:eastAsia="Times New Roman" w:hAnsi="Times New Roman" w:cs="Times New Roman"/>
          <w:b/>
          <w:i/>
          <w:sz w:val="24"/>
          <w:szCs w:val="24"/>
          <w:highlight w:val="white"/>
        </w:rPr>
        <w:t>long term projects</w:t>
      </w:r>
      <w:r w:rsidRPr="004B3E05">
        <w:rPr>
          <w:rFonts w:ascii="Times New Roman" w:eastAsia="Times New Roman" w:hAnsi="Times New Roman" w:cs="Times New Roman"/>
          <w:sz w:val="24"/>
          <w:szCs w:val="24"/>
          <w:highlight w:val="white"/>
        </w:rPr>
        <w:t>” or not. The organisation is now able to estimate how much more returns the organisation will be able to acquire from its investments. Considering the “</w:t>
      </w:r>
      <w:r w:rsidRPr="004B3E05">
        <w:rPr>
          <w:rFonts w:ascii="Times New Roman" w:eastAsia="Times New Roman" w:hAnsi="Times New Roman" w:cs="Times New Roman"/>
          <w:b/>
          <w:i/>
          <w:sz w:val="24"/>
          <w:szCs w:val="24"/>
          <w:highlight w:val="white"/>
        </w:rPr>
        <w:t>Research and Development</w:t>
      </w:r>
      <w:r w:rsidRPr="004B3E05">
        <w:rPr>
          <w:rFonts w:ascii="Times New Roman" w:eastAsia="Times New Roman" w:hAnsi="Times New Roman" w:cs="Times New Roman"/>
          <w:sz w:val="24"/>
          <w:szCs w:val="24"/>
          <w:highlight w:val="white"/>
        </w:rPr>
        <w:t xml:space="preserve">” projects of the organisation Tesco PLC, in order to make more appropriate decisions, the finance managers have considered “fundamental project evaluation techniques” such as </w:t>
      </w:r>
      <w:r w:rsidR="00C862EF" w:rsidRPr="004B3E05">
        <w:rPr>
          <w:rFonts w:ascii="Times New Roman" w:eastAsia="Times New Roman" w:hAnsi="Times New Roman" w:cs="Times New Roman"/>
          <w:sz w:val="24"/>
          <w:szCs w:val="24"/>
          <w:highlight w:val="white"/>
        </w:rPr>
        <w:t>Breakeven</w:t>
      </w:r>
      <w:r w:rsidRPr="004B3E05">
        <w:rPr>
          <w:rFonts w:ascii="Times New Roman" w:eastAsia="Times New Roman" w:hAnsi="Times New Roman" w:cs="Times New Roman"/>
          <w:sz w:val="24"/>
          <w:szCs w:val="24"/>
          <w:highlight w:val="white"/>
        </w:rPr>
        <w:t xml:space="preserve"> point (BEP), “Payback period”, “</w:t>
      </w:r>
      <w:r w:rsidRPr="004B3E05">
        <w:rPr>
          <w:rFonts w:ascii="Times New Roman" w:eastAsia="Times New Roman" w:hAnsi="Times New Roman" w:cs="Times New Roman"/>
          <w:b/>
          <w:i/>
          <w:sz w:val="24"/>
          <w:szCs w:val="24"/>
          <w:highlight w:val="white"/>
        </w:rPr>
        <w:t>Accounting or average rate of return</w:t>
      </w:r>
      <w:r w:rsidRPr="004B3E05">
        <w:rPr>
          <w:rFonts w:ascii="Times New Roman" w:eastAsia="Times New Roman" w:hAnsi="Times New Roman" w:cs="Times New Roman"/>
          <w:sz w:val="24"/>
          <w:szCs w:val="24"/>
          <w:highlight w:val="white"/>
        </w:rPr>
        <w:t>” (ARR), “</w:t>
      </w:r>
      <w:r w:rsidRPr="004B3E05">
        <w:rPr>
          <w:rFonts w:ascii="Times New Roman" w:eastAsia="Times New Roman" w:hAnsi="Times New Roman" w:cs="Times New Roman"/>
          <w:b/>
          <w:i/>
          <w:sz w:val="24"/>
          <w:szCs w:val="24"/>
          <w:highlight w:val="white"/>
        </w:rPr>
        <w:t>Net Present Value</w:t>
      </w:r>
      <w:r w:rsidRPr="004B3E05">
        <w:rPr>
          <w:rFonts w:ascii="Times New Roman" w:eastAsia="Times New Roman" w:hAnsi="Times New Roman" w:cs="Times New Roman"/>
          <w:sz w:val="24"/>
          <w:szCs w:val="24"/>
          <w:highlight w:val="white"/>
        </w:rPr>
        <w:t>” (NPV), “</w:t>
      </w:r>
      <w:r w:rsidRPr="004B3E05">
        <w:rPr>
          <w:rFonts w:ascii="Times New Roman" w:eastAsia="Times New Roman" w:hAnsi="Times New Roman" w:cs="Times New Roman"/>
          <w:b/>
          <w:i/>
          <w:sz w:val="24"/>
          <w:szCs w:val="24"/>
          <w:highlight w:val="white"/>
        </w:rPr>
        <w:t>Internal Rate of return</w:t>
      </w:r>
      <w:r w:rsidRPr="004B3E05">
        <w:rPr>
          <w:rFonts w:ascii="Times New Roman" w:eastAsia="Times New Roman" w:hAnsi="Times New Roman" w:cs="Times New Roman"/>
          <w:sz w:val="24"/>
          <w:szCs w:val="24"/>
          <w:highlight w:val="white"/>
        </w:rPr>
        <w:t xml:space="preserve">” (IRR). Tesco PLC frequently organises a board meeting with all of its decision makers as well as the stakeholders, in that meeting each and every individual acquires the right to place their opinions and ideas for the benefit of the business operation of the organisation. The organisation has always tried to satisfy the opinions presented by the stakeholders. </w:t>
      </w:r>
    </w:p>
    <w:p w14:paraId="128C2511" w14:textId="77777777" w:rsidR="00377259" w:rsidRPr="004B3E05" w:rsidRDefault="00377259" w:rsidP="0050092B">
      <w:pPr>
        <w:spacing w:line="360" w:lineRule="auto"/>
        <w:jc w:val="both"/>
        <w:rPr>
          <w:rFonts w:ascii="Times New Roman" w:eastAsia="Times New Roman" w:hAnsi="Times New Roman" w:cs="Times New Roman"/>
          <w:sz w:val="24"/>
          <w:szCs w:val="24"/>
          <w:highlight w:val="white"/>
        </w:rPr>
      </w:pPr>
    </w:p>
    <w:p w14:paraId="0000000A" w14:textId="71E09B2E" w:rsidR="00B9383E" w:rsidRDefault="00195DC8" w:rsidP="001C077C">
      <w:pPr>
        <w:pStyle w:val="Heading1"/>
        <w:jc w:val="center"/>
        <w:rPr>
          <w:color w:val="auto"/>
          <w:highlight w:val="white"/>
        </w:rPr>
      </w:pPr>
      <w:bookmarkStart w:id="4" w:name="_Toc101018006"/>
      <w:r w:rsidRPr="004B3E05">
        <w:rPr>
          <w:color w:val="auto"/>
          <w:highlight w:val="white"/>
        </w:rPr>
        <w:t>Conclusion</w:t>
      </w:r>
      <w:bookmarkEnd w:id="4"/>
    </w:p>
    <w:p w14:paraId="50AE1DA9" w14:textId="77777777" w:rsidR="001C077C" w:rsidRPr="001C077C" w:rsidRDefault="001C077C" w:rsidP="001C077C">
      <w:pPr>
        <w:rPr>
          <w:highlight w:val="white"/>
        </w:rPr>
      </w:pPr>
    </w:p>
    <w:p w14:paraId="0000000B" w14:textId="6ABBFC8F" w:rsidR="00B9383E" w:rsidRPr="004B3E05" w:rsidRDefault="00195DC8" w:rsidP="00377259">
      <w:pPr>
        <w:spacing w:line="360" w:lineRule="auto"/>
        <w:ind w:firstLine="720"/>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 xml:space="preserve">From the </w:t>
      </w:r>
      <w:r w:rsidR="00C862EF" w:rsidRPr="004B3E05">
        <w:rPr>
          <w:rFonts w:ascii="Times New Roman" w:eastAsia="Times New Roman" w:hAnsi="Times New Roman" w:cs="Times New Roman"/>
          <w:sz w:val="24"/>
          <w:szCs w:val="24"/>
          <w:highlight w:val="white"/>
        </w:rPr>
        <w:t>above-provided</w:t>
      </w:r>
      <w:r w:rsidRPr="004B3E05">
        <w:rPr>
          <w:rFonts w:ascii="Times New Roman" w:eastAsia="Times New Roman" w:hAnsi="Times New Roman" w:cs="Times New Roman"/>
          <w:sz w:val="24"/>
          <w:szCs w:val="24"/>
          <w:highlight w:val="white"/>
        </w:rPr>
        <w:t xml:space="preserve"> detail it can be concluded that, the importance of financial management has been enhanced as a result of increased globalisation rates in the countries. Rather than merely “</w:t>
      </w:r>
      <w:r w:rsidRPr="004B3E05">
        <w:rPr>
          <w:rFonts w:ascii="Times New Roman" w:eastAsia="Times New Roman" w:hAnsi="Times New Roman" w:cs="Times New Roman"/>
          <w:b/>
          <w:i/>
          <w:sz w:val="24"/>
          <w:szCs w:val="24"/>
          <w:highlight w:val="white"/>
        </w:rPr>
        <w:t>focusing on individual markets</w:t>
      </w:r>
      <w:r w:rsidRPr="004B3E05">
        <w:rPr>
          <w:rFonts w:ascii="Times New Roman" w:eastAsia="Times New Roman" w:hAnsi="Times New Roman" w:cs="Times New Roman"/>
          <w:sz w:val="24"/>
          <w:szCs w:val="24"/>
          <w:highlight w:val="white"/>
        </w:rPr>
        <w:t>”, international finance primarily deals with economic transactions across states. Where the essay has analysed the “</w:t>
      </w:r>
      <w:r w:rsidRPr="004B3E05">
        <w:rPr>
          <w:rFonts w:ascii="Times New Roman" w:eastAsia="Times New Roman" w:hAnsi="Times New Roman" w:cs="Times New Roman"/>
          <w:b/>
          <w:i/>
          <w:sz w:val="24"/>
          <w:szCs w:val="24"/>
          <w:highlight w:val="white"/>
        </w:rPr>
        <w:t>dividend distribution policy</w:t>
      </w:r>
      <w:r w:rsidRPr="004B3E05">
        <w:rPr>
          <w:rFonts w:ascii="Times New Roman" w:eastAsia="Times New Roman" w:hAnsi="Times New Roman" w:cs="Times New Roman"/>
          <w:sz w:val="24"/>
          <w:szCs w:val="24"/>
          <w:highlight w:val="white"/>
        </w:rPr>
        <w:t xml:space="preserve">” of the organisation Tesco PLC </w:t>
      </w:r>
      <w:r w:rsidR="00C862EF" w:rsidRPr="004B3E05">
        <w:rPr>
          <w:rFonts w:ascii="Times New Roman" w:eastAsia="Times New Roman" w:hAnsi="Times New Roman" w:cs="Times New Roman"/>
          <w:sz w:val="24"/>
          <w:szCs w:val="24"/>
          <w:highlight w:val="white"/>
        </w:rPr>
        <w:t xml:space="preserve">and a </w:t>
      </w:r>
      <w:r w:rsidRPr="004B3E05">
        <w:rPr>
          <w:rFonts w:ascii="Times New Roman" w:eastAsia="Times New Roman" w:hAnsi="Times New Roman" w:cs="Times New Roman"/>
          <w:sz w:val="24"/>
          <w:szCs w:val="24"/>
          <w:highlight w:val="white"/>
        </w:rPr>
        <w:t>potential “</w:t>
      </w:r>
      <w:r w:rsidRPr="004B3E05">
        <w:rPr>
          <w:rFonts w:ascii="Times New Roman" w:eastAsia="Times New Roman" w:hAnsi="Times New Roman" w:cs="Times New Roman"/>
          <w:b/>
          <w:i/>
          <w:sz w:val="24"/>
          <w:szCs w:val="24"/>
          <w:highlight w:val="white"/>
        </w:rPr>
        <w:t>market hypothesis</w:t>
      </w:r>
      <w:r w:rsidRPr="004B3E05">
        <w:rPr>
          <w:rFonts w:ascii="Times New Roman" w:eastAsia="Times New Roman" w:hAnsi="Times New Roman" w:cs="Times New Roman"/>
          <w:sz w:val="24"/>
          <w:szCs w:val="24"/>
          <w:highlight w:val="white"/>
        </w:rPr>
        <w:t xml:space="preserve">” of the considered </w:t>
      </w:r>
      <w:r w:rsidRPr="004B3E05">
        <w:rPr>
          <w:rFonts w:ascii="Times New Roman" w:eastAsia="Times New Roman" w:hAnsi="Times New Roman" w:cs="Times New Roman"/>
          <w:sz w:val="24"/>
          <w:szCs w:val="24"/>
          <w:highlight w:val="white"/>
        </w:rPr>
        <w:lastRenderedPageBreak/>
        <w:t xml:space="preserve">organisation has been discussed through the essay. The capital budgeting techniques have been observed to enhance the project appraisal procedure of the organisation. </w:t>
      </w:r>
    </w:p>
    <w:p w14:paraId="76DE9AF2" w14:textId="77777777" w:rsidR="00C862EF" w:rsidRPr="004B3E05" w:rsidRDefault="00C862EF" w:rsidP="00C862EF">
      <w:pPr>
        <w:spacing w:line="360" w:lineRule="auto"/>
        <w:rPr>
          <w:rFonts w:ascii="Times New Roman" w:eastAsia="Times New Roman" w:hAnsi="Times New Roman" w:cs="Times New Roman"/>
          <w:b/>
          <w:sz w:val="28"/>
          <w:szCs w:val="28"/>
          <w:highlight w:val="white"/>
        </w:rPr>
      </w:pPr>
      <w:r w:rsidRPr="004B3E05">
        <w:rPr>
          <w:rFonts w:ascii="Times New Roman" w:eastAsia="Times New Roman" w:hAnsi="Times New Roman" w:cs="Times New Roman"/>
          <w:b/>
          <w:sz w:val="28"/>
          <w:szCs w:val="28"/>
          <w:highlight w:val="white"/>
        </w:rPr>
        <w:br w:type="page"/>
      </w:r>
    </w:p>
    <w:p w14:paraId="496867AE" w14:textId="42B4B03D" w:rsidR="00C862EF" w:rsidRPr="004B3E05" w:rsidRDefault="00195DC8" w:rsidP="001C077C">
      <w:pPr>
        <w:pStyle w:val="Heading1"/>
        <w:jc w:val="center"/>
        <w:rPr>
          <w:color w:val="auto"/>
          <w:highlight w:val="white"/>
        </w:rPr>
      </w:pPr>
      <w:bookmarkStart w:id="5" w:name="_Toc101018007"/>
      <w:r w:rsidRPr="004B3E05">
        <w:rPr>
          <w:color w:val="auto"/>
          <w:highlight w:val="white"/>
        </w:rPr>
        <w:lastRenderedPageBreak/>
        <w:t>References</w:t>
      </w:r>
      <w:bookmarkEnd w:id="5"/>
    </w:p>
    <w:p w14:paraId="455E59C6" w14:textId="77777777" w:rsidR="00C862EF" w:rsidRPr="004B3E05" w:rsidRDefault="00C862EF" w:rsidP="00C862EF">
      <w:pPr>
        <w:spacing w:before="240" w:after="240" w:line="360" w:lineRule="auto"/>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Howard, P.D.A., Boylan, P.J., Hildreth, M.P., Blythe, D., King, S., Molyneux, S. and Worley, N., 2018. Yorkshire Geological Society Registered Charity No. 220014 Society Proceedings 2017.</w:t>
      </w:r>
    </w:p>
    <w:p w14:paraId="4FA6D96B" w14:textId="77777777" w:rsidR="00C862EF" w:rsidRPr="004B3E05" w:rsidRDefault="00C862EF" w:rsidP="00C862EF">
      <w:pPr>
        <w:spacing w:before="240" w:after="240" w:line="360" w:lineRule="auto"/>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 xml:space="preserve">Jaara, B., </w:t>
      </w:r>
      <w:proofErr w:type="spellStart"/>
      <w:r w:rsidRPr="004B3E05">
        <w:rPr>
          <w:rFonts w:ascii="Times New Roman" w:eastAsia="Times New Roman" w:hAnsi="Times New Roman" w:cs="Times New Roman"/>
          <w:sz w:val="24"/>
          <w:szCs w:val="24"/>
          <w:highlight w:val="white"/>
        </w:rPr>
        <w:t>Alashhab</w:t>
      </w:r>
      <w:proofErr w:type="spellEnd"/>
      <w:r w:rsidRPr="004B3E05">
        <w:rPr>
          <w:rFonts w:ascii="Times New Roman" w:eastAsia="Times New Roman" w:hAnsi="Times New Roman" w:cs="Times New Roman"/>
          <w:sz w:val="24"/>
          <w:szCs w:val="24"/>
          <w:highlight w:val="white"/>
        </w:rPr>
        <w:t xml:space="preserve">, H. and Jaara, O.O., 2018. The determinants of dividend policy for non-financial companies in Jordan. </w:t>
      </w:r>
      <w:r w:rsidRPr="004B3E05">
        <w:rPr>
          <w:rFonts w:ascii="Times New Roman" w:eastAsia="Times New Roman" w:hAnsi="Times New Roman" w:cs="Times New Roman"/>
          <w:i/>
          <w:sz w:val="24"/>
          <w:szCs w:val="24"/>
          <w:highlight w:val="white"/>
        </w:rPr>
        <w:t>International Journal of Economics and Financial Issues</w:t>
      </w:r>
      <w:r w:rsidRPr="004B3E05">
        <w:rPr>
          <w:rFonts w:ascii="Times New Roman" w:eastAsia="Times New Roman" w:hAnsi="Times New Roman" w:cs="Times New Roman"/>
          <w:sz w:val="24"/>
          <w:szCs w:val="24"/>
          <w:highlight w:val="white"/>
        </w:rPr>
        <w:t xml:space="preserve">, </w:t>
      </w:r>
      <w:r w:rsidRPr="004B3E05">
        <w:rPr>
          <w:rFonts w:ascii="Times New Roman" w:eastAsia="Times New Roman" w:hAnsi="Times New Roman" w:cs="Times New Roman"/>
          <w:i/>
          <w:sz w:val="24"/>
          <w:szCs w:val="24"/>
          <w:highlight w:val="white"/>
        </w:rPr>
        <w:t>8</w:t>
      </w:r>
      <w:r w:rsidRPr="004B3E05">
        <w:rPr>
          <w:rFonts w:ascii="Times New Roman" w:eastAsia="Times New Roman" w:hAnsi="Times New Roman" w:cs="Times New Roman"/>
          <w:sz w:val="24"/>
          <w:szCs w:val="24"/>
          <w:highlight w:val="white"/>
        </w:rPr>
        <w:t>(2), p.198.</w:t>
      </w:r>
    </w:p>
    <w:p w14:paraId="4EEFCB91" w14:textId="77777777" w:rsidR="00C862EF" w:rsidRPr="004B3E05" w:rsidRDefault="00C862EF" w:rsidP="00C862EF">
      <w:pPr>
        <w:spacing w:before="240" w:after="240" w:line="360" w:lineRule="auto"/>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 xml:space="preserve">Jane, D., 2018. Impact of working capital management on profitability of the selected listed FMCG companies in India. </w:t>
      </w:r>
      <w:r w:rsidRPr="004B3E05">
        <w:rPr>
          <w:rFonts w:ascii="Times New Roman" w:eastAsia="Times New Roman" w:hAnsi="Times New Roman" w:cs="Times New Roman"/>
          <w:i/>
          <w:sz w:val="24"/>
          <w:szCs w:val="24"/>
          <w:highlight w:val="white"/>
        </w:rPr>
        <w:t>International Research Journal of Business Studies</w:t>
      </w:r>
      <w:r w:rsidRPr="004B3E05">
        <w:rPr>
          <w:rFonts w:ascii="Times New Roman" w:eastAsia="Times New Roman" w:hAnsi="Times New Roman" w:cs="Times New Roman"/>
          <w:sz w:val="24"/>
          <w:szCs w:val="24"/>
          <w:highlight w:val="white"/>
        </w:rPr>
        <w:t xml:space="preserve">, </w:t>
      </w:r>
      <w:r w:rsidRPr="004B3E05">
        <w:rPr>
          <w:rFonts w:ascii="Times New Roman" w:eastAsia="Times New Roman" w:hAnsi="Times New Roman" w:cs="Times New Roman"/>
          <w:i/>
          <w:sz w:val="24"/>
          <w:szCs w:val="24"/>
          <w:highlight w:val="white"/>
        </w:rPr>
        <w:t>11</w:t>
      </w:r>
      <w:r w:rsidRPr="004B3E05">
        <w:rPr>
          <w:rFonts w:ascii="Times New Roman" w:eastAsia="Times New Roman" w:hAnsi="Times New Roman" w:cs="Times New Roman"/>
          <w:sz w:val="24"/>
          <w:szCs w:val="24"/>
          <w:highlight w:val="white"/>
        </w:rPr>
        <w:t>(1), pp.21-30.</w:t>
      </w:r>
    </w:p>
    <w:p w14:paraId="60615084" w14:textId="77777777" w:rsidR="00C862EF" w:rsidRPr="004B3E05" w:rsidRDefault="00C862EF" w:rsidP="00C862EF">
      <w:pPr>
        <w:spacing w:before="240" w:after="240" w:line="360" w:lineRule="auto"/>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 xml:space="preserve">Kengatharan, L., 2018. Capital Budgeting Theory and Practice: A review and agenda for future research. </w:t>
      </w:r>
      <w:r w:rsidRPr="004B3E05">
        <w:rPr>
          <w:rFonts w:ascii="Times New Roman" w:eastAsia="Times New Roman" w:hAnsi="Times New Roman" w:cs="Times New Roman"/>
          <w:i/>
          <w:sz w:val="24"/>
          <w:szCs w:val="24"/>
          <w:highlight w:val="white"/>
        </w:rPr>
        <w:t>American Journal of economics and business management</w:t>
      </w:r>
      <w:r w:rsidRPr="004B3E05">
        <w:rPr>
          <w:rFonts w:ascii="Times New Roman" w:eastAsia="Times New Roman" w:hAnsi="Times New Roman" w:cs="Times New Roman"/>
          <w:sz w:val="24"/>
          <w:szCs w:val="24"/>
          <w:highlight w:val="white"/>
        </w:rPr>
        <w:t xml:space="preserve">, </w:t>
      </w:r>
      <w:r w:rsidRPr="004B3E05">
        <w:rPr>
          <w:rFonts w:ascii="Times New Roman" w:eastAsia="Times New Roman" w:hAnsi="Times New Roman" w:cs="Times New Roman"/>
          <w:i/>
          <w:sz w:val="24"/>
          <w:szCs w:val="24"/>
          <w:highlight w:val="white"/>
        </w:rPr>
        <w:t>1</w:t>
      </w:r>
      <w:r w:rsidRPr="004B3E05">
        <w:rPr>
          <w:rFonts w:ascii="Times New Roman" w:eastAsia="Times New Roman" w:hAnsi="Times New Roman" w:cs="Times New Roman"/>
          <w:sz w:val="24"/>
          <w:szCs w:val="24"/>
          <w:highlight w:val="white"/>
        </w:rPr>
        <w:t>(1), pp.20-53.</w:t>
      </w:r>
    </w:p>
    <w:p w14:paraId="105AC5CD" w14:textId="77777777" w:rsidR="00C862EF" w:rsidRPr="004B3E05" w:rsidRDefault="00C862EF" w:rsidP="00C862EF">
      <w:pPr>
        <w:spacing w:before="240" w:after="240" w:line="360" w:lineRule="auto"/>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 xml:space="preserve">Rossi, M. and Gunardi, A., 2018. Efficient market hypothesis and stock market anomalies: Empirical evidence in four European countries. </w:t>
      </w:r>
      <w:r w:rsidRPr="004B3E05">
        <w:rPr>
          <w:rFonts w:ascii="Times New Roman" w:eastAsia="Times New Roman" w:hAnsi="Times New Roman" w:cs="Times New Roman"/>
          <w:i/>
          <w:sz w:val="24"/>
          <w:szCs w:val="24"/>
          <w:highlight w:val="white"/>
        </w:rPr>
        <w:t>Journal of Applied Business Research (JABR)</w:t>
      </w:r>
      <w:r w:rsidRPr="004B3E05">
        <w:rPr>
          <w:rFonts w:ascii="Times New Roman" w:eastAsia="Times New Roman" w:hAnsi="Times New Roman" w:cs="Times New Roman"/>
          <w:sz w:val="24"/>
          <w:szCs w:val="24"/>
          <w:highlight w:val="white"/>
        </w:rPr>
        <w:t xml:space="preserve">, </w:t>
      </w:r>
      <w:r w:rsidRPr="004B3E05">
        <w:rPr>
          <w:rFonts w:ascii="Times New Roman" w:eastAsia="Times New Roman" w:hAnsi="Times New Roman" w:cs="Times New Roman"/>
          <w:i/>
          <w:sz w:val="24"/>
          <w:szCs w:val="24"/>
          <w:highlight w:val="white"/>
        </w:rPr>
        <w:t>34</w:t>
      </w:r>
      <w:r w:rsidRPr="004B3E05">
        <w:rPr>
          <w:rFonts w:ascii="Times New Roman" w:eastAsia="Times New Roman" w:hAnsi="Times New Roman" w:cs="Times New Roman"/>
          <w:sz w:val="24"/>
          <w:szCs w:val="24"/>
          <w:highlight w:val="white"/>
        </w:rPr>
        <w:t>(1), pp.183-192.</w:t>
      </w:r>
    </w:p>
    <w:p w14:paraId="056307E4" w14:textId="77777777" w:rsidR="00C862EF" w:rsidRPr="004B3E05" w:rsidRDefault="00C862EF" w:rsidP="00C862EF">
      <w:pPr>
        <w:spacing w:before="240" w:after="240" w:line="360" w:lineRule="auto"/>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 xml:space="preserve">Statista, 2022. </w:t>
      </w:r>
      <w:r w:rsidRPr="004B3E05">
        <w:rPr>
          <w:rFonts w:ascii="Times New Roman" w:eastAsia="Times New Roman" w:hAnsi="Times New Roman" w:cs="Times New Roman"/>
          <w:i/>
          <w:sz w:val="24"/>
          <w:szCs w:val="24"/>
          <w:highlight w:val="white"/>
        </w:rPr>
        <w:t>E-Commerce net sales of tesco.com from 2014 to 2022 | Statista</w:t>
      </w:r>
      <w:r w:rsidRPr="004B3E05">
        <w:rPr>
          <w:rFonts w:ascii="Times New Roman" w:eastAsia="Times New Roman" w:hAnsi="Times New Roman" w:cs="Times New Roman"/>
          <w:sz w:val="24"/>
          <w:szCs w:val="24"/>
          <w:highlight w:val="white"/>
        </w:rPr>
        <w:t>. [online] Available at: &lt;https://www.statista.com/forecasts/1218318/tesco-revenue-development-ecommercedb&gt; [Accessed 4 April 2022].</w:t>
      </w:r>
    </w:p>
    <w:p w14:paraId="43327511" w14:textId="77777777" w:rsidR="00C862EF" w:rsidRPr="004B3E05" w:rsidRDefault="00C862EF" w:rsidP="00C862EF">
      <w:pPr>
        <w:spacing w:before="240" w:after="180" w:line="360" w:lineRule="auto"/>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 xml:space="preserve">Tescoplc, 2022a. </w:t>
      </w:r>
      <w:r w:rsidRPr="004B3E05">
        <w:rPr>
          <w:rFonts w:ascii="Times New Roman" w:eastAsia="Times New Roman" w:hAnsi="Times New Roman" w:cs="Times New Roman"/>
          <w:i/>
          <w:sz w:val="24"/>
          <w:szCs w:val="24"/>
          <w:highlight w:val="white"/>
        </w:rPr>
        <w:t xml:space="preserve">Every little </w:t>
      </w:r>
      <w:proofErr w:type="gramStart"/>
      <w:r w:rsidRPr="004B3E05">
        <w:rPr>
          <w:rFonts w:ascii="Times New Roman" w:eastAsia="Times New Roman" w:hAnsi="Times New Roman" w:cs="Times New Roman"/>
          <w:i/>
          <w:sz w:val="24"/>
          <w:szCs w:val="24"/>
          <w:highlight w:val="white"/>
        </w:rPr>
        <w:t>helps</w:t>
      </w:r>
      <w:proofErr w:type="gramEnd"/>
      <w:r w:rsidRPr="004B3E05">
        <w:rPr>
          <w:rFonts w:ascii="Times New Roman" w:eastAsia="Times New Roman" w:hAnsi="Times New Roman" w:cs="Times New Roman"/>
          <w:sz w:val="24"/>
          <w:szCs w:val="24"/>
          <w:highlight w:val="white"/>
        </w:rPr>
        <w:t>. [online] Available at: &lt;https://www.tescoplc.com/&gt; [Accessed 2 April 2022].</w:t>
      </w:r>
    </w:p>
    <w:p w14:paraId="01C1F2B5" w14:textId="77777777" w:rsidR="00C862EF" w:rsidRPr="004B3E05" w:rsidRDefault="00C862EF" w:rsidP="00C862EF">
      <w:pPr>
        <w:spacing w:before="240" w:after="240" w:line="360" w:lineRule="auto"/>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 xml:space="preserve">Tescoplc, 2022b. </w:t>
      </w:r>
      <w:r w:rsidRPr="004B3E05">
        <w:rPr>
          <w:rFonts w:ascii="Times New Roman" w:eastAsia="Times New Roman" w:hAnsi="Times New Roman" w:cs="Times New Roman"/>
          <w:i/>
          <w:sz w:val="24"/>
          <w:szCs w:val="24"/>
          <w:highlight w:val="white"/>
        </w:rPr>
        <w:t>Investors/shareholder-centre/dividends</w:t>
      </w:r>
      <w:r w:rsidRPr="004B3E05">
        <w:rPr>
          <w:rFonts w:ascii="Times New Roman" w:eastAsia="Times New Roman" w:hAnsi="Times New Roman" w:cs="Times New Roman"/>
          <w:sz w:val="24"/>
          <w:szCs w:val="24"/>
          <w:highlight w:val="white"/>
        </w:rPr>
        <w:t>. [online] Available at: &lt;https://www.tescoplc.com/investors/shareholder-centre/dividends/#:~:text=The%20frequency%20of%20dividend%20payments,buy%20more%20Tesco%20PLC%20shares.&gt; [Accessed 4 April 2022].</w:t>
      </w:r>
    </w:p>
    <w:p w14:paraId="0888C1F4" w14:textId="77777777" w:rsidR="00C862EF" w:rsidRPr="004B3E05" w:rsidRDefault="00C862EF" w:rsidP="00C862EF">
      <w:pPr>
        <w:spacing w:before="240" w:after="240" w:line="360" w:lineRule="auto"/>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t xml:space="preserve">Walsh, J., 2021. </w:t>
      </w:r>
      <w:r w:rsidRPr="004B3E05">
        <w:rPr>
          <w:rFonts w:ascii="Times New Roman" w:eastAsia="Times New Roman" w:hAnsi="Times New Roman" w:cs="Times New Roman"/>
          <w:i/>
          <w:sz w:val="24"/>
          <w:szCs w:val="24"/>
          <w:highlight w:val="white"/>
        </w:rPr>
        <w:t>Investing with Keynes: How the World’s Greatest Economist Overturned Conventional Wisdom and Made a Fortune on the Stock Market</w:t>
      </w:r>
      <w:r w:rsidRPr="004B3E05">
        <w:rPr>
          <w:rFonts w:ascii="Times New Roman" w:eastAsia="Times New Roman" w:hAnsi="Times New Roman" w:cs="Times New Roman"/>
          <w:sz w:val="24"/>
          <w:szCs w:val="24"/>
          <w:highlight w:val="white"/>
        </w:rPr>
        <w:t>. Black Inc.</w:t>
      </w:r>
    </w:p>
    <w:p w14:paraId="018569F7" w14:textId="77777777" w:rsidR="00C862EF" w:rsidRPr="004B3E05" w:rsidRDefault="00C862EF" w:rsidP="00C862EF">
      <w:pPr>
        <w:spacing w:before="240" w:after="240" w:line="360" w:lineRule="auto"/>
        <w:jc w:val="both"/>
        <w:rPr>
          <w:rFonts w:ascii="Times New Roman" w:eastAsia="Times New Roman" w:hAnsi="Times New Roman" w:cs="Times New Roman"/>
          <w:sz w:val="24"/>
          <w:szCs w:val="24"/>
          <w:highlight w:val="white"/>
        </w:rPr>
      </w:pPr>
      <w:r w:rsidRPr="004B3E05">
        <w:rPr>
          <w:rFonts w:ascii="Times New Roman" w:eastAsia="Times New Roman" w:hAnsi="Times New Roman" w:cs="Times New Roman"/>
          <w:sz w:val="24"/>
          <w:szCs w:val="24"/>
          <w:highlight w:val="white"/>
        </w:rPr>
        <w:lastRenderedPageBreak/>
        <w:t xml:space="preserve">Worldbank, 2022. </w:t>
      </w:r>
      <w:r w:rsidRPr="004B3E05">
        <w:rPr>
          <w:rFonts w:ascii="Times New Roman" w:eastAsia="Times New Roman" w:hAnsi="Times New Roman" w:cs="Times New Roman"/>
          <w:i/>
          <w:sz w:val="24"/>
          <w:szCs w:val="24"/>
          <w:highlight w:val="white"/>
        </w:rPr>
        <w:t xml:space="preserve">Tracking an Unprecedented Year for Businesses, </w:t>
      </w:r>
      <w:proofErr w:type="gramStart"/>
      <w:r w:rsidRPr="004B3E05">
        <w:rPr>
          <w:rFonts w:ascii="Times New Roman" w:eastAsia="Times New Roman" w:hAnsi="Times New Roman" w:cs="Times New Roman"/>
          <w:i/>
          <w:sz w:val="24"/>
          <w:szCs w:val="24"/>
          <w:highlight w:val="white"/>
        </w:rPr>
        <w:t>Everywhere</w:t>
      </w:r>
      <w:proofErr w:type="gramEnd"/>
      <w:r w:rsidRPr="004B3E05">
        <w:rPr>
          <w:rFonts w:ascii="Times New Roman" w:eastAsia="Times New Roman" w:hAnsi="Times New Roman" w:cs="Times New Roman"/>
          <w:sz w:val="24"/>
          <w:szCs w:val="24"/>
          <w:highlight w:val="white"/>
        </w:rPr>
        <w:t>. [online] Available at: &lt;https://www.worldbank.org/en/news/feature/2021/02/17/tracking-an-unprecedented-year-for-businesses-everywhere&gt; [Accessed 2 April 2022].</w:t>
      </w:r>
    </w:p>
    <w:sectPr w:rsidR="00C862EF" w:rsidRPr="004B3E05" w:rsidSect="00C862EF">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15919" w14:textId="77777777" w:rsidR="0073214A" w:rsidRDefault="0073214A" w:rsidP="00C862EF">
      <w:pPr>
        <w:spacing w:line="240" w:lineRule="auto"/>
      </w:pPr>
      <w:r>
        <w:separator/>
      </w:r>
    </w:p>
  </w:endnote>
  <w:endnote w:type="continuationSeparator" w:id="0">
    <w:p w14:paraId="4D894AAA" w14:textId="77777777" w:rsidR="0073214A" w:rsidRDefault="0073214A" w:rsidP="00C862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4655892"/>
      <w:docPartObj>
        <w:docPartGallery w:val="Page Numbers (Bottom of Page)"/>
        <w:docPartUnique/>
      </w:docPartObj>
    </w:sdtPr>
    <w:sdtEndPr>
      <w:rPr>
        <w:rFonts w:ascii="Times New Roman" w:hAnsi="Times New Roman" w:cs="Times New Roman"/>
        <w:noProof/>
        <w:sz w:val="20"/>
        <w:szCs w:val="20"/>
      </w:rPr>
    </w:sdtEndPr>
    <w:sdtContent>
      <w:p w14:paraId="52F116A7" w14:textId="1D5A7686" w:rsidR="00C862EF" w:rsidRPr="00C862EF" w:rsidRDefault="00C862EF">
        <w:pPr>
          <w:pStyle w:val="Footer"/>
          <w:jc w:val="right"/>
          <w:rPr>
            <w:rFonts w:ascii="Times New Roman" w:hAnsi="Times New Roman" w:cs="Times New Roman"/>
            <w:sz w:val="20"/>
            <w:szCs w:val="20"/>
          </w:rPr>
        </w:pPr>
        <w:r w:rsidRPr="00C862EF">
          <w:rPr>
            <w:rFonts w:ascii="Times New Roman" w:hAnsi="Times New Roman" w:cs="Times New Roman"/>
            <w:sz w:val="20"/>
            <w:szCs w:val="20"/>
          </w:rPr>
          <w:fldChar w:fldCharType="begin"/>
        </w:r>
        <w:r w:rsidRPr="00C862EF">
          <w:rPr>
            <w:rFonts w:ascii="Times New Roman" w:hAnsi="Times New Roman" w:cs="Times New Roman"/>
            <w:sz w:val="20"/>
            <w:szCs w:val="20"/>
          </w:rPr>
          <w:instrText xml:space="preserve"> PAGE   \* MERGEFORMAT </w:instrText>
        </w:r>
        <w:r w:rsidRPr="00C862EF">
          <w:rPr>
            <w:rFonts w:ascii="Times New Roman" w:hAnsi="Times New Roman" w:cs="Times New Roman"/>
            <w:sz w:val="20"/>
            <w:szCs w:val="20"/>
          </w:rPr>
          <w:fldChar w:fldCharType="separate"/>
        </w:r>
        <w:r w:rsidRPr="00C862EF">
          <w:rPr>
            <w:rFonts w:ascii="Times New Roman" w:hAnsi="Times New Roman" w:cs="Times New Roman"/>
            <w:noProof/>
            <w:sz w:val="20"/>
            <w:szCs w:val="20"/>
          </w:rPr>
          <w:t>2</w:t>
        </w:r>
        <w:r w:rsidRPr="00C862EF">
          <w:rPr>
            <w:rFonts w:ascii="Times New Roman" w:hAnsi="Times New Roman" w:cs="Times New Roman"/>
            <w:noProof/>
            <w:sz w:val="20"/>
            <w:szCs w:val="20"/>
          </w:rPr>
          <w:fldChar w:fldCharType="end"/>
        </w:r>
      </w:p>
    </w:sdtContent>
  </w:sdt>
  <w:p w14:paraId="6BEDEEE0" w14:textId="77777777" w:rsidR="00C862EF" w:rsidRDefault="00C862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B0F29" w14:textId="77777777" w:rsidR="0073214A" w:rsidRDefault="0073214A" w:rsidP="00C862EF">
      <w:pPr>
        <w:spacing w:line="240" w:lineRule="auto"/>
      </w:pPr>
      <w:r>
        <w:separator/>
      </w:r>
    </w:p>
  </w:footnote>
  <w:footnote w:type="continuationSeparator" w:id="0">
    <w:p w14:paraId="2F03DC4D" w14:textId="77777777" w:rsidR="0073214A" w:rsidRDefault="0073214A" w:rsidP="00C862E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83E"/>
    <w:rsid w:val="00195DC8"/>
    <w:rsid w:val="001C077C"/>
    <w:rsid w:val="00202E35"/>
    <w:rsid w:val="00377259"/>
    <w:rsid w:val="004B3E05"/>
    <w:rsid w:val="0050092B"/>
    <w:rsid w:val="0073214A"/>
    <w:rsid w:val="00980264"/>
    <w:rsid w:val="009972D7"/>
    <w:rsid w:val="00AA07E8"/>
    <w:rsid w:val="00B9383E"/>
    <w:rsid w:val="00C344A7"/>
    <w:rsid w:val="00C862EF"/>
    <w:rsid w:val="00F11A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5A44A"/>
  <w15:docId w15:val="{95D59E25-76CD-45F1-9546-D562C65E0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862EF"/>
    <w:pPr>
      <w:spacing w:line="360" w:lineRule="auto"/>
      <w:jc w:val="both"/>
      <w:outlineLvl w:val="0"/>
    </w:pPr>
    <w:rPr>
      <w:rFonts w:ascii="Times New Roman" w:eastAsia="Times New Roman" w:hAnsi="Times New Roman" w:cs="Times New Roman"/>
      <w:b/>
      <w:color w:val="222222"/>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862EF"/>
    <w:rPr>
      <w:b/>
      <w:bCs/>
    </w:rPr>
  </w:style>
  <w:style w:type="character" w:customStyle="1" w:styleId="CommentSubjectChar">
    <w:name w:val="Comment Subject Char"/>
    <w:basedOn w:val="CommentTextChar"/>
    <w:link w:val="CommentSubject"/>
    <w:uiPriority w:val="99"/>
    <w:semiHidden/>
    <w:rsid w:val="00C862EF"/>
    <w:rPr>
      <w:b/>
      <w:bCs/>
      <w:sz w:val="20"/>
      <w:szCs w:val="20"/>
    </w:rPr>
  </w:style>
  <w:style w:type="paragraph" w:styleId="TOCHeading">
    <w:name w:val="TOC Heading"/>
    <w:basedOn w:val="Heading1"/>
    <w:next w:val="Normal"/>
    <w:uiPriority w:val="39"/>
    <w:unhideWhenUsed/>
    <w:qFormat/>
    <w:rsid w:val="00C862EF"/>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862EF"/>
    <w:pPr>
      <w:spacing w:after="100"/>
    </w:pPr>
  </w:style>
  <w:style w:type="character" w:styleId="Hyperlink">
    <w:name w:val="Hyperlink"/>
    <w:basedOn w:val="DefaultParagraphFont"/>
    <w:uiPriority w:val="99"/>
    <w:unhideWhenUsed/>
    <w:rsid w:val="00C862EF"/>
    <w:rPr>
      <w:color w:val="0000FF" w:themeColor="hyperlink"/>
      <w:u w:val="single"/>
    </w:rPr>
  </w:style>
  <w:style w:type="paragraph" w:styleId="Header">
    <w:name w:val="header"/>
    <w:basedOn w:val="Normal"/>
    <w:link w:val="HeaderChar"/>
    <w:uiPriority w:val="99"/>
    <w:unhideWhenUsed/>
    <w:rsid w:val="00C862EF"/>
    <w:pPr>
      <w:tabs>
        <w:tab w:val="center" w:pos="4513"/>
        <w:tab w:val="right" w:pos="9026"/>
      </w:tabs>
      <w:spacing w:line="240" w:lineRule="auto"/>
    </w:pPr>
  </w:style>
  <w:style w:type="character" w:customStyle="1" w:styleId="HeaderChar">
    <w:name w:val="Header Char"/>
    <w:basedOn w:val="DefaultParagraphFont"/>
    <w:link w:val="Header"/>
    <w:uiPriority w:val="99"/>
    <w:rsid w:val="00C862EF"/>
  </w:style>
  <w:style w:type="paragraph" w:styleId="Footer">
    <w:name w:val="footer"/>
    <w:basedOn w:val="Normal"/>
    <w:link w:val="FooterChar"/>
    <w:uiPriority w:val="99"/>
    <w:unhideWhenUsed/>
    <w:rsid w:val="00C862EF"/>
    <w:pPr>
      <w:tabs>
        <w:tab w:val="center" w:pos="4513"/>
        <w:tab w:val="right" w:pos="9026"/>
      </w:tabs>
      <w:spacing w:line="240" w:lineRule="auto"/>
    </w:pPr>
  </w:style>
  <w:style w:type="character" w:customStyle="1" w:styleId="FooterChar">
    <w:name w:val="Footer Char"/>
    <w:basedOn w:val="DefaultParagraphFont"/>
    <w:link w:val="Footer"/>
    <w:uiPriority w:val="99"/>
    <w:rsid w:val="00C86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8F1DE-8884-4647-8FD0-DA98725CA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1998</Words>
  <Characters>11389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Florin-Alin Cretulescu (1911820)</cp:lastModifiedBy>
  <cp:revision>13</cp:revision>
  <dcterms:created xsi:type="dcterms:W3CDTF">2022-04-16T10:39:00Z</dcterms:created>
  <dcterms:modified xsi:type="dcterms:W3CDTF">2022-05-02T16:43:00Z</dcterms:modified>
</cp:coreProperties>
</file>