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28"/>
          <w:szCs w:val="28"/>
          <w:u w:val="single"/>
        </w:rPr>
      </w:pPr>
      <w:r w:rsidDel="00000000" w:rsidR="00000000" w:rsidRPr="00000000">
        <w:rPr>
          <w:rtl w:val="0"/>
        </w:rPr>
      </w:r>
    </w:p>
    <w:p w:rsidR="00000000" w:rsidDel="00000000" w:rsidP="00000000" w:rsidRDefault="00000000" w:rsidRPr="00000000" w14:paraId="00000002">
      <w:pPr>
        <w:jc w:val="center"/>
        <w:rPr>
          <w:b w:val="1"/>
          <w:sz w:val="28"/>
          <w:szCs w:val="28"/>
          <w:u w:val="single"/>
        </w:rPr>
      </w:pPr>
      <w:r w:rsidDel="00000000" w:rsidR="00000000" w:rsidRPr="00000000">
        <w:rPr>
          <w:b w:val="1"/>
          <w:sz w:val="28"/>
          <w:szCs w:val="28"/>
          <w:u w:val="single"/>
          <w:rtl w:val="0"/>
        </w:rPr>
        <w:t xml:space="preserve">Q1 - Consider whether the defence of insanity is fit for purpose or is in need of reform. (BMLW4002/BMPL4004)</w:t>
      </w:r>
    </w:p>
    <w:p w:rsidR="00000000" w:rsidDel="00000000" w:rsidP="00000000" w:rsidRDefault="00000000" w:rsidRPr="00000000" w14:paraId="00000003">
      <w:pPr>
        <w:jc w:val="center"/>
        <w:rPr>
          <w:b w:val="1"/>
          <w:sz w:val="28"/>
          <w:szCs w:val="28"/>
          <w:highlight w:val="white"/>
          <w:u w:val="single"/>
        </w:rPr>
      </w:pPr>
      <w:r w:rsidDel="00000000" w:rsidR="00000000" w:rsidRPr="00000000">
        <w:rPr>
          <w:b w:val="1"/>
          <w:sz w:val="28"/>
          <w:szCs w:val="28"/>
          <w:u w:val="single"/>
          <w:rtl w:val="0"/>
        </w:rPr>
        <w:t xml:space="preserve"> </w:t>
      </w:r>
      <w:r w:rsidDel="00000000" w:rsidR="00000000" w:rsidRPr="00000000">
        <w:rPr>
          <w:rtl w:val="0"/>
        </w:rPr>
      </w:r>
    </w:p>
    <w:p w:rsidR="00000000" w:rsidDel="00000000" w:rsidP="00000000" w:rsidRDefault="00000000" w:rsidRPr="00000000" w14:paraId="00000004">
      <w:pPr>
        <w:spacing w:line="360" w:lineRule="auto"/>
        <w:jc w:val="both"/>
        <w:rPr>
          <w:sz w:val="26"/>
          <w:szCs w:val="26"/>
          <w:highlight w:val="white"/>
        </w:rPr>
      </w:pPr>
      <w:r w:rsidDel="00000000" w:rsidR="00000000" w:rsidRPr="00000000">
        <w:rPr>
          <w:sz w:val="26"/>
          <w:szCs w:val="26"/>
          <w:highlight w:val="white"/>
          <w:rtl w:val="0"/>
        </w:rPr>
        <w:t xml:space="preserve">The defence of insanity is when a person is being tried in a court for a crime they committed and the criminal law may provide defence if it is thought that, due to the person’s mental condition, they should not be held responsible for the crime they did commit (Law Commission 2013). An example of this could be demonstrated through R v Johnson (2007).  The justifications for this were that Johnson was diagnosed paranoid schizophrenia and, due to his mental condition during this time, he thought it was a moral justification to commit the crime - wounding with intent to cause grievous bodily harm. On the contrary, these cases sometimes do not get accepted if it is shown that during the time the crime was committed, the defendant was aware of what they were doing and understood it was wrong. This can be demonstrated through </w:t>
      </w:r>
      <w:r w:rsidDel="00000000" w:rsidR="00000000" w:rsidRPr="00000000">
        <w:rPr>
          <w:sz w:val="26"/>
          <w:szCs w:val="26"/>
          <w:rtl w:val="0"/>
        </w:rPr>
        <w:t xml:space="preserve">R v Windle (1952), when Windle murdered his wife and understood his acts were wrong, so the judge did not accept the plea of insanity.</w:t>
      </w:r>
      <w:r w:rsidDel="00000000" w:rsidR="00000000" w:rsidRPr="00000000">
        <w:rPr>
          <w:rtl w:val="0"/>
        </w:rPr>
      </w:r>
    </w:p>
    <w:p w:rsidR="00000000" w:rsidDel="00000000" w:rsidP="00000000" w:rsidRDefault="00000000" w:rsidRPr="00000000" w14:paraId="00000005">
      <w:pPr>
        <w:spacing w:line="360" w:lineRule="auto"/>
        <w:jc w:val="both"/>
        <w:rPr>
          <w:sz w:val="26"/>
          <w:szCs w:val="26"/>
          <w:highlight w:val="white"/>
        </w:rPr>
      </w:pPr>
      <w:r w:rsidDel="00000000" w:rsidR="00000000" w:rsidRPr="00000000">
        <w:rPr>
          <w:rtl w:val="0"/>
        </w:rPr>
      </w:r>
    </w:p>
    <w:p w:rsidR="00000000" w:rsidDel="00000000" w:rsidP="00000000" w:rsidRDefault="00000000" w:rsidRPr="00000000" w14:paraId="00000006">
      <w:pPr>
        <w:spacing w:line="360" w:lineRule="auto"/>
        <w:jc w:val="both"/>
        <w:rPr>
          <w:sz w:val="26"/>
          <w:szCs w:val="26"/>
          <w:highlight w:val="cyan"/>
        </w:rPr>
      </w:pPr>
      <w:r w:rsidDel="00000000" w:rsidR="00000000" w:rsidRPr="00000000">
        <w:rPr>
          <w:sz w:val="26"/>
          <w:szCs w:val="26"/>
          <w:highlight w:val="white"/>
          <w:rtl w:val="0"/>
        </w:rPr>
        <w:t xml:space="preserve">There are multiple legislations that this topic covers: (Insanity) Act 1999 - this is in place to enable the Commission to touch upon the court's decision to come to a verdict of “guilty but insane” which is under the Trial of Lunatics Act 1883; Criminal Procedure (Insanity and Unfitness to Plead) Act 1991 which is relating to the special verdict and unfitness to plead; and lastly, the Criminal Procedure (Insanity) Act 1964 is so that they have the procedure to determine whether a defendant would be acceptable or has a disability to have this appeal. However, this act has significant identified changes</w:t>
      </w:r>
      <w:r w:rsidDel="00000000" w:rsidR="00000000" w:rsidRPr="00000000">
        <w:rPr>
          <w:color w:val="ff0000"/>
          <w:sz w:val="26"/>
          <w:szCs w:val="26"/>
          <w:highlight w:val="white"/>
          <w:rtl w:val="0"/>
        </w:rPr>
        <w:t xml:space="preserve"> </w:t>
      </w:r>
      <w:r w:rsidDel="00000000" w:rsidR="00000000" w:rsidRPr="00000000">
        <w:rPr>
          <w:sz w:val="26"/>
          <w:szCs w:val="26"/>
          <w:highlight w:val="white"/>
          <w:rtl w:val="0"/>
        </w:rPr>
        <w:t xml:space="preserve">to be made at this point in time.</w:t>
      </w:r>
      <w:r w:rsidDel="00000000" w:rsidR="00000000" w:rsidRPr="00000000">
        <w:rPr>
          <w:rtl w:val="0"/>
        </w:rPr>
      </w:r>
    </w:p>
    <w:p w:rsidR="00000000" w:rsidDel="00000000" w:rsidP="00000000" w:rsidRDefault="00000000" w:rsidRPr="00000000" w14:paraId="00000007">
      <w:pPr>
        <w:spacing w:line="360" w:lineRule="auto"/>
        <w:jc w:val="both"/>
        <w:rPr>
          <w:sz w:val="26"/>
          <w:szCs w:val="26"/>
        </w:rPr>
      </w:pPr>
      <w:r w:rsidDel="00000000" w:rsidR="00000000" w:rsidRPr="00000000">
        <w:rPr>
          <w:rtl w:val="0"/>
        </w:rPr>
      </w:r>
    </w:p>
    <w:p w:rsidR="00000000" w:rsidDel="00000000" w:rsidP="00000000" w:rsidRDefault="00000000" w:rsidRPr="00000000" w14:paraId="00000008">
      <w:pPr>
        <w:spacing w:line="360" w:lineRule="auto"/>
        <w:jc w:val="both"/>
        <w:rPr>
          <w:sz w:val="26"/>
          <w:szCs w:val="26"/>
        </w:rPr>
      </w:pPr>
      <w:r w:rsidDel="00000000" w:rsidR="00000000" w:rsidRPr="00000000">
        <w:rPr>
          <w:sz w:val="26"/>
          <w:szCs w:val="26"/>
          <w:rtl w:val="0"/>
        </w:rPr>
        <w:t xml:space="preserve">The M’Naughten rule is drawn from the case R v M’Naughten (1843) and will determine whether the person will have a successful plea of insanity if, at the time of the offence, they did not understand they were doing anything wrong and did not know the quality and nature of their crime (Kermit, 2002). To further summarise the main points brought by the M’Naughten rules, are that every person will be seen as sane at the time of the crime until proved otherwise.  If an ‘insane’ person knew what they were doing at the time, even if they are proved to be mentally unwell, they will still be punishable and that it is the jurors’ decision whether to find the defendant insane or not. Also, if the defendant believes their delusions to be real (Asokan, 2016).</w:t>
      </w:r>
    </w:p>
    <w:p w:rsidR="00000000" w:rsidDel="00000000" w:rsidP="00000000" w:rsidRDefault="00000000" w:rsidRPr="00000000" w14:paraId="00000009">
      <w:pPr>
        <w:spacing w:line="360" w:lineRule="auto"/>
        <w:jc w:val="both"/>
        <w:rPr>
          <w:sz w:val="26"/>
          <w:szCs w:val="26"/>
        </w:rPr>
      </w:pPr>
      <w:r w:rsidDel="00000000" w:rsidR="00000000" w:rsidRPr="00000000">
        <w:rPr>
          <w:rtl w:val="0"/>
        </w:rPr>
      </w:r>
    </w:p>
    <w:p w:rsidR="00000000" w:rsidDel="00000000" w:rsidP="00000000" w:rsidRDefault="00000000" w:rsidRPr="00000000" w14:paraId="0000000A">
      <w:pPr>
        <w:spacing w:line="360" w:lineRule="auto"/>
        <w:jc w:val="both"/>
        <w:rPr>
          <w:sz w:val="26"/>
          <w:szCs w:val="26"/>
        </w:rPr>
      </w:pPr>
      <w:r w:rsidDel="00000000" w:rsidR="00000000" w:rsidRPr="00000000">
        <w:rPr>
          <w:sz w:val="26"/>
          <w:szCs w:val="26"/>
          <w:rtl w:val="0"/>
        </w:rPr>
        <w:t xml:space="preserve">The M’Naughten rule came about when Daniel M'Naughten shot and killed the secretary to the British Prime Minister thinking he was the Prime Minister.  He committed this act as, through his delusions, this was the only way to overcome this situation as he believed they were conspiring against him. This case then raised some important questions about the issue regarding mentally ill people and the crimes they commit and the role that medical advice plays in this. It is shown that one of the biggest problems that the justice system faces is whether or not medical practitioners are able with their expertise to judge whether someone was, at the time of an offence, under the M’Naughten rule of mentally insane or under automatism. This can be shown through the demonstration of the case law Blackie V police (1966).  The main points taken from this is Turner J addressed this issue about whether or not a judge could believe that a medical practitioner's final decision is the truth and if their testimony is ‘‘more prejudicial than probative’’ (Allnutt, S, 2007).</w:t>
      </w:r>
    </w:p>
    <w:p w:rsidR="00000000" w:rsidDel="00000000" w:rsidP="00000000" w:rsidRDefault="00000000" w:rsidRPr="00000000" w14:paraId="0000000B">
      <w:pPr>
        <w:spacing w:line="360" w:lineRule="auto"/>
        <w:jc w:val="both"/>
        <w:rPr>
          <w:sz w:val="26"/>
          <w:szCs w:val="26"/>
          <w:highlight w:val="red"/>
        </w:rPr>
      </w:pPr>
      <w:r w:rsidDel="00000000" w:rsidR="00000000" w:rsidRPr="00000000">
        <w:rPr>
          <w:rtl w:val="0"/>
        </w:rPr>
      </w:r>
    </w:p>
    <w:p w:rsidR="00000000" w:rsidDel="00000000" w:rsidP="00000000" w:rsidRDefault="00000000" w:rsidRPr="00000000" w14:paraId="0000000C">
      <w:pPr>
        <w:spacing w:line="360" w:lineRule="auto"/>
        <w:jc w:val="both"/>
        <w:rPr>
          <w:sz w:val="26"/>
          <w:szCs w:val="26"/>
        </w:rPr>
      </w:pPr>
      <w:r w:rsidDel="00000000" w:rsidR="00000000" w:rsidRPr="00000000">
        <w:rPr>
          <w:sz w:val="26"/>
          <w:szCs w:val="26"/>
          <w:rtl w:val="0"/>
        </w:rPr>
        <w:t xml:space="preserve">Similar to insanity, where they are not criminally liable for the mental conditions, a defendant may not be criminally liable because they lacked conscious control during the offence. This may be for a reason other than a mental condition.  This is known as </w:t>
      </w:r>
      <w:r w:rsidDel="00000000" w:rsidR="00000000" w:rsidRPr="00000000">
        <w:rPr>
          <w:i w:val="1"/>
          <w:sz w:val="26"/>
          <w:szCs w:val="26"/>
          <w:rtl w:val="0"/>
        </w:rPr>
        <w:t xml:space="preserve">sane automatism</w:t>
      </w:r>
      <w:r w:rsidDel="00000000" w:rsidR="00000000" w:rsidRPr="00000000">
        <w:rPr>
          <w:sz w:val="26"/>
          <w:szCs w:val="26"/>
          <w:rtl w:val="0"/>
        </w:rPr>
        <w:t xml:space="preserve">. The current rules on this matter date back to over 150 years ago, 1843, and have had a lot of criticisms (Law Commission, no date).</w:t>
      </w:r>
    </w:p>
    <w:p w:rsidR="00000000" w:rsidDel="00000000" w:rsidP="00000000" w:rsidRDefault="00000000" w:rsidRPr="00000000" w14:paraId="0000000D">
      <w:pPr>
        <w:spacing w:line="360" w:lineRule="auto"/>
        <w:jc w:val="both"/>
        <w:rPr>
          <w:sz w:val="26"/>
          <w:szCs w:val="26"/>
        </w:rPr>
      </w:pPr>
      <w:r w:rsidDel="00000000" w:rsidR="00000000" w:rsidRPr="00000000">
        <w:rPr>
          <w:rtl w:val="0"/>
        </w:rPr>
      </w:r>
    </w:p>
    <w:p w:rsidR="00000000" w:rsidDel="00000000" w:rsidP="00000000" w:rsidRDefault="00000000" w:rsidRPr="00000000" w14:paraId="0000000E">
      <w:pPr>
        <w:spacing w:line="360" w:lineRule="auto"/>
        <w:jc w:val="both"/>
        <w:rPr>
          <w:sz w:val="26"/>
          <w:szCs w:val="26"/>
        </w:rPr>
      </w:pPr>
      <w:r w:rsidDel="00000000" w:rsidR="00000000" w:rsidRPr="00000000">
        <w:rPr>
          <w:sz w:val="26"/>
          <w:szCs w:val="26"/>
          <w:rtl w:val="0"/>
        </w:rPr>
        <w:t xml:space="preserve">When looking at the discussion paper for criminal liability, insanity and automatism, the current laws are under a lot of criticism in many ways. Firstly, being out of date - this is shown through the discussion paper as the terminology used has been proven outdated. An example of this is the M’Naughten rule, as spoken about previously, requires the defendant to have a “defect of reason from disease of the mind”. This may cause some confusion as the mind is not always interpreted to mean the brain. However, that said, within the courts this is known to mean a mental condition and diseases of the brain, but does not include others such as epilepsy, diabetes and sleepwalkers, all of which come under the M’Naughten rule (Law Commission, 2012).  An example of this could be demonstrated through the case R v Burgess (1991) where the defendant said that the violent act was committed during a sleepwalking episode. </w:t>
      </w:r>
    </w:p>
    <w:p w:rsidR="00000000" w:rsidDel="00000000" w:rsidP="00000000" w:rsidRDefault="00000000" w:rsidRPr="00000000" w14:paraId="0000000F">
      <w:pPr>
        <w:spacing w:line="360" w:lineRule="auto"/>
        <w:jc w:val="both"/>
        <w:rPr>
          <w:sz w:val="26"/>
          <w:szCs w:val="26"/>
        </w:rPr>
      </w:pPr>
      <w:r w:rsidDel="00000000" w:rsidR="00000000" w:rsidRPr="00000000">
        <w:rPr>
          <w:rtl w:val="0"/>
        </w:rPr>
      </w:r>
    </w:p>
    <w:p w:rsidR="00000000" w:rsidDel="00000000" w:rsidP="00000000" w:rsidRDefault="00000000" w:rsidRPr="00000000" w14:paraId="00000010">
      <w:pPr>
        <w:spacing w:line="360" w:lineRule="auto"/>
        <w:jc w:val="both"/>
        <w:rPr>
          <w:sz w:val="26"/>
          <w:szCs w:val="26"/>
        </w:rPr>
      </w:pPr>
      <w:r w:rsidDel="00000000" w:rsidR="00000000" w:rsidRPr="00000000">
        <w:rPr>
          <w:sz w:val="26"/>
          <w:szCs w:val="26"/>
          <w:rtl w:val="0"/>
        </w:rPr>
        <w:t xml:space="preserve">Another flaw that has surfaced is confusion within the courts with the terminology being misunderstood.  An example of this is the statement ‘he did not know what he was doing was wrong’ - the word </w:t>
      </w:r>
      <w:r w:rsidDel="00000000" w:rsidR="00000000" w:rsidRPr="00000000">
        <w:rPr>
          <w:i w:val="1"/>
          <w:sz w:val="26"/>
          <w:szCs w:val="26"/>
          <w:rtl w:val="0"/>
        </w:rPr>
        <w:t xml:space="preserve">wrong</w:t>
      </w:r>
      <w:r w:rsidDel="00000000" w:rsidR="00000000" w:rsidRPr="00000000">
        <w:rPr>
          <w:sz w:val="26"/>
          <w:szCs w:val="26"/>
          <w:rtl w:val="0"/>
        </w:rPr>
        <w:t xml:space="preserve"> could be confused with the meaning of </w:t>
      </w:r>
      <w:r w:rsidDel="00000000" w:rsidR="00000000" w:rsidRPr="00000000">
        <w:rPr>
          <w:i w:val="1"/>
          <w:sz w:val="26"/>
          <w:szCs w:val="26"/>
          <w:rtl w:val="0"/>
        </w:rPr>
        <w:t xml:space="preserve">morally</w:t>
      </w:r>
      <w:r w:rsidDel="00000000" w:rsidR="00000000" w:rsidRPr="00000000">
        <w:rPr>
          <w:sz w:val="26"/>
          <w:szCs w:val="26"/>
          <w:rtl w:val="0"/>
        </w:rPr>
        <w:t xml:space="preserve"> wrong not </w:t>
      </w:r>
      <w:r w:rsidDel="00000000" w:rsidR="00000000" w:rsidRPr="00000000">
        <w:rPr>
          <w:i w:val="1"/>
          <w:sz w:val="26"/>
          <w:szCs w:val="26"/>
          <w:rtl w:val="0"/>
        </w:rPr>
        <w:t xml:space="preserve">criminally</w:t>
      </w:r>
      <w:r w:rsidDel="00000000" w:rsidR="00000000" w:rsidRPr="00000000">
        <w:rPr>
          <w:sz w:val="26"/>
          <w:szCs w:val="26"/>
          <w:rtl w:val="0"/>
        </w:rPr>
        <w:t xml:space="preserve"> wrong (Law Commission, 2012). This is said as the label ‘insanity’ could be very off-putting (Law Commission, 2012). Confusing and outdated terminology can be shown to be troublesome through the case law R v Cunningham (1957) where the word recklessness got confused and caused unwanted uncertainty and wasted time. </w:t>
      </w:r>
    </w:p>
    <w:p w:rsidR="00000000" w:rsidDel="00000000" w:rsidP="00000000" w:rsidRDefault="00000000" w:rsidRPr="00000000" w14:paraId="00000011">
      <w:pPr>
        <w:spacing w:line="360" w:lineRule="auto"/>
        <w:jc w:val="both"/>
        <w:rPr>
          <w:sz w:val="26"/>
          <w:szCs w:val="26"/>
        </w:rPr>
      </w:pPr>
      <w:r w:rsidDel="00000000" w:rsidR="00000000" w:rsidRPr="00000000">
        <w:rPr>
          <w:rtl w:val="0"/>
        </w:rPr>
      </w:r>
    </w:p>
    <w:p w:rsidR="00000000" w:rsidDel="00000000" w:rsidP="00000000" w:rsidRDefault="00000000" w:rsidRPr="00000000" w14:paraId="00000012">
      <w:pPr>
        <w:spacing w:line="360" w:lineRule="auto"/>
        <w:jc w:val="both"/>
        <w:rPr>
          <w:sz w:val="26"/>
          <w:szCs w:val="26"/>
        </w:rPr>
      </w:pPr>
      <w:r w:rsidDel="00000000" w:rsidR="00000000" w:rsidRPr="00000000">
        <w:rPr>
          <w:sz w:val="26"/>
          <w:szCs w:val="26"/>
          <w:rtl w:val="0"/>
        </w:rPr>
        <w:t xml:space="preserve">In addition to the label of insanity being outdated, the law lags behind in the understanding and reflection behind psychiatric evaluation. This would explain, in some part, why medical professionals do not apply the correct terms in regards to those who have learning disabilities or epilepsy for example. The current law that governs 'insane automatism' is unclear and is therefore producing impractical results (Boland 2019). Not only is the terminology outdated and confusing, but inaccurate, stigmatising and lacks empathy. Understandably, this is not always the case, as seen within R v Hennessy, where the mental state was correctly assessed and there were no issues of uncertainty and too little education within the psychiatric evaluations. </w:t>
      </w:r>
    </w:p>
    <w:p w:rsidR="00000000" w:rsidDel="00000000" w:rsidP="00000000" w:rsidRDefault="00000000" w:rsidRPr="00000000" w14:paraId="00000013">
      <w:pPr>
        <w:spacing w:line="360" w:lineRule="auto"/>
        <w:jc w:val="both"/>
        <w:rPr>
          <w:sz w:val="26"/>
          <w:szCs w:val="26"/>
        </w:rPr>
      </w:pPr>
      <w:r w:rsidDel="00000000" w:rsidR="00000000" w:rsidRPr="00000000">
        <w:rPr>
          <w:rtl w:val="0"/>
        </w:rPr>
      </w:r>
    </w:p>
    <w:p w:rsidR="00000000" w:rsidDel="00000000" w:rsidP="00000000" w:rsidRDefault="00000000" w:rsidRPr="00000000" w14:paraId="00000014">
      <w:pPr>
        <w:spacing w:line="360" w:lineRule="auto"/>
        <w:jc w:val="both"/>
        <w:rPr>
          <w:sz w:val="26"/>
          <w:szCs w:val="26"/>
          <w:highlight w:val="cyan"/>
        </w:rPr>
      </w:pPr>
      <w:bookmarkStart w:colFirst="0" w:colLast="0" w:name="_gjdgxs" w:id="0"/>
      <w:bookmarkEnd w:id="0"/>
      <w:r w:rsidDel="00000000" w:rsidR="00000000" w:rsidRPr="00000000">
        <w:rPr>
          <w:sz w:val="26"/>
          <w:szCs w:val="26"/>
          <w:rtl w:val="0"/>
        </w:rPr>
        <w:t xml:space="preserve">Unfortunately, there have been many attempts of reform from various bodies but none have been successful so the problems talked about will recur. The suggestions being to change the name from reason of insanity to not criminally responsible by reason of recognised medical condition. This has been proposed as it will reduce stigma as well as battling the issues of the label being inaccurate as this will include more than purely mental illness. To conclude, the act should remain but is in need of a reform to be more inclusive (Law Commission 2013).</w:t>
      </w:r>
      <w:r w:rsidDel="00000000" w:rsidR="00000000" w:rsidRPr="00000000">
        <w:rPr>
          <w:rtl w:val="0"/>
        </w:rPr>
      </w:r>
    </w:p>
    <w:p w:rsidR="00000000" w:rsidDel="00000000" w:rsidP="00000000" w:rsidRDefault="00000000" w:rsidRPr="00000000" w14:paraId="00000015">
      <w:pPr>
        <w:spacing w:line="360" w:lineRule="auto"/>
        <w:ind w:left="720" w:firstLine="0"/>
        <w:jc w:val="both"/>
        <w:rPr>
          <w:sz w:val="26"/>
          <w:szCs w:val="26"/>
          <w:highlight w:val="white"/>
        </w:rPr>
      </w:pPr>
      <w:r w:rsidDel="00000000" w:rsidR="00000000" w:rsidRPr="00000000">
        <w:rPr>
          <w:rtl w:val="0"/>
        </w:rPr>
      </w:r>
    </w:p>
    <w:p w:rsidR="00000000" w:rsidDel="00000000" w:rsidP="00000000" w:rsidRDefault="00000000" w:rsidRPr="00000000" w14:paraId="00000016">
      <w:pPr>
        <w:spacing w:line="360" w:lineRule="auto"/>
        <w:rPr>
          <w:sz w:val="26"/>
          <w:szCs w:val="26"/>
          <w:u w:val="single"/>
        </w:rPr>
      </w:pPr>
      <w:r w:rsidDel="00000000" w:rsidR="00000000" w:rsidRPr="00000000">
        <w:rPr>
          <w:sz w:val="26"/>
          <w:szCs w:val="26"/>
          <w:u w:val="single"/>
          <w:rtl w:val="0"/>
        </w:rPr>
        <w:t xml:space="preserve">Reference List </w:t>
      </w:r>
    </w:p>
    <w:p w:rsidR="00000000" w:rsidDel="00000000" w:rsidP="00000000" w:rsidRDefault="00000000" w:rsidRPr="00000000" w14:paraId="00000017">
      <w:pPr>
        <w:spacing w:line="360" w:lineRule="auto"/>
        <w:rPr>
          <w:sz w:val="26"/>
          <w:szCs w:val="26"/>
        </w:rPr>
      </w:pPr>
      <w:r w:rsidDel="00000000" w:rsidR="00000000" w:rsidRPr="00000000">
        <w:rPr>
          <w:sz w:val="26"/>
          <w:szCs w:val="26"/>
          <w:rtl w:val="0"/>
        </w:rPr>
        <w:t xml:space="preserve">Allnutt, S., Samuels, A. and O'driscoll, C., 2007. The insanity defence: from wild beasts to M'Naghten. Australasian Psychiatry, 15(4), pp.292-298. (accessed 25/04/21)</w:t>
      </w:r>
    </w:p>
    <w:p w:rsidR="00000000" w:rsidDel="00000000" w:rsidP="00000000" w:rsidRDefault="00000000" w:rsidRPr="00000000" w14:paraId="00000018">
      <w:pPr>
        <w:spacing w:line="360" w:lineRule="auto"/>
        <w:rPr>
          <w:sz w:val="26"/>
          <w:szCs w:val="26"/>
        </w:rPr>
      </w:pPr>
      <w:r w:rsidDel="00000000" w:rsidR="00000000" w:rsidRPr="00000000">
        <w:rPr>
          <w:sz w:val="26"/>
          <w:szCs w:val="26"/>
          <w:rtl w:val="0"/>
        </w:rPr>
        <w:t xml:space="preserve">Boland, F., 2019. Anglo-American insanity defence reform: The war between law and medicine. Routledge.</w:t>
      </w:r>
    </w:p>
    <w:p w:rsidR="00000000" w:rsidDel="00000000" w:rsidP="00000000" w:rsidRDefault="00000000" w:rsidRPr="00000000" w14:paraId="00000019">
      <w:pPr>
        <w:spacing w:line="360" w:lineRule="auto"/>
        <w:rPr>
          <w:sz w:val="26"/>
          <w:szCs w:val="26"/>
        </w:rPr>
      </w:pPr>
      <w:r w:rsidDel="00000000" w:rsidR="00000000" w:rsidRPr="00000000">
        <w:rPr>
          <w:sz w:val="26"/>
          <w:szCs w:val="26"/>
          <w:rtl w:val="0"/>
        </w:rPr>
        <w:t xml:space="preserve">Gov Legislation (no date), Introductory text, available at: </w:t>
      </w:r>
      <w:hyperlink r:id="rId6">
        <w:r w:rsidDel="00000000" w:rsidR="00000000" w:rsidRPr="00000000">
          <w:rPr>
            <w:color w:val="1155cc"/>
            <w:sz w:val="26"/>
            <w:szCs w:val="26"/>
            <w:u w:val="single"/>
            <w:rtl w:val="0"/>
          </w:rPr>
          <w:t xml:space="preserve">https://www.legislation.gov.uk/ukpga/1964/84/introduction</w:t>
        </w:r>
      </w:hyperlink>
      <w:r w:rsidDel="00000000" w:rsidR="00000000" w:rsidRPr="00000000">
        <w:rPr>
          <w:sz w:val="26"/>
          <w:szCs w:val="26"/>
          <w:rtl w:val="0"/>
        </w:rPr>
        <w:t xml:space="preserve"> (accessed on 12/04/21)</w:t>
      </w:r>
    </w:p>
    <w:p w:rsidR="00000000" w:rsidDel="00000000" w:rsidP="00000000" w:rsidRDefault="00000000" w:rsidRPr="00000000" w14:paraId="0000001A">
      <w:pPr>
        <w:spacing w:line="360" w:lineRule="auto"/>
        <w:rPr>
          <w:sz w:val="26"/>
          <w:szCs w:val="26"/>
        </w:rPr>
      </w:pPr>
      <w:r w:rsidDel="00000000" w:rsidR="00000000" w:rsidRPr="00000000">
        <w:rPr>
          <w:sz w:val="26"/>
          <w:szCs w:val="26"/>
          <w:rtl w:val="0"/>
        </w:rPr>
        <w:t xml:space="preserve">Gov Legislation (no date), Introductory text, available at: </w:t>
      </w:r>
      <w:hyperlink r:id="rId7">
        <w:r w:rsidDel="00000000" w:rsidR="00000000" w:rsidRPr="00000000">
          <w:rPr>
            <w:color w:val="1155cc"/>
            <w:sz w:val="26"/>
            <w:szCs w:val="26"/>
            <w:u w:val="single"/>
            <w:rtl w:val="0"/>
          </w:rPr>
          <w:t xml:space="preserve">https://www.legislation.gov.uk/ukpga/1991/25/contents</w:t>
        </w:r>
      </w:hyperlink>
      <w:r w:rsidDel="00000000" w:rsidR="00000000" w:rsidRPr="00000000">
        <w:rPr>
          <w:sz w:val="26"/>
          <w:szCs w:val="26"/>
          <w:rtl w:val="0"/>
        </w:rPr>
        <w:t xml:space="preserve"> (accessed on 12/04/21)</w:t>
      </w:r>
    </w:p>
    <w:p w:rsidR="00000000" w:rsidDel="00000000" w:rsidP="00000000" w:rsidRDefault="00000000" w:rsidRPr="00000000" w14:paraId="0000001B">
      <w:pPr>
        <w:spacing w:line="360" w:lineRule="auto"/>
        <w:rPr>
          <w:sz w:val="26"/>
          <w:szCs w:val="26"/>
        </w:rPr>
      </w:pPr>
      <w:r w:rsidDel="00000000" w:rsidR="00000000" w:rsidRPr="00000000">
        <w:rPr>
          <w:sz w:val="26"/>
          <w:szCs w:val="26"/>
          <w:rtl w:val="0"/>
        </w:rPr>
        <w:t xml:space="preserve">Gov Legislation (No Date), Legislation, available at: </w:t>
      </w:r>
      <w:hyperlink r:id="rId8">
        <w:r w:rsidDel="00000000" w:rsidR="00000000" w:rsidRPr="00000000">
          <w:rPr>
            <w:color w:val="1155cc"/>
            <w:sz w:val="26"/>
            <w:szCs w:val="26"/>
            <w:u w:val="single"/>
            <w:rtl w:val="0"/>
          </w:rPr>
          <w:t xml:space="preserve">https://www.legislation.gov.uk/primary+secondary?title=insanity</w:t>
        </w:r>
      </w:hyperlink>
      <w:r w:rsidDel="00000000" w:rsidR="00000000" w:rsidRPr="00000000">
        <w:rPr>
          <w:sz w:val="26"/>
          <w:szCs w:val="26"/>
          <w:rtl w:val="0"/>
        </w:rPr>
        <w:t xml:space="preserve"> (accessed on 10/04/21)</w:t>
      </w:r>
    </w:p>
    <w:p w:rsidR="00000000" w:rsidDel="00000000" w:rsidP="00000000" w:rsidRDefault="00000000" w:rsidRPr="00000000" w14:paraId="0000001C">
      <w:pPr>
        <w:spacing w:line="360" w:lineRule="auto"/>
        <w:rPr>
          <w:sz w:val="26"/>
          <w:szCs w:val="26"/>
        </w:rPr>
      </w:pPr>
      <w:r w:rsidDel="00000000" w:rsidR="00000000" w:rsidRPr="00000000">
        <w:rPr>
          <w:sz w:val="26"/>
          <w:szCs w:val="26"/>
          <w:rtl w:val="0"/>
        </w:rPr>
        <w:t xml:space="preserve">Gov Legislation (No date), summary notes, available at: </w:t>
      </w:r>
      <w:hyperlink r:id="rId9">
        <w:r w:rsidDel="00000000" w:rsidR="00000000" w:rsidRPr="00000000">
          <w:rPr>
            <w:color w:val="1155cc"/>
            <w:sz w:val="26"/>
            <w:szCs w:val="26"/>
            <w:u w:val="single"/>
            <w:rtl w:val="0"/>
          </w:rPr>
          <w:t xml:space="preserve">https://www.legislation.gov.uk/ukpga/1999/25/notes/contents</w:t>
        </w:r>
      </w:hyperlink>
      <w:r w:rsidDel="00000000" w:rsidR="00000000" w:rsidRPr="00000000">
        <w:rPr>
          <w:sz w:val="26"/>
          <w:szCs w:val="26"/>
          <w:rtl w:val="0"/>
        </w:rPr>
        <w:t xml:space="preserve"> (accessed on 12/04/21)</w:t>
      </w:r>
    </w:p>
    <w:p w:rsidR="00000000" w:rsidDel="00000000" w:rsidP="00000000" w:rsidRDefault="00000000" w:rsidRPr="00000000" w14:paraId="0000001D">
      <w:pPr>
        <w:spacing w:line="360" w:lineRule="auto"/>
        <w:rPr>
          <w:sz w:val="26"/>
          <w:szCs w:val="26"/>
        </w:rPr>
      </w:pPr>
      <w:r w:rsidDel="00000000" w:rsidR="00000000" w:rsidRPr="00000000">
        <w:rPr>
          <w:sz w:val="26"/>
          <w:szCs w:val="26"/>
          <w:rtl w:val="0"/>
        </w:rPr>
        <w:t xml:space="preserve">K.G.G, (1958)  ‘Meaning of the M’Naghten Rules: the Mcruer Report’  Canadian Psychiatric Association Journal, 3(2), pp. 75–77. doi: 10.1177/070674375800300203.</w:t>
      </w:r>
    </w:p>
    <w:p w:rsidR="00000000" w:rsidDel="00000000" w:rsidP="00000000" w:rsidRDefault="00000000" w:rsidRPr="00000000" w14:paraId="0000001E">
      <w:pPr>
        <w:spacing w:line="360" w:lineRule="auto"/>
        <w:rPr>
          <w:sz w:val="26"/>
          <w:szCs w:val="26"/>
        </w:rPr>
      </w:pPr>
      <w:r w:rsidDel="00000000" w:rsidR="00000000" w:rsidRPr="00000000">
        <w:rPr>
          <w:sz w:val="26"/>
          <w:szCs w:val="26"/>
          <w:rtl w:val="0"/>
        </w:rPr>
        <w:t xml:space="preserve">Kermit L. Hall, 2002. M’Naughten Rule. The Oxford Companion to American Law, pp.The Oxford Companion to American Law, 2002–01-01. (accessed on 12/04/21)</w:t>
      </w:r>
    </w:p>
    <w:p w:rsidR="00000000" w:rsidDel="00000000" w:rsidP="00000000" w:rsidRDefault="00000000" w:rsidRPr="00000000" w14:paraId="0000001F">
      <w:pPr>
        <w:spacing w:line="360" w:lineRule="auto"/>
        <w:rPr>
          <w:sz w:val="26"/>
          <w:szCs w:val="26"/>
        </w:rPr>
      </w:pPr>
      <w:r w:rsidDel="00000000" w:rsidR="00000000" w:rsidRPr="00000000">
        <w:rPr>
          <w:sz w:val="26"/>
          <w:szCs w:val="26"/>
          <w:rtl w:val="0"/>
        </w:rPr>
        <w:t xml:space="preserve">Law Commision (2013), Criminal Liability: Insanity and Automatism A Discussion Paper, available at: </w:t>
      </w:r>
      <w:hyperlink r:id="rId10">
        <w:r w:rsidDel="00000000" w:rsidR="00000000" w:rsidRPr="00000000">
          <w:rPr>
            <w:color w:val="1155cc"/>
            <w:sz w:val="26"/>
            <w:szCs w:val="26"/>
            <w:u w:val="single"/>
            <w:rtl w:val="0"/>
          </w:rPr>
          <w:t xml:space="preserve">http://www.lawcom.gov.uk/app/uploads/2015/06/insanity_discussion.pdf</w:t>
        </w:r>
      </w:hyperlink>
      <w:r w:rsidDel="00000000" w:rsidR="00000000" w:rsidRPr="00000000">
        <w:rPr>
          <w:sz w:val="26"/>
          <w:szCs w:val="26"/>
          <w:rtl w:val="0"/>
        </w:rPr>
        <w:t xml:space="preserve"> (accessed 12/04/21)</w:t>
      </w:r>
    </w:p>
    <w:p w:rsidR="00000000" w:rsidDel="00000000" w:rsidP="00000000" w:rsidRDefault="00000000" w:rsidRPr="00000000" w14:paraId="00000020">
      <w:pPr>
        <w:spacing w:line="360" w:lineRule="auto"/>
        <w:rPr>
          <w:sz w:val="26"/>
          <w:szCs w:val="26"/>
        </w:rPr>
      </w:pPr>
      <w:r w:rsidDel="00000000" w:rsidR="00000000" w:rsidRPr="00000000">
        <w:rPr>
          <w:sz w:val="26"/>
          <w:szCs w:val="26"/>
          <w:rtl w:val="0"/>
        </w:rPr>
        <w:t xml:space="preserve">Law Commision (no date), Insanity and Automatism, available at: </w:t>
      </w:r>
      <w:hyperlink r:id="rId11">
        <w:r w:rsidDel="00000000" w:rsidR="00000000" w:rsidRPr="00000000">
          <w:rPr>
            <w:color w:val="1155cc"/>
            <w:sz w:val="26"/>
            <w:szCs w:val="26"/>
            <w:u w:val="single"/>
            <w:rtl w:val="0"/>
          </w:rPr>
          <w:t xml:space="preserve">https://www.lawcom.gov.uk/project/insanity-and-automatism/</w:t>
        </w:r>
      </w:hyperlink>
      <w:r w:rsidDel="00000000" w:rsidR="00000000" w:rsidRPr="00000000">
        <w:rPr>
          <w:sz w:val="26"/>
          <w:szCs w:val="26"/>
          <w:rtl w:val="0"/>
        </w:rPr>
        <w:t xml:space="preserve"> (accessed on 12/04/21)</w:t>
      </w:r>
    </w:p>
    <w:p w:rsidR="00000000" w:rsidDel="00000000" w:rsidP="00000000" w:rsidRDefault="00000000" w:rsidRPr="00000000" w14:paraId="00000021">
      <w:pPr>
        <w:spacing w:line="360" w:lineRule="auto"/>
        <w:rPr>
          <w:sz w:val="26"/>
          <w:szCs w:val="26"/>
        </w:rPr>
      </w:pPr>
      <w:r w:rsidDel="00000000" w:rsidR="00000000" w:rsidRPr="00000000">
        <w:rPr>
          <w:sz w:val="26"/>
          <w:szCs w:val="26"/>
          <w:rtl w:val="0"/>
        </w:rPr>
        <w:t xml:space="preserve">Law Commission (2013) Criminal Liability: Insanity and Automatism A Discussion Paper available at: </w:t>
      </w:r>
      <w:hyperlink r:id="rId12">
        <w:r w:rsidDel="00000000" w:rsidR="00000000" w:rsidRPr="00000000">
          <w:rPr>
            <w:color w:val="1155cc"/>
            <w:sz w:val="26"/>
            <w:szCs w:val="26"/>
            <w:u w:val="single"/>
            <w:rtl w:val="0"/>
          </w:rPr>
          <w:t xml:space="preserve">http://www.lawcom.gov.uk/app/uploads/2015/06/insanity_discussion.pdf</w:t>
        </w:r>
      </w:hyperlink>
      <w:r w:rsidDel="00000000" w:rsidR="00000000" w:rsidRPr="00000000">
        <w:rPr>
          <w:sz w:val="26"/>
          <w:szCs w:val="26"/>
          <w:rtl w:val="0"/>
        </w:rPr>
        <w:t xml:space="preserve"> (accessed 10/04/21)</w:t>
      </w:r>
    </w:p>
    <w:p w:rsidR="00000000" w:rsidDel="00000000" w:rsidP="00000000" w:rsidRDefault="00000000" w:rsidRPr="00000000" w14:paraId="00000022">
      <w:pPr>
        <w:spacing w:line="360" w:lineRule="auto"/>
        <w:rPr>
          <w:sz w:val="26"/>
          <w:szCs w:val="26"/>
        </w:rPr>
      </w:pPr>
      <w:r w:rsidDel="00000000" w:rsidR="00000000" w:rsidRPr="00000000">
        <w:rPr>
          <w:sz w:val="26"/>
          <w:szCs w:val="26"/>
          <w:rtl w:val="0"/>
        </w:rPr>
        <w:t xml:space="preserve">T. V. Asokan (2016), The Insanity Defence: Related issues, available at: </w:t>
      </w:r>
      <w:hyperlink r:id="rId13">
        <w:r w:rsidDel="00000000" w:rsidR="00000000" w:rsidRPr="00000000">
          <w:rPr>
            <w:color w:val="1155cc"/>
            <w:sz w:val="26"/>
            <w:szCs w:val="26"/>
            <w:u w:val="single"/>
            <w:rtl w:val="0"/>
          </w:rPr>
          <w:t xml:space="preserve">https://www.ncbi.nlm.nih.gov/pmc/articles/PMC5282615/</w:t>
        </w:r>
      </w:hyperlink>
      <w:r w:rsidDel="00000000" w:rsidR="00000000" w:rsidRPr="00000000">
        <w:rPr>
          <w:sz w:val="26"/>
          <w:szCs w:val="26"/>
          <w:rtl w:val="0"/>
        </w:rPr>
        <w:t xml:space="preserve"> (accessed on 25/04/21)</w:t>
      </w:r>
    </w:p>
    <w:p w:rsidR="00000000" w:rsidDel="00000000" w:rsidP="00000000" w:rsidRDefault="00000000" w:rsidRPr="00000000" w14:paraId="00000023">
      <w:pPr>
        <w:spacing w:line="360" w:lineRule="auto"/>
        <w:rPr>
          <w:sz w:val="26"/>
          <w:szCs w:val="26"/>
        </w:rPr>
      </w:pPr>
      <w:r w:rsidDel="00000000" w:rsidR="00000000" w:rsidRPr="00000000">
        <w:rPr>
          <w:rtl w:val="0"/>
        </w:rPr>
      </w:r>
    </w:p>
    <w:p w:rsidR="00000000" w:rsidDel="00000000" w:rsidP="00000000" w:rsidRDefault="00000000" w:rsidRPr="00000000" w14:paraId="00000024">
      <w:pPr>
        <w:spacing w:line="360" w:lineRule="auto"/>
        <w:rPr>
          <w:sz w:val="26"/>
          <w:szCs w:val="26"/>
          <w:u w:val="single"/>
        </w:rPr>
      </w:pPr>
      <w:r w:rsidDel="00000000" w:rsidR="00000000" w:rsidRPr="00000000">
        <w:rPr>
          <w:sz w:val="26"/>
          <w:szCs w:val="26"/>
          <w:u w:val="single"/>
          <w:rtl w:val="0"/>
        </w:rPr>
        <w:t xml:space="preserve">Case Law reference list </w:t>
      </w:r>
    </w:p>
    <w:p w:rsidR="00000000" w:rsidDel="00000000" w:rsidP="00000000" w:rsidRDefault="00000000" w:rsidRPr="00000000" w14:paraId="00000025">
      <w:pPr>
        <w:spacing w:line="360" w:lineRule="auto"/>
        <w:rPr>
          <w:sz w:val="26"/>
          <w:szCs w:val="26"/>
        </w:rPr>
      </w:pPr>
      <w:r w:rsidDel="00000000" w:rsidR="00000000" w:rsidRPr="00000000">
        <w:rPr>
          <w:sz w:val="26"/>
          <w:szCs w:val="26"/>
          <w:rtl w:val="0"/>
        </w:rPr>
        <w:t xml:space="preserve">Blackie v Police [1966 NZLR 910 at 919 to 920]</w:t>
      </w:r>
    </w:p>
    <w:p w:rsidR="00000000" w:rsidDel="00000000" w:rsidP="00000000" w:rsidRDefault="00000000" w:rsidRPr="00000000" w14:paraId="00000026">
      <w:pPr>
        <w:rPr>
          <w:sz w:val="26"/>
          <w:szCs w:val="26"/>
          <w:highlight w:val="white"/>
        </w:rPr>
      </w:pPr>
      <w:r w:rsidDel="00000000" w:rsidR="00000000" w:rsidRPr="00000000">
        <w:rPr>
          <w:sz w:val="26"/>
          <w:szCs w:val="26"/>
          <w:highlight w:val="white"/>
          <w:rtl w:val="0"/>
        </w:rPr>
        <w:t xml:space="preserve">R v Burgess [1991] 2 Q.B. 92</w:t>
      </w:r>
    </w:p>
    <w:p w:rsidR="00000000" w:rsidDel="00000000" w:rsidP="00000000" w:rsidRDefault="00000000" w:rsidRPr="00000000" w14:paraId="00000027">
      <w:pPr>
        <w:spacing w:line="360" w:lineRule="auto"/>
        <w:rPr>
          <w:sz w:val="26"/>
          <w:szCs w:val="26"/>
        </w:rPr>
      </w:pPr>
      <w:r w:rsidDel="00000000" w:rsidR="00000000" w:rsidRPr="00000000">
        <w:rPr>
          <w:sz w:val="26"/>
          <w:szCs w:val="26"/>
          <w:rtl w:val="0"/>
        </w:rPr>
        <w:t xml:space="preserve">R v Cunningham (1957) 2 QB 369</w:t>
      </w:r>
    </w:p>
    <w:p w:rsidR="00000000" w:rsidDel="00000000" w:rsidP="00000000" w:rsidRDefault="00000000" w:rsidRPr="00000000" w14:paraId="00000028">
      <w:pPr>
        <w:rPr>
          <w:sz w:val="26"/>
          <w:szCs w:val="26"/>
          <w:highlight w:val="white"/>
        </w:rPr>
      </w:pPr>
      <w:r w:rsidDel="00000000" w:rsidR="00000000" w:rsidRPr="00000000">
        <w:rPr>
          <w:sz w:val="26"/>
          <w:szCs w:val="26"/>
          <w:highlight w:val="white"/>
          <w:rtl w:val="0"/>
        </w:rPr>
        <w:t xml:space="preserve">R v Hennessy (1989) 1 WLR 297</w:t>
      </w:r>
    </w:p>
    <w:p w:rsidR="00000000" w:rsidDel="00000000" w:rsidP="00000000" w:rsidRDefault="00000000" w:rsidRPr="00000000" w14:paraId="00000029">
      <w:pPr>
        <w:spacing w:line="360" w:lineRule="auto"/>
        <w:rPr>
          <w:sz w:val="26"/>
          <w:szCs w:val="26"/>
        </w:rPr>
      </w:pPr>
      <w:r w:rsidDel="00000000" w:rsidR="00000000" w:rsidRPr="00000000">
        <w:rPr>
          <w:sz w:val="26"/>
          <w:szCs w:val="26"/>
          <w:rtl w:val="0"/>
        </w:rPr>
        <w:t xml:space="preserve">R v Johnson [2007] EWCA Crim 1978</w:t>
      </w:r>
    </w:p>
    <w:p w:rsidR="00000000" w:rsidDel="00000000" w:rsidP="00000000" w:rsidRDefault="00000000" w:rsidRPr="00000000" w14:paraId="0000002A">
      <w:pPr>
        <w:spacing w:line="360" w:lineRule="auto"/>
        <w:rPr>
          <w:color w:val="212529"/>
          <w:sz w:val="26"/>
          <w:szCs w:val="26"/>
        </w:rPr>
      </w:pPr>
      <w:r w:rsidDel="00000000" w:rsidR="00000000" w:rsidRPr="00000000">
        <w:rPr>
          <w:sz w:val="26"/>
          <w:szCs w:val="26"/>
          <w:rtl w:val="0"/>
        </w:rPr>
        <w:t xml:space="preserve">R v M'Naghten (1843) 8 E.R. 718; (1843) 10 Cl. &amp; F. 200</w:t>
      </w:r>
      <w:r w:rsidDel="00000000" w:rsidR="00000000" w:rsidRPr="00000000">
        <w:rPr>
          <w:rtl w:val="0"/>
        </w:rPr>
      </w:r>
    </w:p>
    <w:p w:rsidR="00000000" w:rsidDel="00000000" w:rsidP="00000000" w:rsidRDefault="00000000" w:rsidRPr="00000000" w14:paraId="0000002B">
      <w:pPr>
        <w:spacing w:line="360" w:lineRule="auto"/>
        <w:rPr>
          <w:sz w:val="26"/>
          <w:szCs w:val="26"/>
        </w:rPr>
      </w:pPr>
      <w:r w:rsidDel="00000000" w:rsidR="00000000" w:rsidRPr="00000000">
        <w:rPr>
          <w:sz w:val="26"/>
          <w:szCs w:val="26"/>
          <w:rtl w:val="0"/>
        </w:rPr>
        <w:t xml:space="preserve">R v M (John) [2003] EWCA Crim 3452 </w:t>
      </w:r>
    </w:p>
    <w:p w:rsidR="00000000" w:rsidDel="00000000" w:rsidP="00000000" w:rsidRDefault="00000000" w:rsidRPr="00000000" w14:paraId="0000002C">
      <w:pPr>
        <w:spacing w:line="360" w:lineRule="auto"/>
        <w:rPr>
          <w:sz w:val="26"/>
          <w:szCs w:val="26"/>
        </w:rPr>
      </w:pPr>
      <w:r w:rsidDel="00000000" w:rsidR="00000000" w:rsidRPr="00000000">
        <w:rPr>
          <w:sz w:val="26"/>
          <w:szCs w:val="26"/>
          <w:rtl w:val="0"/>
        </w:rPr>
        <w:t xml:space="preserve">R v Windle [1952] 2 QB 82</w:t>
      </w:r>
    </w:p>
    <w:p w:rsidR="00000000" w:rsidDel="00000000" w:rsidP="00000000" w:rsidRDefault="00000000" w:rsidRPr="00000000" w14:paraId="0000002D">
      <w:pPr>
        <w:rPr>
          <w:sz w:val="26"/>
          <w:szCs w:val="26"/>
        </w:rPr>
      </w:pPr>
      <w:r w:rsidDel="00000000" w:rsidR="00000000" w:rsidRPr="00000000">
        <w:rPr>
          <w:rtl w:val="0"/>
        </w:rPr>
      </w:r>
    </w:p>
    <w:p w:rsidR="00000000" w:rsidDel="00000000" w:rsidP="00000000" w:rsidRDefault="00000000" w:rsidRPr="00000000" w14:paraId="0000002E">
      <w:pPr>
        <w:jc w:val="center"/>
        <w:rPr>
          <w:b w:val="1"/>
          <w:sz w:val="28"/>
          <w:szCs w:val="28"/>
          <w:u w:val="single"/>
        </w:rPr>
      </w:pPr>
      <w:r w:rsidDel="00000000" w:rsidR="00000000" w:rsidRPr="00000000">
        <w:rPr>
          <w:b w:val="1"/>
          <w:sz w:val="28"/>
          <w:szCs w:val="28"/>
          <w:u w:val="single"/>
          <w:rtl w:val="0"/>
        </w:rPr>
        <w:t xml:space="preserve">Q2 - Fictitious scenario; Advise Ali of his potential criminal liability for the offences committed.</w:t>
      </w:r>
    </w:p>
    <w:p w:rsidR="00000000" w:rsidDel="00000000" w:rsidP="00000000" w:rsidRDefault="00000000" w:rsidRPr="00000000" w14:paraId="0000002F">
      <w:pPr>
        <w:jc w:val="center"/>
        <w:rPr>
          <w:b w:val="1"/>
          <w:sz w:val="24"/>
          <w:szCs w:val="24"/>
          <w:u w:val="single"/>
        </w:rPr>
      </w:pPr>
      <w:r w:rsidDel="00000000" w:rsidR="00000000" w:rsidRPr="00000000">
        <w:rPr>
          <w:rtl w:val="0"/>
        </w:rPr>
      </w:r>
    </w:p>
    <w:p w:rsidR="00000000" w:rsidDel="00000000" w:rsidP="00000000" w:rsidRDefault="00000000" w:rsidRPr="00000000" w14:paraId="00000030">
      <w:pPr>
        <w:jc w:val="center"/>
        <w:rPr>
          <w:b w:val="1"/>
          <w:sz w:val="24"/>
          <w:szCs w:val="24"/>
          <w:u w:val="single"/>
        </w:rPr>
      </w:pPr>
      <w:r w:rsidDel="00000000" w:rsidR="00000000" w:rsidRPr="00000000">
        <w:rPr>
          <w:rtl w:val="0"/>
        </w:rPr>
      </w:r>
    </w:p>
    <w:p w:rsidR="00000000" w:rsidDel="00000000" w:rsidP="00000000" w:rsidRDefault="00000000" w:rsidRPr="00000000" w14:paraId="00000031">
      <w:pPr>
        <w:jc w:val="both"/>
        <w:rPr>
          <w:sz w:val="26"/>
          <w:szCs w:val="26"/>
        </w:rPr>
      </w:pPr>
      <w:r w:rsidDel="00000000" w:rsidR="00000000" w:rsidRPr="00000000">
        <w:rPr>
          <w:sz w:val="26"/>
          <w:szCs w:val="26"/>
          <w:rtl w:val="0"/>
        </w:rPr>
        <w:t xml:space="preserve">To start, Actus Reus is a criminal act that has been committed and the way a person behaves. There are two types of acts within Actus Reus which are: commission, which can be the act of doing something such as a criminal act, an example of which could be R v Aldridge (2006); or it could be an act of omission, which is not doing something, an example of this could be through the case law Gibbins and Proctor (1918) which from the facts show a child’s father and his wife neglecting a child of whom they had a duty of care to. Doing these things can complete the Actus Reus. These both include the state of circumstances, the results and/or consequences at the end of the offence and that the offence was done voluntarily. It is also important to note to complete the Actus Reus, the accused must have caused the end result (e.g. murder) whether they are the main cause, or were just participating - providing it is not dismissed as trivial. This could be demonstrated through R v Blaue (1975). </w:t>
      </w:r>
    </w:p>
    <w:p w:rsidR="00000000" w:rsidDel="00000000" w:rsidP="00000000" w:rsidRDefault="00000000" w:rsidRPr="00000000" w14:paraId="00000032">
      <w:pPr>
        <w:jc w:val="both"/>
        <w:rPr>
          <w:sz w:val="26"/>
          <w:szCs w:val="26"/>
        </w:rPr>
      </w:pPr>
      <w:r w:rsidDel="00000000" w:rsidR="00000000" w:rsidRPr="00000000">
        <w:rPr>
          <w:rtl w:val="0"/>
        </w:rPr>
      </w:r>
    </w:p>
    <w:p w:rsidR="00000000" w:rsidDel="00000000" w:rsidP="00000000" w:rsidRDefault="00000000" w:rsidRPr="00000000" w14:paraId="00000033">
      <w:pPr>
        <w:jc w:val="both"/>
        <w:rPr>
          <w:sz w:val="26"/>
          <w:szCs w:val="26"/>
        </w:rPr>
      </w:pPr>
      <w:r w:rsidDel="00000000" w:rsidR="00000000" w:rsidRPr="00000000">
        <w:rPr>
          <w:sz w:val="26"/>
          <w:szCs w:val="26"/>
          <w:rtl w:val="0"/>
        </w:rPr>
        <w:t xml:space="preserve">Mens Rea is another component when finding out where the crimes fit and refers to the criminal intent behind the crime. The main points to come under Mens Rea is that the defendant is aware that with their actions there is a high probability that it will cause grievous bodily harm or constitutes part of a criminal offence. When a crime is committed, there are requirements that will meet Mens Rea. These are the intention and the state of the defendant's mind. When looking at intention, there is indirect intention where the defendant could see the probable consequence of what they are going to do but did not have a set out plan to commit this crime. On the other hand, there is direct intention where the primary intent was a particular act. An example of this could be where A wishes to kill B, plans it and then executes it. Another component could be when an individual knows there is a risk, but does not care and does it anyway. Lastly, a part of Mens Rea is knowledge. </w:t>
      </w:r>
    </w:p>
    <w:p w:rsidR="00000000" w:rsidDel="00000000" w:rsidP="00000000" w:rsidRDefault="00000000" w:rsidRPr="00000000" w14:paraId="00000034">
      <w:pPr>
        <w:jc w:val="both"/>
        <w:rPr>
          <w:sz w:val="26"/>
          <w:szCs w:val="26"/>
        </w:rPr>
      </w:pPr>
      <w:r w:rsidDel="00000000" w:rsidR="00000000" w:rsidRPr="00000000">
        <w:rPr>
          <w:rtl w:val="0"/>
        </w:rPr>
      </w:r>
    </w:p>
    <w:p w:rsidR="00000000" w:rsidDel="00000000" w:rsidP="00000000" w:rsidRDefault="00000000" w:rsidRPr="00000000" w14:paraId="00000035">
      <w:pPr>
        <w:jc w:val="both"/>
        <w:rPr>
          <w:sz w:val="26"/>
          <w:szCs w:val="26"/>
        </w:rPr>
      </w:pPr>
      <w:r w:rsidDel="00000000" w:rsidR="00000000" w:rsidRPr="00000000">
        <w:rPr>
          <w:sz w:val="26"/>
          <w:szCs w:val="26"/>
          <w:rtl w:val="0"/>
        </w:rPr>
        <w:t xml:space="preserve">The first offence started when Ali and his friends started to aggravate his ex’s girlfriend Jenny’s new boyfriend, Colin. Colin retaliated and a fight broke out. When the doorman, Lee, asked them to leave, Ali punched him “with such force” he fell to the ground unconscious - this was unprovoked. Lee died later that night from the punch. </w:t>
      </w:r>
    </w:p>
    <w:p w:rsidR="00000000" w:rsidDel="00000000" w:rsidP="00000000" w:rsidRDefault="00000000" w:rsidRPr="00000000" w14:paraId="00000036">
      <w:pPr>
        <w:jc w:val="both"/>
        <w:rPr>
          <w:sz w:val="26"/>
          <w:szCs w:val="26"/>
        </w:rPr>
      </w:pPr>
      <w:r w:rsidDel="00000000" w:rsidR="00000000" w:rsidRPr="00000000">
        <w:rPr>
          <w:rtl w:val="0"/>
        </w:rPr>
      </w:r>
    </w:p>
    <w:p w:rsidR="00000000" w:rsidDel="00000000" w:rsidP="00000000" w:rsidRDefault="00000000" w:rsidRPr="00000000" w14:paraId="00000037">
      <w:pPr>
        <w:jc w:val="both"/>
        <w:rPr>
          <w:sz w:val="26"/>
          <w:szCs w:val="26"/>
        </w:rPr>
      </w:pPr>
      <w:r w:rsidDel="00000000" w:rsidR="00000000" w:rsidRPr="00000000">
        <w:rPr>
          <w:sz w:val="26"/>
          <w:szCs w:val="26"/>
          <w:rtl w:val="0"/>
        </w:rPr>
        <w:t xml:space="preserve">The potential offences that Ali could face are unlawful, dangerous acts and constructive manslaughter. To be tried with this offence, there are some elements that need to be met which are: the defendant commits an act; the act must be unlawful and dangerous and must cause the victim’s death, as shown in the requirements of Mens Rea. This could also be shown through R v Watson (1989) and R v Church (1965) which both have an unlawful act of violence and manslaughter. As shown within the first offence, Ali was the cause of Lee’s death, and he does meet the requirements of Mens Rea. This is the case for Ali as he purposefully punched Lee, which is an act where it is highly probable to amount to some sort of harm. However, as this punch was not an intent to kill, it was certain a punch would amount to cause ABH and battery. In the case law Faulkner v Talbot, the main points drawn are any intentional touching of another without consent can and will amount to battery. To further elaborate, any injury or trauma that was calculated to interfere with the wellbeing and comfort of the victim will amount to ABH which can be demonstrated through R v Miller. </w:t>
      </w:r>
    </w:p>
    <w:p w:rsidR="00000000" w:rsidDel="00000000" w:rsidP="00000000" w:rsidRDefault="00000000" w:rsidRPr="00000000" w14:paraId="00000038">
      <w:pPr>
        <w:jc w:val="both"/>
        <w:rPr>
          <w:sz w:val="26"/>
          <w:szCs w:val="26"/>
        </w:rPr>
      </w:pPr>
      <w:r w:rsidDel="00000000" w:rsidR="00000000" w:rsidRPr="00000000">
        <w:rPr>
          <w:rtl w:val="0"/>
        </w:rPr>
      </w:r>
    </w:p>
    <w:p w:rsidR="00000000" w:rsidDel="00000000" w:rsidP="00000000" w:rsidRDefault="00000000" w:rsidRPr="00000000" w14:paraId="00000039">
      <w:pPr>
        <w:jc w:val="both"/>
        <w:rPr>
          <w:sz w:val="26"/>
          <w:szCs w:val="26"/>
        </w:rPr>
      </w:pPr>
      <w:r w:rsidDel="00000000" w:rsidR="00000000" w:rsidRPr="00000000">
        <w:rPr>
          <w:sz w:val="26"/>
          <w:szCs w:val="26"/>
          <w:rtl w:val="0"/>
        </w:rPr>
        <w:t xml:space="preserve">Ali’s offence does meet the requirements of Actus Reus and Mens Rea, as he was the main reason for the end result, which was Lee’s death. This is a requirement for Actus Reus and it was probable that he knew his actions were highly probable to cause harm, which would be an indirect intention regarding the Mens Rea.</w:t>
      </w:r>
    </w:p>
    <w:p w:rsidR="00000000" w:rsidDel="00000000" w:rsidP="00000000" w:rsidRDefault="00000000" w:rsidRPr="00000000" w14:paraId="0000003A">
      <w:pPr>
        <w:jc w:val="both"/>
        <w:rPr>
          <w:sz w:val="26"/>
          <w:szCs w:val="26"/>
        </w:rPr>
      </w:pPr>
      <w:r w:rsidDel="00000000" w:rsidR="00000000" w:rsidRPr="00000000">
        <w:rPr>
          <w:rtl w:val="0"/>
        </w:rPr>
      </w:r>
    </w:p>
    <w:p w:rsidR="00000000" w:rsidDel="00000000" w:rsidP="00000000" w:rsidRDefault="00000000" w:rsidRPr="00000000" w14:paraId="0000003B">
      <w:pPr>
        <w:jc w:val="both"/>
        <w:rPr>
          <w:sz w:val="26"/>
          <w:szCs w:val="26"/>
        </w:rPr>
      </w:pPr>
      <w:bookmarkStart w:colFirst="0" w:colLast="0" w:name="_30j0zll" w:id="1"/>
      <w:bookmarkEnd w:id="1"/>
      <w:r w:rsidDel="00000000" w:rsidR="00000000" w:rsidRPr="00000000">
        <w:rPr>
          <w:sz w:val="26"/>
          <w:szCs w:val="26"/>
          <w:rtl w:val="0"/>
        </w:rPr>
        <w:t xml:space="preserve">To conclude Ali’s liability for this offence, I believe he would be found guilty of dangerous acts and constructive manslaughter as he could have foreseen the possible injuries and was not acting in self-defence. A case that this could be demonstrated through is R v Mohan (1976), where the main points drawn were that there was reckless behaviour where he could have hurt and caused serious damage to others and himself. </w:t>
      </w:r>
    </w:p>
    <w:p w:rsidR="00000000" w:rsidDel="00000000" w:rsidP="00000000" w:rsidRDefault="00000000" w:rsidRPr="00000000" w14:paraId="0000003C">
      <w:pPr>
        <w:jc w:val="both"/>
        <w:rPr>
          <w:sz w:val="26"/>
          <w:szCs w:val="26"/>
        </w:rPr>
      </w:pPr>
      <w:r w:rsidDel="00000000" w:rsidR="00000000" w:rsidRPr="00000000">
        <w:rPr>
          <w:rtl w:val="0"/>
        </w:rPr>
      </w:r>
    </w:p>
    <w:p w:rsidR="00000000" w:rsidDel="00000000" w:rsidP="00000000" w:rsidRDefault="00000000" w:rsidRPr="00000000" w14:paraId="0000003D">
      <w:pPr>
        <w:jc w:val="both"/>
        <w:rPr>
          <w:sz w:val="26"/>
          <w:szCs w:val="26"/>
        </w:rPr>
      </w:pPr>
      <w:r w:rsidDel="00000000" w:rsidR="00000000" w:rsidRPr="00000000">
        <w:rPr>
          <w:sz w:val="26"/>
          <w:szCs w:val="26"/>
          <w:rtl w:val="0"/>
        </w:rPr>
        <w:t xml:space="preserve">Within this case there are two crimes committed - the second one takes place the following day. Colin was on his way home from work where Ali approached him and asked him questions about what he had told the police. Colin did not retaliate and just said that he told them nothing and walked away. Ali then grabbed his arm and stabbed him which resulted in Colin dying within a few minutes. </w:t>
      </w:r>
    </w:p>
    <w:p w:rsidR="00000000" w:rsidDel="00000000" w:rsidP="00000000" w:rsidRDefault="00000000" w:rsidRPr="00000000" w14:paraId="0000003E">
      <w:pPr>
        <w:jc w:val="both"/>
        <w:rPr>
          <w:sz w:val="26"/>
          <w:szCs w:val="26"/>
        </w:rPr>
      </w:pPr>
      <w:r w:rsidDel="00000000" w:rsidR="00000000" w:rsidRPr="00000000">
        <w:rPr>
          <w:rtl w:val="0"/>
        </w:rPr>
      </w:r>
    </w:p>
    <w:p w:rsidR="00000000" w:rsidDel="00000000" w:rsidP="00000000" w:rsidRDefault="00000000" w:rsidRPr="00000000" w14:paraId="0000003F">
      <w:pPr>
        <w:jc w:val="both"/>
        <w:rPr>
          <w:sz w:val="26"/>
          <w:szCs w:val="26"/>
        </w:rPr>
      </w:pPr>
      <w:r w:rsidDel="00000000" w:rsidR="00000000" w:rsidRPr="00000000">
        <w:rPr>
          <w:sz w:val="26"/>
          <w:szCs w:val="26"/>
          <w:rtl w:val="0"/>
        </w:rPr>
        <w:t xml:space="preserve">The potential offences that Ali may be liable for on this particular offence is murder.  This is said as the Actus Reus of murder is where the defendant was the cause of the victim’s death and an unlawful killing of another under the Queen’s Peace and when the victim is a person. Ali meets every part of this critera of the Actus Reus of murder. Moving on to the Mens Rea of murder which is having the intention to kill or cause GBH, due to Ali having a deadly weapon, he meets these criteria. This could be demonstrated through the case of R v Moloney (1985), where Moloney was convicted of murder of his step-father.  The main points drawn from this was Moloney did not realise the gun was pointed to his step-father. Regarding Mens Rea, there are two types of intention: oblique intention, which Ali meets in his first offence; and direct intention, which is when there is a direct intention for the outcome, Ali meets this part of the criteria involved in Mens Rea as he already had a knife when he approached Colin, who did not retaliate which indicates he already had a plan to kill. </w:t>
      </w:r>
    </w:p>
    <w:p w:rsidR="00000000" w:rsidDel="00000000" w:rsidP="00000000" w:rsidRDefault="00000000" w:rsidRPr="00000000" w14:paraId="00000040">
      <w:pPr>
        <w:jc w:val="both"/>
        <w:rPr>
          <w:sz w:val="26"/>
          <w:szCs w:val="26"/>
        </w:rPr>
      </w:pPr>
      <w:r w:rsidDel="00000000" w:rsidR="00000000" w:rsidRPr="00000000">
        <w:rPr>
          <w:rtl w:val="0"/>
        </w:rPr>
      </w:r>
    </w:p>
    <w:p w:rsidR="00000000" w:rsidDel="00000000" w:rsidP="00000000" w:rsidRDefault="00000000" w:rsidRPr="00000000" w14:paraId="00000041">
      <w:pPr>
        <w:jc w:val="both"/>
        <w:rPr>
          <w:sz w:val="26"/>
          <w:szCs w:val="26"/>
        </w:rPr>
      </w:pPr>
      <w:r w:rsidDel="00000000" w:rsidR="00000000" w:rsidRPr="00000000">
        <w:rPr>
          <w:sz w:val="26"/>
          <w:szCs w:val="26"/>
          <w:rtl w:val="0"/>
        </w:rPr>
        <w:t xml:space="preserve">In regards to this offence, it is believed that Ali will be tried as guilty for murder as he already had a knife, and again did not act in self-defence.  This offence seemed like a thought-through plan to kill Colin in relation to what he saw the night before.  A case that will back up this evidence is R v Lanning (2021) where in this case, Lanning stabbed someone and it was shown that Lanning was seeking unnecessary confrontation as he brought a knife.</w:t>
      </w:r>
    </w:p>
    <w:p w:rsidR="00000000" w:rsidDel="00000000" w:rsidP="00000000" w:rsidRDefault="00000000" w:rsidRPr="00000000" w14:paraId="00000042">
      <w:pPr>
        <w:rPr>
          <w:sz w:val="26"/>
          <w:szCs w:val="26"/>
        </w:rPr>
      </w:pPr>
      <w:r w:rsidDel="00000000" w:rsidR="00000000" w:rsidRPr="00000000">
        <w:rPr>
          <w:rtl w:val="0"/>
        </w:rPr>
      </w:r>
    </w:p>
    <w:p w:rsidR="00000000" w:rsidDel="00000000" w:rsidP="00000000" w:rsidRDefault="00000000" w:rsidRPr="00000000" w14:paraId="00000043">
      <w:pPr>
        <w:rPr>
          <w:sz w:val="26"/>
          <w:szCs w:val="26"/>
        </w:rPr>
      </w:pPr>
      <w:r w:rsidDel="00000000" w:rsidR="00000000" w:rsidRPr="00000000">
        <w:rPr>
          <w:rtl w:val="0"/>
        </w:rPr>
      </w:r>
    </w:p>
    <w:p w:rsidR="00000000" w:rsidDel="00000000" w:rsidP="00000000" w:rsidRDefault="00000000" w:rsidRPr="00000000" w14:paraId="00000044">
      <w:pPr>
        <w:rPr>
          <w:sz w:val="26"/>
          <w:szCs w:val="26"/>
          <w:u w:val="single"/>
        </w:rPr>
      </w:pPr>
      <w:r w:rsidDel="00000000" w:rsidR="00000000" w:rsidRPr="00000000">
        <w:rPr>
          <w:sz w:val="26"/>
          <w:szCs w:val="26"/>
          <w:u w:val="single"/>
          <w:rtl w:val="0"/>
        </w:rPr>
        <w:t xml:space="preserve">Case law references </w:t>
      </w:r>
    </w:p>
    <w:p w:rsidR="00000000" w:rsidDel="00000000" w:rsidP="00000000" w:rsidRDefault="00000000" w:rsidRPr="00000000" w14:paraId="00000045">
      <w:pPr>
        <w:rPr>
          <w:sz w:val="26"/>
          <w:szCs w:val="26"/>
        </w:rPr>
      </w:pPr>
      <w:r w:rsidDel="00000000" w:rsidR="00000000" w:rsidRPr="00000000">
        <w:rPr>
          <w:sz w:val="26"/>
          <w:szCs w:val="26"/>
          <w:rtl w:val="0"/>
        </w:rPr>
        <w:t xml:space="preserve">Faulkner v Talbot [1981] 1 W.L.R. 1528</w:t>
      </w:r>
    </w:p>
    <w:p w:rsidR="00000000" w:rsidDel="00000000" w:rsidP="00000000" w:rsidRDefault="00000000" w:rsidRPr="00000000" w14:paraId="00000046">
      <w:pPr>
        <w:rPr>
          <w:sz w:val="26"/>
          <w:szCs w:val="26"/>
        </w:rPr>
      </w:pPr>
      <w:r w:rsidDel="00000000" w:rsidR="00000000" w:rsidRPr="00000000">
        <w:rPr>
          <w:sz w:val="26"/>
          <w:szCs w:val="26"/>
          <w:rtl w:val="0"/>
        </w:rPr>
        <w:t xml:space="preserve">Gibbins and Proctor (1918) 13 Cr App R 134</w:t>
      </w:r>
    </w:p>
    <w:p w:rsidR="00000000" w:rsidDel="00000000" w:rsidP="00000000" w:rsidRDefault="00000000" w:rsidRPr="00000000" w14:paraId="00000047">
      <w:pPr>
        <w:rPr>
          <w:sz w:val="26"/>
          <w:szCs w:val="26"/>
        </w:rPr>
      </w:pPr>
      <w:r w:rsidDel="00000000" w:rsidR="00000000" w:rsidRPr="00000000">
        <w:rPr>
          <w:sz w:val="26"/>
          <w:szCs w:val="26"/>
          <w:rtl w:val="0"/>
        </w:rPr>
        <w:t xml:space="preserve">R v Blaue [1975] 1 WLR 1411</w:t>
      </w:r>
    </w:p>
    <w:p w:rsidR="00000000" w:rsidDel="00000000" w:rsidP="00000000" w:rsidRDefault="00000000" w:rsidRPr="00000000" w14:paraId="00000048">
      <w:pPr>
        <w:rPr>
          <w:sz w:val="26"/>
          <w:szCs w:val="26"/>
        </w:rPr>
      </w:pPr>
      <w:r w:rsidDel="00000000" w:rsidR="00000000" w:rsidRPr="00000000">
        <w:rPr>
          <w:sz w:val="26"/>
          <w:szCs w:val="26"/>
          <w:rtl w:val="0"/>
        </w:rPr>
        <w:t xml:space="preserve">R v Church [1966] 1 QB 59 </w:t>
      </w:r>
    </w:p>
    <w:p w:rsidR="00000000" w:rsidDel="00000000" w:rsidP="00000000" w:rsidRDefault="00000000" w:rsidRPr="00000000" w14:paraId="00000049">
      <w:pPr>
        <w:rPr>
          <w:sz w:val="26"/>
          <w:szCs w:val="26"/>
        </w:rPr>
      </w:pPr>
      <w:r w:rsidDel="00000000" w:rsidR="00000000" w:rsidRPr="00000000">
        <w:rPr>
          <w:sz w:val="26"/>
          <w:szCs w:val="26"/>
          <w:rtl w:val="0"/>
        </w:rPr>
        <w:t xml:space="preserve">R v Lanning (2021) EWCA Crim 450</w:t>
      </w:r>
    </w:p>
    <w:p w:rsidR="00000000" w:rsidDel="00000000" w:rsidP="00000000" w:rsidRDefault="00000000" w:rsidRPr="00000000" w14:paraId="0000004A">
      <w:pPr>
        <w:rPr>
          <w:sz w:val="26"/>
          <w:szCs w:val="26"/>
        </w:rPr>
      </w:pPr>
      <w:r w:rsidDel="00000000" w:rsidR="00000000" w:rsidRPr="00000000">
        <w:rPr>
          <w:sz w:val="26"/>
          <w:szCs w:val="26"/>
          <w:rtl w:val="0"/>
        </w:rPr>
        <w:t xml:space="preserve">R v Mohan [1976] QB 1</w:t>
      </w:r>
    </w:p>
    <w:p w:rsidR="00000000" w:rsidDel="00000000" w:rsidP="00000000" w:rsidRDefault="00000000" w:rsidRPr="00000000" w14:paraId="0000004B">
      <w:pPr>
        <w:rPr>
          <w:sz w:val="26"/>
          <w:szCs w:val="26"/>
        </w:rPr>
      </w:pPr>
      <w:r w:rsidDel="00000000" w:rsidR="00000000" w:rsidRPr="00000000">
        <w:rPr>
          <w:sz w:val="26"/>
          <w:szCs w:val="26"/>
          <w:rtl w:val="0"/>
        </w:rPr>
        <w:t xml:space="preserve">R v Moloney [1985] A.C. 905 </w:t>
      </w:r>
    </w:p>
    <w:p w:rsidR="00000000" w:rsidDel="00000000" w:rsidP="00000000" w:rsidRDefault="00000000" w:rsidRPr="00000000" w14:paraId="0000004C">
      <w:pPr>
        <w:rPr>
          <w:sz w:val="26"/>
          <w:szCs w:val="26"/>
        </w:rPr>
      </w:pPr>
      <w:r w:rsidDel="00000000" w:rsidR="00000000" w:rsidRPr="00000000">
        <w:rPr>
          <w:sz w:val="26"/>
          <w:szCs w:val="26"/>
          <w:rtl w:val="0"/>
        </w:rPr>
        <w:t xml:space="preserve">R v Watson [1989] 2 All ER 865</w:t>
      </w:r>
    </w:p>
    <w:p w:rsidR="00000000" w:rsidDel="00000000" w:rsidP="00000000" w:rsidRDefault="00000000" w:rsidRPr="00000000" w14:paraId="0000004D">
      <w:pPr>
        <w:rPr>
          <w:sz w:val="26"/>
          <w:szCs w:val="26"/>
        </w:rPr>
      </w:pPr>
      <w:r w:rsidDel="00000000" w:rsidR="00000000" w:rsidRPr="00000000">
        <w:rPr>
          <w:sz w:val="26"/>
          <w:szCs w:val="26"/>
          <w:rtl w:val="0"/>
        </w:rPr>
        <w:t xml:space="preserve">R v Aldridge [2006] EWCA Crim 1970</w:t>
      </w:r>
    </w:p>
    <w:p w:rsidR="00000000" w:rsidDel="00000000" w:rsidP="00000000" w:rsidRDefault="00000000" w:rsidRPr="00000000" w14:paraId="0000004E">
      <w:pPr>
        <w:rPr>
          <w:sz w:val="26"/>
          <w:szCs w:val="26"/>
        </w:rPr>
      </w:pPr>
      <w:r w:rsidDel="00000000" w:rsidR="00000000" w:rsidRPr="00000000">
        <w:rPr>
          <w:rtl w:val="0"/>
        </w:rPr>
      </w:r>
    </w:p>
    <w:sectPr>
      <w:headerReference r:id="rId14"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F">
    <w:pPr>
      <w:rPr/>
    </w:pPr>
    <w:r w:rsidDel="00000000" w:rsidR="00000000" w:rsidRPr="00000000">
      <w:rPr>
        <w:rtl w:val="0"/>
      </w:rPr>
      <w:t xml:space="preserve">Maddie Jones 2004561</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lawcom.gov.uk/project/insanity-and-automatism/" TargetMode="External"/><Relationship Id="rId10" Type="http://schemas.openxmlformats.org/officeDocument/2006/relationships/hyperlink" Target="http://www.lawcom.gov.uk/app/uploads/2015/06/insanity_discussion.pdf" TargetMode="External"/><Relationship Id="rId13" Type="http://schemas.openxmlformats.org/officeDocument/2006/relationships/hyperlink" Target="https://www.ncbi.nlm.nih.gov/pmc/articles/PMC5282615/" TargetMode="External"/><Relationship Id="rId12" Type="http://schemas.openxmlformats.org/officeDocument/2006/relationships/hyperlink" Target="http://www.lawcom.gov.uk/app/uploads/2015/06/insanity_discussion.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legislation.gov.uk/ukpga/1999/25/notes/contents" TargetMode="External"/><Relationship Id="rId14"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https://www.legislation.gov.uk/ukpga/1964/84/introduction" TargetMode="External"/><Relationship Id="rId7" Type="http://schemas.openxmlformats.org/officeDocument/2006/relationships/hyperlink" Target="https://www.legislation.gov.uk/ukpga/1991/25/contents" TargetMode="External"/><Relationship Id="rId8" Type="http://schemas.openxmlformats.org/officeDocument/2006/relationships/hyperlink" Target="https://www.legislation.gov.uk/primary+secondary?title=insan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