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AF9D9D" w14:textId="77777777" w:rsidR="00E167BA" w:rsidRDefault="00DC3C9F" w:rsidP="00F51A90">
      <w:pPr>
        <w:spacing w:line="480" w:lineRule="auto"/>
        <w:jc w:val="center"/>
        <w:rPr>
          <w:rFonts w:ascii="Times New Roman" w:hAnsi="Times New Roman" w:cs="Times New Roman"/>
          <w:b/>
          <w:bCs/>
          <w:sz w:val="24"/>
          <w:szCs w:val="24"/>
        </w:rPr>
      </w:pPr>
      <w:r w:rsidRPr="00F51A90">
        <w:rPr>
          <w:rFonts w:ascii="Times New Roman" w:hAnsi="Times New Roman" w:cs="Times New Roman"/>
          <w:b/>
          <w:bCs/>
          <w:sz w:val="24"/>
          <w:szCs w:val="24"/>
        </w:rPr>
        <w:t xml:space="preserve">Principles </w:t>
      </w:r>
      <w:r w:rsidR="00F51A90">
        <w:rPr>
          <w:rFonts w:ascii="Times New Roman" w:hAnsi="Times New Roman" w:cs="Times New Roman"/>
          <w:b/>
          <w:bCs/>
          <w:sz w:val="24"/>
          <w:szCs w:val="24"/>
        </w:rPr>
        <w:t>o</w:t>
      </w:r>
      <w:r w:rsidRPr="00F51A90">
        <w:rPr>
          <w:rFonts w:ascii="Times New Roman" w:hAnsi="Times New Roman" w:cs="Times New Roman"/>
          <w:b/>
          <w:bCs/>
          <w:sz w:val="24"/>
          <w:szCs w:val="24"/>
        </w:rPr>
        <w:t>f Human Resource Management</w:t>
      </w:r>
    </w:p>
    <w:p w14:paraId="6FC6C42A" w14:textId="77777777" w:rsidR="00E167BA" w:rsidRDefault="00E167BA" w:rsidP="00F51A90">
      <w:pPr>
        <w:spacing w:line="480" w:lineRule="auto"/>
        <w:jc w:val="center"/>
        <w:rPr>
          <w:rFonts w:ascii="Times New Roman" w:hAnsi="Times New Roman" w:cs="Times New Roman"/>
          <w:b/>
          <w:bCs/>
          <w:sz w:val="24"/>
          <w:szCs w:val="24"/>
        </w:rPr>
      </w:pPr>
    </w:p>
    <w:p w14:paraId="37607678" w14:textId="2CA5569A" w:rsidR="00E167BA" w:rsidRPr="00E167BA" w:rsidRDefault="00E167BA" w:rsidP="00E167BA">
      <w:pPr>
        <w:spacing w:line="480" w:lineRule="auto"/>
        <w:jc w:val="center"/>
        <w:rPr>
          <w:rFonts w:ascii="Times New Roman" w:hAnsi="Times New Roman" w:cs="Times New Roman"/>
          <w:sz w:val="24"/>
          <w:szCs w:val="24"/>
        </w:rPr>
      </w:pPr>
      <w:r w:rsidRPr="00E167BA">
        <w:rPr>
          <w:rFonts w:ascii="Times New Roman" w:hAnsi="Times New Roman" w:cs="Times New Roman"/>
          <w:sz w:val="24"/>
          <w:szCs w:val="24"/>
        </w:rPr>
        <w:t>Name</w:t>
      </w:r>
      <w:r w:rsidR="007A3CE2">
        <w:rPr>
          <w:rFonts w:ascii="Times New Roman" w:hAnsi="Times New Roman" w:cs="Times New Roman"/>
          <w:sz w:val="24"/>
          <w:szCs w:val="24"/>
        </w:rPr>
        <w:t>: Dorina Mihaela Enache</w:t>
      </w:r>
      <w:r w:rsidRPr="00E167BA">
        <w:rPr>
          <w:rFonts w:ascii="Times New Roman" w:hAnsi="Times New Roman" w:cs="Times New Roman"/>
          <w:sz w:val="24"/>
          <w:szCs w:val="24"/>
        </w:rPr>
        <w:t xml:space="preserve"> </w:t>
      </w:r>
    </w:p>
    <w:p w14:paraId="0AADB323" w14:textId="559ABF2F" w:rsidR="00E167BA" w:rsidRPr="00E167BA" w:rsidRDefault="00E167BA" w:rsidP="00E167BA">
      <w:pPr>
        <w:spacing w:line="480" w:lineRule="auto"/>
        <w:jc w:val="center"/>
        <w:rPr>
          <w:rFonts w:ascii="Times New Roman" w:hAnsi="Times New Roman" w:cs="Times New Roman"/>
          <w:sz w:val="24"/>
          <w:szCs w:val="24"/>
        </w:rPr>
      </w:pPr>
      <w:r w:rsidRPr="00E167BA">
        <w:rPr>
          <w:rFonts w:ascii="Times New Roman" w:hAnsi="Times New Roman" w:cs="Times New Roman"/>
          <w:sz w:val="24"/>
          <w:szCs w:val="24"/>
        </w:rPr>
        <w:t>Course title</w:t>
      </w:r>
      <w:r w:rsidR="007A3CE2">
        <w:rPr>
          <w:rFonts w:ascii="Times New Roman" w:hAnsi="Times New Roman" w:cs="Times New Roman"/>
          <w:sz w:val="24"/>
          <w:szCs w:val="24"/>
        </w:rPr>
        <w:t>:</w:t>
      </w:r>
      <w:r w:rsidRPr="00E167BA">
        <w:rPr>
          <w:rFonts w:ascii="Times New Roman" w:hAnsi="Times New Roman" w:cs="Times New Roman"/>
          <w:sz w:val="24"/>
          <w:szCs w:val="24"/>
        </w:rPr>
        <w:t xml:space="preserve"> </w:t>
      </w:r>
      <w:r w:rsidR="007A3CE2">
        <w:rPr>
          <w:rFonts w:ascii="Times New Roman" w:hAnsi="Times New Roman" w:cs="Times New Roman"/>
          <w:sz w:val="24"/>
          <w:szCs w:val="24"/>
        </w:rPr>
        <w:t>Principles of Human Resource Management</w:t>
      </w:r>
    </w:p>
    <w:p w14:paraId="44BDFB83" w14:textId="081981F1" w:rsidR="00E167BA" w:rsidRPr="00E167BA" w:rsidRDefault="00E167BA" w:rsidP="00E167BA">
      <w:pPr>
        <w:spacing w:line="480" w:lineRule="auto"/>
        <w:jc w:val="center"/>
        <w:rPr>
          <w:rFonts w:ascii="Times New Roman" w:hAnsi="Times New Roman" w:cs="Times New Roman"/>
          <w:sz w:val="24"/>
          <w:szCs w:val="24"/>
        </w:rPr>
      </w:pPr>
      <w:r w:rsidRPr="00E167BA">
        <w:rPr>
          <w:rFonts w:ascii="Times New Roman" w:hAnsi="Times New Roman" w:cs="Times New Roman"/>
          <w:sz w:val="24"/>
          <w:szCs w:val="24"/>
        </w:rPr>
        <w:t>Course instructor</w:t>
      </w:r>
      <w:r w:rsidR="007A3CE2">
        <w:rPr>
          <w:rFonts w:ascii="Times New Roman" w:hAnsi="Times New Roman" w:cs="Times New Roman"/>
          <w:sz w:val="24"/>
          <w:szCs w:val="24"/>
        </w:rPr>
        <w:t>:</w:t>
      </w:r>
      <w:r w:rsidRPr="00E167BA">
        <w:rPr>
          <w:rFonts w:ascii="Times New Roman" w:hAnsi="Times New Roman" w:cs="Times New Roman"/>
          <w:sz w:val="24"/>
          <w:szCs w:val="24"/>
        </w:rPr>
        <w:t xml:space="preserve"> </w:t>
      </w:r>
      <w:r w:rsidR="007A3CE2">
        <w:rPr>
          <w:rFonts w:ascii="Times New Roman" w:hAnsi="Times New Roman" w:cs="Times New Roman"/>
          <w:sz w:val="24"/>
          <w:szCs w:val="24"/>
        </w:rPr>
        <w:t>Anupam Mazumdar</w:t>
      </w:r>
    </w:p>
    <w:p w14:paraId="4766BA77" w14:textId="5DF81455" w:rsidR="00E167BA" w:rsidRPr="00E167BA" w:rsidRDefault="00E167BA" w:rsidP="00E167BA">
      <w:pPr>
        <w:spacing w:line="480" w:lineRule="auto"/>
        <w:jc w:val="center"/>
        <w:rPr>
          <w:rFonts w:ascii="Times New Roman" w:hAnsi="Times New Roman" w:cs="Times New Roman"/>
          <w:sz w:val="24"/>
          <w:szCs w:val="24"/>
        </w:rPr>
      </w:pPr>
      <w:r w:rsidRPr="00E167BA">
        <w:rPr>
          <w:rFonts w:ascii="Times New Roman" w:hAnsi="Times New Roman" w:cs="Times New Roman"/>
          <w:sz w:val="24"/>
          <w:szCs w:val="24"/>
        </w:rPr>
        <w:t>Date</w:t>
      </w:r>
      <w:r w:rsidR="007A3CE2">
        <w:rPr>
          <w:rFonts w:ascii="Times New Roman" w:hAnsi="Times New Roman" w:cs="Times New Roman"/>
          <w:sz w:val="24"/>
          <w:szCs w:val="24"/>
        </w:rPr>
        <w:t>:</w:t>
      </w:r>
      <w:r w:rsidRPr="00E167BA">
        <w:rPr>
          <w:rFonts w:ascii="Times New Roman" w:hAnsi="Times New Roman" w:cs="Times New Roman"/>
          <w:sz w:val="24"/>
          <w:szCs w:val="24"/>
        </w:rPr>
        <w:t xml:space="preserve"> </w:t>
      </w:r>
      <w:r w:rsidR="007A3CE2">
        <w:rPr>
          <w:rFonts w:ascii="Times New Roman" w:hAnsi="Times New Roman" w:cs="Times New Roman"/>
          <w:sz w:val="24"/>
          <w:szCs w:val="24"/>
        </w:rPr>
        <w:t>18.12.2025</w:t>
      </w:r>
    </w:p>
    <w:p w14:paraId="4B0C33F5" w14:textId="4B3EC10E" w:rsidR="00E167BA" w:rsidRPr="00E167BA" w:rsidRDefault="00E167BA" w:rsidP="00E167BA">
      <w:pPr>
        <w:spacing w:line="480" w:lineRule="auto"/>
        <w:jc w:val="center"/>
        <w:rPr>
          <w:rFonts w:ascii="Times New Roman" w:hAnsi="Times New Roman" w:cs="Times New Roman"/>
          <w:sz w:val="24"/>
          <w:szCs w:val="24"/>
        </w:rPr>
      </w:pPr>
      <w:r w:rsidRPr="00E167BA">
        <w:rPr>
          <w:rFonts w:ascii="Times New Roman" w:hAnsi="Times New Roman" w:cs="Times New Roman"/>
          <w:sz w:val="24"/>
          <w:szCs w:val="24"/>
        </w:rPr>
        <w:t xml:space="preserve">University </w:t>
      </w:r>
      <w:r w:rsidR="007A3CE2">
        <w:rPr>
          <w:rFonts w:ascii="Times New Roman" w:hAnsi="Times New Roman" w:cs="Times New Roman"/>
          <w:sz w:val="24"/>
          <w:szCs w:val="24"/>
        </w:rPr>
        <w:t>of Wales Trinity Saint David</w:t>
      </w:r>
    </w:p>
    <w:p w14:paraId="113B2AF7" w14:textId="423E6C1F" w:rsidR="00DC3C9F" w:rsidRPr="00F51A90" w:rsidRDefault="00DC3C9F" w:rsidP="00F51A90">
      <w:pPr>
        <w:spacing w:line="480" w:lineRule="auto"/>
        <w:jc w:val="center"/>
        <w:rPr>
          <w:rFonts w:ascii="Times New Roman" w:eastAsiaTheme="majorEastAsia" w:hAnsi="Times New Roman" w:cs="Times New Roman"/>
          <w:b/>
          <w:bCs/>
          <w:color w:val="2F5496" w:themeColor="accent1" w:themeShade="BF"/>
          <w:sz w:val="24"/>
          <w:szCs w:val="24"/>
        </w:rPr>
      </w:pPr>
      <w:r w:rsidRPr="00F51A90">
        <w:rPr>
          <w:rFonts w:ascii="Times New Roman" w:hAnsi="Times New Roman" w:cs="Times New Roman"/>
          <w:b/>
          <w:bCs/>
          <w:sz w:val="24"/>
          <w:szCs w:val="24"/>
        </w:rPr>
        <w:br w:type="page"/>
      </w:r>
    </w:p>
    <w:sdt>
      <w:sdtPr>
        <w:rPr>
          <w:rFonts w:ascii="Times New Roman" w:eastAsiaTheme="minorHAnsi" w:hAnsi="Times New Roman" w:cs="Times New Roman"/>
          <w:color w:val="auto"/>
          <w:sz w:val="24"/>
          <w:szCs w:val="24"/>
        </w:rPr>
        <w:id w:val="-1194615771"/>
        <w:docPartObj>
          <w:docPartGallery w:val="Table of Contents"/>
          <w:docPartUnique/>
        </w:docPartObj>
      </w:sdtPr>
      <w:sdtEndPr>
        <w:rPr>
          <w:b/>
          <w:bCs/>
          <w:noProof/>
        </w:rPr>
      </w:sdtEndPr>
      <w:sdtContent>
        <w:p w14:paraId="69F9E457" w14:textId="6FF53A38" w:rsidR="00E5202D" w:rsidRPr="00F51A90" w:rsidRDefault="00E5202D" w:rsidP="00F51A90">
          <w:pPr>
            <w:pStyle w:val="TOCHeading"/>
            <w:spacing w:line="240" w:lineRule="auto"/>
            <w:rPr>
              <w:rFonts w:ascii="Times New Roman" w:hAnsi="Times New Roman" w:cs="Times New Roman"/>
              <w:sz w:val="24"/>
              <w:szCs w:val="24"/>
            </w:rPr>
          </w:pPr>
          <w:r w:rsidRPr="00F51A90">
            <w:rPr>
              <w:rFonts w:ascii="Times New Roman" w:hAnsi="Times New Roman" w:cs="Times New Roman"/>
              <w:sz w:val="24"/>
              <w:szCs w:val="24"/>
            </w:rPr>
            <w:t>Table of Contents</w:t>
          </w:r>
        </w:p>
        <w:p w14:paraId="7210FCB7" w14:textId="740A0EFE" w:rsidR="00DC3C9F" w:rsidRPr="00F51A90" w:rsidRDefault="00E5202D" w:rsidP="00F51A90">
          <w:pPr>
            <w:pStyle w:val="TOC1"/>
            <w:tabs>
              <w:tab w:val="right" w:leader="dot" w:pos="9350"/>
            </w:tabs>
            <w:spacing w:line="240" w:lineRule="auto"/>
            <w:rPr>
              <w:rFonts w:ascii="Times New Roman" w:eastAsiaTheme="minorEastAsia" w:hAnsi="Times New Roman" w:cs="Times New Roman"/>
              <w:noProof/>
              <w:sz w:val="24"/>
              <w:szCs w:val="24"/>
            </w:rPr>
          </w:pPr>
          <w:r w:rsidRPr="00F51A90">
            <w:rPr>
              <w:rFonts w:ascii="Times New Roman" w:hAnsi="Times New Roman" w:cs="Times New Roman"/>
              <w:sz w:val="24"/>
              <w:szCs w:val="24"/>
            </w:rPr>
            <w:fldChar w:fldCharType="begin"/>
          </w:r>
          <w:r w:rsidRPr="00F51A90">
            <w:rPr>
              <w:rFonts w:ascii="Times New Roman" w:hAnsi="Times New Roman" w:cs="Times New Roman"/>
              <w:sz w:val="24"/>
              <w:szCs w:val="24"/>
            </w:rPr>
            <w:instrText xml:space="preserve"> TOC \o "1-3" \h \z \u </w:instrText>
          </w:r>
          <w:r w:rsidRPr="00F51A90">
            <w:rPr>
              <w:rFonts w:ascii="Times New Roman" w:hAnsi="Times New Roman" w:cs="Times New Roman"/>
              <w:sz w:val="24"/>
              <w:szCs w:val="24"/>
            </w:rPr>
            <w:fldChar w:fldCharType="separate"/>
          </w:r>
          <w:hyperlink w:anchor="_Toc216265499" w:history="1">
            <w:r w:rsidR="00DC3C9F" w:rsidRPr="00F51A90">
              <w:rPr>
                <w:rStyle w:val="Hyperlink"/>
                <w:rFonts w:ascii="Times New Roman" w:hAnsi="Times New Roman" w:cs="Times New Roman"/>
                <w:noProof/>
                <w:sz w:val="24"/>
                <w:szCs w:val="24"/>
              </w:rPr>
              <w:t>1.Introduction</w:t>
            </w:r>
            <w:r w:rsidR="00DC3C9F" w:rsidRPr="00F51A90">
              <w:rPr>
                <w:rFonts w:ascii="Times New Roman" w:hAnsi="Times New Roman" w:cs="Times New Roman"/>
                <w:noProof/>
                <w:webHidden/>
                <w:sz w:val="24"/>
                <w:szCs w:val="24"/>
              </w:rPr>
              <w:tab/>
            </w:r>
            <w:r w:rsidR="00DC3C9F" w:rsidRPr="00F51A90">
              <w:rPr>
                <w:rFonts w:ascii="Times New Roman" w:hAnsi="Times New Roman" w:cs="Times New Roman"/>
                <w:noProof/>
                <w:webHidden/>
                <w:sz w:val="24"/>
                <w:szCs w:val="24"/>
              </w:rPr>
              <w:fldChar w:fldCharType="begin"/>
            </w:r>
            <w:r w:rsidR="00DC3C9F" w:rsidRPr="00F51A90">
              <w:rPr>
                <w:rFonts w:ascii="Times New Roman" w:hAnsi="Times New Roman" w:cs="Times New Roman"/>
                <w:noProof/>
                <w:webHidden/>
                <w:sz w:val="24"/>
                <w:szCs w:val="24"/>
              </w:rPr>
              <w:instrText xml:space="preserve"> PAGEREF _Toc216265499 \h </w:instrText>
            </w:r>
            <w:r w:rsidR="00DC3C9F" w:rsidRPr="00F51A90">
              <w:rPr>
                <w:rFonts w:ascii="Times New Roman" w:hAnsi="Times New Roman" w:cs="Times New Roman"/>
                <w:noProof/>
                <w:webHidden/>
                <w:sz w:val="24"/>
                <w:szCs w:val="24"/>
              </w:rPr>
            </w:r>
            <w:r w:rsidR="00DC3C9F" w:rsidRPr="00F51A90">
              <w:rPr>
                <w:rFonts w:ascii="Times New Roman" w:hAnsi="Times New Roman" w:cs="Times New Roman"/>
                <w:noProof/>
                <w:webHidden/>
                <w:sz w:val="24"/>
                <w:szCs w:val="24"/>
              </w:rPr>
              <w:fldChar w:fldCharType="separate"/>
            </w:r>
            <w:r w:rsidR="00DC3C9F" w:rsidRPr="00F51A90">
              <w:rPr>
                <w:rFonts w:ascii="Times New Roman" w:hAnsi="Times New Roman" w:cs="Times New Roman"/>
                <w:noProof/>
                <w:webHidden/>
                <w:sz w:val="24"/>
                <w:szCs w:val="24"/>
              </w:rPr>
              <w:t>2</w:t>
            </w:r>
            <w:r w:rsidR="00DC3C9F" w:rsidRPr="00F51A90">
              <w:rPr>
                <w:rFonts w:ascii="Times New Roman" w:hAnsi="Times New Roman" w:cs="Times New Roman"/>
                <w:noProof/>
                <w:webHidden/>
                <w:sz w:val="24"/>
                <w:szCs w:val="24"/>
              </w:rPr>
              <w:fldChar w:fldCharType="end"/>
            </w:r>
          </w:hyperlink>
        </w:p>
        <w:p w14:paraId="10BBE79A" w14:textId="5E475FCE" w:rsidR="00DC3C9F" w:rsidRPr="00F51A90" w:rsidRDefault="00DC3C9F" w:rsidP="00F51A90">
          <w:pPr>
            <w:pStyle w:val="TOC1"/>
            <w:tabs>
              <w:tab w:val="right" w:leader="dot" w:pos="9350"/>
            </w:tabs>
            <w:spacing w:line="240" w:lineRule="auto"/>
            <w:rPr>
              <w:rFonts w:ascii="Times New Roman" w:eastAsiaTheme="minorEastAsia" w:hAnsi="Times New Roman" w:cs="Times New Roman"/>
              <w:noProof/>
              <w:sz w:val="24"/>
              <w:szCs w:val="24"/>
            </w:rPr>
          </w:pPr>
          <w:hyperlink w:anchor="_Toc216265500" w:history="1">
            <w:r w:rsidRPr="00F51A90">
              <w:rPr>
                <w:rStyle w:val="Hyperlink"/>
                <w:rFonts w:ascii="Times New Roman" w:hAnsi="Times New Roman" w:cs="Times New Roman"/>
                <w:noProof/>
                <w:sz w:val="24"/>
                <w:szCs w:val="24"/>
              </w:rPr>
              <w:t>2.0 The five forces of Porters External and Internal Environment</w:t>
            </w:r>
            <w:r w:rsidRPr="00F51A90">
              <w:rPr>
                <w:rFonts w:ascii="Times New Roman" w:hAnsi="Times New Roman" w:cs="Times New Roman"/>
                <w:noProof/>
                <w:webHidden/>
                <w:sz w:val="24"/>
                <w:szCs w:val="24"/>
              </w:rPr>
              <w:tab/>
            </w:r>
            <w:r w:rsidRPr="00F51A90">
              <w:rPr>
                <w:rFonts w:ascii="Times New Roman" w:hAnsi="Times New Roman" w:cs="Times New Roman"/>
                <w:noProof/>
                <w:webHidden/>
                <w:sz w:val="24"/>
                <w:szCs w:val="24"/>
              </w:rPr>
              <w:fldChar w:fldCharType="begin"/>
            </w:r>
            <w:r w:rsidRPr="00F51A90">
              <w:rPr>
                <w:rFonts w:ascii="Times New Roman" w:hAnsi="Times New Roman" w:cs="Times New Roman"/>
                <w:noProof/>
                <w:webHidden/>
                <w:sz w:val="24"/>
                <w:szCs w:val="24"/>
              </w:rPr>
              <w:instrText xml:space="preserve"> PAGEREF _Toc216265500 \h </w:instrText>
            </w:r>
            <w:r w:rsidRPr="00F51A90">
              <w:rPr>
                <w:rFonts w:ascii="Times New Roman" w:hAnsi="Times New Roman" w:cs="Times New Roman"/>
                <w:noProof/>
                <w:webHidden/>
                <w:sz w:val="24"/>
                <w:szCs w:val="24"/>
              </w:rPr>
            </w:r>
            <w:r w:rsidRPr="00F51A90">
              <w:rPr>
                <w:rFonts w:ascii="Times New Roman" w:hAnsi="Times New Roman" w:cs="Times New Roman"/>
                <w:noProof/>
                <w:webHidden/>
                <w:sz w:val="24"/>
                <w:szCs w:val="24"/>
              </w:rPr>
              <w:fldChar w:fldCharType="separate"/>
            </w:r>
            <w:r w:rsidRPr="00F51A90">
              <w:rPr>
                <w:rFonts w:ascii="Times New Roman" w:hAnsi="Times New Roman" w:cs="Times New Roman"/>
                <w:noProof/>
                <w:webHidden/>
                <w:sz w:val="24"/>
                <w:szCs w:val="24"/>
              </w:rPr>
              <w:t>2</w:t>
            </w:r>
            <w:r w:rsidRPr="00F51A90">
              <w:rPr>
                <w:rFonts w:ascii="Times New Roman" w:hAnsi="Times New Roman" w:cs="Times New Roman"/>
                <w:noProof/>
                <w:webHidden/>
                <w:sz w:val="24"/>
                <w:szCs w:val="24"/>
              </w:rPr>
              <w:fldChar w:fldCharType="end"/>
            </w:r>
          </w:hyperlink>
        </w:p>
        <w:p w14:paraId="13B0C0CF" w14:textId="55B211E4" w:rsidR="00DC3C9F" w:rsidRPr="00F51A90" w:rsidRDefault="00DC3C9F" w:rsidP="00F51A90">
          <w:pPr>
            <w:pStyle w:val="TOC2"/>
            <w:tabs>
              <w:tab w:val="right" w:leader="dot" w:pos="9350"/>
            </w:tabs>
            <w:spacing w:line="240" w:lineRule="auto"/>
            <w:rPr>
              <w:rFonts w:ascii="Times New Roman" w:eastAsiaTheme="minorEastAsia" w:hAnsi="Times New Roman" w:cs="Times New Roman"/>
              <w:noProof/>
              <w:sz w:val="24"/>
              <w:szCs w:val="24"/>
            </w:rPr>
          </w:pPr>
          <w:hyperlink w:anchor="_Toc216265501" w:history="1">
            <w:r w:rsidRPr="00F51A90">
              <w:rPr>
                <w:rStyle w:val="Hyperlink"/>
                <w:rFonts w:ascii="Times New Roman" w:hAnsi="Times New Roman" w:cs="Times New Roman"/>
                <w:noProof/>
                <w:sz w:val="24"/>
                <w:szCs w:val="24"/>
              </w:rPr>
              <w:t>2.1 Internal Environment</w:t>
            </w:r>
            <w:r w:rsidRPr="00F51A90">
              <w:rPr>
                <w:rFonts w:ascii="Times New Roman" w:hAnsi="Times New Roman" w:cs="Times New Roman"/>
                <w:noProof/>
                <w:webHidden/>
                <w:sz w:val="24"/>
                <w:szCs w:val="24"/>
              </w:rPr>
              <w:tab/>
            </w:r>
            <w:r w:rsidRPr="00F51A90">
              <w:rPr>
                <w:rFonts w:ascii="Times New Roman" w:hAnsi="Times New Roman" w:cs="Times New Roman"/>
                <w:noProof/>
                <w:webHidden/>
                <w:sz w:val="24"/>
                <w:szCs w:val="24"/>
              </w:rPr>
              <w:fldChar w:fldCharType="begin"/>
            </w:r>
            <w:r w:rsidRPr="00F51A90">
              <w:rPr>
                <w:rFonts w:ascii="Times New Roman" w:hAnsi="Times New Roman" w:cs="Times New Roman"/>
                <w:noProof/>
                <w:webHidden/>
                <w:sz w:val="24"/>
                <w:szCs w:val="24"/>
              </w:rPr>
              <w:instrText xml:space="preserve"> PAGEREF _Toc216265501 \h </w:instrText>
            </w:r>
            <w:r w:rsidRPr="00F51A90">
              <w:rPr>
                <w:rFonts w:ascii="Times New Roman" w:hAnsi="Times New Roman" w:cs="Times New Roman"/>
                <w:noProof/>
                <w:webHidden/>
                <w:sz w:val="24"/>
                <w:szCs w:val="24"/>
              </w:rPr>
            </w:r>
            <w:r w:rsidRPr="00F51A90">
              <w:rPr>
                <w:rFonts w:ascii="Times New Roman" w:hAnsi="Times New Roman" w:cs="Times New Roman"/>
                <w:noProof/>
                <w:webHidden/>
                <w:sz w:val="24"/>
                <w:szCs w:val="24"/>
              </w:rPr>
              <w:fldChar w:fldCharType="separate"/>
            </w:r>
            <w:r w:rsidRPr="00F51A90">
              <w:rPr>
                <w:rFonts w:ascii="Times New Roman" w:hAnsi="Times New Roman" w:cs="Times New Roman"/>
                <w:noProof/>
                <w:webHidden/>
                <w:sz w:val="24"/>
                <w:szCs w:val="24"/>
              </w:rPr>
              <w:t>2</w:t>
            </w:r>
            <w:r w:rsidRPr="00F51A90">
              <w:rPr>
                <w:rFonts w:ascii="Times New Roman" w:hAnsi="Times New Roman" w:cs="Times New Roman"/>
                <w:noProof/>
                <w:webHidden/>
                <w:sz w:val="24"/>
                <w:szCs w:val="24"/>
              </w:rPr>
              <w:fldChar w:fldCharType="end"/>
            </w:r>
          </w:hyperlink>
        </w:p>
        <w:p w14:paraId="7EE19212" w14:textId="0D6923AE" w:rsidR="00DC3C9F" w:rsidRPr="00F51A90" w:rsidRDefault="00DC3C9F" w:rsidP="00F51A90">
          <w:pPr>
            <w:pStyle w:val="TOC2"/>
            <w:tabs>
              <w:tab w:val="right" w:leader="dot" w:pos="9350"/>
            </w:tabs>
            <w:spacing w:line="240" w:lineRule="auto"/>
            <w:rPr>
              <w:rFonts w:ascii="Times New Roman" w:eastAsiaTheme="minorEastAsia" w:hAnsi="Times New Roman" w:cs="Times New Roman"/>
              <w:noProof/>
              <w:sz w:val="24"/>
              <w:szCs w:val="24"/>
            </w:rPr>
          </w:pPr>
          <w:hyperlink w:anchor="_Toc216265502" w:history="1">
            <w:r w:rsidRPr="00F51A90">
              <w:rPr>
                <w:rStyle w:val="Hyperlink"/>
                <w:rFonts w:ascii="Times New Roman" w:hAnsi="Times New Roman" w:cs="Times New Roman"/>
                <w:noProof/>
                <w:sz w:val="24"/>
                <w:szCs w:val="24"/>
              </w:rPr>
              <w:t>2.2 External Environment</w:t>
            </w:r>
            <w:r w:rsidRPr="00F51A90">
              <w:rPr>
                <w:rFonts w:ascii="Times New Roman" w:hAnsi="Times New Roman" w:cs="Times New Roman"/>
                <w:noProof/>
                <w:webHidden/>
                <w:sz w:val="24"/>
                <w:szCs w:val="24"/>
              </w:rPr>
              <w:tab/>
            </w:r>
            <w:r w:rsidRPr="00F51A90">
              <w:rPr>
                <w:rFonts w:ascii="Times New Roman" w:hAnsi="Times New Roman" w:cs="Times New Roman"/>
                <w:noProof/>
                <w:webHidden/>
                <w:sz w:val="24"/>
                <w:szCs w:val="24"/>
              </w:rPr>
              <w:fldChar w:fldCharType="begin"/>
            </w:r>
            <w:r w:rsidRPr="00F51A90">
              <w:rPr>
                <w:rFonts w:ascii="Times New Roman" w:hAnsi="Times New Roman" w:cs="Times New Roman"/>
                <w:noProof/>
                <w:webHidden/>
                <w:sz w:val="24"/>
                <w:szCs w:val="24"/>
              </w:rPr>
              <w:instrText xml:space="preserve"> PAGEREF _Toc216265502 \h </w:instrText>
            </w:r>
            <w:r w:rsidRPr="00F51A90">
              <w:rPr>
                <w:rFonts w:ascii="Times New Roman" w:hAnsi="Times New Roman" w:cs="Times New Roman"/>
                <w:noProof/>
                <w:webHidden/>
                <w:sz w:val="24"/>
                <w:szCs w:val="24"/>
              </w:rPr>
            </w:r>
            <w:r w:rsidRPr="00F51A90">
              <w:rPr>
                <w:rFonts w:ascii="Times New Roman" w:hAnsi="Times New Roman" w:cs="Times New Roman"/>
                <w:noProof/>
                <w:webHidden/>
                <w:sz w:val="24"/>
                <w:szCs w:val="24"/>
              </w:rPr>
              <w:fldChar w:fldCharType="separate"/>
            </w:r>
            <w:r w:rsidRPr="00F51A90">
              <w:rPr>
                <w:rFonts w:ascii="Times New Roman" w:hAnsi="Times New Roman" w:cs="Times New Roman"/>
                <w:noProof/>
                <w:webHidden/>
                <w:sz w:val="24"/>
                <w:szCs w:val="24"/>
              </w:rPr>
              <w:t>2</w:t>
            </w:r>
            <w:r w:rsidRPr="00F51A90">
              <w:rPr>
                <w:rFonts w:ascii="Times New Roman" w:hAnsi="Times New Roman" w:cs="Times New Roman"/>
                <w:noProof/>
                <w:webHidden/>
                <w:sz w:val="24"/>
                <w:szCs w:val="24"/>
              </w:rPr>
              <w:fldChar w:fldCharType="end"/>
            </w:r>
          </w:hyperlink>
        </w:p>
        <w:p w14:paraId="2EADCAAE" w14:textId="70998352" w:rsidR="00DC3C9F" w:rsidRPr="00F51A90" w:rsidRDefault="00DC3C9F" w:rsidP="00F51A90">
          <w:pPr>
            <w:pStyle w:val="TOC1"/>
            <w:tabs>
              <w:tab w:val="right" w:leader="dot" w:pos="9350"/>
            </w:tabs>
            <w:spacing w:line="240" w:lineRule="auto"/>
            <w:rPr>
              <w:rFonts w:ascii="Times New Roman" w:eastAsiaTheme="minorEastAsia" w:hAnsi="Times New Roman" w:cs="Times New Roman"/>
              <w:noProof/>
              <w:sz w:val="24"/>
              <w:szCs w:val="24"/>
            </w:rPr>
          </w:pPr>
          <w:hyperlink w:anchor="_Toc216265503" w:history="1">
            <w:r w:rsidRPr="00F51A90">
              <w:rPr>
                <w:rStyle w:val="Hyperlink"/>
                <w:rFonts w:ascii="Times New Roman" w:hAnsi="Times New Roman" w:cs="Times New Roman"/>
                <w:noProof/>
                <w:sz w:val="24"/>
                <w:szCs w:val="24"/>
              </w:rPr>
              <w:t>3.Application in Organization: IKEA</w:t>
            </w:r>
            <w:r w:rsidRPr="00F51A90">
              <w:rPr>
                <w:rFonts w:ascii="Times New Roman" w:hAnsi="Times New Roman" w:cs="Times New Roman"/>
                <w:noProof/>
                <w:webHidden/>
                <w:sz w:val="24"/>
                <w:szCs w:val="24"/>
              </w:rPr>
              <w:tab/>
            </w:r>
            <w:r w:rsidRPr="00F51A90">
              <w:rPr>
                <w:rFonts w:ascii="Times New Roman" w:hAnsi="Times New Roman" w:cs="Times New Roman"/>
                <w:noProof/>
                <w:webHidden/>
                <w:sz w:val="24"/>
                <w:szCs w:val="24"/>
              </w:rPr>
              <w:fldChar w:fldCharType="begin"/>
            </w:r>
            <w:r w:rsidRPr="00F51A90">
              <w:rPr>
                <w:rFonts w:ascii="Times New Roman" w:hAnsi="Times New Roman" w:cs="Times New Roman"/>
                <w:noProof/>
                <w:webHidden/>
                <w:sz w:val="24"/>
                <w:szCs w:val="24"/>
              </w:rPr>
              <w:instrText xml:space="preserve"> PAGEREF _Toc216265503 \h </w:instrText>
            </w:r>
            <w:r w:rsidRPr="00F51A90">
              <w:rPr>
                <w:rFonts w:ascii="Times New Roman" w:hAnsi="Times New Roman" w:cs="Times New Roman"/>
                <w:noProof/>
                <w:webHidden/>
                <w:sz w:val="24"/>
                <w:szCs w:val="24"/>
              </w:rPr>
            </w:r>
            <w:r w:rsidRPr="00F51A90">
              <w:rPr>
                <w:rFonts w:ascii="Times New Roman" w:hAnsi="Times New Roman" w:cs="Times New Roman"/>
                <w:noProof/>
                <w:webHidden/>
                <w:sz w:val="24"/>
                <w:szCs w:val="24"/>
              </w:rPr>
              <w:fldChar w:fldCharType="separate"/>
            </w:r>
            <w:r w:rsidRPr="00F51A90">
              <w:rPr>
                <w:rFonts w:ascii="Times New Roman" w:hAnsi="Times New Roman" w:cs="Times New Roman"/>
                <w:noProof/>
                <w:webHidden/>
                <w:sz w:val="24"/>
                <w:szCs w:val="24"/>
              </w:rPr>
              <w:t>3</w:t>
            </w:r>
            <w:r w:rsidRPr="00F51A90">
              <w:rPr>
                <w:rFonts w:ascii="Times New Roman" w:hAnsi="Times New Roman" w:cs="Times New Roman"/>
                <w:noProof/>
                <w:webHidden/>
                <w:sz w:val="24"/>
                <w:szCs w:val="24"/>
              </w:rPr>
              <w:fldChar w:fldCharType="end"/>
            </w:r>
          </w:hyperlink>
        </w:p>
        <w:p w14:paraId="5C453EB7" w14:textId="3E30522B" w:rsidR="00DC3C9F" w:rsidRPr="00F51A90" w:rsidRDefault="00DC3C9F" w:rsidP="00F51A90">
          <w:pPr>
            <w:pStyle w:val="TOC1"/>
            <w:tabs>
              <w:tab w:val="right" w:leader="dot" w:pos="9350"/>
            </w:tabs>
            <w:spacing w:line="240" w:lineRule="auto"/>
            <w:rPr>
              <w:rFonts w:ascii="Times New Roman" w:eastAsiaTheme="minorEastAsia" w:hAnsi="Times New Roman" w:cs="Times New Roman"/>
              <w:noProof/>
              <w:sz w:val="24"/>
              <w:szCs w:val="24"/>
            </w:rPr>
          </w:pPr>
          <w:hyperlink w:anchor="_Toc216265504" w:history="1">
            <w:r w:rsidRPr="00F51A90">
              <w:rPr>
                <w:rStyle w:val="Hyperlink"/>
                <w:rFonts w:ascii="Times New Roman" w:hAnsi="Times New Roman" w:cs="Times New Roman"/>
                <w:noProof/>
                <w:sz w:val="24"/>
                <w:szCs w:val="24"/>
              </w:rPr>
              <w:t>4. Porter Five Forces Applied to IKEA</w:t>
            </w:r>
            <w:r w:rsidRPr="00F51A90">
              <w:rPr>
                <w:rFonts w:ascii="Times New Roman" w:hAnsi="Times New Roman" w:cs="Times New Roman"/>
                <w:noProof/>
                <w:webHidden/>
                <w:sz w:val="24"/>
                <w:szCs w:val="24"/>
              </w:rPr>
              <w:tab/>
            </w:r>
            <w:r w:rsidRPr="00F51A90">
              <w:rPr>
                <w:rFonts w:ascii="Times New Roman" w:hAnsi="Times New Roman" w:cs="Times New Roman"/>
                <w:noProof/>
                <w:webHidden/>
                <w:sz w:val="24"/>
                <w:szCs w:val="24"/>
              </w:rPr>
              <w:fldChar w:fldCharType="begin"/>
            </w:r>
            <w:r w:rsidRPr="00F51A90">
              <w:rPr>
                <w:rFonts w:ascii="Times New Roman" w:hAnsi="Times New Roman" w:cs="Times New Roman"/>
                <w:noProof/>
                <w:webHidden/>
                <w:sz w:val="24"/>
                <w:szCs w:val="24"/>
              </w:rPr>
              <w:instrText xml:space="preserve"> PAGEREF _Toc216265504 \h </w:instrText>
            </w:r>
            <w:r w:rsidRPr="00F51A90">
              <w:rPr>
                <w:rFonts w:ascii="Times New Roman" w:hAnsi="Times New Roman" w:cs="Times New Roman"/>
                <w:noProof/>
                <w:webHidden/>
                <w:sz w:val="24"/>
                <w:szCs w:val="24"/>
              </w:rPr>
            </w:r>
            <w:r w:rsidRPr="00F51A90">
              <w:rPr>
                <w:rFonts w:ascii="Times New Roman" w:hAnsi="Times New Roman" w:cs="Times New Roman"/>
                <w:noProof/>
                <w:webHidden/>
                <w:sz w:val="24"/>
                <w:szCs w:val="24"/>
              </w:rPr>
              <w:fldChar w:fldCharType="separate"/>
            </w:r>
            <w:r w:rsidRPr="00F51A90">
              <w:rPr>
                <w:rFonts w:ascii="Times New Roman" w:hAnsi="Times New Roman" w:cs="Times New Roman"/>
                <w:noProof/>
                <w:webHidden/>
                <w:sz w:val="24"/>
                <w:szCs w:val="24"/>
              </w:rPr>
              <w:t>3</w:t>
            </w:r>
            <w:r w:rsidRPr="00F51A90">
              <w:rPr>
                <w:rFonts w:ascii="Times New Roman" w:hAnsi="Times New Roman" w:cs="Times New Roman"/>
                <w:noProof/>
                <w:webHidden/>
                <w:sz w:val="24"/>
                <w:szCs w:val="24"/>
              </w:rPr>
              <w:fldChar w:fldCharType="end"/>
            </w:r>
          </w:hyperlink>
        </w:p>
        <w:p w14:paraId="6783D396" w14:textId="491FD43F" w:rsidR="00DC3C9F" w:rsidRPr="00F51A90" w:rsidRDefault="00DC3C9F" w:rsidP="00F51A90">
          <w:pPr>
            <w:pStyle w:val="TOC2"/>
            <w:tabs>
              <w:tab w:val="right" w:leader="dot" w:pos="9350"/>
            </w:tabs>
            <w:spacing w:line="240" w:lineRule="auto"/>
            <w:rPr>
              <w:rFonts w:ascii="Times New Roman" w:eastAsiaTheme="minorEastAsia" w:hAnsi="Times New Roman" w:cs="Times New Roman"/>
              <w:noProof/>
              <w:sz w:val="24"/>
              <w:szCs w:val="24"/>
            </w:rPr>
          </w:pPr>
          <w:hyperlink w:anchor="_Toc216265505" w:history="1">
            <w:r w:rsidRPr="00F51A90">
              <w:rPr>
                <w:rStyle w:val="Hyperlink"/>
                <w:rFonts w:ascii="Times New Roman" w:hAnsi="Times New Roman" w:cs="Times New Roman"/>
                <w:noProof/>
                <w:sz w:val="24"/>
                <w:szCs w:val="24"/>
              </w:rPr>
              <w:t>4.1 Competitive Rivalry</w:t>
            </w:r>
            <w:r w:rsidRPr="00F51A90">
              <w:rPr>
                <w:rFonts w:ascii="Times New Roman" w:hAnsi="Times New Roman" w:cs="Times New Roman"/>
                <w:noProof/>
                <w:webHidden/>
                <w:sz w:val="24"/>
                <w:szCs w:val="24"/>
              </w:rPr>
              <w:tab/>
            </w:r>
            <w:r w:rsidRPr="00F51A90">
              <w:rPr>
                <w:rFonts w:ascii="Times New Roman" w:hAnsi="Times New Roman" w:cs="Times New Roman"/>
                <w:noProof/>
                <w:webHidden/>
                <w:sz w:val="24"/>
                <w:szCs w:val="24"/>
              </w:rPr>
              <w:fldChar w:fldCharType="begin"/>
            </w:r>
            <w:r w:rsidRPr="00F51A90">
              <w:rPr>
                <w:rFonts w:ascii="Times New Roman" w:hAnsi="Times New Roman" w:cs="Times New Roman"/>
                <w:noProof/>
                <w:webHidden/>
                <w:sz w:val="24"/>
                <w:szCs w:val="24"/>
              </w:rPr>
              <w:instrText xml:space="preserve"> PAGEREF _Toc216265505 \h </w:instrText>
            </w:r>
            <w:r w:rsidRPr="00F51A90">
              <w:rPr>
                <w:rFonts w:ascii="Times New Roman" w:hAnsi="Times New Roman" w:cs="Times New Roman"/>
                <w:noProof/>
                <w:webHidden/>
                <w:sz w:val="24"/>
                <w:szCs w:val="24"/>
              </w:rPr>
            </w:r>
            <w:r w:rsidRPr="00F51A90">
              <w:rPr>
                <w:rFonts w:ascii="Times New Roman" w:hAnsi="Times New Roman" w:cs="Times New Roman"/>
                <w:noProof/>
                <w:webHidden/>
                <w:sz w:val="24"/>
                <w:szCs w:val="24"/>
              </w:rPr>
              <w:fldChar w:fldCharType="separate"/>
            </w:r>
            <w:r w:rsidRPr="00F51A90">
              <w:rPr>
                <w:rFonts w:ascii="Times New Roman" w:hAnsi="Times New Roman" w:cs="Times New Roman"/>
                <w:noProof/>
                <w:webHidden/>
                <w:sz w:val="24"/>
                <w:szCs w:val="24"/>
              </w:rPr>
              <w:t>3</w:t>
            </w:r>
            <w:r w:rsidRPr="00F51A90">
              <w:rPr>
                <w:rFonts w:ascii="Times New Roman" w:hAnsi="Times New Roman" w:cs="Times New Roman"/>
                <w:noProof/>
                <w:webHidden/>
                <w:sz w:val="24"/>
                <w:szCs w:val="24"/>
              </w:rPr>
              <w:fldChar w:fldCharType="end"/>
            </w:r>
          </w:hyperlink>
        </w:p>
        <w:p w14:paraId="47590AEB" w14:textId="3F363178" w:rsidR="00DC3C9F" w:rsidRPr="00F51A90" w:rsidRDefault="00DC3C9F" w:rsidP="00F51A90">
          <w:pPr>
            <w:pStyle w:val="TOC2"/>
            <w:tabs>
              <w:tab w:val="right" w:leader="dot" w:pos="9350"/>
            </w:tabs>
            <w:spacing w:line="240" w:lineRule="auto"/>
            <w:rPr>
              <w:rFonts w:ascii="Times New Roman" w:eastAsiaTheme="minorEastAsia" w:hAnsi="Times New Roman" w:cs="Times New Roman"/>
              <w:noProof/>
              <w:sz w:val="24"/>
              <w:szCs w:val="24"/>
            </w:rPr>
          </w:pPr>
          <w:hyperlink w:anchor="_Toc216265506" w:history="1">
            <w:r w:rsidRPr="00F51A90">
              <w:rPr>
                <w:rStyle w:val="Hyperlink"/>
                <w:rFonts w:ascii="Times New Roman" w:hAnsi="Times New Roman" w:cs="Times New Roman"/>
                <w:noProof/>
                <w:sz w:val="24"/>
                <w:szCs w:val="24"/>
              </w:rPr>
              <w:t>4.2 Threat of New Entrants</w:t>
            </w:r>
            <w:r w:rsidRPr="00F51A90">
              <w:rPr>
                <w:rFonts w:ascii="Times New Roman" w:hAnsi="Times New Roman" w:cs="Times New Roman"/>
                <w:noProof/>
                <w:webHidden/>
                <w:sz w:val="24"/>
                <w:szCs w:val="24"/>
              </w:rPr>
              <w:tab/>
            </w:r>
            <w:r w:rsidRPr="00F51A90">
              <w:rPr>
                <w:rFonts w:ascii="Times New Roman" w:hAnsi="Times New Roman" w:cs="Times New Roman"/>
                <w:noProof/>
                <w:webHidden/>
                <w:sz w:val="24"/>
                <w:szCs w:val="24"/>
              </w:rPr>
              <w:fldChar w:fldCharType="begin"/>
            </w:r>
            <w:r w:rsidRPr="00F51A90">
              <w:rPr>
                <w:rFonts w:ascii="Times New Roman" w:hAnsi="Times New Roman" w:cs="Times New Roman"/>
                <w:noProof/>
                <w:webHidden/>
                <w:sz w:val="24"/>
                <w:szCs w:val="24"/>
              </w:rPr>
              <w:instrText xml:space="preserve"> PAGEREF _Toc216265506 \h </w:instrText>
            </w:r>
            <w:r w:rsidRPr="00F51A90">
              <w:rPr>
                <w:rFonts w:ascii="Times New Roman" w:hAnsi="Times New Roman" w:cs="Times New Roman"/>
                <w:noProof/>
                <w:webHidden/>
                <w:sz w:val="24"/>
                <w:szCs w:val="24"/>
              </w:rPr>
            </w:r>
            <w:r w:rsidRPr="00F51A90">
              <w:rPr>
                <w:rFonts w:ascii="Times New Roman" w:hAnsi="Times New Roman" w:cs="Times New Roman"/>
                <w:noProof/>
                <w:webHidden/>
                <w:sz w:val="24"/>
                <w:szCs w:val="24"/>
              </w:rPr>
              <w:fldChar w:fldCharType="separate"/>
            </w:r>
            <w:r w:rsidRPr="00F51A90">
              <w:rPr>
                <w:rFonts w:ascii="Times New Roman" w:hAnsi="Times New Roman" w:cs="Times New Roman"/>
                <w:noProof/>
                <w:webHidden/>
                <w:sz w:val="24"/>
                <w:szCs w:val="24"/>
              </w:rPr>
              <w:t>4</w:t>
            </w:r>
            <w:r w:rsidRPr="00F51A90">
              <w:rPr>
                <w:rFonts w:ascii="Times New Roman" w:hAnsi="Times New Roman" w:cs="Times New Roman"/>
                <w:noProof/>
                <w:webHidden/>
                <w:sz w:val="24"/>
                <w:szCs w:val="24"/>
              </w:rPr>
              <w:fldChar w:fldCharType="end"/>
            </w:r>
          </w:hyperlink>
        </w:p>
        <w:p w14:paraId="3E04A2A7" w14:textId="1456C0F1" w:rsidR="00DC3C9F" w:rsidRPr="00F51A90" w:rsidRDefault="00DC3C9F" w:rsidP="00F51A90">
          <w:pPr>
            <w:pStyle w:val="TOC2"/>
            <w:tabs>
              <w:tab w:val="right" w:leader="dot" w:pos="9350"/>
            </w:tabs>
            <w:spacing w:line="240" w:lineRule="auto"/>
            <w:rPr>
              <w:rFonts w:ascii="Times New Roman" w:eastAsiaTheme="minorEastAsia" w:hAnsi="Times New Roman" w:cs="Times New Roman"/>
              <w:noProof/>
              <w:sz w:val="24"/>
              <w:szCs w:val="24"/>
            </w:rPr>
          </w:pPr>
          <w:hyperlink w:anchor="_Toc216265507" w:history="1">
            <w:r w:rsidRPr="00F51A90">
              <w:rPr>
                <w:rStyle w:val="Hyperlink"/>
                <w:rFonts w:ascii="Times New Roman" w:hAnsi="Times New Roman" w:cs="Times New Roman"/>
                <w:noProof/>
                <w:sz w:val="24"/>
                <w:szCs w:val="24"/>
              </w:rPr>
              <w:t>4.3 Supplier Power</w:t>
            </w:r>
            <w:r w:rsidRPr="00F51A90">
              <w:rPr>
                <w:rFonts w:ascii="Times New Roman" w:hAnsi="Times New Roman" w:cs="Times New Roman"/>
                <w:noProof/>
                <w:webHidden/>
                <w:sz w:val="24"/>
                <w:szCs w:val="24"/>
              </w:rPr>
              <w:tab/>
            </w:r>
            <w:r w:rsidRPr="00F51A90">
              <w:rPr>
                <w:rFonts w:ascii="Times New Roman" w:hAnsi="Times New Roman" w:cs="Times New Roman"/>
                <w:noProof/>
                <w:webHidden/>
                <w:sz w:val="24"/>
                <w:szCs w:val="24"/>
              </w:rPr>
              <w:fldChar w:fldCharType="begin"/>
            </w:r>
            <w:r w:rsidRPr="00F51A90">
              <w:rPr>
                <w:rFonts w:ascii="Times New Roman" w:hAnsi="Times New Roman" w:cs="Times New Roman"/>
                <w:noProof/>
                <w:webHidden/>
                <w:sz w:val="24"/>
                <w:szCs w:val="24"/>
              </w:rPr>
              <w:instrText xml:space="preserve"> PAGEREF _Toc216265507 \h </w:instrText>
            </w:r>
            <w:r w:rsidRPr="00F51A90">
              <w:rPr>
                <w:rFonts w:ascii="Times New Roman" w:hAnsi="Times New Roman" w:cs="Times New Roman"/>
                <w:noProof/>
                <w:webHidden/>
                <w:sz w:val="24"/>
                <w:szCs w:val="24"/>
              </w:rPr>
            </w:r>
            <w:r w:rsidRPr="00F51A90">
              <w:rPr>
                <w:rFonts w:ascii="Times New Roman" w:hAnsi="Times New Roman" w:cs="Times New Roman"/>
                <w:noProof/>
                <w:webHidden/>
                <w:sz w:val="24"/>
                <w:szCs w:val="24"/>
              </w:rPr>
              <w:fldChar w:fldCharType="separate"/>
            </w:r>
            <w:r w:rsidRPr="00F51A90">
              <w:rPr>
                <w:rFonts w:ascii="Times New Roman" w:hAnsi="Times New Roman" w:cs="Times New Roman"/>
                <w:noProof/>
                <w:webHidden/>
                <w:sz w:val="24"/>
                <w:szCs w:val="24"/>
              </w:rPr>
              <w:t>4</w:t>
            </w:r>
            <w:r w:rsidRPr="00F51A90">
              <w:rPr>
                <w:rFonts w:ascii="Times New Roman" w:hAnsi="Times New Roman" w:cs="Times New Roman"/>
                <w:noProof/>
                <w:webHidden/>
                <w:sz w:val="24"/>
                <w:szCs w:val="24"/>
              </w:rPr>
              <w:fldChar w:fldCharType="end"/>
            </w:r>
          </w:hyperlink>
        </w:p>
        <w:p w14:paraId="52E0ACDF" w14:textId="597C9ED4" w:rsidR="00DC3C9F" w:rsidRPr="00F51A90" w:rsidRDefault="00DC3C9F" w:rsidP="00F51A90">
          <w:pPr>
            <w:pStyle w:val="TOC2"/>
            <w:tabs>
              <w:tab w:val="right" w:leader="dot" w:pos="9350"/>
            </w:tabs>
            <w:spacing w:line="240" w:lineRule="auto"/>
            <w:rPr>
              <w:rFonts w:ascii="Times New Roman" w:eastAsiaTheme="minorEastAsia" w:hAnsi="Times New Roman" w:cs="Times New Roman"/>
              <w:noProof/>
              <w:sz w:val="24"/>
              <w:szCs w:val="24"/>
            </w:rPr>
          </w:pPr>
          <w:hyperlink w:anchor="_Toc216265508" w:history="1">
            <w:r w:rsidRPr="00F51A90">
              <w:rPr>
                <w:rStyle w:val="Hyperlink"/>
                <w:rFonts w:ascii="Times New Roman" w:hAnsi="Times New Roman" w:cs="Times New Roman"/>
                <w:noProof/>
                <w:sz w:val="24"/>
                <w:szCs w:val="24"/>
              </w:rPr>
              <w:t>4.4 Customer Power</w:t>
            </w:r>
            <w:r w:rsidRPr="00F51A90">
              <w:rPr>
                <w:rFonts w:ascii="Times New Roman" w:hAnsi="Times New Roman" w:cs="Times New Roman"/>
                <w:noProof/>
                <w:webHidden/>
                <w:sz w:val="24"/>
                <w:szCs w:val="24"/>
              </w:rPr>
              <w:tab/>
            </w:r>
            <w:r w:rsidRPr="00F51A90">
              <w:rPr>
                <w:rFonts w:ascii="Times New Roman" w:hAnsi="Times New Roman" w:cs="Times New Roman"/>
                <w:noProof/>
                <w:webHidden/>
                <w:sz w:val="24"/>
                <w:szCs w:val="24"/>
              </w:rPr>
              <w:fldChar w:fldCharType="begin"/>
            </w:r>
            <w:r w:rsidRPr="00F51A90">
              <w:rPr>
                <w:rFonts w:ascii="Times New Roman" w:hAnsi="Times New Roman" w:cs="Times New Roman"/>
                <w:noProof/>
                <w:webHidden/>
                <w:sz w:val="24"/>
                <w:szCs w:val="24"/>
              </w:rPr>
              <w:instrText xml:space="preserve"> PAGEREF _Toc216265508 \h </w:instrText>
            </w:r>
            <w:r w:rsidRPr="00F51A90">
              <w:rPr>
                <w:rFonts w:ascii="Times New Roman" w:hAnsi="Times New Roman" w:cs="Times New Roman"/>
                <w:noProof/>
                <w:webHidden/>
                <w:sz w:val="24"/>
                <w:szCs w:val="24"/>
              </w:rPr>
            </w:r>
            <w:r w:rsidRPr="00F51A90">
              <w:rPr>
                <w:rFonts w:ascii="Times New Roman" w:hAnsi="Times New Roman" w:cs="Times New Roman"/>
                <w:noProof/>
                <w:webHidden/>
                <w:sz w:val="24"/>
                <w:szCs w:val="24"/>
              </w:rPr>
              <w:fldChar w:fldCharType="separate"/>
            </w:r>
            <w:r w:rsidRPr="00F51A90">
              <w:rPr>
                <w:rFonts w:ascii="Times New Roman" w:hAnsi="Times New Roman" w:cs="Times New Roman"/>
                <w:noProof/>
                <w:webHidden/>
                <w:sz w:val="24"/>
                <w:szCs w:val="24"/>
              </w:rPr>
              <w:t>4</w:t>
            </w:r>
            <w:r w:rsidRPr="00F51A90">
              <w:rPr>
                <w:rFonts w:ascii="Times New Roman" w:hAnsi="Times New Roman" w:cs="Times New Roman"/>
                <w:noProof/>
                <w:webHidden/>
                <w:sz w:val="24"/>
                <w:szCs w:val="24"/>
              </w:rPr>
              <w:fldChar w:fldCharType="end"/>
            </w:r>
          </w:hyperlink>
        </w:p>
        <w:p w14:paraId="1054B670" w14:textId="05FD0A7D" w:rsidR="00DC3C9F" w:rsidRPr="00F51A90" w:rsidRDefault="00DC3C9F" w:rsidP="00F51A90">
          <w:pPr>
            <w:pStyle w:val="TOC2"/>
            <w:tabs>
              <w:tab w:val="right" w:leader="dot" w:pos="9350"/>
            </w:tabs>
            <w:spacing w:line="240" w:lineRule="auto"/>
            <w:rPr>
              <w:rFonts w:ascii="Times New Roman" w:eastAsiaTheme="minorEastAsia" w:hAnsi="Times New Roman" w:cs="Times New Roman"/>
              <w:noProof/>
              <w:sz w:val="24"/>
              <w:szCs w:val="24"/>
            </w:rPr>
          </w:pPr>
          <w:hyperlink w:anchor="_Toc216265509" w:history="1">
            <w:r w:rsidRPr="00F51A90">
              <w:rPr>
                <w:rStyle w:val="Hyperlink"/>
                <w:rFonts w:ascii="Times New Roman" w:hAnsi="Times New Roman" w:cs="Times New Roman"/>
                <w:noProof/>
                <w:sz w:val="24"/>
                <w:szCs w:val="24"/>
              </w:rPr>
              <w:t>4.5 Threat of Substitutes</w:t>
            </w:r>
            <w:r w:rsidRPr="00F51A90">
              <w:rPr>
                <w:rFonts w:ascii="Times New Roman" w:hAnsi="Times New Roman" w:cs="Times New Roman"/>
                <w:noProof/>
                <w:webHidden/>
                <w:sz w:val="24"/>
                <w:szCs w:val="24"/>
              </w:rPr>
              <w:tab/>
            </w:r>
            <w:r w:rsidRPr="00F51A90">
              <w:rPr>
                <w:rFonts w:ascii="Times New Roman" w:hAnsi="Times New Roman" w:cs="Times New Roman"/>
                <w:noProof/>
                <w:webHidden/>
                <w:sz w:val="24"/>
                <w:szCs w:val="24"/>
              </w:rPr>
              <w:fldChar w:fldCharType="begin"/>
            </w:r>
            <w:r w:rsidRPr="00F51A90">
              <w:rPr>
                <w:rFonts w:ascii="Times New Roman" w:hAnsi="Times New Roman" w:cs="Times New Roman"/>
                <w:noProof/>
                <w:webHidden/>
                <w:sz w:val="24"/>
                <w:szCs w:val="24"/>
              </w:rPr>
              <w:instrText xml:space="preserve"> PAGEREF _Toc216265509 \h </w:instrText>
            </w:r>
            <w:r w:rsidRPr="00F51A90">
              <w:rPr>
                <w:rFonts w:ascii="Times New Roman" w:hAnsi="Times New Roman" w:cs="Times New Roman"/>
                <w:noProof/>
                <w:webHidden/>
                <w:sz w:val="24"/>
                <w:szCs w:val="24"/>
              </w:rPr>
            </w:r>
            <w:r w:rsidRPr="00F51A90">
              <w:rPr>
                <w:rFonts w:ascii="Times New Roman" w:hAnsi="Times New Roman" w:cs="Times New Roman"/>
                <w:noProof/>
                <w:webHidden/>
                <w:sz w:val="24"/>
                <w:szCs w:val="24"/>
              </w:rPr>
              <w:fldChar w:fldCharType="separate"/>
            </w:r>
            <w:r w:rsidRPr="00F51A90">
              <w:rPr>
                <w:rFonts w:ascii="Times New Roman" w:hAnsi="Times New Roman" w:cs="Times New Roman"/>
                <w:noProof/>
                <w:webHidden/>
                <w:sz w:val="24"/>
                <w:szCs w:val="24"/>
              </w:rPr>
              <w:t>5</w:t>
            </w:r>
            <w:r w:rsidRPr="00F51A90">
              <w:rPr>
                <w:rFonts w:ascii="Times New Roman" w:hAnsi="Times New Roman" w:cs="Times New Roman"/>
                <w:noProof/>
                <w:webHidden/>
                <w:sz w:val="24"/>
                <w:szCs w:val="24"/>
              </w:rPr>
              <w:fldChar w:fldCharType="end"/>
            </w:r>
          </w:hyperlink>
        </w:p>
        <w:p w14:paraId="1CE7AED9" w14:textId="4107F71E" w:rsidR="00DC3C9F" w:rsidRPr="00F51A90" w:rsidRDefault="00DC3C9F" w:rsidP="00F51A90">
          <w:pPr>
            <w:pStyle w:val="TOC1"/>
            <w:tabs>
              <w:tab w:val="right" w:leader="dot" w:pos="9350"/>
            </w:tabs>
            <w:spacing w:line="240" w:lineRule="auto"/>
            <w:rPr>
              <w:rFonts w:ascii="Times New Roman" w:eastAsiaTheme="minorEastAsia" w:hAnsi="Times New Roman" w:cs="Times New Roman"/>
              <w:noProof/>
              <w:sz w:val="24"/>
              <w:szCs w:val="24"/>
            </w:rPr>
          </w:pPr>
          <w:hyperlink w:anchor="_Toc216265510" w:history="1">
            <w:r w:rsidRPr="00F51A90">
              <w:rPr>
                <w:rStyle w:val="Hyperlink"/>
                <w:rFonts w:ascii="Times New Roman" w:hAnsi="Times New Roman" w:cs="Times New Roman"/>
                <w:noProof/>
                <w:sz w:val="24"/>
                <w:szCs w:val="24"/>
              </w:rPr>
              <w:t>5.Conclusion</w:t>
            </w:r>
            <w:r w:rsidRPr="00F51A90">
              <w:rPr>
                <w:rFonts w:ascii="Times New Roman" w:hAnsi="Times New Roman" w:cs="Times New Roman"/>
                <w:noProof/>
                <w:webHidden/>
                <w:sz w:val="24"/>
                <w:szCs w:val="24"/>
              </w:rPr>
              <w:tab/>
            </w:r>
            <w:r w:rsidRPr="00F51A90">
              <w:rPr>
                <w:rFonts w:ascii="Times New Roman" w:hAnsi="Times New Roman" w:cs="Times New Roman"/>
                <w:noProof/>
                <w:webHidden/>
                <w:sz w:val="24"/>
                <w:szCs w:val="24"/>
              </w:rPr>
              <w:fldChar w:fldCharType="begin"/>
            </w:r>
            <w:r w:rsidRPr="00F51A90">
              <w:rPr>
                <w:rFonts w:ascii="Times New Roman" w:hAnsi="Times New Roman" w:cs="Times New Roman"/>
                <w:noProof/>
                <w:webHidden/>
                <w:sz w:val="24"/>
                <w:szCs w:val="24"/>
              </w:rPr>
              <w:instrText xml:space="preserve"> PAGEREF _Toc216265510 \h </w:instrText>
            </w:r>
            <w:r w:rsidRPr="00F51A90">
              <w:rPr>
                <w:rFonts w:ascii="Times New Roman" w:hAnsi="Times New Roman" w:cs="Times New Roman"/>
                <w:noProof/>
                <w:webHidden/>
                <w:sz w:val="24"/>
                <w:szCs w:val="24"/>
              </w:rPr>
            </w:r>
            <w:r w:rsidRPr="00F51A90">
              <w:rPr>
                <w:rFonts w:ascii="Times New Roman" w:hAnsi="Times New Roman" w:cs="Times New Roman"/>
                <w:noProof/>
                <w:webHidden/>
                <w:sz w:val="24"/>
                <w:szCs w:val="24"/>
              </w:rPr>
              <w:fldChar w:fldCharType="separate"/>
            </w:r>
            <w:r w:rsidRPr="00F51A90">
              <w:rPr>
                <w:rFonts w:ascii="Times New Roman" w:hAnsi="Times New Roman" w:cs="Times New Roman"/>
                <w:noProof/>
                <w:webHidden/>
                <w:sz w:val="24"/>
                <w:szCs w:val="24"/>
              </w:rPr>
              <w:t>5</w:t>
            </w:r>
            <w:r w:rsidRPr="00F51A90">
              <w:rPr>
                <w:rFonts w:ascii="Times New Roman" w:hAnsi="Times New Roman" w:cs="Times New Roman"/>
                <w:noProof/>
                <w:webHidden/>
                <w:sz w:val="24"/>
                <w:szCs w:val="24"/>
              </w:rPr>
              <w:fldChar w:fldCharType="end"/>
            </w:r>
          </w:hyperlink>
        </w:p>
        <w:p w14:paraId="7F2B6B3B" w14:textId="66D993E8" w:rsidR="00DC3C9F" w:rsidRPr="00F51A90" w:rsidRDefault="00DC3C9F" w:rsidP="00F51A90">
          <w:pPr>
            <w:pStyle w:val="TOC1"/>
            <w:tabs>
              <w:tab w:val="right" w:leader="dot" w:pos="9350"/>
            </w:tabs>
            <w:spacing w:line="240" w:lineRule="auto"/>
            <w:rPr>
              <w:rFonts w:ascii="Times New Roman" w:eastAsiaTheme="minorEastAsia" w:hAnsi="Times New Roman" w:cs="Times New Roman"/>
              <w:noProof/>
              <w:sz w:val="24"/>
              <w:szCs w:val="24"/>
            </w:rPr>
          </w:pPr>
          <w:hyperlink w:anchor="_Toc216265511" w:history="1">
            <w:r w:rsidRPr="00F51A90">
              <w:rPr>
                <w:rStyle w:val="Hyperlink"/>
                <w:rFonts w:ascii="Times New Roman" w:eastAsia="Times New Roman" w:hAnsi="Times New Roman" w:cs="Times New Roman"/>
                <w:noProof/>
                <w:sz w:val="24"/>
                <w:szCs w:val="24"/>
              </w:rPr>
              <w:t>6. Reference List</w:t>
            </w:r>
            <w:r w:rsidRPr="00F51A90">
              <w:rPr>
                <w:rFonts w:ascii="Times New Roman" w:hAnsi="Times New Roman" w:cs="Times New Roman"/>
                <w:noProof/>
                <w:webHidden/>
                <w:sz w:val="24"/>
                <w:szCs w:val="24"/>
              </w:rPr>
              <w:tab/>
            </w:r>
            <w:r w:rsidRPr="00F51A90">
              <w:rPr>
                <w:rFonts w:ascii="Times New Roman" w:hAnsi="Times New Roman" w:cs="Times New Roman"/>
                <w:noProof/>
                <w:webHidden/>
                <w:sz w:val="24"/>
                <w:szCs w:val="24"/>
              </w:rPr>
              <w:fldChar w:fldCharType="begin"/>
            </w:r>
            <w:r w:rsidRPr="00F51A90">
              <w:rPr>
                <w:rFonts w:ascii="Times New Roman" w:hAnsi="Times New Roman" w:cs="Times New Roman"/>
                <w:noProof/>
                <w:webHidden/>
                <w:sz w:val="24"/>
                <w:szCs w:val="24"/>
              </w:rPr>
              <w:instrText xml:space="preserve"> PAGEREF _Toc216265511 \h </w:instrText>
            </w:r>
            <w:r w:rsidRPr="00F51A90">
              <w:rPr>
                <w:rFonts w:ascii="Times New Roman" w:hAnsi="Times New Roman" w:cs="Times New Roman"/>
                <w:noProof/>
                <w:webHidden/>
                <w:sz w:val="24"/>
                <w:szCs w:val="24"/>
              </w:rPr>
            </w:r>
            <w:r w:rsidRPr="00F51A90">
              <w:rPr>
                <w:rFonts w:ascii="Times New Roman" w:hAnsi="Times New Roman" w:cs="Times New Roman"/>
                <w:noProof/>
                <w:webHidden/>
                <w:sz w:val="24"/>
                <w:szCs w:val="24"/>
              </w:rPr>
              <w:fldChar w:fldCharType="separate"/>
            </w:r>
            <w:r w:rsidRPr="00F51A90">
              <w:rPr>
                <w:rFonts w:ascii="Times New Roman" w:hAnsi="Times New Roman" w:cs="Times New Roman"/>
                <w:noProof/>
                <w:webHidden/>
                <w:sz w:val="24"/>
                <w:szCs w:val="24"/>
              </w:rPr>
              <w:t>6</w:t>
            </w:r>
            <w:r w:rsidRPr="00F51A90">
              <w:rPr>
                <w:rFonts w:ascii="Times New Roman" w:hAnsi="Times New Roman" w:cs="Times New Roman"/>
                <w:noProof/>
                <w:webHidden/>
                <w:sz w:val="24"/>
                <w:szCs w:val="24"/>
              </w:rPr>
              <w:fldChar w:fldCharType="end"/>
            </w:r>
          </w:hyperlink>
        </w:p>
        <w:p w14:paraId="32B9C0E3" w14:textId="3FBDC3AC" w:rsidR="00E5202D" w:rsidRPr="00F51A90" w:rsidRDefault="00E5202D" w:rsidP="00F51A90">
          <w:pPr>
            <w:spacing w:line="240" w:lineRule="auto"/>
            <w:rPr>
              <w:rFonts w:ascii="Times New Roman" w:hAnsi="Times New Roman" w:cs="Times New Roman"/>
              <w:sz w:val="24"/>
              <w:szCs w:val="24"/>
            </w:rPr>
          </w:pPr>
          <w:r w:rsidRPr="00F51A90">
            <w:rPr>
              <w:rFonts w:ascii="Times New Roman" w:hAnsi="Times New Roman" w:cs="Times New Roman"/>
              <w:noProof/>
              <w:sz w:val="24"/>
              <w:szCs w:val="24"/>
            </w:rPr>
            <w:fldChar w:fldCharType="end"/>
          </w:r>
        </w:p>
      </w:sdtContent>
    </w:sdt>
    <w:p w14:paraId="14C40E15" w14:textId="1F1CBEFC" w:rsidR="00E5202D" w:rsidRPr="00F51A90" w:rsidRDefault="00E5202D" w:rsidP="00F51A90">
      <w:pPr>
        <w:spacing w:line="480" w:lineRule="auto"/>
        <w:rPr>
          <w:rFonts w:ascii="Times New Roman" w:hAnsi="Times New Roman" w:cs="Times New Roman"/>
          <w:b/>
          <w:bCs/>
          <w:sz w:val="24"/>
          <w:szCs w:val="24"/>
        </w:rPr>
      </w:pPr>
      <w:r w:rsidRPr="00F51A90">
        <w:rPr>
          <w:rFonts w:ascii="Times New Roman" w:hAnsi="Times New Roman" w:cs="Times New Roman"/>
          <w:b/>
          <w:bCs/>
          <w:sz w:val="24"/>
          <w:szCs w:val="24"/>
        </w:rPr>
        <w:br w:type="page"/>
      </w:r>
    </w:p>
    <w:p w14:paraId="2CD78A70" w14:textId="77777777" w:rsidR="00DE609B" w:rsidRPr="00F51A90" w:rsidRDefault="00DE609B" w:rsidP="00F51A90">
      <w:pPr>
        <w:spacing w:line="480" w:lineRule="auto"/>
        <w:rPr>
          <w:rFonts w:ascii="Times New Roman" w:hAnsi="Times New Roman" w:cs="Times New Roman"/>
          <w:b/>
          <w:bCs/>
          <w:sz w:val="24"/>
          <w:szCs w:val="24"/>
        </w:rPr>
      </w:pPr>
    </w:p>
    <w:p w14:paraId="7B858156" w14:textId="122BEDD0" w:rsidR="00E649D6" w:rsidRPr="00F51A90" w:rsidRDefault="00E649D6" w:rsidP="00F51A90">
      <w:pPr>
        <w:pStyle w:val="Heading1"/>
        <w:spacing w:line="480" w:lineRule="auto"/>
        <w:rPr>
          <w:rFonts w:ascii="Times New Roman" w:hAnsi="Times New Roman" w:cs="Times New Roman"/>
          <w:b/>
          <w:bCs/>
          <w:sz w:val="24"/>
          <w:szCs w:val="24"/>
        </w:rPr>
      </w:pPr>
      <w:bookmarkStart w:id="0" w:name="_Toc216265499"/>
      <w:r w:rsidRPr="00F51A90">
        <w:rPr>
          <w:rFonts w:ascii="Times New Roman" w:hAnsi="Times New Roman" w:cs="Times New Roman"/>
          <w:b/>
          <w:bCs/>
          <w:sz w:val="24"/>
          <w:szCs w:val="24"/>
        </w:rPr>
        <w:t>1.Introduction</w:t>
      </w:r>
      <w:bookmarkEnd w:id="0"/>
    </w:p>
    <w:p w14:paraId="6148B5CB" w14:textId="2C647AC5" w:rsidR="00DE609B" w:rsidRPr="00F51A90" w:rsidRDefault="00E649D6" w:rsidP="00F51A90">
      <w:pPr>
        <w:spacing w:line="480" w:lineRule="auto"/>
        <w:ind w:firstLine="720"/>
        <w:rPr>
          <w:rFonts w:ascii="Times New Roman" w:hAnsi="Times New Roman" w:cs="Times New Roman"/>
          <w:sz w:val="24"/>
          <w:szCs w:val="24"/>
        </w:rPr>
      </w:pPr>
      <w:r w:rsidRPr="00F51A90">
        <w:rPr>
          <w:rFonts w:ascii="Times New Roman" w:hAnsi="Times New Roman" w:cs="Times New Roman"/>
          <w:sz w:val="24"/>
          <w:szCs w:val="24"/>
        </w:rPr>
        <w:t>The human resource functions also influence skill development, retention and performance management in organisations.These functions are important as they determine the extent to which individuals can contribute to broader objectives and how employment changes in response to changed conditions (Prayudo and Tukiran 2024).Managers are prone to encounter dissimilar labor regulations and anticipations in international contexts thus HR decisions are frequently required to be meticulously adjusted to every environment (Dowling et al 2023).Porters Five Forces provides a systematic means of looking at the competition, customer, supplier, alternative and new entrant pressures. The model assists in framing the external conditions which demand work systems and people policies (Malik 2022).IKEA is an appropriate subject of such analysis as it is in operations in numerous markets and provides clear information about its labor force, culture and strategic objectives, which establishes a firm foundation in exploring HR decisions in a complex retail chain (IKEA 2023).In this report, core HR functions, the model, and applies it to IKEA and concludes with the major implications.</w:t>
      </w:r>
    </w:p>
    <w:p w14:paraId="46EAF430" w14:textId="571FD054" w:rsidR="000B7BA7" w:rsidRPr="00F51A90" w:rsidRDefault="000B7BA7" w:rsidP="00F51A90">
      <w:pPr>
        <w:spacing w:line="480" w:lineRule="auto"/>
        <w:rPr>
          <w:rFonts w:ascii="Times New Roman" w:hAnsi="Times New Roman" w:cs="Times New Roman"/>
          <w:b/>
          <w:bCs/>
          <w:sz w:val="24"/>
          <w:szCs w:val="24"/>
        </w:rPr>
      </w:pPr>
      <w:bookmarkStart w:id="1" w:name="_Toc216265500"/>
      <w:r w:rsidRPr="00F51A90">
        <w:rPr>
          <w:rStyle w:val="Heading1Char"/>
          <w:rFonts w:ascii="Times New Roman" w:hAnsi="Times New Roman" w:cs="Times New Roman"/>
          <w:b/>
          <w:bCs/>
          <w:sz w:val="24"/>
          <w:szCs w:val="24"/>
        </w:rPr>
        <w:t>2.0 The five forces of Porters External and Internal Environment</w:t>
      </w:r>
      <w:bookmarkEnd w:id="1"/>
      <w:r w:rsidRPr="00F51A90">
        <w:rPr>
          <w:rFonts w:ascii="Times New Roman" w:hAnsi="Times New Roman" w:cs="Times New Roman"/>
          <w:b/>
          <w:bCs/>
          <w:sz w:val="24"/>
          <w:szCs w:val="24"/>
        </w:rPr>
        <w:t>.</w:t>
      </w:r>
    </w:p>
    <w:p w14:paraId="19B09EB6" w14:textId="72B39280" w:rsidR="000B7BA7" w:rsidRPr="00F51A90" w:rsidRDefault="000B7BA7" w:rsidP="00F51A90">
      <w:pPr>
        <w:pStyle w:val="Heading2"/>
        <w:spacing w:line="480" w:lineRule="auto"/>
        <w:rPr>
          <w:rFonts w:ascii="Times New Roman" w:hAnsi="Times New Roman" w:cs="Times New Roman"/>
          <w:b/>
          <w:bCs/>
          <w:sz w:val="24"/>
          <w:szCs w:val="24"/>
        </w:rPr>
      </w:pPr>
      <w:bookmarkStart w:id="2" w:name="_Toc216265501"/>
      <w:r w:rsidRPr="00F51A90">
        <w:rPr>
          <w:rFonts w:ascii="Times New Roman" w:hAnsi="Times New Roman" w:cs="Times New Roman"/>
          <w:b/>
          <w:bCs/>
          <w:sz w:val="24"/>
          <w:szCs w:val="24"/>
        </w:rPr>
        <w:t>2.1 Internal Environment</w:t>
      </w:r>
      <w:bookmarkEnd w:id="2"/>
    </w:p>
    <w:p w14:paraId="4AF169D4" w14:textId="33A91081" w:rsidR="000B7BA7" w:rsidRPr="00F51A90" w:rsidRDefault="000B7BA7" w:rsidP="00F51A90">
      <w:pPr>
        <w:spacing w:line="480" w:lineRule="auto"/>
        <w:ind w:firstLine="720"/>
        <w:rPr>
          <w:rFonts w:ascii="Times New Roman" w:hAnsi="Times New Roman" w:cs="Times New Roman"/>
          <w:sz w:val="24"/>
          <w:szCs w:val="24"/>
        </w:rPr>
      </w:pPr>
      <w:r w:rsidRPr="00F51A90">
        <w:rPr>
          <w:rFonts w:ascii="Times New Roman" w:hAnsi="Times New Roman" w:cs="Times New Roman"/>
          <w:sz w:val="24"/>
          <w:szCs w:val="24"/>
        </w:rPr>
        <w:t xml:space="preserve">The framework by Porter is typically viewed as a means of interpreting external pressures not within the firm, yet it also helps to influence the way internal decisions are made. As competition deepens, internal HR choices frequently narrow to capability creation, control mechanisms and employment relationships since the company must base its reaction on individuals who are capable of managing the changing environment (Malik 2022). Included </w:t>
      </w:r>
      <w:r w:rsidRPr="00F51A90">
        <w:rPr>
          <w:rFonts w:ascii="Times New Roman" w:hAnsi="Times New Roman" w:cs="Times New Roman"/>
          <w:sz w:val="24"/>
          <w:szCs w:val="24"/>
        </w:rPr>
        <w:lastRenderedPageBreak/>
        <w:t>decisions do not sit well outside of national settings. Legal structures and institutional expectations, workforce norms imply that HR managers have adjusted internal practices to fit the larger setting instead of adhering to one pattern (Dowling et al 2023). This demonstrates that internal relevance of this model depends on the manner in which firms manage the conflict between strategic pressure and the limitation that arise as a result of operating in diverse labor markets. The global workforce dynamics are becoming increasingly imbalanced, with the internal HR work becoming more responsive to talent shortages and mobility, consequently enhancing the importance of external forces within the daily organizational decision-making (Waruwu 2024).</w:t>
      </w:r>
    </w:p>
    <w:p w14:paraId="064D263D" w14:textId="0CB8323F" w:rsidR="000B7BA7" w:rsidRPr="00F51A90" w:rsidRDefault="000B7BA7" w:rsidP="00F51A90">
      <w:pPr>
        <w:pStyle w:val="Heading2"/>
        <w:spacing w:line="480" w:lineRule="auto"/>
        <w:rPr>
          <w:rFonts w:ascii="Times New Roman" w:hAnsi="Times New Roman" w:cs="Times New Roman"/>
          <w:b/>
          <w:bCs/>
          <w:sz w:val="24"/>
          <w:szCs w:val="24"/>
        </w:rPr>
      </w:pPr>
      <w:bookmarkStart w:id="3" w:name="_Toc216265502"/>
      <w:r w:rsidRPr="00F51A90">
        <w:rPr>
          <w:rFonts w:ascii="Times New Roman" w:hAnsi="Times New Roman" w:cs="Times New Roman"/>
          <w:b/>
          <w:bCs/>
          <w:sz w:val="24"/>
          <w:szCs w:val="24"/>
        </w:rPr>
        <w:t>2.2 External Environment</w:t>
      </w:r>
      <w:bookmarkEnd w:id="3"/>
    </w:p>
    <w:p w14:paraId="1CC7BBAB" w14:textId="6B443098" w:rsidR="0066712C" w:rsidRPr="00F51A90" w:rsidRDefault="000B7BA7" w:rsidP="00F51A90">
      <w:pPr>
        <w:spacing w:line="480" w:lineRule="auto"/>
        <w:ind w:firstLine="720"/>
        <w:rPr>
          <w:rFonts w:ascii="Times New Roman" w:hAnsi="Times New Roman" w:cs="Times New Roman"/>
          <w:b/>
          <w:bCs/>
          <w:sz w:val="24"/>
          <w:szCs w:val="24"/>
        </w:rPr>
      </w:pPr>
      <w:r w:rsidRPr="00F51A90">
        <w:rPr>
          <w:rFonts w:ascii="Times New Roman" w:hAnsi="Times New Roman" w:cs="Times New Roman"/>
          <w:sz w:val="24"/>
          <w:szCs w:val="24"/>
        </w:rPr>
        <w:t xml:space="preserve">Externally the Five Forces model focuses on the circumstances that define competition. Competition, substitutes and new entrants establish the forces that determine the demand of specific skills and working conditions, thus making HR a constituent of the response to such structural pressures on the part of the organization (Malik 2022). These forces are shifting due to digitalization, as technology changes the definition of an effective competitor and introduces new dynamics of work that challenge conventional beliefs about roles and skill cycles (Dabić et al 2023). Competitive behavior is also transformed around sustainability pressures, and HR also acquires the tasks associated with training, governance, and the integration of environmental values into everyday activities (Proença 2022). The market logic is further complicated by social expectations related to fairness and ethical behavior because companies are under increased pressure to maintain responsible employment and enhance moral involvement among employees (Zhao et al 2022). In spite of its utility the model is limited. It views industries as being subjected to symmetrical strain despite cross-country disparities in institutions and labor standards </w:t>
      </w:r>
      <w:r w:rsidRPr="00F51A90">
        <w:rPr>
          <w:rFonts w:ascii="Times New Roman" w:hAnsi="Times New Roman" w:cs="Times New Roman"/>
          <w:sz w:val="24"/>
          <w:szCs w:val="24"/>
        </w:rPr>
        <w:lastRenderedPageBreak/>
        <w:t>distorting such clean boundaries (Dowling et al 2023).It also downplays transnational labor flows and hybrid forms of labor that are disruptive of the fixed industry lines adopted in the framework (Waruwu 2024).It implies that this model is most effective as a starting map requiring subsequent layers by international HRM, but cannot be regarded as a complete description of organizational reality.</w:t>
      </w:r>
    </w:p>
    <w:p w14:paraId="64C8DBE2" w14:textId="6B8206EB" w:rsidR="00A92D70" w:rsidRPr="00F51A90" w:rsidRDefault="00620451" w:rsidP="00F51A90">
      <w:pPr>
        <w:spacing w:line="480" w:lineRule="auto"/>
        <w:rPr>
          <w:rFonts w:ascii="Times New Roman" w:hAnsi="Times New Roman" w:cs="Times New Roman"/>
          <w:sz w:val="24"/>
          <w:szCs w:val="24"/>
        </w:rPr>
      </w:pPr>
      <w:bookmarkStart w:id="4" w:name="_Toc216265503"/>
      <w:r w:rsidRPr="00F51A90">
        <w:rPr>
          <w:rStyle w:val="Heading1Char"/>
          <w:rFonts w:ascii="Times New Roman" w:hAnsi="Times New Roman" w:cs="Times New Roman"/>
          <w:b/>
          <w:bCs/>
          <w:sz w:val="24"/>
          <w:szCs w:val="24"/>
        </w:rPr>
        <w:t>3</w:t>
      </w:r>
      <w:r w:rsidR="00A92D70" w:rsidRPr="00F51A90">
        <w:rPr>
          <w:rStyle w:val="Heading1Char"/>
          <w:rFonts w:ascii="Times New Roman" w:hAnsi="Times New Roman" w:cs="Times New Roman"/>
          <w:b/>
          <w:bCs/>
          <w:sz w:val="24"/>
          <w:szCs w:val="24"/>
        </w:rPr>
        <w:t>.Application in Organization: IKEA</w:t>
      </w:r>
      <w:bookmarkEnd w:id="4"/>
      <w:r w:rsidR="00A92D70" w:rsidRPr="00F51A90">
        <w:rPr>
          <w:rFonts w:ascii="Times New Roman" w:hAnsi="Times New Roman" w:cs="Times New Roman"/>
          <w:sz w:val="24"/>
          <w:szCs w:val="24"/>
        </w:rPr>
        <w:t>.</w:t>
      </w:r>
    </w:p>
    <w:p w14:paraId="35D2AE1F" w14:textId="4360C0DD" w:rsidR="00DE609B" w:rsidRPr="00F51A90" w:rsidRDefault="00A92D70" w:rsidP="00F51A90">
      <w:pPr>
        <w:spacing w:line="480" w:lineRule="auto"/>
        <w:ind w:firstLine="720"/>
        <w:rPr>
          <w:rFonts w:ascii="Times New Roman" w:hAnsi="Times New Roman" w:cs="Times New Roman"/>
          <w:sz w:val="24"/>
          <w:szCs w:val="24"/>
        </w:rPr>
      </w:pPr>
      <w:r w:rsidRPr="00F51A90">
        <w:rPr>
          <w:rFonts w:ascii="Times New Roman" w:hAnsi="Times New Roman" w:cs="Times New Roman"/>
          <w:sz w:val="24"/>
          <w:szCs w:val="24"/>
        </w:rPr>
        <w:t>IKEA has a huge network of stores across the world, in countries like Sweden, the United States and China, and its size relies on a workforce that is distributed in different institutional environments (IKEA 2023). Its culture is one that highly values down-to-earth behavior and collective responsibility and these values can be found at the heart of its reward practices and day-to-day behavior (Alzghool 2021). Policies in HR are connected to the overall strategic goals via organized hiring opportunities, training plans that promote a lifetime learning approach and performance frameworks that emphasize alignment with organizational values (Desklib 2024). There have been changes in leadership expectations as well with digital retailing expanding because managers now require competence which enables innovation and adaptation to technology (Khan and Sarkar 2024). The difference manifests across the borders as national regulations and labor standards demand various HR solutions, such as the way inclusion, wellbeing and work design are informed in local business (Ingka Group 2025). International sustainability and labor rights are another source of complexity, especially when the supply-chain partners must also be engaged about how to treat the migrant workers fairly (Business and Human Rights Resource Centre 2025). The HR strategy of IKEA is thus a combination of common values, as well as changes that acknowledge the specifics of the environment (IKEA Sustainability Report 2025).</w:t>
      </w:r>
    </w:p>
    <w:p w14:paraId="01E1A14F" w14:textId="791A86C5" w:rsidR="00620451" w:rsidRPr="00F51A90" w:rsidRDefault="00620451" w:rsidP="00F51A90">
      <w:pPr>
        <w:spacing w:line="480" w:lineRule="auto"/>
        <w:rPr>
          <w:rFonts w:ascii="Times New Roman" w:hAnsi="Times New Roman" w:cs="Times New Roman"/>
          <w:sz w:val="24"/>
          <w:szCs w:val="24"/>
        </w:rPr>
      </w:pPr>
      <w:bookmarkStart w:id="5" w:name="_Toc216265504"/>
      <w:r w:rsidRPr="00F51A90">
        <w:rPr>
          <w:rStyle w:val="Heading1Char"/>
          <w:rFonts w:ascii="Times New Roman" w:hAnsi="Times New Roman" w:cs="Times New Roman"/>
          <w:b/>
          <w:bCs/>
          <w:sz w:val="24"/>
          <w:szCs w:val="24"/>
        </w:rPr>
        <w:lastRenderedPageBreak/>
        <w:t>4. Porter Five Forces Applied to IKEA</w:t>
      </w:r>
      <w:bookmarkEnd w:id="5"/>
      <w:r w:rsidRPr="00F51A90">
        <w:rPr>
          <w:rFonts w:ascii="Times New Roman" w:hAnsi="Times New Roman" w:cs="Times New Roman"/>
          <w:sz w:val="24"/>
          <w:szCs w:val="24"/>
        </w:rPr>
        <w:t>.</w:t>
      </w:r>
    </w:p>
    <w:p w14:paraId="74D46257" w14:textId="2135DB3A" w:rsidR="00620451" w:rsidRPr="00F51A90" w:rsidRDefault="00620451" w:rsidP="00F51A90">
      <w:pPr>
        <w:pStyle w:val="Heading2"/>
        <w:spacing w:line="480" w:lineRule="auto"/>
        <w:rPr>
          <w:rFonts w:ascii="Times New Roman" w:hAnsi="Times New Roman" w:cs="Times New Roman"/>
          <w:b/>
          <w:bCs/>
          <w:sz w:val="24"/>
          <w:szCs w:val="24"/>
        </w:rPr>
      </w:pPr>
      <w:bookmarkStart w:id="6" w:name="_Toc216265505"/>
      <w:r w:rsidRPr="00F51A90">
        <w:rPr>
          <w:rFonts w:ascii="Times New Roman" w:hAnsi="Times New Roman" w:cs="Times New Roman"/>
          <w:b/>
          <w:bCs/>
          <w:sz w:val="24"/>
          <w:szCs w:val="24"/>
        </w:rPr>
        <w:t>4.1 Competitive Rivalry</w:t>
      </w:r>
      <w:bookmarkEnd w:id="6"/>
    </w:p>
    <w:p w14:paraId="035AEAB2" w14:textId="77777777" w:rsidR="00620451" w:rsidRPr="00F51A90" w:rsidRDefault="00620451" w:rsidP="00F51A90">
      <w:pPr>
        <w:spacing w:line="480" w:lineRule="auto"/>
        <w:ind w:firstLine="720"/>
        <w:rPr>
          <w:rFonts w:ascii="Times New Roman" w:hAnsi="Times New Roman" w:cs="Times New Roman"/>
          <w:sz w:val="24"/>
          <w:szCs w:val="24"/>
        </w:rPr>
      </w:pPr>
      <w:r w:rsidRPr="00F51A90">
        <w:rPr>
          <w:rFonts w:ascii="Times New Roman" w:hAnsi="Times New Roman" w:cs="Times New Roman"/>
          <w:sz w:val="24"/>
          <w:szCs w:val="24"/>
        </w:rPr>
        <w:t>International retail competition compels companies to hone technology, supply chains as well as workforce capability. IKEA responds to such pressures since the retail business changes at a quick rate and competitive advantage relies on how individuals embrace the business approach (Desklib 2024). Digital retailing increases competition as clients can effortlessly switch platforms, and thus to reduce the risk of service deterioration, the company enhances digital leadership capabilities and promotes inter-team flexibility in learning (Khan and Sarkar 2024). HR activities are thus oriented towards training that strengthens effective functioning of stores and steady performance norms, particularly in markets like the United States where there are high demands regarding speed and convenience (IKEA 2023). In Sweden, the rhythm is more stable and HR is more based on value-oriented performance systems anchored on cultural alignment and not a push to compete at all times (Malik 2022). Competition thereby feeds into work in terms of recruitment priorities and building capabilities, yet the ratio varies depending on the situation with national markets.</w:t>
      </w:r>
    </w:p>
    <w:p w14:paraId="4EB9A0A3" w14:textId="3BF0B5B0" w:rsidR="00620451" w:rsidRPr="00F51A90" w:rsidRDefault="00620451" w:rsidP="00F51A90">
      <w:pPr>
        <w:pStyle w:val="Heading2"/>
        <w:spacing w:line="480" w:lineRule="auto"/>
        <w:rPr>
          <w:rFonts w:ascii="Times New Roman" w:hAnsi="Times New Roman" w:cs="Times New Roman"/>
          <w:b/>
          <w:bCs/>
          <w:sz w:val="24"/>
          <w:szCs w:val="24"/>
        </w:rPr>
      </w:pPr>
      <w:bookmarkStart w:id="7" w:name="_Toc216265506"/>
      <w:r w:rsidRPr="00F51A90">
        <w:rPr>
          <w:rFonts w:ascii="Times New Roman" w:hAnsi="Times New Roman" w:cs="Times New Roman"/>
          <w:b/>
          <w:bCs/>
          <w:sz w:val="24"/>
          <w:szCs w:val="24"/>
        </w:rPr>
        <w:t>4.2 Threat of New Entrants</w:t>
      </w:r>
      <w:bookmarkEnd w:id="7"/>
    </w:p>
    <w:p w14:paraId="200323DB" w14:textId="3047D6DE" w:rsidR="00620451" w:rsidRPr="00F51A90" w:rsidRDefault="00620451" w:rsidP="00F51A90">
      <w:pPr>
        <w:spacing w:line="480" w:lineRule="auto"/>
        <w:ind w:firstLine="720"/>
        <w:rPr>
          <w:rFonts w:ascii="Times New Roman" w:hAnsi="Times New Roman" w:cs="Times New Roman"/>
          <w:sz w:val="24"/>
          <w:szCs w:val="24"/>
        </w:rPr>
      </w:pPr>
      <w:r w:rsidRPr="00F51A90">
        <w:rPr>
          <w:rFonts w:ascii="Times New Roman" w:hAnsi="Times New Roman" w:cs="Times New Roman"/>
          <w:sz w:val="24"/>
          <w:szCs w:val="24"/>
        </w:rPr>
        <w:t xml:space="preserve">The threat of new entrants is still viable since barriers to retail are low due to digital channels, and the force works against the stability of the older operating </w:t>
      </w:r>
      <w:r w:rsidR="00C35D30" w:rsidRPr="00F51A90">
        <w:rPr>
          <w:rFonts w:ascii="Times New Roman" w:hAnsi="Times New Roman" w:cs="Times New Roman"/>
          <w:sz w:val="24"/>
          <w:szCs w:val="24"/>
        </w:rPr>
        <w:t>models. IKEA</w:t>
      </w:r>
      <w:r w:rsidRPr="00F51A90">
        <w:rPr>
          <w:rFonts w:ascii="Times New Roman" w:hAnsi="Times New Roman" w:cs="Times New Roman"/>
          <w:sz w:val="24"/>
          <w:szCs w:val="24"/>
        </w:rPr>
        <w:t xml:space="preserve"> reacts by increasing its digital competence and imposing managers to assist the innovations and technical adjustments in daily work (Khan and Sarkar 2024). </w:t>
      </w:r>
      <w:r w:rsidR="00C35D30" w:rsidRPr="00F51A90">
        <w:rPr>
          <w:rFonts w:ascii="Times New Roman" w:hAnsi="Times New Roman" w:cs="Times New Roman"/>
          <w:sz w:val="24"/>
          <w:szCs w:val="24"/>
        </w:rPr>
        <w:t>Digitalization</w:t>
      </w:r>
      <w:r w:rsidRPr="00F51A90">
        <w:rPr>
          <w:rFonts w:ascii="Times New Roman" w:hAnsi="Times New Roman" w:cs="Times New Roman"/>
          <w:sz w:val="24"/>
          <w:szCs w:val="24"/>
        </w:rPr>
        <w:t xml:space="preserve"> is introducing new skills requirements, particularly in information utilization, customer analytics and online interplay, thus HR makes investments in training and reforms performance frameworks to promote experimentation as contrasted to constant routine (Dabić et al 2023). The skills shift is more </w:t>
      </w:r>
      <w:r w:rsidRPr="00F51A90">
        <w:rPr>
          <w:rFonts w:ascii="Times New Roman" w:hAnsi="Times New Roman" w:cs="Times New Roman"/>
          <w:sz w:val="24"/>
          <w:szCs w:val="24"/>
        </w:rPr>
        <w:lastRenderedPageBreak/>
        <w:t xml:space="preserve">acute in such markets as China, where digital retail adoption is more extensive, and HR has a greater pressure to recruit workers who handle physical and online experiences (Malik 2022). Sweden, in its turn, operates at a slower rate and leaves HR with a little more time to sequence training. The force makes the HR sensitive to talent gaps and the necessity of employer branding that distinguishes the </w:t>
      </w:r>
      <w:r w:rsidR="00C35D30" w:rsidRPr="00F51A90">
        <w:rPr>
          <w:rFonts w:ascii="Times New Roman" w:hAnsi="Times New Roman" w:cs="Times New Roman"/>
          <w:sz w:val="24"/>
          <w:szCs w:val="24"/>
        </w:rPr>
        <w:t>organization</w:t>
      </w:r>
      <w:r w:rsidRPr="00F51A90">
        <w:rPr>
          <w:rFonts w:ascii="Times New Roman" w:hAnsi="Times New Roman" w:cs="Times New Roman"/>
          <w:sz w:val="24"/>
          <w:szCs w:val="24"/>
        </w:rPr>
        <w:t xml:space="preserve"> among the leaner new entrants.</w:t>
      </w:r>
    </w:p>
    <w:p w14:paraId="2729114A" w14:textId="2E8EC797" w:rsidR="00620451" w:rsidRPr="00F51A90" w:rsidRDefault="00620451" w:rsidP="00F51A90">
      <w:pPr>
        <w:pStyle w:val="Heading2"/>
        <w:spacing w:line="480" w:lineRule="auto"/>
        <w:rPr>
          <w:rFonts w:ascii="Times New Roman" w:hAnsi="Times New Roman" w:cs="Times New Roman"/>
          <w:b/>
          <w:bCs/>
          <w:sz w:val="24"/>
          <w:szCs w:val="24"/>
        </w:rPr>
      </w:pPr>
      <w:bookmarkStart w:id="8" w:name="_Toc216265507"/>
      <w:r w:rsidRPr="00F51A90">
        <w:rPr>
          <w:rFonts w:ascii="Times New Roman" w:hAnsi="Times New Roman" w:cs="Times New Roman"/>
          <w:b/>
          <w:bCs/>
          <w:sz w:val="24"/>
          <w:szCs w:val="24"/>
        </w:rPr>
        <w:t>4.3 Supplier Power</w:t>
      </w:r>
      <w:bookmarkEnd w:id="8"/>
    </w:p>
    <w:p w14:paraId="03D9A1A2" w14:textId="3F6D1874" w:rsidR="00620451" w:rsidRPr="00F51A90" w:rsidRDefault="00620451" w:rsidP="00F51A90">
      <w:pPr>
        <w:spacing w:line="480" w:lineRule="auto"/>
        <w:ind w:firstLine="720"/>
        <w:rPr>
          <w:rFonts w:ascii="Times New Roman" w:hAnsi="Times New Roman" w:cs="Times New Roman"/>
          <w:b/>
          <w:bCs/>
          <w:sz w:val="24"/>
          <w:szCs w:val="24"/>
        </w:rPr>
      </w:pPr>
      <w:r w:rsidRPr="00F51A90">
        <w:rPr>
          <w:rFonts w:ascii="Times New Roman" w:hAnsi="Times New Roman" w:cs="Times New Roman"/>
          <w:sz w:val="24"/>
          <w:szCs w:val="24"/>
        </w:rPr>
        <w:t>The power of the supplier determines how IKEA addresses labor standards and working conditions in its complex supply chains. The case of the firm collaborating with the International Organization for Migration, emphasizes the role of the rights of migrant workers in the HR priorities in the circumstances where suppliers possess a great level of leverage in either cost or capacity (Business and Human Rights Resource Centre 2025). To facilitate oversight, the HR teams also assist in creating compliance training and monitoring systems to promote responsible practice instead of being fully left to the commercial units to manage the risks involved (Ingka Group 2025). Also, this work interconnects with more general employment relations as the conditions of suppliers may influence brand reputation and expectations by employees, particularly in Europe with tight labor standards (Malik 2022). When regulation is less robust like in certain areas of Asia, HR will tailor training and audit techniques to the limitations of the country, though, striving to achieve uniformity. Supplier power thus introduces both ethical and operational requirements in HR activities.</w:t>
      </w:r>
    </w:p>
    <w:p w14:paraId="3F3F3CC0" w14:textId="5EAFA0B8" w:rsidR="00620451" w:rsidRPr="00F51A90" w:rsidRDefault="00620451" w:rsidP="00F51A90">
      <w:pPr>
        <w:pStyle w:val="Heading2"/>
        <w:spacing w:line="480" w:lineRule="auto"/>
        <w:rPr>
          <w:rFonts w:ascii="Times New Roman" w:hAnsi="Times New Roman" w:cs="Times New Roman"/>
          <w:b/>
          <w:bCs/>
          <w:sz w:val="24"/>
          <w:szCs w:val="24"/>
        </w:rPr>
      </w:pPr>
      <w:bookmarkStart w:id="9" w:name="_Toc216265508"/>
      <w:r w:rsidRPr="00F51A90">
        <w:rPr>
          <w:rFonts w:ascii="Times New Roman" w:hAnsi="Times New Roman" w:cs="Times New Roman"/>
          <w:b/>
          <w:bCs/>
          <w:sz w:val="24"/>
          <w:szCs w:val="24"/>
        </w:rPr>
        <w:t>4.4 Customer Power</w:t>
      </w:r>
      <w:bookmarkEnd w:id="9"/>
    </w:p>
    <w:p w14:paraId="62BDF873" w14:textId="77777777" w:rsidR="00C35D30" w:rsidRPr="00F51A90" w:rsidRDefault="00620451" w:rsidP="00F51A90">
      <w:pPr>
        <w:spacing w:line="480" w:lineRule="auto"/>
        <w:ind w:firstLine="720"/>
        <w:rPr>
          <w:rFonts w:ascii="Times New Roman" w:hAnsi="Times New Roman" w:cs="Times New Roman"/>
          <w:b/>
          <w:bCs/>
          <w:sz w:val="24"/>
          <w:szCs w:val="24"/>
        </w:rPr>
      </w:pPr>
      <w:r w:rsidRPr="00F51A90">
        <w:rPr>
          <w:rFonts w:ascii="Times New Roman" w:hAnsi="Times New Roman" w:cs="Times New Roman"/>
          <w:sz w:val="24"/>
          <w:szCs w:val="24"/>
        </w:rPr>
        <w:t xml:space="preserve">In the retail business, there is power in customer expectations and IKEA has been challenged by increased expectations of sustainability and responsible actions. The above expectations are forces behind the role of HR in culture-building and sustainability training since </w:t>
      </w:r>
      <w:r w:rsidRPr="00F51A90">
        <w:rPr>
          <w:rFonts w:ascii="Times New Roman" w:hAnsi="Times New Roman" w:cs="Times New Roman"/>
          <w:sz w:val="24"/>
          <w:szCs w:val="24"/>
        </w:rPr>
        <w:lastRenderedPageBreak/>
        <w:t>employees require skills and awareness that facilitate customer confidence (IKEA Sustainability Report 2025). The concept of sustainability transforms HR policy and affects the framing of roles, particularly in such a market as Germany where the environmental expectations are high (Proença 2022). Customer power also influences the way employees are led to behave in a fair and ethical manner as the level of moral involvement among workers is closely connected to customer evaluation of the organization (Zhao et al 2022). In the United States, consumer demands are more on convenience and cost that causes HR to enhance service competency and performance standards that facilitate regular output. The force consequently generates various HR emphases in markets.</w:t>
      </w:r>
    </w:p>
    <w:p w14:paraId="3C52C059" w14:textId="44B1EB00" w:rsidR="00C35D30" w:rsidRPr="00F51A90" w:rsidRDefault="00620451" w:rsidP="00F51A90">
      <w:pPr>
        <w:pStyle w:val="Heading2"/>
        <w:spacing w:line="480" w:lineRule="auto"/>
        <w:rPr>
          <w:rFonts w:ascii="Times New Roman" w:hAnsi="Times New Roman" w:cs="Times New Roman"/>
          <w:b/>
          <w:bCs/>
          <w:sz w:val="24"/>
          <w:szCs w:val="24"/>
        </w:rPr>
      </w:pPr>
      <w:bookmarkStart w:id="10" w:name="_Toc216265509"/>
      <w:r w:rsidRPr="00F51A90">
        <w:rPr>
          <w:rFonts w:ascii="Times New Roman" w:hAnsi="Times New Roman" w:cs="Times New Roman"/>
          <w:b/>
          <w:bCs/>
          <w:sz w:val="24"/>
          <w:szCs w:val="24"/>
        </w:rPr>
        <w:t>4.5 Threat of Substitutes</w:t>
      </w:r>
      <w:bookmarkEnd w:id="10"/>
    </w:p>
    <w:p w14:paraId="6E6E9BEC" w14:textId="6AC2C6BB" w:rsidR="00DE609B" w:rsidRPr="00F51A90" w:rsidRDefault="00620451" w:rsidP="00F51A90">
      <w:pPr>
        <w:spacing w:line="480" w:lineRule="auto"/>
        <w:ind w:firstLine="720"/>
        <w:rPr>
          <w:rFonts w:ascii="Times New Roman" w:hAnsi="Times New Roman" w:cs="Times New Roman"/>
          <w:b/>
          <w:bCs/>
          <w:sz w:val="24"/>
          <w:szCs w:val="24"/>
        </w:rPr>
      </w:pPr>
      <w:r w:rsidRPr="00F51A90">
        <w:rPr>
          <w:rFonts w:ascii="Times New Roman" w:hAnsi="Times New Roman" w:cs="Times New Roman"/>
          <w:sz w:val="24"/>
          <w:szCs w:val="24"/>
        </w:rPr>
        <w:t xml:space="preserve">Retail substitutes are second-hand furniture, rental model and repair services. One of the responses is the transition of IKEA to the circular design and the repair of products, and HR must be able to develop competencies that will allow the company to make the transition, such as technical repair skills and sustainability literacy (IKEA Sustainability Report 2025). Sustainability transformation changes the attributes of work since employees need to connect environmental objectives to day-to-day activities, and this increases the training obligations of HR (Proença 2022). This shift is also complicated by global workforce trends as substitute markets are expanding at a pace that is higher in certain regions than others, which means that HR should adjust workforce planning and innovation support to meet new demands (Waruwu 2024). Circular services skill is more valuable in markets like Japan where space constraint promotes rent and reuse, whereas the need of substitutes is </w:t>
      </w:r>
      <w:r w:rsidR="00C35D30" w:rsidRPr="00F51A90">
        <w:rPr>
          <w:rFonts w:ascii="Times New Roman" w:hAnsi="Times New Roman" w:cs="Times New Roman"/>
          <w:sz w:val="24"/>
          <w:szCs w:val="24"/>
        </w:rPr>
        <w:t>spottier</w:t>
      </w:r>
      <w:r w:rsidRPr="00F51A90">
        <w:rPr>
          <w:rFonts w:ascii="Times New Roman" w:hAnsi="Times New Roman" w:cs="Times New Roman"/>
          <w:sz w:val="24"/>
          <w:szCs w:val="24"/>
        </w:rPr>
        <w:t xml:space="preserve"> in the United States. The force is pushing the HR to predict new work trends before they are fully developed.</w:t>
      </w:r>
    </w:p>
    <w:p w14:paraId="0E97AC57" w14:textId="5E7E6468" w:rsidR="00C35D30" w:rsidRPr="00F51A90" w:rsidRDefault="00C35D30" w:rsidP="00F51A90">
      <w:pPr>
        <w:pStyle w:val="Heading1"/>
        <w:spacing w:line="480" w:lineRule="auto"/>
        <w:rPr>
          <w:rFonts w:ascii="Times New Roman" w:hAnsi="Times New Roman" w:cs="Times New Roman"/>
          <w:b/>
          <w:bCs/>
          <w:sz w:val="24"/>
          <w:szCs w:val="24"/>
        </w:rPr>
      </w:pPr>
      <w:bookmarkStart w:id="11" w:name="_Toc216265510"/>
      <w:r w:rsidRPr="00F51A90">
        <w:rPr>
          <w:rFonts w:ascii="Times New Roman" w:hAnsi="Times New Roman" w:cs="Times New Roman"/>
          <w:b/>
          <w:bCs/>
          <w:sz w:val="24"/>
          <w:szCs w:val="24"/>
        </w:rPr>
        <w:lastRenderedPageBreak/>
        <w:t>5.Conclusion</w:t>
      </w:r>
      <w:bookmarkEnd w:id="11"/>
    </w:p>
    <w:p w14:paraId="4130B5C9" w14:textId="51F4F528" w:rsidR="00C35D30" w:rsidRPr="00F51A90" w:rsidRDefault="00C35D30" w:rsidP="00F51A90">
      <w:pPr>
        <w:spacing w:line="480" w:lineRule="auto"/>
        <w:ind w:firstLine="720"/>
        <w:rPr>
          <w:rFonts w:ascii="Times New Roman" w:hAnsi="Times New Roman" w:cs="Times New Roman"/>
          <w:sz w:val="24"/>
          <w:szCs w:val="24"/>
        </w:rPr>
      </w:pPr>
      <w:r w:rsidRPr="00F51A90">
        <w:rPr>
          <w:rFonts w:ascii="Times New Roman" w:hAnsi="Times New Roman" w:cs="Times New Roman"/>
          <w:sz w:val="24"/>
          <w:szCs w:val="24"/>
        </w:rPr>
        <w:t>The analysis demonstrated how the HR decisions of IKEA are embedded within broader competitive, technological and social pressures, which influence the available options. The forces did not behave similarly in different countries that affirmed that HR managers in international companies should read each environment attentively before establishing policies or determining capacity requirements (Dowling et al 2023).The analysis also implied that the HR work is dependent on an interpretation of institutional variation, workforce mobility and cultural expectations since such circumstances affect the way strategies are shaped (Rusman Alimin 2024).These demands are expected to continue to increase in the future as automation changes jobs and drives workers to new learning modalities enabled by HR systems (Dabić et al 2023).The expectations of sustainability will continue to increase and push the HR with the responsibility to integrate environmental awareness into daily work (Proença 2022). International HRM will also be challenged by global competition and mobile labour with balancing consistency with flexibility (Waruwu 2024).</w:t>
      </w:r>
    </w:p>
    <w:p w14:paraId="3D6DE80F" w14:textId="77777777" w:rsidR="00C35D30" w:rsidRPr="00F51A90" w:rsidRDefault="00C35D30" w:rsidP="00F51A90">
      <w:pPr>
        <w:spacing w:line="480" w:lineRule="auto"/>
        <w:rPr>
          <w:rFonts w:ascii="Times New Roman" w:hAnsi="Times New Roman" w:cs="Times New Roman"/>
          <w:sz w:val="24"/>
          <w:szCs w:val="24"/>
        </w:rPr>
      </w:pPr>
      <w:r w:rsidRPr="00F51A90">
        <w:rPr>
          <w:rFonts w:ascii="Times New Roman" w:hAnsi="Times New Roman" w:cs="Times New Roman"/>
          <w:sz w:val="24"/>
          <w:szCs w:val="24"/>
        </w:rPr>
        <w:br w:type="page"/>
      </w:r>
    </w:p>
    <w:p w14:paraId="3D4C4FCF" w14:textId="3C724334" w:rsidR="00C35D30" w:rsidRPr="00F51A90" w:rsidRDefault="00073A22" w:rsidP="00F51A90">
      <w:pPr>
        <w:pStyle w:val="Heading1"/>
        <w:spacing w:line="480" w:lineRule="auto"/>
        <w:rPr>
          <w:rFonts w:ascii="Times New Roman" w:eastAsia="Times New Roman" w:hAnsi="Times New Roman" w:cs="Times New Roman"/>
          <w:b/>
          <w:bCs/>
          <w:sz w:val="24"/>
          <w:szCs w:val="24"/>
        </w:rPr>
      </w:pPr>
      <w:bookmarkStart w:id="12" w:name="_Toc216265511"/>
      <w:r w:rsidRPr="00F51A90">
        <w:rPr>
          <w:rFonts w:ascii="Times New Roman" w:eastAsia="Times New Roman" w:hAnsi="Times New Roman" w:cs="Times New Roman"/>
          <w:b/>
          <w:bCs/>
          <w:sz w:val="24"/>
          <w:szCs w:val="24"/>
        </w:rPr>
        <w:lastRenderedPageBreak/>
        <w:t xml:space="preserve">6. </w:t>
      </w:r>
      <w:r w:rsidR="00E5202D" w:rsidRPr="00F51A90">
        <w:rPr>
          <w:rFonts w:ascii="Times New Roman" w:eastAsia="Times New Roman" w:hAnsi="Times New Roman" w:cs="Times New Roman"/>
          <w:b/>
          <w:bCs/>
          <w:sz w:val="24"/>
          <w:szCs w:val="24"/>
        </w:rPr>
        <w:t>R</w:t>
      </w:r>
      <w:r w:rsidR="00C35D30" w:rsidRPr="00F51A90">
        <w:rPr>
          <w:rFonts w:ascii="Times New Roman" w:eastAsia="Times New Roman" w:hAnsi="Times New Roman" w:cs="Times New Roman"/>
          <w:b/>
          <w:bCs/>
          <w:sz w:val="24"/>
          <w:szCs w:val="24"/>
        </w:rPr>
        <w:t>eference List</w:t>
      </w:r>
      <w:bookmarkEnd w:id="12"/>
    </w:p>
    <w:p w14:paraId="339E93C3"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t xml:space="preserve">Alzghool, M.Z. (2021). </w:t>
      </w:r>
      <w:r w:rsidRPr="00F51A90">
        <w:rPr>
          <w:rFonts w:ascii="Times New Roman" w:eastAsia="Times New Roman" w:hAnsi="Times New Roman" w:cs="Times New Roman"/>
          <w:i/>
          <w:iCs/>
          <w:sz w:val="24"/>
          <w:szCs w:val="24"/>
        </w:rPr>
        <w:t>Case study: IKEA’s Organizational Culture and Rewards Management.</w:t>
      </w:r>
      <w:r w:rsidRPr="00F51A90">
        <w:rPr>
          <w:rFonts w:ascii="Times New Roman" w:eastAsia="Times New Roman" w:hAnsi="Times New Roman" w:cs="Times New Roman"/>
          <w:sz w:val="24"/>
          <w:szCs w:val="24"/>
        </w:rPr>
        <w:t xml:space="preserve"> [online] ResearchGate. Available at: </w:t>
      </w:r>
      <w:hyperlink r:id="rId8" w:tgtFrame="_new" w:history="1">
        <w:r w:rsidRPr="00F51A90">
          <w:rPr>
            <w:rFonts w:ascii="Times New Roman" w:eastAsia="Times New Roman" w:hAnsi="Times New Roman" w:cs="Times New Roman"/>
            <w:color w:val="0000FF"/>
            <w:sz w:val="24"/>
            <w:szCs w:val="24"/>
            <w:u w:val="single"/>
          </w:rPr>
          <w:t>https://www.researchgate.net/publication/352786904_Case_study_IKEA</w:t>
        </w:r>
      </w:hyperlink>
      <w:r w:rsidRPr="00F51A90">
        <w:rPr>
          <w:rFonts w:ascii="Times New Roman" w:eastAsia="Times New Roman" w:hAnsi="Times New Roman" w:cs="Times New Roman"/>
          <w:sz w:val="24"/>
          <w:szCs w:val="24"/>
        </w:rPr>
        <w:t>.</w:t>
      </w:r>
    </w:p>
    <w:p w14:paraId="65977854"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t xml:space="preserve">Ayoko, O.B. and Fujimoto, Y. (2023). Diversity, Inclusion, and Human Resource Management: A call for more belongingness and intersectionality research. </w:t>
      </w:r>
      <w:r w:rsidRPr="00F51A90">
        <w:rPr>
          <w:rFonts w:ascii="Times New Roman" w:eastAsia="Times New Roman" w:hAnsi="Times New Roman" w:cs="Times New Roman"/>
          <w:i/>
          <w:iCs/>
          <w:sz w:val="24"/>
          <w:szCs w:val="24"/>
        </w:rPr>
        <w:t>Journal of Management &amp; Organization,</w:t>
      </w:r>
      <w:r w:rsidRPr="00F51A90">
        <w:rPr>
          <w:rFonts w:ascii="Times New Roman" w:eastAsia="Times New Roman" w:hAnsi="Times New Roman" w:cs="Times New Roman"/>
          <w:sz w:val="24"/>
          <w:szCs w:val="24"/>
        </w:rPr>
        <w:t xml:space="preserve"> 29(6), pp.983–990. doi:</w:t>
      </w:r>
      <w:hyperlink r:id="rId9" w:tgtFrame="_new" w:history="1">
        <w:r w:rsidRPr="00F51A90">
          <w:rPr>
            <w:rFonts w:ascii="Times New Roman" w:eastAsia="Times New Roman" w:hAnsi="Times New Roman" w:cs="Times New Roman"/>
            <w:color w:val="0000FF"/>
            <w:sz w:val="24"/>
            <w:szCs w:val="24"/>
            <w:u w:val="single"/>
          </w:rPr>
          <w:t>https://doi.org/10.1017/jmo.2023.72</w:t>
        </w:r>
      </w:hyperlink>
      <w:r w:rsidRPr="00F51A90">
        <w:rPr>
          <w:rFonts w:ascii="Times New Roman" w:eastAsia="Times New Roman" w:hAnsi="Times New Roman" w:cs="Times New Roman"/>
          <w:sz w:val="24"/>
          <w:szCs w:val="24"/>
        </w:rPr>
        <w:t>.</w:t>
      </w:r>
    </w:p>
    <w:p w14:paraId="7EF01C35"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t xml:space="preserve">Business &amp; Human Rights Resource Centre (2025). </w:t>
      </w:r>
      <w:r w:rsidRPr="00F51A90">
        <w:rPr>
          <w:rFonts w:ascii="Times New Roman" w:eastAsia="Times New Roman" w:hAnsi="Times New Roman" w:cs="Times New Roman"/>
          <w:i/>
          <w:iCs/>
          <w:sz w:val="24"/>
          <w:szCs w:val="24"/>
        </w:rPr>
        <w:t>IKEA Supply &amp; IOM enter into three year partnership to promote migrant workers’ rights in supply chains.</w:t>
      </w:r>
      <w:r w:rsidRPr="00F51A90">
        <w:rPr>
          <w:rFonts w:ascii="Times New Roman" w:eastAsia="Times New Roman" w:hAnsi="Times New Roman" w:cs="Times New Roman"/>
          <w:sz w:val="24"/>
          <w:szCs w:val="24"/>
        </w:rPr>
        <w:t xml:space="preserve"> [online] Available at: </w:t>
      </w:r>
      <w:hyperlink r:id="rId10" w:tgtFrame="_new" w:history="1">
        <w:r w:rsidRPr="00F51A90">
          <w:rPr>
            <w:rFonts w:ascii="Times New Roman" w:eastAsia="Times New Roman" w:hAnsi="Times New Roman" w:cs="Times New Roman"/>
            <w:color w:val="0000FF"/>
            <w:sz w:val="24"/>
            <w:szCs w:val="24"/>
            <w:u w:val="single"/>
          </w:rPr>
          <w:t>https://www.business-humanrights.org/en/latest-news/ikea-supply-iom-enter-into-three-year-partnership-to-promote-migrant-workers-rights-in-supply-chains/</w:t>
        </w:r>
      </w:hyperlink>
      <w:r w:rsidRPr="00F51A90">
        <w:rPr>
          <w:rFonts w:ascii="Times New Roman" w:eastAsia="Times New Roman" w:hAnsi="Times New Roman" w:cs="Times New Roman"/>
          <w:sz w:val="24"/>
          <w:szCs w:val="24"/>
        </w:rPr>
        <w:t>.</w:t>
      </w:r>
    </w:p>
    <w:p w14:paraId="5C771A75"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t xml:space="preserve">Dabić, M., Maley, J.F., Švarc, J. and Poček, J. (2023). Future of digital work: Challenges for sustainable human resources management. </w:t>
      </w:r>
      <w:r w:rsidRPr="00F51A90">
        <w:rPr>
          <w:rFonts w:ascii="Times New Roman" w:eastAsia="Times New Roman" w:hAnsi="Times New Roman" w:cs="Times New Roman"/>
          <w:i/>
          <w:iCs/>
          <w:sz w:val="24"/>
          <w:szCs w:val="24"/>
        </w:rPr>
        <w:t>Journal of Innovation &amp; Knowledge,</w:t>
      </w:r>
      <w:r w:rsidRPr="00F51A90">
        <w:rPr>
          <w:rFonts w:ascii="Times New Roman" w:eastAsia="Times New Roman" w:hAnsi="Times New Roman" w:cs="Times New Roman"/>
          <w:sz w:val="24"/>
          <w:szCs w:val="24"/>
        </w:rPr>
        <w:t xml:space="preserve"> 8(2), p.100353. doi:</w:t>
      </w:r>
      <w:hyperlink r:id="rId11" w:tgtFrame="_new" w:history="1">
        <w:r w:rsidRPr="00F51A90">
          <w:rPr>
            <w:rFonts w:ascii="Times New Roman" w:eastAsia="Times New Roman" w:hAnsi="Times New Roman" w:cs="Times New Roman"/>
            <w:color w:val="0000FF"/>
            <w:sz w:val="24"/>
            <w:szCs w:val="24"/>
            <w:u w:val="single"/>
          </w:rPr>
          <w:t>https://doi.org/10.1016/j.jik.2023.100353</w:t>
        </w:r>
      </w:hyperlink>
      <w:r w:rsidRPr="00F51A90">
        <w:rPr>
          <w:rFonts w:ascii="Times New Roman" w:eastAsia="Times New Roman" w:hAnsi="Times New Roman" w:cs="Times New Roman"/>
          <w:sz w:val="24"/>
          <w:szCs w:val="24"/>
        </w:rPr>
        <w:t>.</w:t>
      </w:r>
    </w:p>
    <w:p w14:paraId="603EE86C"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t xml:space="preserve">Desklib (2024). </w:t>
      </w:r>
      <w:r w:rsidRPr="00F51A90">
        <w:rPr>
          <w:rFonts w:ascii="Times New Roman" w:eastAsia="Times New Roman" w:hAnsi="Times New Roman" w:cs="Times New Roman"/>
          <w:i/>
          <w:iCs/>
          <w:sz w:val="24"/>
          <w:szCs w:val="24"/>
        </w:rPr>
        <w:t>Strategic Impact of HRM Policies and Processes: IKEA Case Study.</w:t>
      </w:r>
      <w:r w:rsidRPr="00F51A90">
        <w:rPr>
          <w:rFonts w:ascii="Times New Roman" w:eastAsia="Times New Roman" w:hAnsi="Times New Roman" w:cs="Times New Roman"/>
          <w:sz w:val="24"/>
          <w:szCs w:val="24"/>
        </w:rPr>
        <w:t xml:space="preserve"> [online] Available at: </w:t>
      </w:r>
      <w:hyperlink r:id="rId12" w:tgtFrame="_new" w:history="1">
        <w:r w:rsidRPr="00F51A90">
          <w:rPr>
            <w:rFonts w:ascii="Times New Roman" w:eastAsia="Times New Roman" w:hAnsi="Times New Roman" w:cs="Times New Roman"/>
            <w:color w:val="0000FF"/>
            <w:sz w:val="24"/>
            <w:szCs w:val="24"/>
            <w:u w:val="single"/>
          </w:rPr>
          <w:t>https://desklib.com/study-documents/hrm-ikea-case-study/</w:t>
        </w:r>
      </w:hyperlink>
      <w:r w:rsidRPr="00F51A90">
        <w:rPr>
          <w:rFonts w:ascii="Times New Roman" w:eastAsia="Times New Roman" w:hAnsi="Times New Roman" w:cs="Times New Roman"/>
          <w:sz w:val="24"/>
          <w:szCs w:val="24"/>
        </w:rPr>
        <w:t>.</w:t>
      </w:r>
    </w:p>
    <w:p w14:paraId="686762FB"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t xml:space="preserve">Dowling, P., Festing, M. and Engle, A. (2023). </w:t>
      </w:r>
      <w:r w:rsidRPr="00F51A90">
        <w:rPr>
          <w:rFonts w:ascii="Times New Roman" w:eastAsia="Times New Roman" w:hAnsi="Times New Roman" w:cs="Times New Roman"/>
          <w:i/>
          <w:iCs/>
          <w:sz w:val="24"/>
          <w:szCs w:val="24"/>
        </w:rPr>
        <w:t>International Human Resource Management.</w:t>
      </w:r>
      <w:r w:rsidRPr="00F51A90">
        <w:rPr>
          <w:rFonts w:ascii="Times New Roman" w:eastAsia="Times New Roman" w:hAnsi="Times New Roman" w:cs="Times New Roman"/>
          <w:sz w:val="24"/>
          <w:szCs w:val="24"/>
        </w:rPr>
        <w:t xml:space="preserve"> 8th ed. Australia: Cengage Learning.</w:t>
      </w:r>
    </w:p>
    <w:p w14:paraId="614D18AA"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t xml:space="preserve">IKEA (2023). </w:t>
      </w:r>
      <w:r w:rsidRPr="00F51A90">
        <w:rPr>
          <w:rFonts w:ascii="Times New Roman" w:eastAsia="Times New Roman" w:hAnsi="Times New Roman" w:cs="Times New Roman"/>
          <w:i/>
          <w:iCs/>
          <w:sz w:val="24"/>
          <w:szCs w:val="24"/>
        </w:rPr>
        <w:t>IKEA – Annual Report.</w:t>
      </w:r>
      <w:r w:rsidRPr="00F51A90">
        <w:rPr>
          <w:rFonts w:ascii="Times New Roman" w:eastAsia="Times New Roman" w:hAnsi="Times New Roman" w:cs="Times New Roman"/>
          <w:sz w:val="24"/>
          <w:szCs w:val="24"/>
        </w:rPr>
        <w:t xml:space="preserve"> [online] Available at: </w:t>
      </w:r>
      <w:hyperlink r:id="rId13" w:tgtFrame="_new" w:history="1">
        <w:r w:rsidRPr="00F51A90">
          <w:rPr>
            <w:rFonts w:ascii="Times New Roman" w:eastAsia="Times New Roman" w:hAnsi="Times New Roman" w:cs="Times New Roman"/>
            <w:color w:val="0000FF"/>
            <w:sz w:val="24"/>
            <w:szCs w:val="24"/>
            <w:u w:val="single"/>
          </w:rPr>
          <w:t>https://www.annualreports.com/Company/ikea</w:t>
        </w:r>
      </w:hyperlink>
      <w:r w:rsidRPr="00F51A90">
        <w:rPr>
          <w:rFonts w:ascii="Times New Roman" w:eastAsia="Times New Roman" w:hAnsi="Times New Roman" w:cs="Times New Roman"/>
          <w:sz w:val="24"/>
          <w:szCs w:val="24"/>
        </w:rPr>
        <w:t>.</w:t>
      </w:r>
    </w:p>
    <w:p w14:paraId="65B817A9"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lastRenderedPageBreak/>
        <w:t xml:space="preserve">IKEA (2025). </w:t>
      </w:r>
      <w:r w:rsidRPr="00F51A90">
        <w:rPr>
          <w:rFonts w:ascii="Times New Roman" w:eastAsia="Times New Roman" w:hAnsi="Times New Roman" w:cs="Times New Roman"/>
          <w:i/>
          <w:iCs/>
          <w:sz w:val="24"/>
          <w:szCs w:val="24"/>
        </w:rPr>
        <w:t>IKEA Sustainability Report FY24.</w:t>
      </w:r>
      <w:r w:rsidRPr="00F51A90">
        <w:rPr>
          <w:rFonts w:ascii="Times New Roman" w:eastAsia="Times New Roman" w:hAnsi="Times New Roman" w:cs="Times New Roman"/>
          <w:sz w:val="24"/>
          <w:szCs w:val="24"/>
        </w:rPr>
        <w:t xml:space="preserve"> [online] Available at: </w:t>
      </w:r>
      <w:hyperlink r:id="rId14" w:tgtFrame="_new" w:history="1">
        <w:r w:rsidRPr="00F51A90">
          <w:rPr>
            <w:rFonts w:ascii="Times New Roman" w:eastAsia="Times New Roman" w:hAnsi="Times New Roman" w:cs="Times New Roman"/>
            <w:color w:val="0000FF"/>
            <w:sz w:val="24"/>
            <w:szCs w:val="24"/>
            <w:u w:val="single"/>
          </w:rPr>
          <w:t>https://www.ikea.com/global/en/images/IKEA_Sustainability_Report_FY_24_2025_01_27_2c35989733.pdf</w:t>
        </w:r>
      </w:hyperlink>
      <w:r w:rsidRPr="00F51A90">
        <w:rPr>
          <w:rFonts w:ascii="Times New Roman" w:eastAsia="Times New Roman" w:hAnsi="Times New Roman" w:cs="Times New Roman"/>
          <w:sz w:val="24"/>
          <w:szCs w:val="24"/>
        </w:rPr>
        <w:t>.</w:t>
      </w:r>
    </w:p>
    <w:p w14:paraId="6270896E"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t xml:space="preserve">Ingka Group (2025). </w:t>
      </w:r>
      <w:r w:rsidRPr="00F51A90">
        <w:rPr>
          <w:rFonts w:ascii="Times New Roman" w:eastAsia="Times New Roman" w:hAnsi="Times New Roman" w:cs="Times New Roman"/>
          <w:i/>
          <w:iCs/>
          <w:sz w:val="24"/>
          <w:szCs w:val="24"/>
        </w:rPr>
        <w:t>People and Planet.</w:t>
      </w:r>
      <w:r w:rsidRPr="00F51A90">
        <w:rPr>
          <w:rFonts w:ascii="Times New Roman" w:eastAsia="Times New Roman" w:hAnsi="Times New Roman" w:cs="Times New Roman"/>
          <w:sz w:val="24"/>
          <w:szCs w:val="24"/>
        </w:rPr>
        <w:t xml:space="preserve"> [online] Available at: </w:t>
      </w:r>
      <w:hyperlink r:id="rId15" w:tgtFrame="_new" w:history="1">
        <w:r w:rsidRPr="00F51A90">
          <w:rPr>
            <w:rFonts w:ascii="Times New Roman" w:eastAsia="Times New Roman" w:hAnsi="Times New Roman" w:cs="Times New Roman"/>
            <w:color w:val="0000FF"/>
            <w:sz w:val="24"/>
            <w:szCs w:val="24"/>
            <w:u w:val="single"/>
          </w:rPr>
          <w:t>https://www.ingka.com/people-and-planet/</w:t>
        </w:r>
      </w:hyperlink>
      <w:r w:rsidRPr="00F51A90">
        <w:rPr>
          <w:rFonts w:ascii="Times New Roman" w:eastAsia="Times New Roman" w:hAnsi="Times New Roman" w:cs="Times New Roman"/>
          <w:sz w:val="24"/>
          <w:szCs w:val="24"/>
        </w:rPr>
        <w:t>.</w:t>
      </w:r>
    </w:p>
    <w:p w14:paraId="12553567"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t xml:space="preserve">Khan, Md.R. and Sarkar, U. (2024). Business leadership in the digital age: IKEA’s story in the retail and consumer sector. </w:t>
      </w:r>
      <w:r w:rsidRPr="00F51A90">
        <w:rPr>
          <w:rFonts w:ascii="Times New Roman" w:eastAsia="Times New Roman" w:hAnsi="Times New Roman" w:cs="Times New Roman"/>
          <w:i/>
          <w:iCs/>
          <w:sz w:val="24"/>
          <w:szCs w:val="24"/>
        </w:rPr>
        <w:t>Green Technologies and Sustainability,</w:t>
      </w:r>
      <w:r w:rsidRPr="00F51A90">
        <w:rPr>
          <w:rFonts w:ascii="Times New Roman" w:eastAsia="Times New Roman" w:hAnsi="Times New Roman" w:cs="Times New Roman"/>
          <w:sz w:val="24"/>
          <w:szCs w:val="24"/>
        </w:rPr>
        <w:t xml:space="preserve"> 2(2), pp.100081–100081.</w:t>
      </w:r>
    </w:p>
    <w:p w14:paraId="69EE6E3B"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t xml:space="preserve">Malik, A. (2022). </w:t>
      </w:r>
      <w:r w:rsidRPr="00F51A90">
        <w:rPr>
          <w:rFonts w:ascii="Times New Roman" w:eastAsia="Times New Roman" w:hAnsi="Times New Roman" w:cs="Times New Roman"/>
          <w:i/>
          <w:iCs/>
          <w:sz w:val="24"/>
          <w:szCs w:val="24"/>
        </w:rPr>
        <w:t>Strategic Human Resource Management and Employment Relations.</w:t>
      </w:r>
      <w:r w:rsidRPr="00F51A90">
        <w:rPr>
          <w:rFonts w:ascii="Times New Roman" w:eastAsia="Times New Roman" w:hAnsi="Times New Roman" w:cs="Times New Roman"/>
          <w:sz w:val="24"/>
          <w:szCs w:val="24"/>
        </w:rPr>
        <w:t xml:space="preserve"> Springer Texts in Business and Economics. Cham: Springer International Publishing. doi:</w:t>
      </w:r>
      <w:hyperlink r:id="rId16" w:tgtFrame="_new" w:history="1">
        <w:r w:rsidRPr="00F51A90">
          <w:rPr>
            <w:rFonts w:ascii="Times New Roman" w:eastAsia="Times New Roman" w:hAnsi="Times New Roman" w:cs="Times New Roman"/>
            <w:color w:val="0000FF"/>
            <w:sz w:val="24"/>
            <w:szCs w:val="24"/>
            <w:u w:val="single"/>
          </w:rPr>
          <w:t>https://doi.org/10.1007/978-3-030-90955-0</w:t>
        </w:r>
      </w:hyperlink>
      <w:r w:rsidRPr="00F51A90">
        <w:rPr>
          <w:rFonts w:ascii="Times New Roman" w:eastAsia="Times New Roman" w:hAnsi="Times New Roman" w:cs="Times New Roman"/>
          <w:sz w:val="24"/>
          <w:szCs w:val="24"/>
        </w:rPr>
        <w:t>.</w:t>
      </w:r>
    </w:p>
    <w:p w14:paraId="7B07C803"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t xml:space="preserve">Malik, A., Pereira, V., Budhwar, P., Froese, F.J., Minbaeva, D., Sun, J., Nguyen, A.T. and Xue, S. (2022). Multilevel Relational Influences on HRM practices: a cross-country comparative reflective review of HRM practices in Asia. </w:t>
      </w:r>
      <w:r w:rsidRPr="00F51A90">
        <w:rPr>
          <w:rFonts w:ascii="Times New Roman" w:eastAsia="Times New Roman" w:hAnsi="Times New Roman" w:cs="Times New Roman"/>
          <w:i/>
          <w:iCs/>
          <w:sz w:val="24"/>
          <w:szCs w:val="24"/>
        </w:rPr>
        <w:t>Asian Business &amp; Management,</w:t>
      </w:r>
      <w:r w:rsidRPr="00F51A90">
        <w:rPr>
          <w:rFonts w:ascii="Times New Roman" w:eastAsia="Times New Roman" w:hAnsi="Times New Roman" w:cs="Times New Roman"/>
          <w:sz w:val="24"/>
          <w:szCs w:val="24"/>
        </w:rPr>
        <w:t xml:space="preserve"> 21(5), pp.745–779. doi:</w:t>
      </w:r>
      <w:hyperlink r:id="rId17" w:tgtFrame="_new" w:history="1">
        <w:r w:rsidRPr="00F51A90">
          <w:rPr>
            <w:rFonts w:ascii="Times New Roman" w:eastAsia="Times New Roman" w:hAnsi="Times New Roman" w:cs="Times New Roman"/>
            <w:color w:val="0000FF"/>
            <w:sz w:val="24"/>
            <w:szCs w:val="24"/>
            <w:u w:val="single"/>
          </w:rPr>
          <w:t>https://doi.org/10.1057/s41291-022-00208-z</w:t>
        </w:r>
      </w:hyperlink>
      <w:r w:rsidRPr="00F51A90">
        <w:rPr>
          <w:rFonts w:ascii="Times New Roman" w:eastAsia="Times New Roman" w:hAnsi="Times New Roman" w:cs="Times New Roman"/>
          <w:sz w:val="24"/>
          <w:szCs w:val="24"/>
        </w:rPr>
        <w:t>.</w:t>
      </w:r>
    </w:p>
    <w:p w14:paraId="74912195"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t xml:space="preserve">Prayudo, G. and Tukiran, M. (2024). The Role of Human Resource Management in Improving Organization Performance: A Literature Review. </w:t>
      </w:r>
      <w:r w:rsidRPr="00F51A90">
        <w:rPr>
          <w:rFonts w:ascii="Times New Roman" w:eastAsia="Times New Roman" w:hAnsi="Times New Roman" w:cs="Times New Roman"/>
          <w:i/>
          <w:iCs/>
          <w:sz w:val="24"/>
          <w:szCs w:val="24"/>
        </w:rPr>
        <w:t>International Journal of Multidisciplinary Research and Literature,</w:t>
      </w:r>
      <w:r w:rsidRPr="00F51A90">
        <w:rPr>
          <w:rFonts w:ascii="Times New Roman" w:eastAsia="Times New Roman" w:hAnsi="Times New Roman" w:cs="Times New Roman"/>
          <w:sz w:val="24"/>
          <w:szCs w:val="24"/>
        </w:rPr>
        <w:t xml:space="preserve"> 3(6), pp.779–790. doi:</w:t>
      </w:r>
      <w:hyperlink r:id="rId18" w:tgtFrame="_new" w:history="1">
        <w:r w:rsidRPr="00F51A90">
          <w:rPr>
            <w:rFonts w:ascii="Times New Roman" w:eastAsia="Times New Roman" w:hAnsi="Times New Roman" w:cs="Times New Roman"/>
            <w:color w:val="0000FF"/>
            <w:sz w:val="24"/>
            <w:szCs w:val="24"/>
            <w:u w:val="single"/>
          </w:rPr>
          <w:t>https://doi.org/10.53067/ijomral.v3i6.275</w:t>
        </w:r>
      </w:hyperlink>
      <w:r w:rsidRPr="00F51A90">
        <w:rPr>
          <w:rFonts w:ascii="Times New Roman" w:eastAsia="Times New Roman" w:hAnsi="Times New Roman" w:cs="Times New Roman"/>
          <w:sz w:val="24"/>
          <w:szCs w:val="24"/>
        </w:rPr>
        <w:t>.</w:t>
      </w:r>
    </w:p>
    <w:p w14:paraId="7EC25320"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t xml:space="preserve">Proença, T. (2022). Sustainability and the Role of HRM. </w:t>
      </w:r>
      <w:r w:rsidRPr="00F51A90">
        <w:rPr>
          <w:rFonts w:ascii="Times New Roman" w:eastAsia="Times New Roman" w:hAnsi="Times New Roman" w:cs="Times New Roman"/>
          <w:i/>
          <w:iCs/>
          <w:sz w:val="24"/>
          <w:szCs w:val="24"/>
        </w:rPr>
        <w:t>Revista de Administração de Empresas,</w:t>
      </w:r>
      <w:r w:rsidRPr="00F51A90">
        <w:rPr>
          <w:rFonts w:ascii="Times New Roman" w:eastAsia="Times New Roman" w:hAnsi="Times New Roman" w:cs="Times New Roman"/>
          <w:sz w:val="24"/>
          <w:szCs w:val="24"/>
        </w:rPr>
        <w:t xml:space="preserve"> 62(5). doi:</w:t>
      </w:r>
      <w:hyperlink r:id="rId19" w:tgtFrame="_new" w:history="1">
        <w:r w:rsidRPr="00F51A90">
          <w:rPr>
            <w:rFonts w:ascii="Times New Roman" w:eastAsia="Times New Roman" w:hAnsi="Times New Roman" w:cs="Times New Roman"/>
            <w:color w:val="0000FF"/>
            <w:sz w:val="24"/>
            <w:szCs w:val="24"/>
            <w:u w:val="single"/>
          </w:rPr>
          <w:t>https://doi.org/10.1590/s0034-759020220513</w:t>
        </w:r>
      </w:hyperlink>
      <w:r w:rsidRPr="00F51A90">
        <w:rPr>
          <w:rFonts w:ascii="Times New Roman" w:eastAsia="Times New Roman" w:hAnsi="Times New Roman" w:cs="Times New Roman"/>
          <w:sz w:val="24"/>
          <w:szCs w:val="24"/>
        </w:rPr>
        <w:t>.</w:t>
      </w:r>
    </w:p>
    <w:p w14:paraId="7FFBF885"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lastRenderedPageBreak/>
        <w:t xml:space="preserve">Rusman Alimin (2024). </w:t>
      </w:r>
      <w:r w:rsidRPr="00F51A90">
        <w:rPr>
          <w:rFonts w:ascii="Times New Roman" w:eastAsia="Times New Roman" w:hAnsi="Times New Roman" w:cs="Times New Roman"/>
          <w:i/>
          <w:iCs/>
          <w:sz w:val="24"/>
          <w:szCs w:val="24"/>
        </w:rPr>
        <w:t>Human Resource Management: A Global Perspective.</w:t>
      </w:r>
      <w:r w:rsidRPr="00F51A90">
        <w:rPr>
          <w:rFonts w:ascii="Times New Roman" w:eastAsia="Times New Roman" w:hAnsi="Times New Roman" w:cs="Times New Roman"/>
          <w:sz w:val="24"/>
          <w:szCs w:val="24"/>
        </w:rPr>
        <w:t xml:space="preserve"> [online] ResearchGate. Available at: </w:t>
      </w:r>
      <w:hyperlink r:id="rId20" w:tgtFrame="_new" w:history="1">
        <w:r w:rsidRPr="00F51A90">
          <w:rPr>
            <w:rFonts w:ascii="Times New Roman" w:eastAsia="Times New Roman" w:hAnsi="Times New Roman" w:cs="Times New Roman"/>
            <w:color w:val="0000FF"/>
            <w:sz w:val="24"/>
            <w:szCs w:val="24"/>
            <w:u w:val="single"/>
          </w:rPr>
          <w:t>https://www.researchgate.net/publication/384108394_Human_Resource_Management_A_GLOBAL_PERSPECTIVE</w:t>
        </w:r>
      </w:hyperlink>
      <w:r w:rsidRPr="00F51A90">
        <w:rPr>
          <w:rFonts w:ascii="Times New Roman" w:eastAsia="Times New Roman" w:hAnsi="Times New Roman" w:cs="Times New Roman"/>
          <w:sz w:val="24"/>
          <w:szCs w:val="24"/>
        </w:rPr>
        <w:t>.</w:t>
      </w:r>
    </w:p>
    <w:p w14:paraId="0079F6F0"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t xml:space="preserve">Waruwu, E. (2024). The Global Workforce: Challenges and Opportunities in International Human Resource Management. </w:t>
      </w:r>
      <w:r w:rsidRPr="00F51A90">
        <w:rPr>
          <w:rFonts w:ascii="Times New Roman" w:eastAsia="Times New Roman" w:hAnsi="Times New Roman" w:cs="Times New Roman"/>
          <w:i/>
          <w:iCs/>
          <w:sz w:val="24"/>
          <w:szCs w:val="24"/>
        </w:rPr>
        <w:t>Journal of Management: Small and Medium Enterprises (SMEs),</w:t>
      </w:r>
      <w:r w:rsidRPr="00F51A90">
        <w:rPr>
          <w:rFonts w:ascii="Times New Roman" w:eastAsia="Times New Roman" w:hAnsi="Times New Roman" w:cs="Times New Roman"/>
          <w:sz w:val="24"/>
          <w:szCs w:val="24"/>
        </w:rPr>
        <w:t xml:space="preserve"> 17(2), pp.391–401. doi:</w:t>
      </w:r>
      <w:hyperlink r:id="rId21" w:tgtFrame="_new" w:history="1">
        <w:r w:rsidRPr="00F51A90">
          <w:rPr>
            <w:rFonts w:ascii="Times New Roman" w:eastAsia="Times New Roman" w:hAnsi="Times New Roman" w:cs="Times New Roman"/>
            <w:color w:val="0000FF"/>
            <w:sz w:val="24"/>
            <w:szCs w:val="24"/>
            <w:u w:val="single"/>
          </w:rPr>
          <w:t>https://doi.org/10.35508/jom.v17i2.15085</w:t>
        </w:r>
      </w:hyperlink>
      <w:r w:rsidRPr="00F51A90">
        <w:rPr>
          <w:rFonts w:ascii="Times New Roman" w:eastAsia="Times New Roman" w:hAnsi="Times New Roman" w:cs="Times New Roman"/>
          <w:sz w:val="24"/>
          <w:szCs w:val="24"/>
        </w:rPr>
        <w:t>.</w:t>
      </w:r>
    </w:p>
    <w:p w14:paraId="620308F6" w14:textId="77777777" w:rsidR="00C35D30" w:rsidRPr="00F51A90" w:rsidRDefault="00C35D30" w:rsidP="00F51A90">
      <w:pPr>
        <w:spacing w:before="100" w:beforeAutospacing="1" w:after="100" w:afterAutospacing="1" w:line="480" w:lineRule="auto"/>
        <w:rPr>
          <w:rFonts w:ascii="Times New Roman" w:eastAsia="Times New Roman" w:hAnsi="Times New Roman" w:cs="Times New Roman"/>
          <w:sz w:val="24"/>
          <w:szCs w:val="24"/>
        </w:rPr>
      </w:pPr>
      <w:r w:rsidRPr="00F51A90">
        <w:rPr>
          <w:rFonts w:ascii="Times New Roman" w:eastAsia="Times New Roman" w:hAnsi="Times New Roman" w:cs="Times New Roman"/>
          <w:sz w:val="24"/>
          <w:szCs w:val="24"/>
        </w:rPr>
        <w:t xml:space="preserve">Zhao, H., Chen, Y. and Liu, W. (2022). Socially responsible human resource management and employee moral voice: Based on the self-determination theory. </w:t>
      </w:r>
      <w:r w:rsidRPr="00F51A90">
        <w:rPr>
          <w:rFonts w:ascii="Times New Roman" w:eastAsia="Times New Roman" w:hAnsi="Times New Roman" w:cs="Times New Roman"/>
          <w:i/>
          <w:iCs/>
          <w:sz w:val="24"/>
          <w:szCs w:val="24"/>
        </w:rPr>
        <w:t>Journal of Business Ethics,</w:t>
      </w:r>
      <w:r w:rsidRPr="00F51A90">
        <w:rPr>
          <w:rFonts w:ascii="Times New Roman" w:eastAsia="Times New Roman" w:hAnsi="Times New Roman" w:cs="Times New Roman"/>
          <w:sz w:val="24"/>
          <w:szCs w:val="24"/>
        </w:rPr>
        <w:t xml:space="preserve"> 183(3), pp.929–946. doi:</w:t>
      </w:r>
      <w:hyperlink r:id="rId22" w:tgtFrame="_new" w:history="1">
        <w:r w:rsidRPr="00F51A90">
          <w:rPr>
            <w:rFonts w:ascii="Times New Roman" w:eastAsia="Times New Roman" w:hAnsi="Times New Roman" w:cs="Times New Roman"/>
            <w:color w:val="0000FF"/>
            <w:sz w:val="24"/>
            <w:szCs w:val="24"/>
            <w:u w:val="single"/>
          </w:rPr>
          <w:t>https://doi.org/10.1007/s10551-022-05082-5</w:t>
        </w:r>
      </w:hyperlink>
      <w:r w:rsidRPr="00F51A90">
        <w:rPr>
          <w:rFonts w:ascii="Times New Roman" w:eastAsia="Times New Roman" w:hAnsi="Times New Roman" w:cs="Times New Roman"/>
          <w:sz w:val="24"/>
          <w:szCs w:val="24"/>
        </w:rPr>
        <w:t>.</w:t>
      </w:r>
    </w:p>
    <w:p w14:paraId="72B62D4E" w14:textId="77777777" w:rsidR="00DE609B" w:rsidRPr="00F51A90" w:rsidRDefault="00DE609B" w:rsidP="00F51A90">
      <w:pPr>
        <w:spacing w:line="480" w:lineRule="auto"/>
        <w:ind w:firstLine="720"/>
        <w:rPr>
          <w:rFonts w:ascii="Times New Roman" w:hAnsi="Times New Roman" w:cs="Times New Roman"/>
          <w:sz w:val="24"/>
          <w:szCs w:val="24"/>
        </w:rPr>
      </w:pPr>
    </w:p>
    <w:p w14:paraId="472BF448" w14:textId="7C473915" w:rsidR="00620451" w:rsidRPr="00F51A90" w:rsidRDefault="00620451" w:rsidP="00F51A90">
      <w:pPr>
        <w:spacing w:line="480" w:lineRule="auto"/>
        <w:rPr>
          <w:rFonts w:ascii="Times New Roman" w:hAnsi="Times New Roman" w:cs="Times New Roman"/>
          <w:b/>
          <w:bCs/>
          <w:sz w:val="24"/>
          <w:szCs w:val="24"/>
        </w:rPr>
      </w:pPr>
    </w:p>
    <w:p w14:paraId="5365CD0B" w14:textId="037806ED" w:rsidR="00620451" w:rsidRPr="00F51A90" w:rsidRDefault="00620451" w:rsidP="00F51A90">
      <w:pPr>
        <w:spacing w:line="480" w:lineRule="auto"/>
        <w:rPr>
          <w:rFonts w:ascii="Times New Roman" w:hAnsi="Times New Roman" w:cs="Times New Roman"/>
          <w:b/>
          <w:bCs/>
          <w:sz w:val="24"/>
          <w:szCs w:val="24"/>
        </w:rPr>
      </w:pPr>
    </w:p>
    <w:p w14:paraId="2EAE631A" w14:textId="77777777" w:rsidR="00620451" w:rsidRPr="00F51A90" w:rsidRDefault="00620451" w:rsidP="00F51A90">
      <w:pPr>
        <w:spacing w:line="480" w:lineRule="auto"/>
        <w:rPr>
          <w:rFonts w:ascii="Times New Roman" w:hAnsi="Times New Roman" w:cs="Times New Roman"/>
          <w:sz w:val="24"/>
          <w:szCs w:val="24"/>
        </w:rPr>
      </w:pPr>
    </w:p>
    <w:p w14:paraId="2A81B4CB" w14:textId="77777777" w:rsidR="00CD2F44" w:rsidRPr="00F51A90" w:rsidRDefault="00CD2F44" w:rsidP="00F51A90">
      <w:pPr>
        <w:spacing w:line="480" w:lineRule="auto"/>
        <w:rPr>
          <w:rFonts w:ascii="Times New Roman" w:hAnsi="Times New Roman" w:cs="Times New Roman"/>
          <w:sz w:val="24"/>
          <w:szCs w:val="24"/>
        </w:rPr>
      </w:pPr>
    </w:p>
    <w:sectPr w:rsidR="00CD2F44" w:rsidRPr="00F51A9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376691" w14:textId="77777777" w:rsidR="00BA4CFD" w:rsidRDefault="00BA4CFD" w:rsidP="00DC3C9F">
      <w:pPr>
        <w:spacing w:after="0" w:line="240" w:lineRule="auto"/>
      </w:pPr>
      <w:r>
        <w:separator/>
      </w:r>
    </w:p>
  </w:endnote>
  <w:endnote w:type="continuationSeparator" w:id="0">
    <w:p w14:paraId="2697441C" w14:textId="77777777" w:rsidR="00BA4CFD" w:rsidRDefault="00BA4CFD" w:rsidP="00DC3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36E4AF" w14:textId="77777777" w:rsidR="00BA4CFD" w:rsidRDefault="00BA4CFD" w:rsidP="00DC3C9F">
      <w:pPr>
        <w:spacing w:after="0" w:line="240" w:lineRule="auto"/>
      </w:pPr>
      <w:r>
        <w:separator/>
      </w:r>
    </w:p>
  </w:footnote>
  <w:footnote w:type="continuationSeparator" w:id="0">
    <w:p w14:paraId="2DC41137" w14:textId="77777777" w:rsidR="00BA4CFD" w:rsidRDefault="00BA4CFD" w:rsidP="00DC3C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64861"/>
    <w:multiLevelType w:val="multilevel"/>
    <w:tmpl w:val="F8848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035751"/>
    <w:multiLevelType w:val="multilevel"/>
    <w:tmpl w:val="F72C0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4D5677"/>
    <w:multiLevelType w:val="multilevel"/>
    <w:tmpl w:val="91446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FD5F6C"/>
    <w:multiLevelType w:val="multilevel"/>
    <w:tmpl w:val="08B2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82268F"/>
    <w:multiLevelType w:val="multilevel"/>
    <w:tmpl w:val="F3DAA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8E670A"/>
    <w:multiLevelType w:val="multilevel"/>
    <w:tmpl w:val="6868C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6D2B4A"/>
    <w:multiLevelType w:val="multilevel"/>
    <w:tmpl w:val="CD12B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055E9C"/>
    <w:multiLevelType w:val="multilevel"/>
    <w:tmpl w:val="B39E2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581F84"/>
    <w:multiLevelType w:val="multilevel"/>
    <w:tmpl w:val="A8541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026EDA"/>
    <w:multiLevelType w:val="multilevel"/>
    <w:tmpl w:val="E8D4C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C11ED3"/>
    <w:multiLevelType w:val="multilevel"/>
    <w:tmpl w:val="7D6AA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6D6837"/>
    <w:multiLevelType w:val="multilevel"/>
    <w:tmpl w:val="9ACCF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F341BA"/>
    <w:multiLevelType w:val="multilevel"/>
    <w:tmpl w:val="8E8C3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CC130C"/>
    <w:multiLevelType w:val="multilevel"/>
    <w:tmpl w:val="C888A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88479C"/>
    <w:multiLevelType w:val="multilevel"/>
    <w:tmpl w:val="E904D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7A219E"/>
    <w:multiLevelType w:val="multilevel"/>
    <w:tmpl w:val="B85C3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7C2C6C"/>
    <w:multiLevelType w:val="multilevel"/>
    <w:tmpl w:val="EE2E0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8E0B61"/>
    <w:multiLevelType w:val="multilevel"/>
    <w:tmpl w:val="66FC6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996D9C"/>
    <w:multiLevelType w:val="multilevel"/>
    <w:tmpl w:val="89C01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6938326">
    <w:abstractNumId w:val="7"/>
  </w:num>
  <w:num w:numId="2" w16cid:durableId="834565416">
    <w:abstractNumId w:val="15"/>
  </w:num>
  <w:num w:numId="3" w16cid:durableId="1155342796">
    <w:abstractNumId w:val="0"/>
  </w:num>
  <w:num w:numId="4" w16cid:durableId="1734306773">
    <w:abstractNumId w:val="5"/>
  </w:num>
  <w:num w:numId="5" w16cid:durableId="450325649">
    <w:abstractNumId w:val="18"/>
  </w:num>
  <w:num w:numId="6" w16cid:durableId="1598441679">
    <w:abstractNumId w:val="10"/>
  </w:num>
  <w:num w:numId="7" w16cid:durableId="1300843503">
    <w:abstractNumId w:val="2"/>
  </w:num>
  <w:num w:numId="8" w16cid:durableId="1063677690">
    <w:abstractNumId w:val="4"/>
  </w:num>
  <w:num w:numId="9" w16cid:durableId="1218005852">
    <w:abstractNumId w:val="6"/>
  </w:num>
  <w:num w:numId="10" w16cid:durableId="925653259">
    <w:abstractNumId w:val="9"/>
  </w:num>
  <w:num w:numId="11" w16cid:durableId="1964770661">
    <w:abstractNumId w:val="13"/>
  </w:num>
  <w:num w:numId="12" w16cid:durableId="1854539047">
    <w:abstractNumId w:val="17"/>
  </w:num>
  <w:num w:numId="13" w16cid:durableId="176118937">
    <w:abstractNumId w:val="12"/>
  </w:num>
  <w:num w:numId="14" w16cid:durableId="1073314994">
    <w:abstractNumId w:val="8"/>
  </w:num>
  <w:num w:numId="15" w16cid:durableId="986662393">
    <w:abstractNumId w:val="3"/>
  </w:num>
  <w:num w:numId="16" w16cid:durableId="1889881084">
    <w:abstractNumId w:val="11"/>
  </w:num>
  <w:num w:numId="17" w16cid:durableId="773133095">
    <w:abstractNumId w:val="16"/>
  </w:num>
  <w:num w:numId="18" w16cid:durableId="1043405414">
    <w:abstractNumId w:val="14"/>
  </w:num>
  <w:num w:numId="19" w16cid:durableId="6536833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09B"/>
    <w:rsid w:val="00073A22"/>
    <w:rsid w:val="000B7BA7"/>
    <w:rsid w:val="00174088"/>
    <w:rsid w:val="00473961"/>
    <w:rsid w:val="00514ADF"/>
    <w:rsid w:val="0055665A"/>
    <w:rsid w:val="00620451"/>
    <w:rsid w:val="0066712C"/>
    <w:rsid w:val="006E32B7"/>
    <w:rsid w:val="007A3CE2"/>
    <w:rsid w:val="00A92D70"/>
    <w:rsid w:val="00BA4CFD"/>
    <w:rsid w:val="00C35D30"/>
    <w:rsid w:val="00C543D3"/>
    <w:rsid w:val="00CD2F44"/>
    <w:rsid w:val="00DC3C9F"/>
    <w:rsid w:val="00DD5FF6"/>
    <w:rsid w:val="00DE609B"/>
    <w:rsid w:val="00E167BA"/>
    <w:rsid w:val="00E5202D"/>
    <w:rsid w:val="00E649D6"/>
    <w:rsid w:val="00F51A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56884"/>
  <w15:chartTrackingRefBased/>
  <w15:docId w15:val="{692B6991-57A8-4F66-A038-B022BDDBE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3A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3A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3A2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73A2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5202D"/>
    <w:pPr>
      <w:outlineLvl w:val="9"/>
    </w:pPr>
  </w:style>
  <w:style w:type="paragraph" w:styleId="TOC1">
    <w:name w:val="toc 1"/>
    <w:basedOn w:val="Normal"/>
    <w:next w:val="Normal"/>
    <w:autoRedefine/>
    <w:uiPriority w:val="39"/>
    <w:unhideWhenUsed/>
    <w:rsid w:val="00E5202D"/>
    <w:pPr>
      <w:spacing w:after="100"/>
    </w:pPr>
  </w:style>
  <w:style w:type="paragraph" w:styleId="TOC2">
    <w:name w:val="toc 2"/>
    <w:basedOn w:val="Normal"/>
    <w:next w:val="Normal"/>
    <w:autoRedefine/>
    <w:uiPriority w:val="39"/>
    <w:unhideWhenUsed/>
    <w:rsid w:val="00E5202D"/>
    <w:pPr>
      <w:spacing w:after="100"/>
      <w:ind w:left="220"/>
    </w:pPr>
  </w:style>
  <w:style w:type="character" w:styleId="Hyperlink">
    <w:name w:val="Hyperlink"/>
    <w:basedOn w:val="DefaultParagraphFont"/>
    <w:uiPriority w:val="99"/>
    <w:unhideWhenUsed/>
    <w:rsid w:val="00E5202D"/>
    <w:rPr>
      <w:color w:val="0563C1" w:themeColor="hyperlink"/>
      <w:u w:val="single"/>
    </w:rPr>
  </w:style>
  <w:style w:type="paragraph" w:styleId="Header">
    <w:name w:val="header"/>
    <w:basedOn w:val="Normal"/>
    <w:link w:val="HeaderChar"/>
    <w:uiPriority w:val="99"/>
    <w:unhideWhenUsed/>
    <w:rsid w:val="00DC3C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3C9F"/>
  </w:style>
  <w:style w:type="paragraph" w:styleId="Footer">
    <w:name w:val="footer"/>
    <w:basedOn w:val="Normal"/>
    <w:link w:val="FooterChar"/>
    <w:uiPriority w:val="99"/>
    <w:unhideWhenUsed/>
    <w:rsid w:val="00DC3C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3C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6599296">
      <w:bodyDiv w:val="1"/>
      <w:marLeft w:val="0"/>
      <w:marRight w:val="0"/>
      <w:marTop w:val="0"/>
      <w:marBottom w:val="0"/>
      <w:divBdr>
        <w:top w:val="none" w:sz="0" w:space="0" w:color="auto"/>
        <w:left w:val="none" w:sz="0" w:space="0" w:color="auto"/>
        <w:bottom w:val="none" w:sz="0" w:space="0" w:color="auto"/>
        <w:right w:val="none" w:sz="0" w:space="0" w:color="auto"/>
      </w:divBdr>
      <w:divsChild>
        <w:div w:id="1265531993">
          <w:blockQuote w:val="1"/>
          <w:marLeft w:val="720"/>
          <w:marRight w:val="720"/>
          <w:marTop w:val="100"/>
          <w:marBottom w:val="100"/>
          <w:divBdr>
            <w:top w:val="none" w:sz="0" w:space="0" w:color="auto"/>
            <w:left w:val="none" w:sz="0" w:space="0" w:color="auto"/>
            <w:bottom w:val="none" w:sz="0" w:space="0" w:color="auto"/>
            <w:right w:val="none" w:sz="0" w:space="0" w:color="auto"/>
          </w:divBdr>
        </w:div>
        <w:div w:id="1896828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23194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52786904_Case_study_IKEA" TargetMode="External"/><Relationship Id="rId13" Type="http://schemas.openxmlformats.org/officeDocument/2006/relationships/hyperlink" Target="https://www.annualreports.com/Company/ikea" TargetMode="External"/><Relationship Id="rId18" Type="http://schemas.openxmlformats.org/officeDocument/2006/relationships/hyperlink" Target="https://doi.org/10.53067/ijomral.v3i6.275" TargetMode="External"/><Relationship Id="rId3" Type="http://schemas.openxmlformats.org/officeDocument/2006/relationships/styles" Target="styles.xml"/><Relationship Id="rId21" Type="http://schemas.openxmlformats.org/officeDocument/2006/relationships/hyperlink" Target="https://doi.org/10.35508/jom.v17i2.15085" TargetMode="External"/><Relationship Id="rId7" Type="http://schemas.openxmlformats.org/officeDocument/2006/relationships/endnotes" Target="endnotes.xml"/><Relationship Id="rId12" Type="http://schemas.openxmlformats.org/officeDocument/2006/relationships/hyperlink" Target="https://desklib.com/study-documents/hrm-ikea-case-study/" TargetMode="External"/><Relationship Id="rId17" Type="http://schemas.openxmlformats.org/officeDocument/2006/relationships/hyperlink" Target="https://doi.org/10.1057/s41291-022-00208-z" TargetMode="External"/><Relationship Id="rId2" Type="http://schemas.openxmlformats.org/officeDocument/2006/relationships/numbering" Target="numbering.xml"/><Relationship Id="rId16" Type="http://schemas.openxmlformats.org/officeDocument/2006/relationships/hyperlink" Target="https://doi.org/10.1007/978-3-030-90955-0" TargetMode="External"/><Relationship Id="rId20" Type="http://schemas.openxmlformats.org/officeDocument/2006/relationships/hyperlink" Target="https://www.researchgate.net/publication/384108394_Human_Resource_Management_A_GLOBAL_PERSPECTIVE?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ik.2023.100353"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gka.com/people-and-planet/" TargetMode="External"/><Relationship Id="rId23" Type="http://schemas.openxmlformats.org/officeDocument/2006/relationships/fontTable" Target="fontTable.xml"/><Relationship Id="rId10" Type="http://schemas.openxmlformats.org/officeDocument/2006/relationships/hyperlink" Target="https://www.business-humanrights.org/en/latest-news/ikea-supply-iom-enter-into-three-year-partnership-to-promote-migrant-workers-rights-in-supply-chains/" TargetMode="External"/><Relationship Id="rId19" Type="http://schemas.openxmlformats.org/officeDocument/2006/relationships/hyperlink" Target="https://doi.org/10.1590/s0034-759020220513" TargetMode="External"/><Relationship Id="rId4" Type="http://schemas.openxmlformats.org/officeDocument/2006/relationships/settings" Target="settings.xml"/><Relationship Id="rId9" Type="http://schemas.openxmlformats.org/officeDocument/2006/relationships/hyperlink" Target="https://doi.org/10.1017/jmo.2023.72" TargetMode="External"/><Relationship Id="rId14" Type="http://schemas.openxmlformats.org/officeDocument/2006/relationships/hyperlink" Target="https://www.ikea.com/global/en/images/IKEA_Sustainability_Report_FY_24_2025_01_27_2c35989733.pdf" TargetMode="External"/><Relationship Id="rId22" Type="http://schemas.openxmlformats.org/officeDocument/2006/relationships/hyperlink" Target="https://doi.org/10.1007/s10551-022-0508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E8467B-8C32-4C36-8B0B-C47D5C4AE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2808</Words>
  <Characters>16009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dc:description/>
  <cp:lastModifiedBy>Gabriel Stanciu</cp:lastModifiedBy>
  <cp:revision>4</cp:revision>
  <dcterms:created xsi:type="dcterms:W3CDTF">2025-12-10T12:38:00Z</dcterms:created>
  <dcterms:modified xsi:type="dcterms:W3CDTF">2025-12-18T08:37:00Z</dcterms:modified>
</cp:coreProperties>
</file>