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0725AE" w14:textId="51068E06" w:rsidR="001A432C" w:rsidRPr="001A432C" w:rsidRDefault="001A432C" w:rsidP="001A432C">
      <w:pPr>
        <w:tabs>
          <w:tab w:val="left" w:pos="5844"/>
        </w:tabs>
        <w:rPr>
          <w:rFonts w:ascii="Arial" w:eastAsia="Calibri" w:hAnsi="Arial" w:cs="Arial"/>
          <w:sz w:val="32"/>
          <w:szCs w:val="32"/>
          <w:lang w:eastAsia="ar-SA"/>
        </w:rPr>
      </w:pPr>
      <w:r w:rsidRPr="001A432C">
        <w:rPr>
          <w:rFonts w:ascii="Arial" w:eastAsia="Calibri" w:hAnsi="Arial" w:cs="Arial"/>
          <w:sz w:val="32"/>
          <w:szCs w:val="32"/>
          <w:lang w:eastAsia="ar-SA"/>
        </w:rPr>
        <w:t>STUDENT NAME:</w:t>
      </w:r>
      <w:r>
        <w:rPr>
          <w:rFonts w:ascii="Arial" w:eastAsia="Calibri" w:hAnsi="Arial" w:cs="Arial"/>
          <w:sz w:val="32"/>
          <w:szCs w:val="32"/>
          <w:lang w:eastAsia="ar-SA"/>
        </w:rPr>
        <w:t xml:space="preserve"> </w:t>
      </w:r>
      <w:r w:rsidRPr="001A432C">
        <w:rPr>
          <w:rFonts w:ascii="Arial" w:eastAsia="Calibri" w:hAnsi="Arial" w:cs="Arial"/>
          <w:b/>
          <w:bCs/>
          <w:sz w:val="28"/>
          <w:szCs w:val="28"/>
          <w:lang w:eastAsia="ar-SA"/>
        </w:rPr>
        <w:t xml:space="preserve">Robert </w:t>
      </w:r>
      <w:proofErr w:type="spellStart"/>
      <w:r w:rsidRPr="001A432C">
        <w:rPr>
          <w:rFonts w:ascii="Arial" w:eastAsia="Calibri" w:hAnsi="Arial" w:cs="Arial"/>
          <w:b/>
          <w:bCs/>
          <w:sz w:val="28"/>
          <w:szCs w:val="28"/>
          <w:lang w:eastAsia="ar-SA"/>
        </w:rPr>
        <w:t>Ionut</w:t>
      </w:r>
      <w:proofErr w:type="spellEnd"/>
      <w:r w:rsidRPr="001A432C">
        <w:rPr>
          <w:rFonts w:ascii="Arial" w:eastAsia="Calibri" w:hAnsi="Arial" w:cs="Arial"/>
          <w:b/>
          <w:bCs/>
          <w:sz w:val="28"/>
          <w:szCs w:val="28"/>
          <w:lang w:eastAsia="ar-SA"/>
        </w:rPr>
        <w:t xml:space="preserve"> Anghel Cristea</w:t>
      </w:r>
    </w:p>
    <w:p w14:paraId="68A146A4" w14:textId="77777777" w:rsidR="001A432C" w:rsidRPr="00E5027A" w:rsidRDefault="001A432C" w:rsidP="001A432C">
      <w:pPr>
        <w:rPr>
          <w:rFonts w:ascii="Arial" w:eastAsia="Calibri" w:hAnsi="Arial" w:cs="Arial"/>
          <w:sz w:val="36"/>
          <w:szCs w:val="36"/>
          <w:lang w:eastAsia="ar-SA"/>
        </w:rPr>
      </w:pPr>
    </w:p>
    <w:p w14:paraId="0E1FFCEA" w14:textId="68CF969F" w:rsidR="001A432C" w:rsidRPr="00E5027A" w:rsidRDefault="001A432C" w:rsidP="001A432C">
      <w:pPr>
        <w:rPr>
          <w:rFonts w:ascii="Arial" w:eastAsia="Calibri" w:hAnsi="Arial" w:cs="Arial"/>
          <w:b/>
          <w:bCs/>
          <w:sz w:val="28"/>
          <w:szCs w:val="28"/>
          <w:lang w:eastAsia="ar-SA"/>
        </w:rPr>
      </w:pPr>
      <w:r w:rsidRPr="00E5027A">
        <w:rPr>
          <w:rFonts w:ascii="Arial" w:eastAsia="Calibri" w:hAnsi="Arial" w:cs="Arial"/>
          <w:sz w:val="32"/>
          <w:szCs w:val="32"/>
          <w:lang w:eastAsia="ar-SA"/>
        </w:rPr>
        <w:t>STUDENT NUMBER:</w:t>
      </w:r>
      <w:r w:rsidRPr="00E5027A">
        <w:rPr>
          <w:rFonts w:ascii="Arial" w:eastAsia="Calibri" w:hAnsi="Arial" w:cs="Arial"/>
          <w:sz w:val="36"/>
          <w:szCs w:val="36"/>
          <w:lang w:eastAsia="ar-SA"/>
        </w:rPr>
        <w:t xml:space="preserve"> </w:t>
      </w:r>
      <w:r w:rsidRPr="00E5027A">
        <w:rPr>
          <w:rFonts w:ascii="Arial" w:eastAsia="Calibri" w:hAnsi="Arial" w:cs="Arial"/>
          <w:b/>
          <w:bCs/>
          <w:sz w:val="28"/>
          <w:szCs w:val="28"/>
          <w:lang w:eastAsia="ar-SA"/>
        </w:rPr>
        <w:t>181</w:t>
      </w:r>
      <w:r>
        <w:rPr>
          <w:rFonts w:ascii="Arial" w:eastAsia="Calibri" w:hAnsi="Arial" w:cs="Arial"/>
          <w:b/>
          <w:bCs/>
          <w:sz w:val="28"/>
          <w:szCs w:val="28"/>
          <w:lang w:eastAsia="ar-SA"/>
        </w:rPr>
        <w:t>8187</w:t>
      </w:r>
    </w:p>
    <w:p w14:paraId="4A9DB803" w14:textId="30B98D18" w:rsidR="001A432C" w:rsidRPr="00E5027A" w:rsidRDefault="001A432C" w:rsidP="001A432C">
      <w:pPr>
        <w:rPr>
          <w:rFonts w:ascii="Arial" w:eastAsia="Calibri" w:hAnsi="Arial" w:cs="Arial"/>
          <w:b/>
          <w:bCs/>
          <w:sz w:val="28"/>
          <w:szCs w:val="28"/>
          <w:lang w:eastAsia="ar-SA"/>
        </w:rPr>
      </w:pPr>
    </w:p>
    <w:p w14:paraId="1FA92754" w14:textId="77777777" w:rsidR="001A432C" w:rsidRPr="00E5027A" w:rsidRDefault="001A432C" w:rsidP="001A432C">
      <w:pPr>
        <w:rPr>
          <w:rFonts w:ascii="Arial" w:eastAsia="Calibri" w:hAnsi="Arial" w:cs="Arial"/>
          <w:b/>
          <w:bCs/>
          <w:sz w:val="28"/>
          <w:szCs w:val="28"/>
          <w:lang w:eastAsia="ar-SA"/>
        </w:rPr>
      </w:pPr>
      <w:r w:rsidRPr="00E5027A">
        <w:rPr>
          <w:rFonts w:ascii="Arial" w:eastAsia="Calibri" w:hAnsi="Arial" w:cs="Arial"/>
          <w:sz w:val="32"/>
          <w:szCs w:val="32"/>
          <w:lang w:eastAsia="ar-SA"/>
        </w:rPr>
        <w:t>MODULE TITLE:</w:t>
      </w:r>
      <w:r w:rsidRPr="00E5027A">
        <w:rPr>
          <w:rFonts w:ascii="Arial" w:eastAsia="Calibri" w:hAnsi="Arial" w:cs="Arial"/>
          <w:sz w:val="36"/>
          <w:szCs w:val="36"/>
          <w:lang w:eastAsia="ar-SA"/>
        </w:rPr>
        <w:t xml:space="preserve"> </w:t>
      </w:r>
      <w:r w:rsidRPr="00E5027A">
        <w:rPr>
          <w:rFonts w:ascii="Arial" w:eastAsia="Calibri" w:hAnsi="Arial" w:cs="Arial"/>
          <w:b/>
          <w:bCs/>
          <w:sz w:val="28"/>
          <w:szCs w:val="28"/>
          <w:lang w:eastAsia="ar-SA"/>
        </w:rPr>
        <w:t>M</w:t>
      </w:r>
      <w:r>
        <w:rPr>
          <w:rFonts w:ascii="Arial" w:eastAsia="Calibri" w:hAnsi="Arial" w:cs="Arial"/>
          <w:b/>
          <w:bCs/>
          <w:sz w:val="28"/>
          <w:szCs w:val="28"/>
          <w:lang w:eastAsia="ar-SA"/>
        </w:rPr>
        <w:t>5X01922</w:t>
      </w:r>
    </w:p>
    <w:p w14:paraId="0E457E3F" w14:textId="77777777" w:rsidR="001A432C" w:rsidRPr="00E5027A" w:rsidRDefault="001A432C" w:rsidP="001A432C">
      <w:pPr>
        <w:rPr>
          <w:rFonts w:ascii="Arial" w:eastAsia="Calibri" w:hAnsi="Arial" w:cs="Arial"/>
          <w:b/>
          <w:bCs/>
          <w:sz w:val="28"/>
          <w:szCs w:val="28"/>
          <w:lang w:eastAsia="ar-SA"/>
        </w:rPr>
      </w:pPr>
    </w:p>
    <w:p w14:paraId="1B08EABD" w14:textId="77777777" w:rsidR="001A432C" w:rsidRPr="00E5027A" w:rsidRDefault="001A432C" w:rsidP="001A432C">
      <w:pPr>
        <w:rPr>
          <w:rFonts w:ascii="Arial" w:eastAsia="Calibri" w:hAnsi="Arial" w:cs="Arial"/>
          <w:b/>
          <w:bCs/>
          <w:sz w:val="28"/>
          <w:szCs w:val="28"/>
          <w:lang w:eastAsia="ar-SA"/>
        </w:rPr>
      </w:pPr>
      <w:r w:rsidRPr="00E5027A">
        <w:rPr>
          <w:rFonts w:ascii="Arial" w:eastAsia="Calibri" w:hAnsi="Arial" w:cs="Arial"/>
          <w:sz w:val="32"/>
          <w:szCs w:val="32"/>
          <w:lang w:eastAsia="ar-SA"/>
        </w:rPr>
        <w:t>ASSIGNMENT TITLE:</w:t>
      </w:r>
      <w:r w:rsidRPr="00E5027A">
        <w:rPr>
          <w:rFonts w:ascii="Arial" w:eastAsia="Calibri" w:hAnsi="Arial" w:cs="Arial"/>
          <w:sz w:val="36"/>
          <w:szCs w:val="36"/>
          <w:lang w:eastAsia="ar-SA"/>
        </w:rPr>
        <w:t xml:space="preserve"> </w:t>
      </w:r>
      <w:r>
        <w:rPr>
          <w:rFonts w:ascii="Arial" w:eastAsia="Calibri" w:hAnsi="Arial" w:cs="Arial"/>
          <w:b/>
          <w:bCs/>
          <w:sz w:val="28"/>
          <w:szCs w:val="28"/>
          <w:lang w:eastAsia="ar-SA"/>
        </w:rPr>
        <w:t xml:space="preserve">Financial Management for the Hotel Industry </w:t>
      </w:r>
    </w:p>
    <w:p w14:paraId="6212EB44" w14:textId="77777777" w:rsidR="001A432C" w:rsidRPr="00E5027A" w:rsidRDefault="001A432C" w:rsidP="001A432C">
      <w:pPr>
        <w:rPr>
          <w:rFonts w:ascii="Arial" w:eastAsia="Calibri" w:hAnsi="Arial" w:cs="Arial"/>
          <w:b/>
          <w:bCs/>
          <w:sz w:val="28"/>
          <w:szCs w:val="28"/>
          <w:lang w:eastAsia="ar-SA"/>
        </w:rPr>
      </w:pPr>
    </w:p>
    <w:p w14:paraId="6B97086E" w14:textId="77777777" w:rsidR="001A432C" w:rsidRPr="00E5027A" w:rsidRDefault="001A432C" w:rsidP="001A432C">
      <w:pPr>
        <w:rPr>
          <w:rFonts w:ascii="Arial" w:eastAsia="Calibri" w:hAnsi="Arial" w:cs="Arial"/>
          <w:b/>
          <w:bCs/>
          <w:sz w:val="28"/>
          <w:szCs w:val="28"/>
          <w:lang w:eastAsia="ar-SA"/>
        </w:rPr>
      </w:pPr>
      <w:r w:rsidRPr="00E5027A">
        <w:rPr>
          <w:rFonts w:ascii="Arial" w:eastAsia="Calibri" w:hAnsi="Arial" w:cs="Arial"/>
          <w:sz w:val="32"/>
          <w:szCs w:val="32"/>
          <w:lang w:eastAsia="ar-SA"/>
        </w:rPr>
        <w:t>MODULE LECTURER’S:</w:t>
      </w:r>
      <w:r w:rsidRPr="00E5027A">
        <w:rPr>
          <w:rFonts w:ascii="Arial" w:eastAsia="Calibri" w:hAnsi="Arial" w:cs="Arial"/>
          <w:sz w:val="36"/>
          <w:szCs w:val="36"/>
          <w:lang w:eastAsia="ar-SA"/>
        </w:rPr>
        <w:t xml:space="preserve"> </w:t>
      </w:r>
      <w:r>
        <w:rPr>
          <w:rFonts w:ascii="Arial" w:eastAsia="Calibri" w:hAnsi="Arial" w:cs="Arial"/>
          <w:b/>
          <w:bCs/>
          <w:sz w:val="28"/>
          <w:szCs w:val="28"/>
          <w:lang w:eastAsia="ar-SA"/>
        </w:rPr>
        <w:t>Dr David Jenkins</w:t>
      </w:r>
    </w:p>
    <w:p w14:paraId="5564AC5D" w14:textId="59669587" w:rsidR="00D6026E" w:rsidRDefault="00D6026E">
      <w:pPr>
        <w:rPr>
          <w:caps/>
          <w:sz w:val="36"/>
          <w:szCs w:val="36"/>
        </w:rPr>
      </w:pPr>
    </w:p>
    <w:p w14:paraId="4F8344A4" w14:textId="79ED374B" w:rsidR="001A432C" w:rsidRDefault="001A432C">
      <w:pPr>
        <w:rPr>
          <w:caps/>
          <w:sz w:val="36"/>
          <w:szCs w:val="36"/>
        </w:rPr>
      </w:pPr>
    </w:p>
    <w:p w14:paraId="1C6F31C8" w14:textId="70D5911B" w:rsidR="001A432C" w:rsidRDefault="001A432C">
      <w:pPr>
        <w:rPr>
          <w:caps/>
          <w:sz w:val="36"/>
          <w:szCs w:val="36"/>
        </w:rPr>
      </w:pPr>
    </w:p>
    <w:p w14:paraId="4C2CB5A4" w14:textId="6A411FBB" w:rsidR="001A432C" w:rsidRDefault="001A432C">
      <w:pPr>
        <w:rPr>
          <w:caps/>
          <w:sz w:val="36"/>
          <w:szCs w:val="36"/>
        </w:rPr>
      </w:pPr>
    </w:p>
    <w:p w14:paraId="5F6B29E4" w14:textId="2EFB3155" w:rsidR="001A432C" w:rsidRDefault="001A432C">
      <w:pPr>
        <w:rPr>
          <w:caps/>
          <w:sz w:val="36"/>
          <w:szCs w:val="36"/>
        </w:rPr>
      </w:pPr>
    </w:p>
    <w:p w14:paraId="75A04F2F" w14:textId="220ABEF4" w:rsidR="001A432C" w:rsidRDefault="001A432C">
      <w:pPr>
        <w:rPr>
          <w:caps/>
          <w:sz w:val="36"/>
          <w:szCs w:val="36"/>
        </w:rPr>
      </w:pPr>
    </w:p>
    <w:p w14:paraId="114C5A4E" w14:textId="393116A3" w:rsidR="001A432C" w:rsidRDefault="001A432C">
      <w:pPr>
        <w:rPr>
          <w:caps/>
          <w:sz w:val="36"/>
          <w:szCs w:val="36"/>
        </w:rPr>
      </w:pPr>
    </w:p>
    <w:p w14:paraId="2B3E3CD0" w14:textId="77777777" w:rsidR="001A432C" w:rsidRDefault="001A432C">
      <w:pPr>
        <w:rPr>
          <w:caps/>
          <w:sz w:val="36"/>
          <w:szCs w:val="36"/>
        </w:rPr>
      </w:pPr>
    </w:p>
    <w:sdt>
      <w:sdtPr>
        <w:rPr>
          <w:rFonts w:ascii="Times New Roman" w:eastAsiaTheme="minorHAnsi" w:hAnsi="Times New Roman" w:cs="Times New Roman"/>
          <w:b w:val="0"/>
          <w:bCs w:val="0"/>
          <w:color w:val="000000"/>
          <w:sz w:val="24"/>
          <w:szCs w:val="24"/>
          <w:lang w:bidi="hi-IN"/>
        </w:rPr>
        <w:id w:val="1209172985"/>
        <w:docPartObj>
          <w:docPartGallery w:val="Table of Contents"/>
          <w:docPartUnique/>
        </w:docPartObj>
      </w:sdtPr>
      <w:sdtEndPr/>
      <w:sdtContent>
        <w:p w14:paraId="12354C72" w14:textId="77777777" w:rsidR="00D6026E" w:rsidRDefault="00D6026E">
          <w:pPr>
            <w:pStyle w:val="TOCHeading"/>
          </w:pPr>
          <w:r>
            <w:t>Table of Contents</w:t>
          </w:r>
        </w:p>
        <w:p w14:paraId="21C27108" w14:textId="2BE49AE5" w:rsidR="00D6026E" w:rsidRDefault="00D6026E">
          <w:pPr>
            <w:pStyle w:val="TOC1"/>
            <w:tabs>
              <w:tab w:val="right" w:leader="dot" w:pos="9350"/>
            </w:tabs>
            <w:rPr>
              <w:noProof/>
            </w:rPr>
          </w:pPr>
          <w:r>
            <w:fldChar w:fldCharType="begin"/>
          </w:r>
          <w:r>
            <w:instrText xml:space="preserve"> TOC \o "1-3" \h \z \u </w:instrText>
          </w:r>
          <w:r>
            <w:fldChar w:fldCharType="separate"/>
          </w:r>
          <w:hyperlink w:anchor="_Toc44748948" w:history="1">
            <w:r w:rsidRPr="004B7619">
              <w:rPr>
                <w:rStyle w:val="Hyperlink"/>
                <w:noProof/>
              </w:rPr>
              <w:t>1. EXECUTIVE SUMMARY</w:t>
            </w:r>
            <w:r>
              <w:rPr>
                <w:noProof/>
                <w:webHidden/>
              </w:rPr>
              <w:tab/>
            </w:r>
            <w:r w:rsidR="001A432C">
              <w:rPr>
                <w:noProof/>
                <w:webHidden/>
              </w:rPr>
              <w:t>1</w:t>
            </w:r>
          </w:hyperlink>
        </w:p>
        <w:p w14:paraId="3B76FB8D" w14:textId="1B96C68A" w:rsidR="00D6026E" w:rsidRDefault="00B91EB2">
          <w:pPr>
            <w:pStyle w:val="TOC1"/>
            <w:tabs>
              <w:tab w:val="right" w:leader="dot" w:pos="9350"/>
            </w:tabs>
            <w:rPr>
              <w:noProof/>
            </w:rPr>
          </w:pPr>
          <w:hyperlink w:anchor="_Toc44748949" w:history="1">
            <w:r w:rsidR="00D6026E" w:rsidRPr="004B7619">
              <w:rPr>
                <w:rStyle w:val="Hyperlink"/>
                <w:noProof/>
              </w:rPr>
              <w:t>2. Main Content</w:t>
            </w:r>
            <w:r w:rsidR="00D6026E">
              <w:rPr>
                <w:noProof/>
                <w:webHidden/>
              </w:rPr>
              <w:tab/>
            </w:r>
            <w:r w:rsidR="001A432C">
              <w:rPr>
                <w:noProof/>
                <w:webHidden/>
              </w:rPr>
              <w:t>2</w:t>
            </w:r>
          </w:hyperlink>
        </w:p>
        <w:p w14:paraId="5E9D1A2D" w14:textId="2261757F" w:rsidR="00D6026E" w:rsidRDefault="00B91EB2">
          <w:pPr>
            <w:pStyle w:val="TOC2"/>
            <w:tabs>
              <w:tab w:val="right" w:leader="dot" w:pos="9350"/>
            </w:tabs>
            <w:rPr>
              <w:noProof/>
            </w:rPr>
          </w:pPr>
          <w:hyperlink w:anchor="_Toc44748950" w:history="1">
            <w:r w:rsidR="00D6026E" w:rsidRPr="004B7619">
              <w:rPr>
                <w:rStyle w:val="Hyperlink"/>
                <w:noProof/>
              </w:rPr>
              <w:t>2.1 A Summary table</w:t>
            </w:r>
            <w:r w:rsidR="00D6026E">
              <w:rPr>
                <w:noProof/>
                <w:webHidden/>
              </w:rPr>
              <w:tab/>
            </w:r>
            <w:r w:rsidR="001A432C">
              <w:rPr>
                <w:noProof/>
                <w:webHidden/>
              </w:rPr>
              <w:t>3</w:t>
            </w:r>
          </w:hyperlink>
        </w:p>
        <w:p w14:paraId="4C0214E7" w14:textId="77777777" w:rsidR="00D6026E" w:rsidRDefault="00B91EB2">
          <w:pPr>
            <w:pStyle w:val="TOC2"/>
            <w:tabs>
              <w:tab w:val="right" w:leader="dot" w:pos="9350"/>
            </w:tabs>
            <w:rPr>
              <w:noProof/>
            </w:rPr>
          </w:pPr>
          <w:hyperlink w:anchor="_Toc44748951" w:history="1">
            <w:r w:rsidR="00D6026E" w:rsidRPr="004B7619">
              <w:rPr>
                <w:rStyle w:val="Hyperlink"/>
                <w:noProof/>
              </w:rPr>
              <w:t>2.2 Discussion of families</w:t>
            </w:r>
            <w:r w:rsidR="00D6026E">
              <w:rPr>
                <w:noProof/>
                <w:webHidden/>
              </w:rPr>
              <w:tab/>
            </w:r>
            <w:r w:rsidR="00D6026E">
              <w:rPr>
                <w:noProof/>
                <w:webHidden/>
              </w:rPr>
              <w:fldChar w:fldCharType="begin"/>
            </w:r>
            <w:r w:rsidR="00D6026E">
              <w:rPr>
                <w:noProof/>
                <w:webHidden/>
              </w:rPr>
              <w:instrText xml:space="preserve"> PAGEREF _Toc44748951 \h </w:instrText>
            </w:r>
            <w:r w:rsidR="00D6026E">
              <w:rPr>
                <w:noProof/>
                <w:webHidden/>
              </w:rPr>
            </w:r>
            <w:r w:rsidR="00D6026E">
              <w:rPr>
                <w:noProof/>
                <w:webHidden/>
              </w:rPr>
              <w:fldChar w:fldCharType="separate"/>
            </w:r>
            <w:r w:rsidR="00D6026E">
              <w:rPr>
                <w:noProof/>
                <w:webHidden/>
              </w:rPr>
              <w:t>4</w:t>
            </w:r>
            <w:r w:rsidR="00D6026E">
              <w:rPr>
                <w:noProof/>
                <w:webHidden/>
              </w:rPr>
              <w:fldChar w:fldCharType="end"/>
            </w:r>
          </w:hyperlink>
        </w:p>
        <w:p w14:paraId="06E8B29F" w14:textId="69B7ABAC" w:rsidR="00D6026E" w:rsidRDefault="00B91EB2">
          <w:pPr>
            <w:pStyle w:val="TOC2"/>
            <w:tabs>
              <w:tab w:val="right" w:leader="dot" w:pos="9350"/>
            </w:tabs>
            <w:rPr>
              <w:noProof/>
            </w:rPr>
          </w:pPr>
          <w:hyperlink w:anchor="_Toc44748952" w:history="1">
            <w:r w:rsidR="00D6026E" w:rsidRPr="004B7619">
              <w:rPr>
                <w:rStyle w:val="Hyperlink"/>
                <w:noProof/>
              </w:rPr>
              <w:t>2.3 Analysis of each family</w:t>
            </w:r>
            <w:r w:rsidR="00D6026E">
              <w:rPr>
                <w:noProof/>
                <w:webHidden/>
              </w:rPr>
              <w:tab/>
            </w:r>
            <w:r w:rsidR="001A432C">
              <w:rPr>
                <w:noProof/>
                <w:webHidden/>
              </w:rPr>
              <w:t>5</w:t>
            </w:r>
          </w:hyperlink>
        </w:p>
        <w:p w14:paraId="281922EE" w14:textId="65D0E83E" w:rsidR="00D6026E" w:rsidRDefault="00B91EB2">
          <w:pPr>
            <w:pStyle w:val="TOC1"/>
            <w:tabs>
              <w:tab w:val="right" w:leader="dot" w:pos="9350"/>
            </w:tabs>
            <w:rPr>
              <w:noProof/>
            </w:rPr>
          </w:pPr>
          <w:hyperlink w:anchor="_Toc44748953" w:history="1">
            <w:r w:rsidR="00D6026E" w:rsidRPr="004B7619">
              <w:rPr>
                <w:rStyle w:val="Hyperlink"/>
                <w:noProof/>
              </w:rPr>
              <w:t>Conclusion</w:t>
            </w:r>
            <w:r w:rsidR="00D6026E">
              <w:rPr>
                <w:noProof/>
                <w:webHidden/>
              </w:rPr>
              <w:tab/>
            </w:r>
            <w:r w:rsidR="001A432C">
              <w:rPr>
                <w:noProof/>
                <w:webHidden/>
              </w:rPr>
              <w:t>6</w:t>
            </w:r>
          </w:hyperlink>
        </w:p>
        <w:p w14:paraId="675DBB88" w14:textId="01390D09" w:rsidR="00D6026E" w:rsidRDefault="00B91EB2">
          <w:pPr>
            <w:pStyle w:val="TOC1"/>
            <w:tabs>
              <w:tab w:val="right" w:leader="dot" w:pos="9350"/>
            </w:tabs>
            <w:rPr>
              <w:noProof/>
            </w:rPr>
          </w:pPr>
          <w:hyperlink w:anchor="_Toc44748954" w:history="1">
            <w:r w:rsidR="00D6026E" w:rsidRPr="004B7619">
              <w:rPr>
                <w:rStyle w:val="Hyperlink"/>
                <w:noProof/>
              </w:rPr>
              <w:t>REFERENCES</w:t>
            </w:r>
            <w:r w:rsidR="00D6026E">
              <w:rPr>
                <w:noProof/>
                <w:webHidden/>
              </w:rPr>
              <w:tab/>
            </w:r>
            <w:r w:rsidR="001A432C">
              <w:rPr>
                <w:noProof/>
                <w:webHidden/>
              </w:rPr>
              <w:t>7</w:t>
            </w:r>
          </w:hyperlink>
        </w:p>
        <w:p w14:paraId="11F03DA8" w14:textId="77777777" w:rsidR="00D6026E" w:rsidRDefault="00D6026E">
          <w:r>
            <w:fldChar w:fldCharType="end"/>
          </w:r>
        </w:p>
      </w:sdtContent>
    </w:sdt>
    <w:p w14:paraId="487A0310" w14:textId="77777777" w:rsidR="00D6026E" w:rsidRPr="00D6026E" w:rsidRDefault="00D6026E" w:rsidP="00D6026E">
      <w:pPr>
        <w:jc w:val="center"/>
        <w:rPr>
          <w:caps/>
        </w:rPr>
      </w:pPr>
    </w:p>
    <w:p w14:paraId="0BD45D06" w14:textId="77777777" w:rsidR="00D6026E" w:rsidRDefault="00D6026E">
      <w:pPr>
        <w:rPr>
          <w:rFonts w:ascii="open_sansregular" w:hAnsi="open_sansregular"/>
          <w:color w:val="333333"/>
          <w:sz w:val="19"/>
          <w:szCs w:val="19"/>
          <w:shd w:val="clear" w:color="auto" w:fill="FFFFFF"/>
        </w:rPr>
      </w:pPr>
      <w:r>
        <w:rPr>
          <w:rFonts w:ascii="open_sansregular" w:hAnsi="open_sansregular"/>
          <w:color w:val="333333"/>
          <w:sz w:val="19"/>
          <w:szCs w:val="19"/>
          <w:shd w:val="clear" w:color="auto" w:fill="FFFFFF"/>
        </w:rPr>
        <w:br w:type="page"/>
      </w:r>
    </w:p>
    <w:p w14:paraId="6D016B58" w14:textId="77777777" w:rsidR="00D6026E" w:rsidRDefault="00D6026E">
      <w:pPr>
        <w:rPr>
          <w:rFonts w:asciiTheme="majorHAnsi" w:eastAsiaTheme="majorEastAsia" w:hAnsiTheme="majorHAnsi" w:cstheme="majorBidi"/>
          <w:b/>
          <w:bCs/>
          <w:color w:val="365F91" w:themeColor="accent1" w:themeShade="BF"/>
          <w:sz w:val="28"/>
          <w:szCs w:val="25"/>
        </w:rPr>
      </w:pPr>
    </w:p>
    <w:p w14:paraId="6A8009B3" w14:textId="77777777" w:rsidR="00FB529C" w:rsidRDefault="00266205" w:rsidP="00C75E57">
      <w:pPr>
        <w:pStyle w:val="Heading1"/>
      </w:pPr>
      <w:bookmarkStart w:id="0" w:name="_Toc44748948"/>
      <w:r>
        <w:t xml:space="preserve">1. </w:t>
      </w:r>
      <w:r w:rsidR="00C75E57">
        <w:t>EXECUTIVE SUMMARY</w:t>
      </w:r>
      <w:bookmarkEnd w:id="0"/>
    </w:p>
    <w:p w14:paraId="4D01063F" w14:textId="77777777" w:rsidR="0004434E" w:rsidRDefault="0004434E" w:rsidP="0004434E">
      <w:r>
        <w:t>Marriott International, Inc. is a Fortune 500 organization with over 7,000 residences and resorts in 130 countries and areas - highly remembered for the capital of Washington, DC, Maryland and Virginia.</w:t>
      </w:r>
    </w:p>
    <w:p w14:paraId="3B598025" w14:textId="77777777" w:rsidR="00C75E57" w:rsidRDefault="0004434E" w:rsidP="0004434E">
      <w:r>
        <w:t>The group, which is headquartered in Bethesda, Maryland, was founded by J. Willard and Alice S. Marriott in 1927, and by their son, J.W. "Bill" Marriott, Jr., has spanned more than 50 years creating one of the world's leading driving accommodation agencies. Marriott is trusted as one of the "best places to work" and is emerging with developments that build style, plan and innovation.</w:t>
      </w:r>
    </w:p>
    <w:p w14:paraId="7395DC70" w14:textId="4E6CCB2B" w:rsidR="0004434E" w:rsidRDefault="005343EC" w:rsidP="0004434E">
      <w:r>
        <w:t xml:space="preserve">This report is written in formal structure starting with summary of tabular results of all ratios’ profitability, efficiency, liquidity and </w:t>
      </w:r>
      <w:r w:rsidR="001A432C">
        <w:t>leverage</w:t>
      </w:r>
      <w:r>
        <w:t xml:space="preserve"> ratio; also known as families. </w:t>
      </w:r>
      <w:r w:rsidR="00E00296">
        <w:t xml:space="preserve">This table has been discussed with the help of diagram and analysis of each </w:t>
      </w:r>
      <w:r w:rsidR="00E94D86">
        <w:t>family</w:t>
      </w:r>
      <w:r w:rsidR="00E00296">
        <w:t xml:space="preserve"> has also been done</w:t>
      </w:r>
      <w:r w:rsidR="00E94D86">
        <w:t xml:space="preserve">. At last the report is end with final conclusion; which includes finding and recommendation for the company. </w:t>
      </w:r>
    </w:p>
    <w:p w14:paraId="57369C16" w14:textId="77777777" w:rsidR="00266205" w:rsidRDefault="00266205">
      <w:r>
        <w:br w:type="page"/>
      </w:r>
    </w:p>
    <w:p w14:paraId="650EEB4E" w14:textId="77777777" w:rsidR="003C086C" w:rsidRDefault="00266205" w:rsidP="00266205">
      <w:pPr>
        <w:pStyle w:val="Heading1"/>
      </w:pPr>
      <w:bookmarkStart w:id="1" w:name="_Toc44748949"/>
      <w:r>
        <w:lastRenderedPageBreak/>
        <w:t>2. Main Content</w:t>
      </w:r>
      <w:bookmarkEnd w:id="1"/>
    </w:p>
    <w:p w14:paraId="0865FE15" w14:textId="77777777" w:rsidR="00266205" w:rsidRDefault="00266205" w:rsidP="00266205">
      <w:pPr>
        <w:pStyle w:val="Heading2"/>
      </w:pPr>
      <w:bookmarkStart w:id="2" w:name="_Toc44748950"/>
      <w:r>
        <w:t>2.1 A Summary table</w:t>
      </w:r>
      <w:bookmarkEnd w:id="2"/>
    </w:p>
    <w:tbl>
      <w:tblPr>
        <w:tblW w:w="6180" w:type="dxa"/>
        <w:tblInd w:w="94" w:type="dxa"/>
        <w:tblLook w:val="04A0" w:firstRow="1" w:lastRow="0" w:firstColumn="1" w:lastColumn="0" w:noHBand="0" w:noVBand="1"/>
      </w:tblPr>
      <w:tblGrid>
        <w:gridCol w:w="520"/>
        <w:gridCol w:w="3500"/>
        <w:gridCol w:w="1080"/>
        <w:gridCol w:w="1080"/>
      </w:tblGrid>
      <w:tr w:rsidR="000D72D4" w:rsidRPr="000D72D4" w14:paraId="4BFACA90" w14:textId="77777777" w:rsidTr="000D72D4">
        <w:trPr>
          <w:trHeight w:val="315"/>
        </w:trPr>
        <w:tc>
          <w:tcPr>
            <w:tcW w:w="52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BD130F0"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3500" w:type="dxa"/>
            <w:tcBorders>
              <w:top w:val="single" w:sz="8" w:space="0" w:color="auto"/>
              <w:left w:val="nil"/>
              <w:bottom w:val="single" w:sz="8" w:space="0" w:color="auto"/>
              <w:right w:val="single" w:sz="8" w:space="0" w:color="auto"/>
            </w:tcBorders>
            <w:shd w:val="clear" w:color="auto" w:fill="auto"/>
            <w:noWrap/>
            <w:vAlign w:val="bottom"/>
            <w:hideMark/>
          </w:tcPr>
          <w:p w14:paraId="334F41B4" w14:textId="77777777" w:rsidR="000D72D4" w:rsidRPr="000D72D4" w:rsidRDefault="000D72D4" w:rsidP="000D72D4">
            <w:pPr>
              <w:spacing w:before="0" w:beforeAutospacing="0" w:after="0" w:afterAutospacing="0" w:line="240" w:lineRule="auto"/>
              <w:jc w:val="left"/>
              <w:rPr>
                <w:rFonts w:ascii="Calibri" w:eastAsia="Times New Roman" w:hAnsi="Calibri" w:cs="Calibri"/>
                <w:b/>
                <w:bCs/>
                <w:sz w:val="22"/>
                <w:szCs w:val="22"/>
              </w:rPr>
            </w:pPr>
            <w:r w:rsidRPr="000D72D4">
              <w:rPr>
                <w:rFonts w:ascii="Calibri" w:eastAsia="Times New Roman" w:hAnsi="Calibri" w:cs="Calibri"/>
                <w:b/>
                <w:bCs/>
                <w:sz w:val="22"/>
                <w:szCs w:val="22"/>
              </w:rPr>
              <w:t>Profitability ratio</w:t>
            </w:r>
          </w:p>
        </w:tc>
        <w:tc>
          <w:tcPr>
            <w:tcW w:w="1080" w:type="dxa"/>
            <w:tcBorders>
              <w:top w:val="single" w:sz="8" w:space="0" w:color="auto"/>
              <w:left w:val="nil"/>
              <w:bottom w:val="single" w:sz="8" w:space="0" w:color="auto"/>
              <w:right w:val="single" w:sz="8" w:space="0" w:color="auto"/>
            </w:tcBorders>
            <w:shd w:val="clear" w:color="auto" w:fill="auto"/>
            <w:noWrap/>
            <w:vAlign w:val="bottom"/>
            <w:hideMark/>
          </w:tcPr>
          <w:p w14:paraId="02985A0E" w14:textId="77777777" w:rsidR="000D72D4" w:rsidRPr="000D72D4" w:rsidRDefault="000D72D4" w:rsidP="000D72D4">
            <w:pPr>
              <w:spacing w:before="0" w:beforeAutospacing="0" w:after="0" w:afterAutospacing="0" w:line="240" w:lineRule="auto"/>
              <w:jc w:val="left"/>
              <w:rPr>
                <w:rFonts w:ascii="Calibri" w:eastAsia="Times New Roman" w:hAnsi="Calibri" w:cs="Calibri"/>
                <w:b/>
                <w:bCs/>
                <w:sz w:val="22"/>
                <w:szCs w:val="22"/>
              </w:rPr>
            </w:pPr>
            <w:r w:rsidRPr="000D72D4">
              <w:rPr>
                <w:rFonts w:ascii="Calibri" w:eastAsia="Times New Roman" w:hAnsi="Calibri" w:cs="Calibri"/>
                <w:b/>
                <w:bCs/>
                <w:sz w:val="22"/>
                <w:szCs w:val="22"/>
              </w:rPr>
              <w:t> </w:t>
            </w:r>
          </w:p>
        </w:tc>
        <w:tc>
          <w:tcPr>
            <w:tcW w:w="1080" w:type="dxa"/>
            <w:tcBorders>
              <w:top w:val="single" w:sz="8" w:space="0" w:color="auto"/>
              <w:left w:val="nil"/>
              <w:bottom w:val="single" w:sz="8" w:space="0" w:color="auto"/>
              <w:right w:val="single" w:sz="8" w:space="0" w:color="auto"/>
            </w:tcBorders>
            <w:shd w:val="clear" w:color="auto" w:fill="auto"/>
            <w:noWrap/>
            <w:vAlign w:val="bottom"/>
            <w:hideMark/>
          </w:tcPr>
          <w:p w14:paraId="29C37F63" w14:textId="77777777" w:rsidR="000D72D4" w:rsidRPr="000D72D4" w:rsidRDefault="000D72D4" w:rsidP="000D72D4">
            <w:pPr>
              <w:spacing w:before="0" w:beforeAutospacing="0" w:after="0" w:afterAutospacing="0" w:line="240" w:lineRule="auto"/>
              <w:jc w:val="left"/>
              <w:rPr>
                <w:rFonts w:ascii="Calibri" w:eastAsia="Times New Roman" w:hAnsi="Calibri" w:cs="Calibri"/>
                <w:b/>
                <w:bCs/>
                <w:sz w:val="22"/>
                <w:szCs w:val="22"/>
              </w:rPr>
            </w:pPr>
            <w:r w:rsidRPr="000D72D4">
              <w:rPr>
                <w:rFonts w:ascii="Calibri" w:eastAsia="Times New Roman" w:hAnsi="Calibri" w:cs="Calibri"/>
                <w:b/>
                <w:bCs/>
                <w:sz w:val="22"/>
                <w:szCs w:val="22"/>
              </w:rPr>
              <w:t> </w:t>
            </w:r>
          </w:p>
        </w:tc>
      </w:tr>
      <w:tr w:rsidR="000D72D4" w:rsidRPr="000D72D4" w14:paraId="30E2C013"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6F39DFBC"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3500" w:type="dxa"/>
            <w:tcBorders>
              <w:top w:val="nil"/>
              <w:left w:val="nil"/>
              <w:bottom w:val="single" w:sz="8" w:space="0" w:color="auto"/>
              <w:right w:val="single" w:sz="8" w:space="0" w:color="auto"/>
            </w:tcBorders>
            <w:shd w:val="clear" w:color="auto" w:fill="auto"/>
            <w:noWrap/>
            <w:vAlign w:val="bottom"/>
            <w:hideMark/>
          </w:tcPr>
          <w:p w14:paraId="1A491EF1" w14:textId="77777777" w:rsidR="000D72D4" w:rsidRPr="000D72D4" w:rsidRDefault="000D72D4" w:rsidP="000D72D4">
            <w:pPr>
              <w:spacing w:before="0" w:beforeAutospacing="0" w:after="0" w:afterAutospacing="0" w:line="240" w:lineRule="auto"/>
              <w:jc w:val="left"/>
              <w:rPr>
                <w:rFonts w:ascii="Calibri" w:eastAsia="Times New Roman" w:hAnsi="Calibri" w:cs="Calibri"/>
                <w:b/>
                <w:bCs/>
                <w:sz w:val="22"/>
                <w:szCs w:val="22"/>
              </w:rPr>
            </w:pPr>
            <w:r w:rsidRPr="000D72D4">
              <w:rPr>
                <w:rFonts w:ascii="Calibri" w:eastAsia="Times New Roman" w:hAnsi="Calibri" w:cs="Calibri"/>
                <w:b/>
                <w:bCs/>
                <w:sz w:val="22"/>
                <w:szCs w:val="22"/>
              </w:rPr>
              <w:t> </w:t>
            </w:r>
          </w:p>
        </w:tc>
        <w:tc>
          <w:tcPr>
            <w:tcW w:w="1080" w:type="dxa"/>
            <w:tcBorders>
              <w:top w:val="nil"/>
              <w:left w:val="nil"/>
              <w:bottom w:val="single" w:sz="8" w:space="0" w:color="auto"/>
              <w:right w:val="single" w:sz="8" w:space="0" w:color="auto"/>
            </w:tcBorders>
            <w:shd w:val="clear" w:color="auto" w:fill="auto"/>
            <w:noWrap/>
            <w:vAlign w:val="bottom"/>
            <w:hideMark/>
          </w:tcPr>
          <w:p w14:paraId="0234CFE8" w14:textId="77777777" w:rsidR="000D72D4" w:rsidRPr="000D72D4" w:rsidRDefault="000D72D4" w:rsidP="000D72D4">
            <w:pPr>
              <w:spacing w:before="0" w:beforeAutospacing="0" w:after="0" w:afterAutospacing="0" w:line="240" w:lineRule="auto"/>
              <w:jc w:val="right"/>
              <w:rPr>
                <w:rFonts w:ascii="Calibri" w:eastAsia="Times New Roman" w:hAnsi="Calibri" w:cs="Calibri"/>
                <w:b/>
                <w:bCs/>
                <w:sz w:val="22"/>
                <w:szCs w:val="22"/>
              </w:rPr>
            </w:pPr>
            <w:r w:rsidRPr="000D72D4">
              <w:rPr>
                <w:rFonts w:ascii="Calibri" w:eastAsia="Times New Roman" w:hAnsi="Calibri" w:cs="Calibri"/>
                <w:b/>
                <w:bCs/>
                <w:sz w:val="22"/>
                <w:szCs w:val="22"/>
              </w:rPr>
              <w:t>2018</w:t>
            </w:r>
          </w:p>
        </w:tc>
        <w:tc>
          <w:tcPr>
            <w:tcW w:w="1080" w:type="dxa"/>
            <w:tcBorders>
              <w:top w:val="nil"/>
              <w:left w:val="nil"/>
              <w:bottom w:val="single" w:sz="8" w:space="0" w:color="auto"/>
              <w:right w:val="single" w:sz="8" w:space="0" w:color="auto"/>
            </w:tcBorders>
            <w:shd w:val="clear" w:color="auto" w:fill="auto"/>
            <w:noWrap/>
            <w:vAlign w:val="bottom"/>
            <w:hideMark/>
          </w:tcPr>
          <w:p w14:paraId="3F18AE47" w14:textId="77777777" w:rsidR="000D72D4" w:rsidRPr="000D72D4" w:rsidRDefault="000D72D4" w:rsidP="000D72D4">
            <w:pPr>
              <w:spacing w:before="0" w:beforeAutospacing="0" w:after="0" w:afterAutospacing="0" w:line="240" w:lineRule="auto"/>
              <w:jc w:val="right"/>
              <w:rPr>
                <w:rFonts w:ascii="Calibri" w:eastAsia="Times New Roman" w:hAnsi="Calibri" w:cs="Calibri"/>
                <w:b/>
                <w:bCs/>
                <w:sz w:val="22"/>
                <w:szCs w:val="22"/>
              </w:rPr>
            </w:pPr>
            <w:r w:rsidRPr="000D72D4">
              <w:rPr>
                <w:rFonts w:ascii="Calibri" w:eastAsia="Times New Roman" w:hAnsi="Calibri" w:cs="Calibri"/>
                <w:b/>
                <w:bCs/>
                <w:sz w:val="22"/>
                <w:szCs w:val="22"/>
              </w:rPr>
              <w:t>2019</w:t>
            </w:r>
          </w:p>
        </w:tc>
      </w:tr>
      <w:tr w:rsidR="000D72D4" w:rsidRPr="000D72D4" w14:paraId="3A74E2BC"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05EF6110"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1</w:t>
            </w:r>
          </w:p>
        </w:tc>
        <w:tc>
          <w:tcPr>
            <w:tcW w:w="3500" w:type="dxa"/>
            <w:tcBorders>
              <w:top w:val="nil"/>
              <w:left w:val="nil"/>
              <w:bottom w:val="single" w:sz="8" w:space="0" w:color="auto"/>
              <w:right w:val="single" w:sz="8" w:space="0" w:color="auto"/>
            </w:tcBorders>
            <w:shd w:val="clear" w:color="auto" w:fill="auto"/>
            <w:noWrap/>
            <w:vAlign w:val="bottom"/>
            <w:hideMark/>
          </w:tcPr>
          <w:p w14:paraId="4B6B5337"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Gross profit ratio</w:t>
            </w:r>
          </w:p>
        </w:tc>
        <w:tc>
          <w:tcPr>
            <w:tcW w:w="1080" w:type="dxa"/>
            <w:tcBorders>
              <w:top w:val="nil"/>
              <w:left w:val="nil"/>
              <w:bottom w:val="single" w:sz="8" w:space="0" w:color="auto"/>
              <w:right w:val="single" w:sz="8" w:space="0" w:color="auto"/>
            </w:tcBorders>
            <w:shd w:val="clear" w:color="auto" w:fill="auto"/>
            <w:noWrap/>
            <w:vAlign w:val="bottom"/>
            <w:hideMark/>
          </w:tcPr>
          <w:p w14:paraId="6F644BDB"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92%</w:t>
            </w:r>
          </w:p>
        </w:tc>
        <w:tc>
          <w:tcPr>
            <w:tcW w:w="1080" w:type="dxa"/>
            <w:tcBorders>
              <w:top w:val="nil"/>
              <w:left w:val="nil"/>
              <w:bottom w:val="single" w:sz="8" w:space="0" w:color="auto"/>
              <w:right w:val="single" w:sz="8" w:space="0" w:color="auto"/>
            </w:tcBorders>
            <w:shd w:val="clear" w:color="auto" w:fill="auto"/>
            <w:noWrap/>
            <w:vAlign w:val="bottom"/>
            <w:hideMark/>
          </w:tcPr>
          <w:p w14:paraId="75BEF975"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86%</w:t>
            </w:r>
          </w:p>
        </w:tc>
      </w:tr>
      <w:tr w:rsidR="000D72D4" w:rsidRPr="000D72D4" w14:paraId="02D482A0"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312B090F"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2</w:t>
            </w:r>
          </w:p>
        </w:tc>
        <w:tc>
          <w:tcPr>
            <w:tcW w:w="3500" w:type="dxa"/>
            <w:tcBorders>
              <w:top w:val="nil"/>
              <w:left w:val="nil"/>
              <w:bottom w:val="single" w:sz="8" w:space="0" w:color="auto"/>
              <w:right w:val="single" w:sz="8" w:space="0" w:color="auto"/>
            </w:tcBorders>
            <w:shd w:val="clear" w:color="auto" w:fill="auto"/>
            <w:noWrap/>
            <w:vAlign w:val="bottom"/>
            <w:hideMark/>
          </w:tcPr>
          <w:p w14:paraId="5B075838"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Net profit ratio</w:t>
            </w:r>
          </w:p>
        </w:tc>
        <w:tc>
          <w:tcPr>
            <w:tcW w:w="1080" w:type="dxa"/>
            <w:tcBorders>
              <w:top w:val="nil"/>
              <w:left w:val="nil"/>
              <w:bottom w:val="single" w:sz="8" w:space="0" w:color="auto"/>
              <w:right w:val="single" w:sz="8" w:space="0" w:color="auto"/>
            </w:tcBorders>
            <w:shd w:val="clear" w:color="auto" w:fill="auto"/>
            <w:noWrap/>
            <w:vAlign w:val="bottom"/>
            <w:hideMark/>
          </w:tcPr>
          <w:p w14:paraId="43D03908"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74%</w:t>
            </w:r>
          </w:p>
        </w:tc>
        <w:tc>
          <w:tcPr>
            <w:tcW w:w="1080" w:type="dxa"/>
            <w:tcBorders>
              <w:top w:val="nil"/>
              <w:left w:val="nil"/>
              <w:bottom w:val="single" w:sz="8" w:space="0" w:color="auto"/>
              <w:right w:val="single" w:sz="8" w:space="0" w:color="auto"/>
            </w:tcBorders>
            <w:shd w:val="clear" w:color="auto" w:fill="auto"/>
            <w:noWrap/>
            <w:vAlign w:val="bottom"/>
            <w:hideMark/>
          </w:tcPr>
          <w:p w14:paraId="2628B5D5"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67%</w:t>
            </w:r>
          </w:p>
        </w:tc>
      </w:tr>
      <w:tr w:rsidR="000D72D4" w:rsidRPr="000D72D4" w14:paraId="2C01C7C6"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2DA3EA3A"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3</w:t>
            </w:r>
          </w:p>
        </w:tc>
        <w:tc>
          <w:tcPr>
            <w:tcW w:w="3500" w:type="dxa"/>
            <w:tcBorders>
              <w:top w:val="nil"/>
              <w:left w:val="nil"/>
              <w:bottom w:val="single" w:sz="8" w:space="0" w:color="auto"/>
              <w:right w:val="single" w:sz="8" w:space="0" w:color="auto"/>
            </w:tcBorders>
            <w:shd w:val="clear" w:color="auto" w:fill="auto"/>
            <w:noWrap/>
            <w:vAlign w:val="bottom"/>
            <w:hideMark/>
          </w:tcPr>
          <w:p w14:paraId="045D6C19"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Operating profit ratio</w:t>
            </w:r>
          </w:p>
        </w:tc>
        <w:tc>
          <w:tcPr>
            <w:tcW w:w="1080" w:type="dxa"/>
            <w:tcBorders>
              <w:top w:val="nil"/>
              <w:left w:val="nil"/>
              <w:bottom w:val="single" w:sz="8" w:space="0" w:color="auto"/>
              <w:right w:val="single" w:sz="8" w:space="0" w:color="auto"/>
            </w:tcBorders>
            <w:shd w:val="clear" w:color="auto" w:fill="auto"/>
            <w:noWrap/>
            <w:vAlign w:val="bottom"/>
            <w:hideMark/>
          </w:tcPr>
          <w:p w14:paraId="0F08A7F8"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85%</w:t>
            </w:r>
          </w:p>
        </w:tc>
        <w:tc>
          <w:tcPr>
            <w:tcW w:w="1080" w:type="dxa"/>
            <w:tcBorders>
              <w:top w:val="nil"/>
              <w:left w:val="nil"/>
              <w:bottom w:val="single" w:sz="8" w:space="0" w:color="auto"/>
              <w:right w:val="single" w:sz="8" w:space="0" w:color="auto"/>
            </w:tcBorders>
            <w:shd w:val="clear" w:color="auto" w:fill="auto"/>
            <w:noWrap/>
            <w:vAlign w:val="bottom"/>
            <w:hideMark/>
          </w:tcPr>
          <w:p w14:paraId="5A208100"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80%</w:t>
            </w:r>
          </w:p>
        </w:tc>
      </w:tr>
      <w:tr w:rsidR="000D72D4" w:rsidRPr="000D72D4" w14:paraId="24A12EE8"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5B59CA8C"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3500" w:type="dxa"/>
            <w:tcBorders>
              <w:top w:val="nil"/>
              <w:left w:val="nil"/>
              <w:bottom w:val="single" w:sz="8" w:space="0" w:color="auto"/>
              <w:right w:val="single" w:sz="8" w:space="0" w:color="auto"/>
            </w:tcBorders>
            <w:shd w:val="clear" w:color="auto" w:fill="auto"/>
            <w:noWrap/>
            <w:vAlign w:val="bottom"/>
            <w:hideMark/>
          </w:tcPr>
          <w:p w14:paraId="1EBC51FA"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1080" w:type="dxa"/>
            <w:tcBorders>
              <w:top w:val="nil"/>
              <w:left w:val="nil"/>
              <w:bottom w:val="single" w:sz="8" w:space="0" w:color="auto"/>
              <w:right w:val="single" w:sz="8" w:space="0" w:color="auto"/>
            </w:tcBorders>
            <w:shd w:val="clear" w:color="auto" w:fill="auto"/>
            <w:noWrap/>
            <w:vAlign w:val="bottom"/>
            <w:hideMark/>
          </w:tcPr>
          <w:p w14:paraId="39A193A0"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1080" w:type="dxa"/>
            <w:tcBorders>
              <w:top w:val="nil"/>
              <w:left w:val="nil"/>
              <w:bottom w:val="single" w:sz="8" w:space="0" w:color="auto"/>
              <w:right w:val="single" w:sz="8" w:space="0" w:color="auto"/>
            </w:tcBorders>
            <w:shd w:val="clear" w:color="auto" w:fill="auto"/>
            <w:noWrap/>
            <w:vAlign w:val="bottom"/>
            <w:hideMark/>
          </w:tcPr>
          <w:p w14:paraId="06A9369F"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r>
      <w:tr w:rsidR="000D72D4" w:rsidRPr="000D72D4" w14:paraId="65E1F168"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56913626"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3500" w:type="dxa"/>
            <w:tcBorders>
              <w:top w:val="nil"/>
              <w:left w:val="nil"/>
              <w:bottom w:val="single" w:sz="8" w:space="0" w:color="auto"/>
              <w:right w:val="single" w:sz="8" w:space="0" w:color="auto"/>
            </w:tcBorders>
            <w:shd w:val="clear" w:color="auto" w:fill="auto"/>
            <w:noWrap/>
            <w:vAlign w:val="bottom"/>
            <w:hideMark/>
          </w:tcPr>
          <w:p w14:paraId="1BD72EAB" w14:textId="77777777" w:rsidR="000D72D4" w:rsidRPr="000D72D4" w:rsidRDefault="000D72D4" w:rsidP="000D72D4">
            <w:pPr>
              <w:spacing w:before="0" w:beforeAutospacing="0" w:after="0" w:afterAutospacing="0" w:line="240" w:lineRule="auto"/>
              <w:jc w:val="left"/>
              <w:rPr>
                <w:rFonts w:ascii="Calibri" w:eastAsia="Times New Roman" w:hAnsi="Calibri" w:cs="Calibri"/>
                <w:b/>
                <w:bCs/>
                <w:sz w:val="22"/>
                <w:szCs w:val="22"/>
              </w:rPr>
            </w:pPr>
            <w:r w:rsidRPr="000D72D4">
              <w:rPr>
                <w:rFonts w:ascii="Calibri" w:eastAsia="Times New Roman" w:hAnsi="Calibri" w:cs="Calibri"/>
                <w:b/>
                <w:bCs/>
                <w:sz w:val="22"/>
                <w:szCs w:val="22"/>
              </w:rPr>
              <w:t>Efficiency ratios</w:t>
            </w:r>
          </w:p>
        </w:tc>
        <w:tc>
          <w:tcPr>
            <w:tcW w:w="1080" w:type="dxa"/>
            <w:tcBorders>
              <w:top w:val="nil"/>
              <w:left w:val="nil"/>
              <w:bottom w:val="single" w:sz="8" w:space="0" w:color="auto"/>
              <w:right w:val="single" w:sz="8" w:space="0" w:color="auto"/>
            </w:tcBorders>
            <w:shd w:val="clear" w:color="auto" w:fill="auto"/>
            <w:noWrap/>
            <w:vAlign w:val="bottom"/>
            <w:hideMark/>
          </w:tcPr>
          <w:p w14:paraId="292607F3"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1080" w:type="dxa"/>
            <w:tcBorders>
              <w:top w:val="nil"/>
              <w:left w:val="nil"/>
              <w:bottom w:val="single" w:sz="8" w:space="0" w:color="auto"/>
              <w:right w:val="single" w:sz="8" w:space="0" w:color="auto"/>
            </w:tcBorders>
            <w:shd w:val="clear" w:color="auto" w:fill="auto"/>
            <w:noWrap/>
            <w:vAlign w:val="bottom"/>
            <w:hideMark/>
          </w:tcPr>
          <w:p w14:paraId="330BC71A"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r>
      <w:tr w:rsidR="000D72D4" w:rsidRPr="000D72D4" w14:paraId="512C51A6"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27F70F21"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1</w:t>
            </w:r>
          </w:p>
        </w:tc>
        <w:tc>
          <w:tcPr>
            <w:tcW w:w="3500" w:type="dxa"/>
            <w:tcBorders>
              <w:top w:val="nil"/>
              <w:left w:val="nil"/>
              <w:bottom w:val="single" w:sz="8" w:space="0" w:color="auto"/>
              <w:right w:val="single" w:sz="8" w:space="0" w:color="auto"/>
            </w:tcBorders>
            <w:shd w:val="clear" w:color="auto" w:fill="auto"/>
            <w:noWrap/>
            <w:vAlign w:val="bottom"/>
            <w:hideMark/>
          </w:tcPr>
          <w:p w14:paraId="4C0C317D"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Accounts receivable turnover ratio</w:t>
            </w:r>
          </w:p>
        </w:tc>
        <w:tc>
          <w:tcPr>
            <w:tcW w:w="1080" w:type="dxa"/>
            <w:tcBorders>
              <w:top w:val="nil"/>
              <w:left w:val="nil"/>
              <w:bottom w:val="single" w:sz="8" w:space="0" w:color="auto"/>
              <w:right w:val="single" w:sz="8" w:space="0" w:color="auto"/>
            </w:tcBorders>
            <w:shd w:val="clear" w:color="auto" w:fill="auto"/>
            <w:noWrap/>
            <w:vAlign w:val="bottom"/>
            <w:hideMark/>
          </w:tcPr>
          <w:p w14:paraId="0AD373B6"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24</w:t>
            </w:r>
          </w:p>
        </w:tc>
        <w:tc>
          <w:tcPr>
            <w:tcW w:w="1080" w:type="dxa"/>
            <w:tcBorders>
              <w:top w:val="nil"/>
              <w:left w:val="nil"/>
              <w:bottom w:val="single" w:sz="8" w:space="0" w:color="auto"/>
              <w:right w:val="single" w:sz="8" w:space="0" w:color="auto"/>
            </w:tcBorders>
            <w:shd w:val="clear" w:color="auto" w:fill="auto"/>
            <w:noWrap/>
            <w:vAlign w:val="bottom"/>
            <w:hideMark/>
          </w:tcPr>
          <w:p w14:paraId="6D0AC4C9"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28</w:t>
            </w:r>
          </w:p>
        </w:tc>
      </w:tr>
      <w:tr w:rsidR="000D72D4" w:rsidRPr="000D72D4" w14:paraId="3721EE59"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2C45263F"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2</w:t>
            </w:r>
          </w:p>
        </w:tc>
        <w:tc>
          <w:tcPr>
            <w:tcW w:w="3500" w:type="dxa"/>
            <w:tcBorders>
              <w:top w:val="nil"/>
              <w:left w:val="nil"/>
              <w:bottom w:val="single" w:sz="8" w:space="0" w:color="auto"/>
              <w:right w:val="single" w:sz="8" w:space="0" w:color="auto"/>
            </w:tcBorders>
            <w:shd w:val="clear" w:color="auto" w:fill="auto"/>
            <w:noWrap/>
            <w:vAlign w:val="bottom"/>
            <w:hideMark/>
          </w:tcPr>
          <w:p w14:paraId="73D909AA"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Inventory turnover ratio</w:t>
            </w:r>
          </w:p>
        </w:tc>
        <w:tc>
          <w:tcPr>
            <w:tcW w:w="1080" w:type="dxa"/>
            <w:tcBorders>
              <w:top w:val="nil"/>
              <w:left w:val="nil"/>
              <w:bottom w:val="single" w:sz="8" w:space="0" w:color="auto"/>
              <w:right w:val="single" w:sz="8" w:space="0" w:color="auto"/>
            </w:tcBorders>
            <w:shd w:val="clear" w:color="auto" w:fill="auto"/>
            <w:noWrap/>
            <w:vAlign w:val="bottom"/>
            <w:hideMark/>
          </w:tcPr>
          <w:p w14:paraId="6854A33C"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15</w:t>
            </w:r>
          </w:p>
        </w:tc>
        <w:tc>
          <w:tcPr>
            <w:tcW w:w="1080" w:type="dxa"/>
            <w:tcBorders>
              <w:top w:val="nil"/>
              <w:left w:val="nil"/>
              <w:bottom w:val="single" w:sz="8" w:space="0" w:color="auto"/>
              <w:right w:val="single" w:sz="8" w:space="0" w:color="auto"/>
            </w:tcBorders>
            <w:shd w:val="clear" w:color="auto" w:fill="auto"/>
            <w:noWrap/>
            <w:vAlign w:val="bottom"/>
            <w:hideMark/>
          </w:tcPr>
          <w:p w14:paraId="120724F8"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12</w:t>
            </w:r>
          </w:p>
        </w:tc>
      </w:tr>
      <w:tr w:rsidR="000D72D4" w:rsidRPr="000D72D4" w14:paraId="6F3E9430"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2BC1A546"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3</w:t>
            </w:r>
          </w:p>
        </w:tc>
        <w:tc>
          <w:tcPr>
            <w:tcW w:w="3500" w:type="dxa"/>
            <w:tcBorders>
              <w:top w:val="nil"/>
              <w:left w:val="nil"/>
              <w:bottom w:val="single" w:sz="8" w:space="0" w:color="auto"/>
              <w:right w:val="single" w:sz="8" w:space="0" w:color="auto"/>
            </w:tcBorders>
            <w:shd w:val="clear" w:color="auto" w:fill="auto"/>
            <w:noWrap/>
            <w:vAlign w:val="bottom"/>
            <w:hideMark/>
          </w:tcPr>
          <w:p w14:paraId="3EEE3935"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xml:space="preserve"> Fixed assets turnover ratio</w:t>
            </w:r>
          </w:p>
        </w:tc>
        <w:tc>
          <w:tcPr>
            <w:tcW w:w="1080" w:type="dxa"/>
            <w:tcBorders>
              <w:top w:val="nil"/>
              <w:left w:val="nil"/>
              <w:bottom w:val="single" w:sz="8" w:space="0" w:color="auto"/>
              <w:right w:val="single" w:sz="8" w:space="0" w:color="auto"/>
            </w:tcBorders>
            <w:shd w:val="clear" w:color="auto" w:fill="auto"/>
            <w:noWrap/>
            <w:vAlign w:val="bottom"/>
            <w:hideMark/>
          </w:tcPr>
          <w:p w14:paraId="54158ABB"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18</w:t>
            </w:r>
          </w:p>
        </w:tc>
        <w:tc>
          <w:tcPr>
            <w:tcW w:w="1080" w:type="dxa"/>
            <w:tcBorders>
              <w:top w:val="nil"/>
              <w:left w:val="nil"/>
              <w:bottom w:val="single" w:sz="8" w:space="0" w:color="auto"/>
              <w:right w:val="single" w:sz="8" w:space="0" w:color="auto"/>
            </w:tcBorders>
            <w:shd w:val="clear" w:color="auto" w:fill="auto"/>
            <w:noWrap/>
            <w:vAlign w:val="bottom"/>
            <w:hideMark/>
          </w:tcPr>
          <w:p w14:paraId="59781806"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13</w:t>
            </w:r>
          </w:p>
        </w:tc>
      </w:tr>
      <w:tr w:rsidR="000D72D4" w:rsidRPr="000D72D4" w14:paraId="6F85A2DC"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4EC7F8DC"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4</w:t>
            </w:r>
          </w:p>
        </w:tc>
        <w:tc>
          <w:tcPr>
            <w:tcW w:w="3500" w:type="dxa"/>
            <w:tcBorders>
              <w:top w:val="nil"/>
              <w:left w:val="nil"/>
              <w:bottom w:val="single" w:sz="8" w:space="0" w:color="auto"/>
              <w:right w:val="single" w:sz="8" w:space="0" w:color="auto"/>
            </w:tcBorders>
            <w:shd w:val="clear" w:color="auto" w:fill="auto"/>
            <w:noWrap/>
            <w:vAlign w:val="bottom"/>
            <w:hideMark/>
          </w:tcPr>
          <w:p w14:paraId="68A300D6"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Accounts payable turnover ratio</w:t>
            </w:r>
          </w:p>
        </w:tc>
        <w:tc>
          <w:tcPr>
            <w:tcW w:w="1080" w:type="dxa"/>
            <w:tcBorders>
              <w:top w:val="nil"/>
              <w:left w:val="nil"/>
              <w:bottom w:val="single" w:sz="8" w:space="0" w:color="auto"/>
              <w:right w:val="single" w:sz="8" w:space="0" w:color="auto"/>
            </w:tcBorders>
            <w:shd w:val="clear" w:color="auto" w:fill="auto"/>
            <w:noWrap/>
            <w:vAlign w:val="bottom"/>
            <w:hideMark/>
          </w:tcPr>
          <w:p w14:paraId="506407AE"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14</w:t>
            </w:r>
          </w:p>
        </w:tc>
        <w:tc>
          <w:tcPr>
            <w:tcW w:w="1080" w:type="dxa"/>
            <w:tcBorders>
              <w:top w:val="nil"/>
              <w:left w:val="nil"/>
              <w:bottom w:val="single" w:sz="8" w:space="0" w:color="auto"/>
              <w:right w:val="single" w:sz="8" w:space="0" w:color="auto"/>
            </w:tcBorders>
            <w:shd w:val="clear" w:color="auto" w:fill="auto"/>
            <w:noWrap/>
            <w:vAlign w:val="bottom"/>
            <w:hideMark/>
          </w:tcPr>
          <w:p w14:paraId="2887744E"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18</w:t>
            </w:r>
          </w:p>
        </w:tc>
      </w:tr>
      <w:tr w:rsidR="000D72D4" w:rsidRPr="000D72D4" w14:paraId="54DE83E2"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74C5B98B"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3500" w:type="dxa"/>
            <w:tcBorders>
              <w:top w:val="nil"/>
              <w:left w:val="nil"/>
              <w:bottom w:val="single" w:sz="8" w:space="0" w:color="auto"/>
              <w:right w:val="single" w:sz="8" w:space="0" w:color="auto"/>
            </w:tcBorders>
            <w:shd w:val="clear" w:color="auto" w:fill="auto"/>
            <w:noWrap/>
            <w:vAlign w:val="bottom"/>
            <w:hideMark/>
          </w:tcPr>
          <w:p w14:paraId="606C11CA"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1080" w:type="dxa"/>
            <w:tcBorders>
              <w:top w:val="nil"/>
              <w:left w:val="nil"/>
              <w:bottom w:val="single" w:sz="8" w:space="0" w:color="auto"/>
              <w:right w:val="single" w:sz="8" w:space="0" w:color="auto"/>
            </w:tcBorders>
            <w:shd w:val="clear" w:color="auto" w:fill="auto"/>
            <w:noWrap/>
            <w:vAlign w:val="bottom"/>
            <w:hideMark/>
          </w:tcPr>
          <w:p w14:paraId="2CF35BCF"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1080" w:type="dxa"/>
            <w:tcBorders>
              <w:top w:val="nil"/>
              <w:left w:val="nil"/>
              <w:bottom w:val="single" w:sz="8" w:space="0" w:color="auto"/>
              <w:right w:val="single" w:sz="8" w:space="0" w:color="auto"/>
            </w:tcBorders>
            <w:shd w:val="clear" w:color="auto" w:fill="auto"/>
            <w:noWrap/>
            <w:vAlign w:val="bottom"/>
            <w:hideMark/>
          </w:tcPr>
          <w:p w14:paraId="0F15DD7B"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r>
      <w:tr w:rsidR="000D72D4" w:rsidRPr="000D72D4" w14:paraId="46EDEEFA"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77766AE3"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3500" w:type="dxa"/>
            <w:tcBorders>
              <w:top w:val="nil"/>
              <w:left w:val="nil"/>
              <w:bottom w:val="single" w:sz="8" w:space="0" w:color="auto"/>
              <w:right w:val="single" w:sz="8" w:space="0" w:color="auto"/>
            </w:tcBorders>
            <w:shd w:val="clear" w:color="auto" w:fill="auto"/>
            <w:noWrap/>
            <w:vAlign w:val="bottom"/>
            <w:hideMark/>
          </w:tcPr>
          <w:p w14:paraId="14EF74FD" w14:textId="77777777" w:rsidR="000D72D4" w:rsidRPr="000D72D4" w:rsidRDefault="000D72D4" w:rsidP="000D72D4">
            <w:pPr>
              <w:spacing w:before="0" w:beforeAutospacing="0" w:after="0" w:afterAutospacing="0" w:line="240" w:lineRule="auto"/>
              <w:jc w:val="left"/>
              <w:rPr>
                <w:rFonts w:ascii="Calibri" w:eastAsia="Times New Roman" w:hAnsi="Calibri" w:cs="Calibri"/>
                <w:b/>
                <w:bCs/>
                <w:sz w:val="22"/>
                <w:szCs w:val="22"/>
              </w:rPr>
            </w:pPr>
            <w:r w:rsidRPr="000D72D4">
              <w:rPr>
                <w:rFonts w:ascii="Calibri" w:eastAsia="Times New Roman" w:hAnsi="Calibri" w:cs="Calibri"/>
                <w:b/>
                <w:bCs/>
                <w:sz w:val="22"/>
                <w:szCs w:val="22"/>
              </w:rPr>
              <w:t>Liquidity ratio</w:t>
            </w:r>
          </w:p>
        </w:tc>
        <w:tc>
          <w:tcPr>
            <w:tcW w:w="1080" w:type="dxa"/>
            <w:tcBorders>
              <w:top w:val="nil"/>
              <w:left w:val="nil"/>
              <w:bottom w:val="single" w:sz="8" w:space="0" w:color="auto"/>
              <w:right w:val="single" w:sz="8" w:space="0" w:color="auto"/>
            </w:tcBorders>
            <w:shd w:val="clear" w:color="auto" w:fill="auto"/>
            <w:noWrap/>
            <w:vAlign w:val="bottom"/>
            <w:hideMark/>
          </w:tcPr>
          <w:p w14:paraId="4167BE64"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1080" w:type="dxa"/>
            <w:tcBorders>
              <w:top w:val="nil"/>
              <w:left w:val="nil"/>
              <w:bottom w:val="single" w:sz="8" w:space="0" w:color="auto"/>
              <w:right w:val="single" w:sz="8" w:space="0" w:color="auto"/>
            </w:tcBorders>
            <w:shd w:val="clear" w:color="auto" w:fill="auto"/>
            <w:noWrap/>
            <w:vAlign w:val="bottom"/>
            <w:hideMark/>
          </w:tcPr>
          <w:p w14:paraId="43FFC9CF"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r>
      <w:tr w:rsidR="000D72D4" w:rsidRPr="000D72D4" w14:paraId="0E2D929B"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30F5D26D"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1</w:t>
            </w:r>
          </w:p>
        </w:tc>
        <w:tc>
          <w:tcPr>
            <w:tcW w:w="3500" w:type="dxa"/>
            <w:tcBorders>
              <w:top w:val="nil"/>
              <w:left w:val="nil"/>
              <w:bottom w:val="single" w:sz="8" w:space="0" w:color="auto"/>
              <w:right w:val="single" w:sz="8" w:space="0" w:color="auto"/>
            </w:tcBorders>
            <w:shd w:val="clear" w:color="auto" w:fill="auto"/>
            <w:noWrap/>
            <w:vAlign w:val="bottom"/>
            <w:hideMark/>
          </w:tcPr>
          <w:p w14:paraId="61965EC3"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Current ratio</w:t>
            </w:r>
          </w:p>
        </w:tc>
        <w:tc>
          <w:tcPr>
            <w:tcW w:w="1080" w:type="dxa"/>
            <w:tcBorders>
              <w:top w:val="nil"/>
              <w:left w:val="nil"/>
              <w:bottom w:val="single" w:sz="8" w:space="0" w:color="auto"/>
              <w:right w:val="single" w:sz="8" w:space="0" w:color="auto"/>
            </w:tcBorders>
            <w:shd w:val="clear" w:color="auto" w:fill="auto"/>
            <w:noWrap/>
            <w:vAlign w:val="bottom"/>
            <w:hideMark/>
          </w:tcPr>
          <w:p w14:paraId="60BE3D66"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2</w:t>
            </w:r>
          </w:p>
        </w:tc>
        <w:tc>
          <w:tcPr>
            <w:tcW w:w="1080" w:type="dxa"/>
            <w:tcBorders>
              <w:top w:val="nil"/>
              <w:left w:val="nil"/>
              <w:bottom w:val="single" w:sz="8" w:space="0" w:color="auto"/>
              <w:right w:val="single" w:sz="8" w:space="0" w:color="auto"/>
            </w:tcBorders>
            <w:shd w:val="clear" w:color="auto" w:fill="auto"/>
            <w:noWrap/>
            <w:vAlign w:val="bottom"/>
            <w:hideMark/>
          </w:tcPr>
          <w:p w14:paraId="7D4654BB"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1.5</w:t>
            </w:r>
          </w:p>
        </w:tc>
      </w:tr>
      <w:tr w:rsidR="000D72D4" w:rsidRPr="000D72D4" w14:paraId="2AE42AD7" w14:textId="77777777" w:rsidTr="000D72D4">
        <w:trPr>
          <w:trHeight w:val="315"/>
        </w:trPr>
        <w:tc>
          <w:tcPr>
            <w:tcW w:w="520" w:type="dxa"/>
            <w:tcBorders>
              <w:top w:val="nil"/>
              <w:left w:val="single" w:sz="8" w:space="0" w:color="auto"/>
              <w:bottom w:val="single" w:sz="8" w:space="0" w:color="auto"/>
              <w:right w:val="single" w:sz="8" w:space="0" w:color="auto"/>
            </w:tcBorders>
            <w:shd w:val="clear" w:color="auto" w:fill="auto"/>
            <w:noWrap/>
            <w:vAlign w:val="bottom"/>
            <w:hideMark/>
          </w:tcPr>
          <w:p w14:paraId="055E03C7"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2</w:t>
            </w:r>
          </w:p>
        </w:tc>
        <w:tc>
          <w:tcPr>
            <w:tcW w:w="3500" w:type="dxa"/>
            <w:tcBorders>
              <w:top w:val="nil"/>
              <w:left w:val="nil"/>
              <w:bottom w:val="single" w:sz="8" w:space="0" w:color="auto"/>
              <w:right w:val="single" w:sz="8" w:space="0" w:color="auto"/>
            </w:tcBorders>
            <w:shd w:val="clear" w:color="auto" w:fill="auto"/>
            <w:noWrap/>
            <w:vAlign w:val="bottom"/>
            <w:hideMark/>
          </w:tcPr>
          <w:p w14:paraId="02C39701"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Quick assets ratio</w:t>
            </w:r>
          </w:p>
        </w:tc>
        <w:tc>
          <w:tcPr>
            <w:tcW w:w="1080" w:type="dxa"/>
            <w:tcBorders>
              <w:top w:val="nil"/>
              <w:left w:val="nil"/>
              <w:bottom w:val="single" w:sz="8" w:space="0" w:color="auto"/>
              <w:right w:val="single" w:sz="8" w:space="0" w:color="auto"/>
            </w:tcBorders>
            <w:shd w:val="clear" w:color="auto" w:fill="auto"/>
            <w:noWrap/>
            <w:vAlign w:val="bottom"/>
            <w:hideMark/>
          </w:tcPr>
          <w:p w14:paraId="2484AD33"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0.85</w:t>
            </w:r>
          </w:p>
        </w:tc>
        <w:tc>
          <w:tcPr>
            <w:tcW w:w="1080" w:type="dxa"/>
            <w:tcBorders>
              <w:top w:val="nil"/>
              <w:left w:val="nil"/>
              <w:bottom w:val="single" w:sz="8" w:space="0" w:color="auto"/>
              <w:right w:val="single" w:sz="8" w:space="0" w:color="auto"/>
            </w:tcBorders>
            <w:shd w:val="clear" w:color="auto" w:fill="auto"/>
            <w:noWrap/>
            <w:vAlign w:val="bottom"/>
            <w:hideMark/>
          </w:tcPr>
          <w:p w14:paraId="10F53AF9"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0.97</w:t>
            </w:r>
          </w:p>
        </w:tc>
      </w:tr>
      <w:tr w:rsidR="000D72D4" w:rsidRPr="000D72D4" w14:paraId="1184B22B" w14:textId="77777777" w:rsidTr="000D72D4">
        <w:trPr>
          <w:trHeight w:val="315"/>
        </w:trPr>
        <w:tc>
          <w:tcPr>
            <w:tcW w:w="520" w:type="dxa"/>
            <w:tcBorders>
              <w:top w:val="nil"/>
              <w:left w:val="single" w:sz="8" w:space="0" w:color="auto"/>
              <w:bottom w:val="nil"/>
              <w:right w:val="single" w:sz="8" w:space="0" w:color="auto"/>
            </w:tcBorders>
            <w:shd w:val="clear" w:color="auto" w:fill="auto"/>
            <w:noWrap/>
            <w:vAlign w:val="bottom"/>
            <w:hideMark/>
          </w:tcPr>
          <w:p w14:paraId="0E4C3F6B"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3500" w:type="dxa"/>
            <w:tcBorders>
              <w:top w:val="nil"/>
              <w:left w:val="nil"/>
              <w:bottom w:val="nil"/>
              <w:right w:val="single" w:sz="8" w:space="0" w:color="auto"/>
            </w:tcBorders>
            <w:shd w:val="clear" w:color="auto" w:fill="auto"/>
            <w:noWrap/>
            <w:vAlign w:val="bottom"/>
            <w:hideMark/>
          </w:tcPr>
          <w:p w14:paraId="1E29A006"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1080" w:type="dxa"/>
            <w:tcBorders>
              <w:top w:val="nil"/>
              <w:left w:val="nil"/>
              <w:bottom w:val="nil"/>
              <w:right w:val="single" w:sz="8" w:space="0" w:color="auto"/>
            </w:tcBorders>
            <w:shd w:val="clear" w:color="auto" w:fill="auto"/>
            <w:noWrap/>
            <w:vAlign w:val="bottom"/>
            <w:hideMark/>
          </w:tcPr>
          <w:p w14:paraId="3DECC9D7"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1080" w:type="dxa"/>
            <w:tcBorders>
              <w:top w:val="nil"/>
              <w:left w:val="nil"/>
              <w:bottom w:val="nil"/>
              <w:right w:val="single" w:sz="8" w:space="0" w:color="auto"/>
            </w:tcBorders>
            <w:shd w:val="clear" w:color="auto" w:fill="auto"/>
            <w:noWrap/>
            <w:vAlign w:val="bottom"/>
            <w:hideMark/>
          </w:tcPr>
          <w:p w14:paraId="400817C5"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r>
      <w:tr w:rsidR="000D72D4" w:rsidRPr="000D72D4" w14:paraId="0CE027A8" w14:textId="77777777" w:rsidTr="000D72D4">
        <w:trPr>
          <w:trHeight w:val="300"/>
        </w:trPr>
        <w:tc>
          <w:tcPr>
            <w:tcW w:w="5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AB3C7AE"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3500" w:type="dxa"/>
            <w:tcBorders>
              <w:top w:val="single" w:sz="8" w:space="0" w:color="auto"/>
              <w:left w:val="nil"/>
              <w:bottom w:val="single" w:sz="4" w:space="0" w:color="auto"/>
              <w:right w:val="single" w:sz="4" w:space="0" w:color="auto"/>
            </w:tcBorders>
            <w:shd w:val="clear" w:color="auto" w:fill="auto"/>
            <w:noWrap/>
            <w:vAlign w:val="bottom"/>
            <w:hideMark/>
          </w:tcPr>
          <w:p w14:paraId="4E00308E" w14:textId="77777777" w:rsidR="000D72D4" w:rsidRPr="000D72D4" w:rsidRDefault="000D72D4" w:rsidP="000D72D4">
            <w:pPr>
              <w:spacing w:before="0" w:beforeAutospacing="0" w:after="0" w:afterAutospacing="0" w:line="240" w:lineRule="auto"/>
              <w:jc w:val="left"/>
              <w:rPr>
                <w:rFonts w:ascii="Calibri" w:eastAsia="Times New Roman" w:hAnsi="Calibri" w:cs="Calibri"/>
                <w:b/>
                <w:bCs/>
                <w:sz w:val="22"/>
                <w:szCs w:val="22"/>
              </w:rPr>
            </w:pPr>
            <w:r w:rsidRPr="000D72D4">
              <w:rPr>
                <w:rFonts w:ascii="Calibri" w:eastAsia="Times New Roman" w:hAnsi="Calibri" w:cs="Calibri"/>
                <w:b/>
                <w:bCs/>
                <w:sz w:val="22"/>
                <w:szCs w:val="22"/>
              </w:rPr>
              <w:t>Leverage ratio</w:t>
            </w:r>
          </w:p>
        </w:tc>
        <w:tc>
          <w:tcPr>
            <w:tcW w:w="1080" w:type="dxa"/>
            <w:tcBorders>
              <w:top w:val="single" w:sz="8" w:space="0" w:color="auto"/>
              <w:left w:val="nil"/>
              <w:bottom w:val="single" w:sz="4" w:space="0" w:color="auto"/>
              <w:right w:val="single" w:sz="4" w:space="0" w:color="auto"/>
            </w:tcBorders>
            <w:shd w:val="clear" w:color="auto" w:fill="auto"/>
            <w:noWrap/>
            <w:vAlign w:val="bottom"/>
            <w:hideMark/>
          </w:tcPr>
          <w:p w14:paraId="7853A953"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c>
          <w:tcPr>
            <w:tcW w:w="1080" w:type="dxa"/>
            <w:tcBorders>
              <w:top w:val="single" w:sz="8" w:space="0" w:color="auto"/>
              <w:left w:val="nil"/>
              <w:bottom w:val="single" w:sz="4" w:space="0" w:color="auto"/>
              <w:right w:val="single" w:sz="8" w:space="0" w:color="auto"/>
            </w:tcBorders>
            <w:shd w:val="clear" w:color="auto" w:fill="auto"/>
            <w:noWrap/>
            <w:vAlign w:val="bottom"/>
            <w:hideMark/>
          </w:tcPr>
          <w:p w14:paraId="3C93CB04"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w:t>
            </w:r>
          </w:p>
        </w:tc>
      </w:tr>
      <w:tr w:rsidR="000D72D4" w:rsidRPr="000D72D4" w14:paraId="7F1A7BB8" w14:textId="77777777" w:rsidTr="000D72D4">
        <w:trPr>
          <w:trHeight w:val="300"/>
        </w:trPr>
        <w:tc>
          <w:tcPr>
            <w:tcW w:w="520" w:type="dxa"/>
            <w:tcBorders>
              <w:top w:val="nil"/>
              <w:left w:val="single" w:sz="8" w:space="0" w:color="auto"/>
              <w:bottom w:val="single" w:sz="4" w:space="0" w:color="auto"/>
              <w:right w:val="single" w:sz="4" w:space="0" w:color="auto"/>
            </w:tcBorders>
            <w:shd w:val="clear" w:color="auto" w:fill="auto"/>
            <w:noWrap/>
            <w:vAlign w:val="bottom"/>
            <w:hideMark/>
          </w:tcPr>
          <w:p w14:paraId="0E5E0B49"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1</w:t>
            </w:r>
          </w:p>
        </w:tc>
        <w:tc>
          <w:tcPr>
            <w:tcW w:w="3500" w:type="dxa"/>
            <w:tcBorders>
              <w:top w:val="nil"/>
              <w:left w:val="nil"/>
              <w:bottom w:val="single" w:sz="4" w:space="0" w:color="auto"/>
              <w:right w:val="single" w:sz="4" w:space="0" w:color="auto"/>
            </w:tcBorders>
            <w:shd w:val="clear" w:color="auto" w:fill="auto"/>
            <w:noWrap/>
            <w:vAlign w:val="bottom"/>
            <w:hideMark/>
          </w:tcPr>
          <w:p w14:paraId="48E3AC49"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Debt to assets ratio</w:t>
            </w:r>
          </w:p>
        </w:tc>
        <w:tc>
          <w:tcPr>
            <w:tcW w:w="1080" w:type="dxa"/>
            <w:tcBorders>
              <w:top w:val="nil"/>
              <w:left w:val="nil"/>
              <w:bottom w:val="single" w:sz="4" w:space="0" w:color="auto"/>
              <w:right w:val="single" w:sz="4" w:space="0" w:color="auto"/>
            </w:tcBorders>
            <w:shd w:val="clear" w:color="auto" w:fill="auto"/>
            <w:noWrap/>
            <w:vAlign w:val="bottom"/>
            <w:hideMark/>
          </w:tcPr>
          <w:p w14:paraId="61555245"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2%</w:t>
            </w:r>
          </w:p>
        </w:tc>
        <w:tc>
          <w:tcPr>
            <w:tcW w:w="1080" w:type="dxa"/>
            <w:tcBorders>
              <w:top w:val="nil"/>
              <w:left w:val="nil"/>
              <w:bottom w:val="single" w:sz="4" w:space="0" w:color="auto"/>
              <w:right w:val="single" w:sz="8" w:space="0" w:color="auto"/>
            </w:tcBorders>
            <w:shd w:val="clear" w:color="auto" w:fill="auto"/>
            <w:noWrap/>
            <w:vAlign w:val="bottom"/>
            <w:hideMark/>
          </w:tcPr>
          <w:p w14:paraId="21421488"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2%</w:t>
            </w:r>
          </w:p>
        </w:tc>
      </w:tr>
      <w:tr w:rsidR="000D72D4" w:rsidRPr="000D72D4" w14:paraId="32AE0DEE" w14:textId="77777777" w:rsidTr="000D72D4">
        <w:trPr>
          <w:trHeight w:val="315"/>
        </w:trPr>
        <w:tc>
          <w:tcPr>
            <w:tcW w:w="520" w:type="dxa"/>
            <w:tcBorders>
              <w:top w:val="nil"/>
              <w:left w:val="single" w:sz="8" w:space="0" w:color="auto"/>
              <w:bottom w:val="single" w:sz="8" w:space="0" w:color="auto"/>
              <w:right w:val="single" w:sz="4" w:space="0" w:color="auto"/>
            </w:tcBorders>
            <w:shd w:val="clear" w:color="auto" w:fill="auto"/>
            <w:noWrap/>
            <w:vAlign w:val="bottom"/>
            <w:hideMark/>
          </w:tcPr>
          <w:p w14:paraId="36094BA3"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2</w:t>
            </w:r>
          </w:p>
        </w:tc>
        <w:tc>
          <w:tcPr>
            <w:tcW w:w="3500" w:type="dxa"/>
            <w:tcBorders>
              <w:top w:val="nil"/>
              <w:left w:val="nil"/>
              <w:bottom w:val="single" w:sz="8" w:space="0" w:color="auto"/>
              <w:right w:val="single" w:sz="4" w:space="0" w:color="auto"/>
            </w:tcBorders>
            <w:shd w:val="clear" w:color="auto" w:fill="auto"/>
            <w:noWrap/>
            <w:vAlign w:val="bottom"/>
            <w:hideMark/>
          </w:tcPr>
          <w:p w14:paraId="1DA7878E" w14:textId="77777777" w:rsidR="000D72D4" w:rsidRPr="000D72D4" w:rsidRDefault="000D72D4" w:rsidP="000D72D4">
            <w:pPr>
              <w:spacing w:before="0" w:beforeAutospacing="0" w:after="0" w:afterAutospacing="0" w:line="240" w:lineRule="auto"/>
              <w:jc w:val="left"/>
              <w:rPr>
                <w:rFonts w:ascii="Calibri" w:eastAsia="Times New Roman" w:hAnsi="Calibri" w:cs="Calibri"/>
                <w:sz w:val="22"/>
                <w:szCs w:val="22"/>
              </w:rPr>
            </w:pPr>
            <w:r w:rsidRPr="000D72D4">
              <w:rPr>
                <w:rFonts w:ascii="Calibri" w:eastAsia="Times New Roman" w:hAnsi="Calibri" w:cs="Calibri"/>
                <w:sz w:val="22"/>
                <w:szCs w:val="22"/>
              </w:rPr>
              <w:t xml:space="preserve"> Debt to capital ratio</w:t>
            </w:r>
          </w:p>
        </w:tc>
        <w:tc>
          <w:tcPr>
            <w:tcW w:w="1080" w:type="dxa"/>
            <w:tcBorders>
              <w:top w:val="nil"/>
              <w:left w:val="nil"/>
              <w:bottom w:val="single" w:sz="8" w:space="0" w:color="auto"/>
              <w:right w:val="single" w:sz="4" w:space="0" w:color="auto"/>
            </w:tcBorders>
            <w:shd w:val="clear" w:color="auto" w:fill="auto"/>
            <w:noWrap/>
            <w:vAlign w:val="bottom"/>
            <w:hideMark/>
          </w:tcPr>
          <w:p w14:paraId="3F08162C"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7%</w:t>
            </w:r>
          </w:p>
        </w:tc>
        <w:tc>
          <w:tcPr>
            <w:tcW w:w="1080" w:type="dxa"/>
            <w:tcBorders>
              <w:top w:val="nil"/>
              <w:left w:val="nil"/>
              <w:bottom w:val="single" w:sz="8" w:space="0" w:color="auto"/>
              <w:right w:val="single" w:sz="8" w:space="0" w:color="auto"/>
            </w:tcBorders>
            <w:shd w:val="clear" w:color="auto" w:fill="auto"/>
            <w:noWrap/>
            <w:vAlign w:val="bottom"/>
            <w:hideMark/>
          </w:tcPr>
          <w:p w14:paraId="344769AE" w14:textId="77777777" w:rsidR="000D72D4" w:rsidRPr="000D72D4" w:rsidRDefault="000D72D4" w:rsidP="000D72D4">
            <w:pPr>
              <w:spacing w:before="0" w:beforeAutospacing="0" w:after="0" w:afterAutospacing="0" w:line="240" w:lineRule="auto"/>
              <w:jc w:val="right"/>
              <w:rPr>
                <w:rFonts w:ascii="Calibri" w:eastAsia="Times New Roman" w:hAnsi="Calibri" w:cs="Calibri"/>
                <w:sz w:val="22"/>
                <w:szCs w:val="22"/>
              </w:rPr>
            </w:pPr>
            <w:r w:rsidRPr="000D72D4">
              <w:rPr>
                <w:rFonts w:ascii="Calibri" w:eastAsia="Times New Roman" w:hAnsi="Calibri" w:cs="Calibri"/>
                <w:sz w:val="22"/>
                <w:szCs w:val="22"/>
              </w:rPr>
              <w:t>7%</w:t>
            </w:r>
          </w:p>
        </w:tc>
      </w:tr>
    </w:tbl>
    <w:p w14:paraId="5A593582" w14:textId="77777777" w:rsidR="00266205" w:rsidRDefault="00B8221A" w:rsidP="00B8221A">
      <w:pPr>
        <w:pStyle w:val="Heading2"/>
      </w:pPr>
      <w:bookmarkStart w:id="3" w:name="_Toc44748951"/>
      <w:r>
        <w:t>2.2 Discussion of families</w:t>
      </w:r>
      <w:bookmarkEnd w:id="3"/>
    </w:p>
    <w:p w14:paraId="2B669219" w14:textId="77777777" w:rsidR="00CD0A3B" w:rsidRDefault="00CD0A3B" w:rsidP="00CD0A3B"/>
    <w:p w14:paraId="18FF82B4" w14:textId="77777777" w:rsidR="00CD0A3B" w:rsidRDefault="00CD0A3B" w:rsidP="00CD0A3B"/>
    <w:p w14:paraId="1D460105" w14:textId="77777777" w:rsidR="00CD0A3B" w:rsidRDefault="00CD0A3B" w:rsidP="00CD0A3B"/>
    <w:p w14:paraId="21A1D730" w14:textId="77777777" w:rsidR="00CD0A3B" w:rsidRDefault="00CD0A3B" w:rsidP="00CD0A3B"/>
    <w:p w14:paraId="58C91305" w14:textId="77777777" w:rsidR="00CD0A3B" w:rsidRDefault="00CD0A3B" w:rsidP="00CD0A3B"/>
    <w:p w14:paraId="34EB84B4" w14:textId="77777777" w:rsidR="00CD0A3B" w:rsidRPr="00CD0A3B" w:rsidRDefault="00CD0A3B" w:rsidP="00CD0A3B"/>
    <w:p w14:paraId="4A4EB7B8" w14:textId="77777777" w:rsidR="00F56C06" w:rsidRDefault="00B91EB2" w:rsidP="00B8221A">
      <w:r>
        <w:rPr>
          <w:noProof/>
        </w:rPr>
        <w:lastRenderedPageBreak/>
        <w:pict w14:anchorId="2A00AB5C">
          <v:shapetype id="_x0000_t32" coordsize="21600,21600" o:spt="32" o:oned="t" path="m,l21600,21600e" filled="f">
            <v:path arrowok="t" fillok="f" o:connecttype="none"/>
            <o:lock v:ext="edit" shapetype="t"/>
          </v:shapetype>
          <v:shape id="_x0000_s1046" type="#_x0000_t32" style="position:absolute;left:0;text-align:left;margin-left:419.75pt;margin-top:34.4pt;width:0;height:166.45pt;z-index:251654140" o:connectortype="straight">
            <v:stroke endarrow="block"/>
          </v:shape>
        </w:pict>
      </w:r>
      <w:r>
        <w:rPr>
          <w:noProof/>
        </w:rPr>
        <w:pict w14:anchorId="76BAC481">
          <v:shape id="_x0000_s1045" type="#_x0000_t32" style="position:absolute;left:0;text-align:left;margin-left:289.35pt;margin-top:34.4pt;width:2.05pt;height:92.6pt;z-index:251655165" o:connectortype="straight">
            <v:stroke endarrow="block"/>
          </v:shape>
        </w:pict>
      </w:r>
      <w:r>
        <w:rPr>
          <w:noProof/>
        </w:rPr>
        <w:pict w14:anchorId="76119221">
          <v:shape id="_x0000_s1044" type="#_x0000_t32" style="position:absolute;left:0;text-align:left;margin-left:179.3pt;margin-top:34.4pt;width:1.4pt;height:191.8pt;flip:x;z-index:251656190" o:connectortype="straight">
            <v:stroke endarrow="block"/>
          </v:shape>
        </w:pict>
      </w:r>
      <w:r>
        <w:rPr>
          <w:noProof/>
        </w:rPr>
        <w:pict w14:anchorId="1B1FF334">
          <v:shape id="_x0000_s1043" type="#_x0000_t32" style="position:absolute;left:0;text-align:left;margin-left:48.9pt;margin-top:34.4pt;width:4.1pt;height:108.05pt;flip:x;z-index:251657215" o:connectortype="straight">
            <v:stroke endarrow="block"/>
          </v:shape>
        </w:pict>
      </w:r>
      <w:r>
        <w:rPr>
          <w:noProof/>
        </w:rPr>
        <w:pict w14:anchorId="33C1C511">
          <v:shape id="_x0000_s1042" type="#_x0000_t32" style="position:absolute;left:0;text-align:left;margin-left:53pt;margin-top:34.4pt;width:366.75pt;height:0;z-index:251674624" o:connectortype="straight"/>
        </w:pict>
      </w:r>
      <w:r>
        <w:rPr>
          <w:noProof/>
        </w:rPr>
        <w:pict w14:anchorId="2BB1F957">
          <v:rect id="_x0000_s1041" style="position:absolute;left:0;text-align:left;margin-left:374.95pt;margin-top:200.85pt;width:101.2pt;height:51.15pt;z-index:251673600">
            <v:textbox>
              <w:txbxContent>
                <w:p w14:paraId="21DEE83E" w14:textId="77777777" w:rsidR="00CD0A3B" w:rsidRDefault="00686608">
                  <w:r>
                    <w:t>Receivable turnover ratio</w:t>
                  </w:r>
                </w:p>
              </w:txbxContent>
            </v:textbox>
          </v:rect>
        </w:pict>
      </w:r>
      <w:r>
        <w:rPr>
          <w:noProof/>
        </w:rPr>
        <w:pict w14:anchorId="65B7421D">
          <v:rect id="_x0000_s1040" style="position:absolute;left:0;text-align:left;margin-left:374.95pt;margin-top:142.45pt;width:97.15pt;height:47.75pt;z-index:251672576">
            <v:textbox>
              <w:txbxContent>
                <w:p w14:paraId="7BDE480F" w14:textId="77777777" w:rsidR="00CD0A3B" w:rsidRDefault="00CD0A3B">
                  <w:r>
                    <w:t>Inventory turnover ratio</w:t>
                  </w:r>
                </w:p>
              </w:txbxContent>
            </v:textbox>
          </v:rect>
        </w:pict>
      </w:r>
      <w:r>
        <w:rPr>
          <w:noProof/>
        </w:rPr>
        <w:pict w14:anchorId="427045A0">
          <v:rect id="_x0000_s1039" style="position:absolute;left:0;text-align:left;margin-left:374.95pt;margin-top:86.05pt;width:91.7pt;height:47.75pt;z-index:251671552">
            <v:textbox>
              <w:txbxContent>
                <w:p w14:paraId="468D50DD" w14:textId="77777777" w:rsidR="00CD0A3B" w:rsidRDefault="00CD0A3B">
                  <w:r>
                    <w:t>Fixed asset turnover ratio</w:t>
                  </w:r>
                </w:p>
              </w:txbxContent>
            </v:textbox>
          </v:rect>
        </w:pict>
      </w:r>
      <w:r>
        <w:rPr>
          <w:noProof/>
        </w:rPr>
        <w:pict w14:anchorId="682BE4F6">
          <v:rect id="_x0000_s1037" style="position:absolute;left:0;text-align:left;margin-left:256.1pt;margin-top:127pt;width:100.5pt;height:39.2pt;z-index:251669504">
            <v:textbox>
              <w:txbxContent>
                <w:p w14:paraId="388F8EAA" w14:textId="77777777" w:rsidR="00CD0A3B" w:rsidRDefault="00CD0A3B">
                  <w:r>
                    <w:t>Interest coverage ratio</w:t>
                  </w:r>
                </w:p>
              </w:txbxContent>
            </v:textbox>
          </v:rect>
        </w:pict>
      </w:r>
      <w:r>
        <w:rPr>
          <w:noProof/>
        </w:rPr>
        <w:pict w14:anchorId="76FBA966">
          <v:rect id="_x0000_s1036" style="position:absolute;left:0;text-align:left;margin-left:256.1pt;margin-top:86.05pt;width:78.8pt;height:29.2pt;z-index:251668480">
            <v:textbox>
              <w:txbxContent>
                <w:p w14:paraId="000537B7" w14:textId="77777777" w:rsidR="00CD0A3B" w:rsidRDefault="00CD0A3B">
                  <w:r>
                    <w:t>Debt-equity ratio</w:t>
                  </w:r>
                </w:p>
              </w:txbxContent>
            </v:textbox>
          </v:rect>
        </w:pict>
      </w:r>
      <w:r>
        <w:rPr>
          <w:noProof/>
        </w:rPr>
        <w:pict w14:anchorId="2F9EADCF">
          <v:rect id="_x0000_s1034" style="position:absolute;left:0;text-align:left;margin-left:139.25pt;margin-top:226.2pt;width:104.6pt;height:48.2pt;z-index:251666432">
            <v:textbox>
              <w:txbxContent>
                <w:p w14:paraId="51999721" w14:textId="77777777" w:rsidR="00CD0A3B" w:rsidRDefault="00B62B05">
                  <w:r>
                    <w:t>Return on cap</w:t>
                  </w:r>
                  <w:r w:rsidR="00CD0A3B">
                    <w:t xml:space="preserve">ital </w:t>
                  </w:r>
                  <w:r>
                    <w:t>employed</w:t>
                  </w:r>
                </w:p>
              </w:txbxContent>
            </v:textbox>
          </v:rect>
        </w:pict>
      </w:r>
      <w:r>
        <w:rPr>
          <w:noProof/>
        </w:rPr>
        <w:pict w14:anchorId="757EAC7F">
          <v:rect id="_x0000_s1033" style="position:absolute;left:0;text-align:left;margin-left:135.85pt;margin-top:175.9pt;width:103.25pt;height:33.95pt;z-index:251665408">
            <v:textbox>
              <w:txbxContent>
                <w:p w14:paraId="33BE05DA" w14:textId="77777777" w:rsidR="00CD0A3B" w:rsidRDefault="00CD0A3B">
                  <w:r>
                    <w:t>Net profit ratio</w:t>
                  </w:r>
                </w:p>
              </w:txbxContent>
            </v:textbox>
          </v:rect>
        </w:pict>
      </w:r>
      <w:r>
        <w:rPr>
          <w:noProof/>
        </w:rPr>
        <w:pict w14:anchorId="17AC7D39">
          <v:rect id="_x0000_s1032" style="position:absolute;left:0;text-align:left;margin-left:135.85pt;margin-top:120.25pt;width:103.25pt;height:45.95pt;z-index:251664384">
            <v:textbox>
              <w:txbxContent>
                <w:p w14:paraId="60F64BEA" w14:textId="77777777" w:rsidR="00CD0A3B" w:rsidRDefault="00CD0A3B">
                  <w:r>
                    <w:t>Operating profit ratio</w:t>
                  </w:r>
                </w:p>
              </w:txbxContent>
            </v:textbox>
          </v:rect>
        </w:pict>
      </w:r>
      <w:r>
        <w:rPr>
          <w:noProof/>
        </w:rPr>
        <w:pict w14:anchorId="4F4CBB90">
          <v:rect id="_x0000_s1031" style="position:absolute;left:0;text-align:left;margin-left:135.85pt;margin-top:83.3pt;width:103.25pt;height:24.7pt;z-index:251663360">
            <v:textbox>
              <w:txbxContent>
                <w:p w14:paraId="06B4BD1E" w14:textId="77777777" w:rsidR="00CD0A3B" w:rsidRDefault="00CD0A3B">
                  <w:r>
                    <w:t>Gross profit ratio</w:t>
                  </w:r>
                </w:p>
              </w:txbxContent>
            </v:textbox>
          </v:rect>
        </w:pict>
      </w:r>
      <w:r>
        <w:rPr>
          <w:noProof/>
        </w:rPr>
        <w:pict w14:anchorId="4DC46492">
          <v:rect id="_x0000_s1029" style="position:absolute;left:0;text-align:left;margin-left:10.85pt;margin-top:142.45pt;width:77.45pt;height:23.75pt;z-index:251661312">
            <v:textbox>
              <w:txbxContent>
                <w:p w14:paraId="32BF347D" w14:textId="77777777" w:rsidR="00CD0A3B" w:rsidRDefault="00CD0A3B">
                  <w:r>
                    <w:t>Quick ratio</w:t>
                  </w:r>
                </w:p>
              </w:txbxContent>
            </v:textbox>
          </v:rect>
        </w:pict>
      </w:r>
      <w:r>
        <w:rPr>
          <w:noProof/>
        </w:rPr>
        <w:pict w14:anchorId="0253060A">
          <v:rect id="_x0000_s1028" style="position:absolute;left:0;text-align:left;margin-left:10.85pt;margin-top:94.4pt;width:84.25pt;height:32.6pt;z-index:251660288">
            <v:textbox>
              <w:txbxContent>
                <w:p w14:paraId="738A79E9" w14:textId="77777777" w:rsidR="00CD0A3B" w:rsidRDefault="00CD0A3B">
                  <w:r>
                    <w:t>Current ratio</w:t>
                  </w:r>
                </w:p>
              </w:txbxContent>
            </v:textbox>
          </v:rect>
        </w:pict>
      </w:r>
      <w:r>
        <w:rPr>
          <w:noProof/>
        </w:rPr>
        <w:pict w14:anchorId="461B6EAC">
          <v:rect id="_x0000_s1038" style="position:absolute;left:0;text-align:left;margin-left:374.95pt;margin-top:47.95pt;width:91.7pt;height:24.75pt;z-index:251670528">
            <v:textbox>
              <w:txbxContent>
                <w:p w14:paraId="506B3015" w14:textId="77777777" w:rsidR="00CD0A3B" w:rsidRDefault="00CD0A3B">
                  <w:r>
                    <w:t>Efficiency ratio</w:t>
                  </w:r>
                </w:p>
              </w:txbxContent>
            </v:textbox>
          </v:rect>
        </w:pict>
      </w:r>
      <w:r>
        <w:rPr>
          <w:noProof/>
        </w:rPr>
        <w:pict w14:anchorId="25718971">
          <v:rect id="_x0000_s1035" style="position:absolute;left:0;text-align:left;margin-left:256.1pt;margin-top:47.95pt;width:93.05pt;height:24.75pt;z-index:251667456">
            <v:textbox>
              <w:txbxContent>
                <w:p w14:paraId="65950972" w14:textId="77777777" w:rsidR="00CD0A3B" w:rsidRDefault="00CD0A3B">
                  <w:r>
                    <w:t>Leverage ratio</w:t>
                  </w:r>
                </w:p>
              </w:txbxContent>
            </v:textbox>
          </v:rect>
        </w:pict>
      </w:r>
      <w:r>
        <w:rPr>
          <w:noProof/>
        </w:rPr>
        <w:pict w14:anchorId="0FB26D13">
          <v:rect id="_x0000_s1030" style="position:absolute;left:0;text-align:left;margin-left:135.85pt;margin-top:51.4pt;width:103.25pt;height:21.3pt;z-index:251662336">
            <v:textbox>
              <w:txbxContent>
                <w:p w14:paraId="6AA2EA8C" w14:textId="77777777" w:rsidR="00CD0A3B" w:rsidRDefault="00CD0A3B">
                  <w:r>
                    <w:t>Profitability ratio</w:t>
                  </w:r>
                </w:p>
              </w:txbxContent>
            </v:textbox>
          </v:rect>
        </w:pict>
      </w:r>
      <w:r>
        <w:rPr>
          <w:noProof/>
        </w:rPr>
        <w:pict w14:anchorId="4B0F2E25">
          <v:rect id="_x0000_s1027" style="position:absolute;left:0;text-align:left;margin-left:14.95pt;margin-top:51.4pt;width:88.3pt;height:25.35pt;z-index:251659264">
            <v:textbox>
              <w:txbxContent>
                <w:p w14:paraId="1372B8BE" w14:textId="77777777" w:rsidR="00CD0A3B" w:rsidRDefault="00CD0A3B">
                  <w:r>
                    <w:t>Liquidity ratio</w:t>
                  </w:r>
                </w:p>
              </w:txbxContent>
            </v:textbox>
          </v:rect>
        </w:pict>
      </w:r>
      <w:r>
        <w:rPr>
          <w:noProof/>
        </w:rPr>
        <w:pict w14:anchorId="206A1CC8">
          <v:rect id="_x0000_s1026" style="position:absolute;left:0;text-align:left;margin-left:159.6pt;margin-top:7.25pt;width:165.1pt;height:27.15pt;z-index:251658240">
            <v:textbox>
              <w:txbxContent>
                <w:p w14:paraId="58A664B5" w14:textId="77777777" w:rsidR="00CD0A3B" w:rsidRDefault="00CD0A3B" w:rsidP="00CD0A3B">
                  <w:pPr>
                    <w:jc w:val="center"/>
                  </w:pPr>
                  <w:r>
                    <w:t>RATIO ANALYSIS TYPES</w:t>
                  </w:r>
                </w:p>
              </w:txbxContent>
            </v:textbox>
          </v:rect>
        </w:pict>
      </w:r>
    </w:p>
    <w:p w14:paraId="48EAEEE0" w14:textId="77777777" w:rsidR="00F56C06" w:rsidRPr="00F56C06" w:rsidRDefault="00F56C06" w:rsidP="00F56C06"/>
    <w:p w14:paraId="77DAE9D4" w14:textId="77777777" w:rsidR="00F56C06" w:rsidRPr="00F56C06" w:rsidRDefault="00F56C06" w:rsidP="00F56C06"/>
    <w:p w14:paraId="24495DC8" w14:textId="77777777" w:rsidR="00F56C06" w:rsidRPr="00F56C06" w:rsidRDefault="00F56C06" w:rsidP="00F56C06"/>
    <w:p w14:paraId="2D9F8D8F" w14:textId="77777777" w:rsidR="00F56C06" w:rsidRPr="00F56C06" w:rsidRDefault="00F56C06" w:rsidP="00F56C06"/>
    <w:p w14:paraId="5D0680DD" w14:textId="77777777" w:rsidR="00F56C06" w:rsidRPr="00F56C06" w:rsidRDefault="00F56C06" w:rsidP="00F56C06"/>
    <w:p w14:paraId="5D8A76ED" w14:textId="77777777" w:rsidR="00F56C06" w:rsidRPr="00F56C06" w:rsidRDefault="00F56C06" w:rsidP="00F56C06"/>
    <w:p w14:paraId="2401375E" w14:textId="77777777" w:rsidR="00F56C06" w:rsidRPr="00F56C06" w:rsidRDefault="00F56C06" w:rsidP="00F56C06"/>
    <w:p w14:paraId="5DB5DFBF" w14:textId="77777777" w:rsidR="00F56C06" w:rsidRPr="00F56C06" w:rsidRDefault="00F56C06" w:rsidP="00F56C06"/>
    <w:p w14:paraId="255590FC" w14:textId="77777777" w:rsidR="00F56C06" w:rsidRDefault="00F56C06" w:rsidP="00F56C06">
      <w:pPr>
        <w:rPr>
          <w:b/>
          <w:bCs/>
        </w:rPr>
      </w:pPr>
      <w:r>
        <w:rPr>
          <w:b/>
          <w:bCs/>
        </w:rPr>
        <w:t>Liquidity ratio:</w:t>
      </w:r>
    </w:p>
    <w:p w14:paraId="5EA7CAEB" w14:textId="77777777" w:rsidR="006315A0" w:rsidRDefault="006315A0" w:rsidP="006315A0">
      <w:r>
        <w:t>Liquidity ratios are a large type of cash-related measures used to determine a debtor's ability to pay attention to current compulsory commitments without rising outside capital. Liquidity ratios measure an organization's ability to pay mandatory commitments and its benefit limit by calculating measures including its current percentage, quick percentage and percentage of income into work.</w:t>
      </w:r>
    </w:p>
    <w:p w14:paraId="66207C20" w14:textId="77777777" w:rsidR="00F56C06" w:rsidRPr="00F56C06" w:rsidRDefault="006315A0" w:rsidP="006315A0">
      <w:r>
        <w:t>Current responsibilities are broken down by mobile resources to assess the introduction of transition responsibilities in an emergency.</w:t>
      </w:r>
    </w:p>
    <w:p w14:paraId="0746C0E7" w14:textId="77777777" w:rsidR="00F56C06" w:rsidRDefault="00F56C06" w:rsidP="00F56C06">
      <w:pPr>
        <w:rPr>
          <w:b/>
          <w:bCs/>
        </w:rPr>
      </w:pPr>
      <w:r>
        <w:rPr>
          <w:b/>
          <w:bCs/>
        </w:rPr>
        <w:t>Profitability ratio:</w:t>
      </w:r>
    </w:p>
    <w:p w14:paraId="40631943" w14:textId="77777777" w:rsidR="006315A0" w:rsidRPr="006315A0" w:rsidRDefault="0072759C" w:rsidP="00F56C06">
      <w:r>
        <w:t xml:space="preserve">The profitability ratio </w:t>
      </w:r>
      <w:r w:rsidRPr="0072759C">
        <w:t>is used to evaluate an organization's ability to generate pay in relation to its costs and other costs related to the age of payment at a given time. This part talks about the organization's end product.</w:t>
      </w:r>
    </w:p>
    <w:p w14:paraId="34CCF3C9" w14:textId="77777777" w:rsidR="009C2AA3" w:rsidRDefault="009C2AA3" w:rsidP="00F56C06">
      <w:pPr>
        <w:rPr>
          <w:b/>
          <w:bCs/>
        </w:rPr>
      </w:pPr>
    </w:p>
    <w:p w14:paraId="35B134B2" w14:textId="77777777" w:rsidR="00F56C06" w:rsidRDefault="00F56C06" w:rsidP="00F56C06">
      <w:pPr>
        <w:rPr>
          <w:b/>
          <w:bCs/>
        </w:rPr>
      </w:pPr>
      <w:r>
        <w:rPr>
          <w:b/>
          <w:bCs/>
        </w:rPr>
        <w:lastRenderedPageBreak/>
        <w:t>Leverage ratio:</w:t>
      </w:r>
    </w:p>
    <w:p w14:paraId="6A3F5FDC" w14:textId="77777777" w:rsidR="0072759C" w:rsidRPr="0072759C" w:rsidRDefault="009C2AA3" w:rsidP="00F56C06">
      <w:r w:rsidRPr="009C2AA3">
        <w:t>Leverage ratio is one of the few cash estimates that will make you think about the amount of capital that comes in the form of bonds (credits) or assesses an organization's ability to meet its cash commitments. The level of impact that is important is that organizations rely on a mix of value and responsibility to fund their responsibilities and the level of responsibility that an organization has is known to be useful in assessing whether it can take into account amazingly due.</w:t>
      </w:r>
    </w:p>
    <w:p w14:paraId="1C4D7AE7" w14:textId="77777777" w:rsidR="00F56C06" w:rsidRDefault="00F56C06" w:rsidP="00F56C06">
      <w:pPr>
        <w:rPr>
          <w:b/>
          <w:bCs/>
        </w:rPr>
      </w:pPr>
      <w:r>
        <w:rPr>
          <w:b/>
          <w:bCs/>
        </w:rPr>
        <w:t>Efficiency ratio:</w:t>
      </w:r>
    </w:p>
    <w:p w14:paraId="6370ACAF" w14:textId="77777777" w:rsidR="00F56C06" w:rsidRDefault="00E55389" w:rsidP="00F56C06">
      <w:r w:rsidRPr="00E55389">
        <w:t xml:space="preserve">Efficiency </w:t>
      </w:r>
      <w:r w:rsidR="00AC28EC">
        <w:t>ratio</w:t>
      </w:r>
      <w:r w:rsidRPr="00E55389">
        <w:t xml:space="preserve"> measure</w:t>
      </w:r>
      <w:r w:rsidR="00AC28EC">
        <w:t>s</w:t>
      </w:r>
      <w:r w:rsidRPr="00E55389">
        <w:t xml:space="preserve"> an organization's ability to use its benefits and successfully address concerns in the current or current period. Despite the limited capacity limits, they are comparable in that they measure the time it takes to take money or salary from a customer or swap shares. The performance allowances include the stock conversion allowance, the asset conversion allowance and the available conversion allowance. These allowances measure the effectiveness with which an organization uses its revenue-generating resources and its ability to address these benefits. With any cash-related allowance, it is extremely appropriate to compare an organization's check with its competitors in a similar sector.</w:t>
      </w:r>
    </w:p>
    <w:p w14:paraId="749D9B53" w14:textId="77777777" w:rsidR="00D74311" w:rsidRDefault="00D74311" w:rsidP="00D74311">
      <w:pPr>
        <w:pStyle w:val="Heading2"/>
      </w:pPr>
      <w:bookmarkStart w:id="4" w:name="_Toc44748952"/>
      <w:r>
        <w:t>2.3 Analysis of each family</w:t>
      </w:r>
      <w:bookmarkEnd w:id="4"/>
    </w:p>
    <w:p w14:paraId="5D5CB29E" w14:textId="77777777" w:rsidR="00D74311" w:rsidRDefault="00ED3635" w:rsidP="00D74311">
      <w:pPr>
        <w:rPr>
          <w:b/>
          <w:bCs/>
        </w:rPr>
      </w:pPr>
      <w:r>
        <w:rPr>
          <w:b/>
          <w:bCs/>
        </w:rPr>
        <w:t>I. Liquidity ratio</w:t>
      </w:r>
    </w:p>
    <w:p w14:paraId="483D2DCA" w14:textId="77777777" w:rsidR="00C20FE4" w:rsidRDefault="00C20FE4" w:rsidP="00C20FE4">
      <w:r>
        <w:t>Liquidity ratios are estimates that are used to examine a society's ability to pay attention to its transition commitments. Liquidity ratios are typically used by upcoming banks and lending experts to decide whether to extend credit or obligation to individual entities.</w:t>
      </w:r>
    </w:p>
    <w:p w14:paraId="6E1288C7" w14:textId="77777777" w:rsidR="00ED3635" w:rsidRDefault="00C20FE4" w:rsidP="00C20FE4">
      <w:r>
        <w:t>These allowances examine a number of moderately-privileged benefits combinations for measuring current liabilities expressed in society's most recent accounting report. The higher the proportion, the better a company's ability to repay its commitments in a unique way.</w:t>
      </w:r>
    </w:p>
    <w:p w14:paraId="581637CC" w14:textId="77777777" w:rsidR="00C20FE4" w:rsidRDefault="00327A13" w:rsidP="00C20FE4">
      <w:pPr>
        <w:rPr>
          <w:i/>
          <w:iCs/>
        </w:rPr>
      </w:pPr>
      <w:r>
        <w:rPr>
          <w:i/>
          <w:iCs/>
        </w:rPr>
        <w:t>Types:</w:t>
      </w:r>
    </w:p>
    <w:p w14:paraId="6767708A" w14:textId="77777777" w:rsidR="00327A13" w:rsidRDefault="00976802" w:rsidP="00C20FE4">
      <w:pPr>
        <w:rPr>
          <w:u w:val="single"/>
        </w:rPr>
      </w:pPr>
      <w:r>
        <w:rPr>
          <w:u w:val="single"/>
        </w:rPr>
        <w:lastRenderedPageBreak/>
        <w:t>Current ratio:</w:t>
      </w:r>
    </w:p>
    <w:p w14:paraId="06553966" w14:textId="77777777" w:rsidR="008C0688" w:rsidRDefault="008C0688" w:rsidP="008C0688">
      <w:r>
        <w:t>The current report measures a company's ability to cover its short-term cards. It is a standard portion of a company's momentary liquidity. Auditors use the quote to decide whether to invest resources or lend money to a company. To calculate the current allowance, subtract the total of each conventional resource from the total by functionality. The recipe contains:</w:t>
      </w:r>
    </w:p>
    <w:p w14:paraId="0E87BAAD" w14:textId="77777777" w:rsidR="008C0688" w:rsidRDefault="008C0688" w:rsidP="008C0688">
      <w:r>
        <w:t>Current assets ÷ Current liabilities = Current ratio</w:t>
      </w:r>
    </w:p>
    <w:p w14:paraId="0811304E" w14:textId="77777777" w:rsidR="00976802" w:rsidRDefault="008C0688" w:rsidP="008C0688">
      <w:r>
        <w:t>Since the portion of existing structures is separated from current liabilities, the percentage essentially states that current liabilities can be exchanged to pay for existing structures. He likes a conventional 2: 1 allowance, with a lower rate that reflects the reduced ability to pay appropriately.</w:t>
      </w:r>
    </w:p>
    <w:p w14:paraId="1676CF52" w14:textId="77777777" w:rsidR="00FC69BE" w:rsidRDefault="00FC69BE" w:rsidP="00FC69BE">
      <w:r>
        <w:t>The current relationship can offer disappointing results in the conditions that accompany them:</w:t>
      </w:r>
    </w:p>
    <w:p w14:paraId="66FC2BFE" w14:textId="77777777" w:rsidR="00FC69BE" w:rsidRDefault="00FC69BE" w:rsidP="00FC69BE">
      <w:r w:rsidRPr="00FC69BE">
        <w:rPr>
          <w:i/>
          <w:iCs/>
        </w:rPr>
        <w:t>The counter part</w:t>
      </w:r>
      <w:r>
        <w:t xml:space="preserve">: at a time when the current utility figure is introducing a significant expansion of investment facilities, as these benefits can be difficult to sell. This can be a particular problem if executives use effective accounting methods to inflate the stock with unusually large amounts of overhead, which further damages the size of the listed </w:t>
      </w:r>
      <w:r w:rsidR="006833B3">
        <w:t>stock.</w:t>
      </w:r>
    </w:p>
    <w:p w14:paraId="733099BE" w14:textId="77777777" w:rsidR="00FC69BE" w:rsidRDefault="00FC69BE" w:rsidP="00FC69BE">
      <w:r w:rsidRPr="00FC69BE">
        <w:rPr>
          <w:i/>
          <w:iCs/>
        </w:rPr>
        <w:t>Pay off debt</w:t>
      </w:r>
      <w:r>
        <w:t>: the moment when an organization draws on its credit extension to take care of outstanding things to pay, which means the cash balance is almost zero. For this scenario, the current percentage may be quite low, but the proximity of credit expansion, despite everything, allows the company to pay up to appropriate. In this situation, the association should take into account loan owners the amount of the unused portion of the credit extension, which can be used to cover additional cards. However, there is still a longer question as to whether the organization will have the option of canceling the credit extension.</w:t>
      </w:r>
    </w:p>
    <w:p w14:paraId="2A871280" w14:textId="77777777" w:rsidR="008C0688" w:rsidRDefault="00FC69BE" w:rsidP="00FC69BE">
      <w:r w:rsidRPr="00FC69BE">
        <w:rPr>
          <w:i/>
          <w:iCs/>
        </w:rPr>
        <w:t>Comparison of sectors</w:t>
      </w:r>
      <w:r>
        <w:t>: Organizations in several companies have distinct cash-related structures, so it is impossible to anticipate the current proportions of firms across industries. Instead, the use of the current allowance for in-business collateral should be limited.</w:t>
      </w:r>
    </w:p>
    <w:p w14:paraId="1ADD7160" w14:textId="77777777" w:rsidR="00FC69BE" w:rsidRDefault="007E1C9F" w:rsidP="00FC69BE">
      <w:pPr>
        <w:rPr>
          <w:u w:val="single"/>
        </w:rPr>
      </w:pPr>
      <w:r>
        <w:rPr>
          <w:u w:val="single"/>
        </w:rPr>
        <w:t>Quick acid test ratio</w:t>
      </w:r>
    </w:p>
    <w:p w14:paraId="3C531E2E" w14:textId="20E5E079" w:rsidR="00942DDA" w:rsidRDefault="00942DDA" w:rsidP="00942DDA">
      <w:r>
        <w:lastRenderedPageBreak/>
        <w:t xml:space="preserve">The term "acid-test report" is called a quick report. The audit standard is basically used to determine if a </w:t>
      </w:r>
      <w:r w:rsidR="001A432C">
        <w:t>Mariotte</w:t>
      </w:r>
      <w:r>
        <w:t xml:space="preserve"> pub has good portable amenities that can be exchanged in a modest amount of money to pay upfront </w:t>
      </w:r>
      <w:r w:rsidR="001A432C">
        <w:t>Mariotte</w:t>
      </w:r>
      <w:r>
        <w:t xml:space="preserve"> accommodation fees. To decide the benefit test piece, the current activities of the organization must be broken down by current responsibilities.</w:t>
      </w:r>
    </w:p>
    <w:p w14:paraId="5BB9AE4A" w14:textId="77777777" w:rsidR="00942DDA" w:rsidRDefault="00942DDA" w:rsidP="00942DDA">
      <w:r>
        <w:t>The condition for the basic test package is:</w:t>
      </w:r>
    </w:p>
    <w:p w14:paraId="7D603614" w14:textId="77777777" w:rsidR="00942DDA" w:rsidRDefault="00942DDA" w:rsidP="00942DDA">
      <w:r w:rsidRPr="00942DDA">
        <w:t>Quick Asset = (Money + Credits + Bargaining Protection) / Current Liabilities</w:t>
      </w:r>
    </w:p>
    <w:p w14:paraId="6F079E5D" w14:textId="77777777" w:rsidR="00942DDA" w:rsidRDefault="00942DDA" w:rsidP="00942DDA">
      <w:r w:rsidRPr="00942DDA">
        <w:t>The stock isn't restricted from evaluating the part of the advantage test so well that it tends to be hard for an organization to change over the whole stock into money in a brief time frame. Barring stock from the formula a snappy part is a higher marker of a gathering's capacity to focus on current duties than the customary bit that helps us to remember the stock for its condition.</w:t>
      </w:r>
    </w:p>
    <w:p w14:paraId="125354CB" w14:textId="77777777" w:rsidR="006833B3" w:rsidRDefault="00E84F15" w:rsidP="00942DDA">
      <w:pPr>
        <w:rPr>
          <w:b/>
          <w:bCs/>
        </w:rPr>
      </w:pPr>
      <w:r>
        <w:rPr>
          <w:b/>
          <w:bCs/>
        </w:rPr>
        <w:t>II. Profitability ratio</w:t>
      </w:r>
    </w:p>
    <w:p w14:paraId="21E89EBA" w14:textId="77777777" w:rsidR="00AE4D07" w:rsidRDefault="00AE4D07" w:rsidP="00AE4D07">
      <w:r>
        <w:t>Profitability reports are measures defined by the money that auditors and money experts use to measure and evaluate a Marriott hotels ability to (benefit) in comparison future income, funds for accounting, labor costs and respect for a financial expert during a given period. They demonstrate how the Marriott residence uses its benefits to support return and motivation for financial experts.</w:t>
      </w:r>
    </w:p>
    <w:p w14:paraId="741E1B23" w14:textId="77777777" w:rsidR="00452B0B" w:rsidRDefault="00AE4D07" w:rsidP="00AE4D07">
      <w:r>
        <w:t>Most Marriott hotels mostly manage a check or a higher value, as this means that the organization is doing very well on the subscription payment of revenue, benefits and remuneration. Levels become increasingly important if separated by similar collections or in the past. The most commonly used efficacy medicines are as follows:</w:t>
      </w:r>
    </w:p>
    <w:p w14:paraId="4203F830" w14:textId="77777777" w:rsidR="00452B0B" w:rsidRDefault="00452B0B" w:rsidP="00452B0B">
      <w:pPr>
        <w:rPr>
          <w:u w:val="single"/>
        </w:rPr>
      </w:pPr>
      <w:r>
        <w:rPr>
          <w:u w:val="single"/>
        </w:rPr>
        <w:t>Types:</w:t>
      </w:r>
    </w:p>
    <w:p w14:paraId="2D5527A0" w14:textId="77777777" w:rsidR="00452B0B" w:rsidRDefault="00452B0B" w:rsidP="00452B0B">
      <w:r>
        <w:rPr>
          <w:i/>
          <w:iCs/>
        </w:rPr>
        <w:t>Gross profit:</w:t>
      </w:r>
      <w:r>
        <w:t xml:space="preserve"> </w:t>
      </w:r>
    </w:p>
    <w:p w14:paraId="36DDE4F7" w14:textId="77777777" w:rsidR="00452B0B" w:rsidRDefault="00AE4D07" w:rsidP="00452B0B">
      <w:r>
        <w:t xml:space="preserve">Gross profit margin: </w:t>
      </w:r>
      <w:r w:rsidRPr="00AE4D07">
        <w:t xml:space="preserve">Examine the net benefits of revenue exchange. This shows the winning of an organization, considering the significant costs of producing products and battles. A high level of income reflects greater efficiency in internal operations, which means it can advance labor </w:t>
      </w:r>
      <w:r w:rsidRPr="00AE4D07">
        <w:lastRenderedPageBreak/>
        <w:t>costs, fixed costs, benefits and recession, while at the same time having a clean commitment to revenue for the organization. In addition, low net profit considers the essential use of the products sold, which can be attributed to a strange understanding, low business costs, low business, advertising hard or wrong business promotion methods.</w:t>
      </w:r>
    </w:p>
    <w:p w14:paraId="79A5A846" w14:textId="77777777" w:rsidR="00452B0B" w:rsidRDefault="00452B0B" w:rsidP="00452B0B">
      <w:pPr>
        <w:rPr>
          <w:i/>
          <w:iCs/>
        </w:rPr>
      </w:pPr>
      <w:r>
        <w:rPr>
          <w:i/>
          <w:iCs/>
        </w:rPr>
        <w:t>EBITA Margin:</w:t>
      </w:r>
    </w:p>
    <w:p w14:paraId="63358FBF" w14:textId="77777777" w:rsidR="00452B0B" w:rsidRDefault="00AE4D07" w:rsidP="00452B0B">
      <w:r w:rsidRPr="00AE4D07">
        <w:t>EBITDA deals with revenue, revenue, depreciation and increases. Discuss the effectiveness of Marriott’s arrangement before thinking about non-incentives and assessments, more or less non-fiscal things like the recession. The advantage of reducing EBITDA margins at the Marriott hotel is that it is far from difficult to compare and different in that it rejects costs that may be uncertain or moderately specific. The barrier to EBTIDA is that it is generally the same as the net earnings and actual pay period, which are better indicators of Marriott's logical presentation. EBITDA is commonly used in various valuation methods.</w:t>
      </w:r>
    </w:p>
    <w:p w14:paraId="18D87838" w14:textId="77777777" w:rsidR="00452B0B" w:rsidRPr="006A00AE" w:rsidRDefault="00452B0B" w:rsidP="00452B0B">
      <w:pPr>
        <w:rPr>
          <w:i/>
          <w:iCs/>
        </w:rPr>
      </w:pPr>
      <w:r w:rsidRPr="006A00AE">
        <w:rPr>
          <w:i/>
          <w:iCs/>
        </w:rPr>
        <w:t>Operating profit margin</w:t>
      </w:r>
    </w:p>
    <w:p w14:paraId="4388AA0D" w14:textId="77777777" w:rsidR="00452B0B" w:rsidRDefault="00452B0B" w:rsidP="00452B0B">
      <w:r>
        <w:t xml:space="preserve">Net working income - </w:t>
      </w:r>
      <w:r w:rsidR="0053571D">
        <w:t>T</w:t>
      </w:r>
      <w:r w:rsidR="00AE4D07" w:rsidRPr="00AE4D07">
        <w:t>ake advantage of the professional rhythm of benefits before finding individual academic expenses and commitments. High-wage Marriott accommodations are generally organized to cover fixed costs and focus on activities, have a better chance of resisting budget reduction, and are more prepared to pay more offer lower than its competitors who have lower overall compensation. The net labor wage is regularly used to screen the nature of Marriott's accommodation management because a legitimate organization can improve Marriott's pub profit by taking care of its labor costs.</w:t>
      </w:r>
      <w:r w:rsidR="00AE4D07">
        <w:t xml:space="preserve"> </w:t>
      </w:r>
    </w:p>
    <w:p w14:paraId="6CF086EB" w14:textId="77777777" w:rsidR="00452B0B" w:rsidRPr="006A00AE" w:rsidRDefault="00452B0B" w:rsidP="00452B0B">
      <w:pPr>
        <w:rPr>
          <w:i/>
          <w:iCs/>
        </w:rPr>
      </w:pPr>
      <w:r w:rsidRPr="006A00AE">
        <w:rPr>
          <w:i/>
          <w:iCs/>
        </w:rPr>
        <w:t>Net profit margin</w:t>
      </w:r>
    </w:p>
    <w:p w14:paraId="6274C92C" w14:textId="77777777" w:rsidR="00452B0B" w:rsidRDefault="0053571D" w:rsidP="00452B0B">
      <w:r w:rsidRPr="0053571D">
        <w:t>Total benefit is the fundamental concern. It takes advantage of globalization and divides it into total revenue. It provides a picture of how productive the Marriott pub is after considering all costs, including interest and expenses. The incentive is to use total income. A negative part of this step is that it presents a lot of "mess, for example, when costs and profits were made, which makes it more difficult to stop a main show and its competitors.</w:t>
      </w:r>
    </w:p>
    <w:p w14:paraId="35569B17" w14:textId="77777777" w:rsidR="00452B0B" w:rsidRPr="002977C8" w:rsidRDefault="00452B0B" w:rsidP="00452B0B">
      <w:pPr>
        <w:rPr>
          <w:i/>
          <w:iCs/>
        </w:rPr>
      </w:pPr>
      <w:r w:rsidRPr="002977C8">
        <w:rPr>
          <w:i/>
          <w:iCs/>
        </w:rPr>
        <w:lastRenderedPageBreak/>
        <w:t>Revenue Margin</w:t>
      </w:r>
    </w:p>
    <w:p w14:paraId="56888FBB" w14:textId="77777777" w:rsidR="0053571D" w:rsidRDefault="00452B0B" w:rsidP="0053571D">
      <w:r>
        <w:t xml:space="preserve">Income margin: </w:t>
      </w:r>
      <w:r w:rsidR="0053571D">
        <w:t>Communicates the link between the remuneration received from a work activity and the agreements made by the organization. Estimating Marriott's accommodation capacity to negotiate cash contracts. The higher the wage level, the greater the liquidation obtained from agreements with payment service providers, the benefits, assets and regulatory obligations, more or less as you purchase capital goods. Negative revenue, however, means that regardless of whether the organization provides concessions or benefits, it could lose money at this time. For a low-priced meeting, Marriott's residence may decide to add or acquire facilities through money experts to accelerate issues.</w:t>
      </w:r>
    </w:p>
    <w:p w14:paraId="4FFED29F" w14:textId="77777777" w:rsidR="00452B0B" w:rsidRDefault="0053571D" w:rsidP="0053571D">
      <w:r>
        <w:t>Subsequent employment is the path to the success of Marriott accommodation as adequate revenues always limit costs (for example, keeping strategic distance from part-time costs late and additional registration costs) and deny permission to Marriott inn to take advantage of additional benefits or promotion openings that may arise (e.g. the ability to buy at a large discount when a competitor leaves an organization)</w:t>
      </w:r>
    </w:p>
    <w:p w14:paraId="7DE307DB" w14:textId="77777777" w:rsidR="00452B0B" w:rsidRPr="002977C8" w:rsidRDefault="00452B0B" w:rsidP="00452B0B">
      <w:pPr>
        <w:rPr>
          <w:i/>
          <w:iCs/>
        </w:rPr>
      </w:pPr>
      <w:r w:rsidRPr="002977C8">
        <w:rPr>
          <w:i/>
          <w:iCs/>
        </w:rPr>
        <w:t>Cash flow margin</w:t>
      </w:r>
    </w:p>
    <w:p w14:paraId="09B1648F" w14:textId="77777777" w:rsidR="00452B0B" w:rsidRDefault="00810730" w:rsidP="00452B0B">
      <w:r w:rsidRPr="00810730">
        <w:t xml:space="preserve">Return on Assets (ROA), as the name suggests, shows the level of total compensation compared to the general fund of the Marriott pub. Payment of ROA, in particular, is a measure of the money-saving advantage that Marriott accommodation generates for every dollar of benefits it has. It also measures the intensity of corporate profitability. The lower the profit per dollar of profit, the greater the structure of the Marriott </w:t>
      </w:r>
      <w:r>
        <w:t>hotel</w:t>
      </w:r>
      <w:r w:rsidRPr="00810730">
        <w:t>. In particular, Marriott pubs that reduce high-profit funds will have to purchase equipment and equipment to survive. Increasingly sophisticated trade battles include mixed media exchange companies, automakers and railways. Non-activity-based organizational activity allows Marriott's workplaces and scheduling residences.</w:t>
      </w:r>
    </w:p>
    <w:p w14:paraId="756B6922" w14:textId="77777777" w:rsidR="00452B0B" w:rsidRDefault="00452B0B" w:rsidP="00452B0B">
      <w:pPr>
        <w:rPr>
          <w:b/>
          <w:bCs/>
          <w:u w:val="single"/>
        </w:rPr>
      </w:pPr>
      <w:r>
        <w:rPr>
          <w:b/>
          <w:bCs/>
          <w:u w:val="single"/>
        </w:rPr>
        <w:t>Efficiency ratio</w:t>
      </w:r>
    </w:p>
    <w:p w14:paraId="34AD3D7B" w14:textId="77777777" w:rsidR="00D632A1" w:rsidRDefault="00D632A1" w:rsidP="00452B0B">
      <w:r w:rsidRPr="00D632A1">
        <w:t xml:space="preserve">Efficiency ratios measure an organization's ability to use its benefits and responsibilities for doing business. A highly profitable company has limited its net commitment to assets, and in this </w:t>
      </w:r>
      <w:r w:rsidRPr="00D632A1">
        <w:lastRenderedPageBreak/>
        <w:t>way needs less capital and bonds to stay in business. As a result of the gains, the productivity ratios track the overall liquidation of the gains per firm or the cost of the items sold. As a result of the liabilities, the required margin level divides the allowances to be added to purchases from suppliers. To reflect on its execution, these extensions usually neglect the influence of some Marriott pubs in a comparable class. The next stage is seen as limitations of capacity:</w:t>
      </w:r>
    </w:p>
    <w:p w14:paraId="751C6289" w14:textId="77777777" w:rsidR="00D632A1" w:rsidRDefault="00D632A1" w:rsidP="00D632A1">
      <w:r>
        <w:t xml:space="preserve">Accounts receivable turnover: Guaranteed as credit exchanges isolated from typical credit records. A high change rate is gotten by basically indicating very good quality client the executives, just as restricting the measure of credit given and partaking in lively grouping works out. </w:t>
      </w:r>
    </w:p>
    <w:p w14:paraId="5CFD0D37" w14:textId="77777777" w:rsidR="00D632A1" w:rsidRDefault="00D632A1" w:rsidP="00D632A1"/>
    <w:p w14:paraId="72F0E319" w14:textId="77777777" w:rsidR="00D632A1" w:rsidRDefault="00D632A1" w:rsidP="00D632A1">
      <w:r>
        <w:t xml:space="preserve">Inventory turnover: Determined to be the expense of wares sold independently from normal stocks. A high transformation rate is gotten by constraining stock levels, utilizing accuracy to spare the creation casing and utilizing custom segments for all sent out items, between various procedures. </w:t>
      </w:r>
    </w:p>
    <w:p w14:paraId="1E453A68" w14:textId="77777777" w:rsidR="00D632A1" w:rsidRDefault="00D632A1" w:rsidP="00D632A1"/>
    <w:p w14:paraId="60DE793A" w14:textId="77777777" w:rsidR="00D632A1" w:rsidRDefault="00D632A1" w:rsidP="00D632A1">
      <w:r>
        <w:t xml:space="preserve">Fixed asset turnover: characterized as agreements partitioned by standard fixed resources. A high level of turnovers can be accomplished by redistributing a less fortunate asset creation to providers, keeping up equipment use rates and discovering enthusiasm on the walk without superfluous costs. </w:t>
      </w:r>
    </w:p>
    <w:p w14:paraId="51DD90EB" w14:textId="77777777" w:rsidR="00D632A1" w:rsidRDefault="00D632A1" w:rsidP="00D632A1"/>
    <w:p w14:paraId="3C0D61F6" w14:textId="77777777" w:rsidR="00D632A1" w:rsidRDefault="00D632A1" w:rsidP="00D632A1">
      <w:r>
        <w:t xml:space="preserve">Accounts payable turnover: ensured as an all out buy from providers separated by standard installments. Changes to this part are constrained by shrouded repayment terms concurred by the providers. </w:t>
      </w:r>
    </w:p>
    <w:p w14:paraId="6873E4FE" w14:textId="77777777" w:rsidR="00D632A1" w:rsidRDefault="00D632A1" w:rsidP="00D632A1"/>
    <w:p w14:paraId="4124E12E" w14:textId="77777777" w:rsidR="00D632A1" w:rsidRDefault="00D632A1" w:rsidP="00D632A1">
      <w:r>
        <w:lastRenderedPageBreak/>
        <w:t xml:space="preserve">Efficiency ratios are utilized to pass judgment on business the executives. If the advantage stipend isn't high, this shows the administrative body is capable to apply an essential proportion of advantages to a particular proportion of agreements. On the other hand, a generally safe recompense recommends the board's operational limit, as installments are extending. </w:t>
      </w:r>
    </w:p>
    <w:p w14:paraId="3EDF73AF" w14:textId="77777777" w:rsidR="00D632A1" w:rsidRDefault="00D632A1" w:rsidP="00D632A1"/>
    <w:p w14:paraId="1D65CF7A" w14:textId="77777777" w:rsidR="008E0B06" w:rsidRDefault="008E0B06">
      <w:r>
        <w:br w:type="page"/>
      </w:r>
    </w:p>
    <w:p w14:paraId="65D5390F" w14:textId="77777777" w:rsidR="00D632A1" w:rsidRDefault="008E0B06" w:rsidP="008E0B06">
      <w:pPr>
        <w:pStyle w:val="Heading1"/>
      </w:pPr>
      <w:bookmarkStart w:id="5" w:name="_Toc44748953"/>
      <w:r>
        <w:lastRenderedPageBreak/>
        <w:t>Conclusion</w:t>
      </w:r>
      <w:bookmarkEnd w:id="5"/>
    </w:p>
    <w:p w14:paraId="3FFAE810" w14:textId="77777777" w:rsidR="008E0B06" w:rsidRDefault="00F25A46" w:rsidP="008E0B06">
      <w:r>
        <w:t>On the basis of above analysis, it can be concluded that; w</w:t>
      </w:r>
      <w:r w:rsidRPr="00F25A46">
        <w:t>hile studying the side effects of an organization's money or facing some organizations, it is involved so much in shaping a wide range of monetary allowances that the first reason for its existence is overlooked. Organizations, however beneficial, which have conventional measures without aid or long-range liquidity measures, do not suffer from interruptions in the exchange cycle. As exchanges become difficult in a recession, these organizations face, or may fall, money-related challenges. On the other hand, organizations, which are not profitable but are rich in money, no longer, exceed the long haul. These organizations are taken over for their own income or by others who believe they can improve the productivity of the company. In this way, these organizations have a balanced budget profile that thrives and is payable in the long run and performs well in all aspects of the cash analysis.</w:t>
      </w:r>
    </w:p>
    <w:p w14:paraId="17A59212" w14:textId="77777777" w:rsidR="001539AF" w:rsidRPr="008E0B06" w:rsidRDefault="001539AF" w:rsidP="008E0B06">
      <w:r>
        <w:t>The utilization of adequacy limitations can significantly affect the business. For instance, a low pace of inversion of administration could be portrayed by delays in the bit touchy to past terms, which could bring about extra credit to providers. In like manner, the longing to acquire a high portion of assets could push the top managerial staff to decrease fundamental interests in fixed structures or to store completed items in amounts so low as to permit transportation your clients have dropped. All things considered, thought of profitability advantages may not be unseemly for business interests.</w:t>
      </w:r>
    </w:p>
    <w:p w14:paraId="45E1715D" w14:textId="77777777" w:rsidR="00E84F15" w:rsidRPr="00E84F15" w:rsidRDefault="00F25A46" w:rsidP="00452B0B">
      <w:r>
        <w:t xml:space="preserve">It is also recommended that; Marriott hotel should choose appropriate ratio or families to analyze its report. Also </w:t>
      </w:r>
      <w:r w:rsidR="001539AF">
        <w:t>ratio analyses have</w:t>
      </w:r>
      <w:r>
        <w:t xml:space="preserve"> certain limitation like it cannot be applicable to compare between companies having unequal turnover and size; it can only implement where rival company is similar in size and revenue. </w:t>
      </w:r>
    </w:p>
    <w:p w14:paraId="74C6D8CB" w14:textId="77777777" w:rsidR="007E1C9F" w:rsidRPr="007E1C9F" w:rsidRDefault="007E1C9F" w:rsidP="00FC69BE"/>
    <w:p w14:paraId="0B77E60D" w14:textId="77777777" w:rsidR="001539AF" w:rsidRDefault="001539AF">
      <w:r>
        <w:br w:type="page"/>
      </w:r>
    </w:p>
    <w:p w14:paraId="11C12F68" w14:textId="77777777" w:rsidR="001539AF" w:rsidRDefault="001539AF" w:rsidP="001539AF">
      <w:pPr>
        <w:pStyle w:val="Heading1"/>
      </w:pPr>
      <w:bookmarkStart w:id="6" w:name="_Toc44748954"/>
      <w:r>
        <w:lastRenderedPageBreak/>
        <w:t>REFERENCES</w:t>
      </w:r>
      <w:bookmarkEnd w:id="6"/>
    </w:p>
    <w:p w14:paraId="3B44627A"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Ang, J.S., 1991. Small business uniqueness and the theory of financial management. </w:t>
      </w:r>
      <w:r w:rsidRPr="00865DE0">
        <w:rPr>
          <w:i/>
          <w:iCs/>
          <w:color w:val="222222"/>
          <w:shd w:val="clear" w:color="auto" w:fill="FFFFFF"/>
        </w:rPr>
        <w:t>Journal of small business finance</w:t>
      </w:r>
      <w:r w:rsidRPr="00865DE0">
        <w:rPr>
          <w:color w:val="222222"/>
          <w:shd w:val="clear" w:color="auto" w:fill="FFFFFF"/>
        </w:rPr>
        <w:t>, </w:t>
      </w:r>
      <w:r w:rsidRPr="00865DE0">
        <w:rPr>
          <w:i/>
          <w:iCs/>
          <w:color w:val="222222"/>
          <w:shd w:val="clear" w:color="auto" w:fill="FFFFFF"/>
        </w:rPr>
        <w:t>1</w:t>
      </w:r>
      <w:r w:rsidRPr="00865DE0">
        <w:rPr>
          <w:color w:val="222222"/>
          <w:shd w:val="clear" w:color="auto" w:fill="FFFFFF"/>
        </w:rPr>
        <w:t>(1), pp.1-13.</w:t>
      </w:r>
    </w:p>
    <w:p w14:paraId="4982B6EA"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 xml:space="preserve">Baird, A.V., Boyer, W.E. and </w:t>
      </w:r>
      <w:proofErr w:type="spellStart"/>
      <w:r w:rsidRPr="00865DE0">
        <w:rPr>
          <w:color w:val="222222"/>
          <w:shd w:val="clear" w:color="auto" w:fill="FFFFFF"/>
        </w:rPr>
        <w:t>Pithavadian</w:t>
      </w:r>
      <w:proofErr w:type="spellEnd"/>
      <w:r w:rsidRPr="00865DE0">
        <w:rPr>
          <w:color w:val="222222"/>
          <w:shd w:val="clear" w:color="auto" w:fill="FFFFFF"/>
        </w:rPr>
        <w:t xml:space="preserve">, S.S., </w:t>
      </w:r>
      <w:proofErr w:type="spellStart"/>
      <w:r w:rsidRPr="00865DE0">
        <w:rPr>
          <w:color w:val="222222"/>
          <w:shd w:val="clear" w:color="auto" w:fill="FFFFFF"/>
        </w:rPr>
        <w:t>Batterymarch</w:t>
      </w:r>
      <w:proofErr w:type="spellEnd"/>
      <w:r w:rsidRPr="00865DE0">
        <w:rPr>
          <w:color w:val="222222"/>
          <w:shd w:val="clear" w:color="auto" w:fill="FFFFFF"/>
        </w:rPr>
        <w:t xml:space="preserve"> Investment System, 1993. </w:t>
      </w:r>
      <w:r w:rsidRPr="00865DE0">
        <w:rPr>
          <w:i/>
          <w:iCs/>
          <w:color w:val="222222"/>
          <w:shd w:val="clear" w:color="auto" w:fill="FFFFFF"/>
        </w:rPr>
        <w:t>Financial management system</w:t>
      </w:r>
      <w:r w:rsidRPr="00865DE0">
        <w:rPr>
          <w:color w:val="222222"/>
          <w:shd w:val="clear" w:color="auto" w:fill="FFFFFF"/>
        </w:rPr>
        <w:t>. U.S. Patent 5,220,500.</w:t>
      </w:r>
    </w:p>
    <w:p w14:paraId="36B00B9F"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Baker, H.K. and Powell, G., 2009. </w:t>
      </w:r>
      <w:r w:rsidRPr="00865DE0">
        <w:rPr>
          <w:i/>
          <w:iCs/>
          <w:color w:val="222222"/>
          <w:shd w:val="clear" w:color="auto" w:fill="FFFFFF"/>
        </w:rPr>
        <w:t>Understanding financial management: A practical guide</w:t>
      </w:r>
      <w:r w:rsidRPr="00865DE0">
        <w:rPr>
          <w:color w:val="222222"/>
          <w:shd w:val="clear" w:color="auto" w:fill="FFFFFF"/>
        </w:rPr>
        <w:t>. John Wiley &amp; Sons.</w:t>
      </w:r>
    </w:p>
    <w:p w14:paraId="1ABA99B9"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 xml:space="preserve">Bekaert, G. and </w:t>
      </w:r>
      <w:proofErr w:type="spellStart"/>
      <w:r w:rsidRPr="00865DE0">
        <w:rPr>
          <w:color w:val="222222"/>
          <w:shd w:val="clear" w:color="auto" w:fill="FFFFFF"/>
        </w:rPr>
        <w:t>Hodrick</w:t>
      </w:r>
      <w:proofErr w:type="spellEnd"/>
      <w:r w:rsidRPr="00865DE0">
        <w:rPr>
          <w:color w:val="222222"/>
          <w:shd w:val="clear" w:color="auto" w:fill="FFFFFF"/>
        </w:rPr>
        <w:t>, R., 2017. </w:t>
      </w:r>
      <w:r w:rsidRPr="00865DE0">
        <w:rPr>
          <w:i/>
          <w:iCs/>
          <w:color w:val="222222"/>
          <w:shd w:val="clear" w:color="auto" w:fill="FFFFFF"/>
        </w:rPr>
        <w:t>International financial management</w:t>
      </w:r>
      <w:r w:rsidRPr="00865DE0">
        <w:rPr>
          <w:color w:val="222222"/>
          <w:shd w:val="clear" w:color="auto" w:fill="FFFFFF"/>
        </w:rPr>
        <w:t>. Cambridge University Press.</w:t>
      </w:r>
    </w:p>
    <w:p w14:paraId="03A80236"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Block, S.B., Hirt, G.A. and Danielsen, B.R., 1994. </w:t>
      </w:r>
      <w:r w:rsidRPr="00865DE0">
        <w:rPr>
          <w:i/>
          <w:iCs/>
          <w:color w:val="222222"/>
          <w:shd w:val="clear" w:color="auto" w:fill="FFFFFF"/>
        </w:rPr>
        <w:t>Foundations of financial management</w:t>
      </w:r>
      <w:r w:rsidRPr="00865DE0">
        <w:rPr>
          <w:color w:val="222222"/>
          <w:shd w:val="clear" w:color="auto" w:fill="FFFFFF"/>
        </w:rPr>
        <w:t>. New York: Irwin.</w:t>
      </w:r>
    </w:p>
    <w:p w14:paraId="5F698757"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 xml:space="preserve">Brigham, E.F. and </w:t>
      </w:r>
      <w:proofErr w:type="spellStart"/>
      <w:r w:rsidRPr="00865DE0">
        <w:rPr>
          <w:color w:val="222222"/>
          <w:shd w:val="clear" w:color="auto" w:fill="FFFFFF"/>
        </w:rPr>
        <w:t>Daves</w:t>
      </w:r>
      <w:proofErr w:type="spellEnd"/>
      <w:r w:rsidRPr="00865DE0">
        <w:rPr>
          <w:color w:val="222222"/>
          <w:shd w:val="clear" w:color="auto" w:fill="FFFFFF"/>
        </w:rPr>
        <w:t>, P.R., 2012. </w:t>
      </w:r>
      <w:r w:rsidRPr="00865DE0">
        <w:rPr>
          <w:i/>
          <w:iCs/>
          <w:color w:val="222222"/>
          <w:shd w:val="clear" w:color="auto" w:fill="FFFFFF"/>
        </w:rPr>
        <w:t>Intermediate financial management</w:t>
      </w:r>
      <w:r w:rsidRPr="00865DE0">
        <w:rPr>
          <w:color w:val="222222"/>
          <w:shd w:val="clear" w:color="auto" w:fill="FFFFFF"/>
        </w:rPr>
        <w:t>. Nelson Education.</w:t>
      </w:r>
    </w:p>
    <w:p w14:paraId="6E79F782"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Brigham, E.F. and Ehrhardt, M.C., 2013. </w:t>
      </w:r>
      <w:r w:rsidRPr="00865DE0">
        <w:rPr>
          <w:i/>
          <w:iCs/>
          <w:color w:val="222222"/>
          <w:shd w:val="clear" w:color="auto" w:fill="FFFFFF"/>
        </w:rPr>
        <w:t>Financial management: Theory &amp; practice</w:t>
      </w:r>
      <w:r w:rsidRPr="00865DE0">
        <w:rPr>
          <w:color w:val="222222"/>
          <w:shd w:val="clear" w:color="auto" w:fill="FFFFFF"/>
        </w:rPr>
        <w:t>. Cengage Learning.</w:t>
      </w:r>
    </w:p>
    <w:p w14:paraId="58192D70"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Brigham, E.F. and Houston, J.F., 2012. </w:t>
      </w:r>
      <w:r w:rsidRPr="00865DE0">
        <w:rPr>
          <w:i/>
          <w:iCs/>
          <w:color w:val="222222"/>
          <w:shd w:val="clear" w:color="auto" w:fill="FFFFFF"/>
        </w:rPr>
        <w:t>Fundamentals of financial management</w:t>
      </w:r>
      <w:r w:rsidRPr="00865DE0">
        <w:rPr>
          <w:color w:val="222222"/>
          <w:shd w:val="clear" w:color="auto" w:fill="FFFFFF"/>
        </w:rPr>
        <w:t>. Cengage Learning.</w:t>
      </w:r>
    </w:p>
    <w:p w14:paraId="58F0FB3A"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Chandra, P., 2011. </w:t>
      </w:r>
      <w:r w:rsidRPr="00865DE0">
        <w:rPr>
          <w:i/>
          <w:iCs/>
          <w:color w:val="222222"/>
          <w:shd w:val="clear" w:color="auto" w:fill="FFFFFF"/>
        </w:rPr>
        <w:t>Financial management</w:t>
      </w:r>
      <w:r w:rsidRPr="00865DE0">
        <w:rPr>
          <w:color w:val="222222"/>
          <w:shd w:val="clear" w:color="auto" w:fill="FFFFFF"/>
        </w:rPr>
        <w:t>. Tata McGraw-Hill Education.</w:t>
      </w:r>
    </w:p>
    <w:p w14:paraId="2FE2BC3C"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Dew, J. and Xiao, J.J., 2011. The financial management behavior scale: Development and validation. </w:t>
      </w:r>
      <w:r w:rsidRPr="00865DE0">
        <w:rPr>
          <w:i/>
          <w:iCs/>
          <w:color w:val="222222"/>
          <w:shd w:val="clear" w:color="auto" w:fill="FFFFFF"/>
        </w:rPr>
        <w:t>Journal of Financial Counseling and Planning</w:t>
      </w:r>
      <w:r w:rsidRPr="00865DE0">
        <w:rPr>
          <w:color w:val="222222"/>
          <w:shd w:val="clear" w:color="auto" w:fill="FFFFFF"/>
        </w:rPr>
        <w:t>, </w:t>
      </w:r>
      <w:r w:rsidRPr="00865DE0">
        <w:rPr>
          <w:i/>
          <w:iCs/>
          <w:color w:val="222222"/>
          <w:shd w:val="clear" w:color="auto" w:fill="FFFFFF"/>
        </w:rPr>
        <w:t>22</w:t>
      </w:r>
      <w:r w:rsidRPr="00865DE0">
        <w:rPr>
          <w:color w:val="222222"/>
          <w:shd w:val="clear" w:color="auto" w:fill="FFFFFF"/>
        </w:rPr>
        <w:t>(1), p.43.</w:t>
      </w:r>
    </w:p>
    <w:p w14:paraId="285C0D4F"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Ehrhardt, M.C. and Brigham, E.F., 2011. </w:t>
      </w:r>
      <w:r w:rsidRPr="00865DE0">
        <w:rPr>
          <w:i/>
          <w:iCs/>
          <w:color w:val="222222"/>
          <w:shd w:val="clear" w:color="auto" w:fill="FFFFFF"/>
        </w:rPr>
        <w:t>Financial management: theory and practice</w:t>
      </w:r>
      <w:r w:rsidRPr="00865DE0">
        <w:rPr>
          <w:color w:val="222222"/>
          <w:shd w:val="clear" w:color="auto" w:fill="FFFFFF"/>
        </w:rPr>
        <w:t>. South-Western Cengage Learning.</w:t>
      </w:r>
    </w:p>
    <w:p w14:paraId="6E775C6C" w14:textId="77777777" w:rsidR="001539AF" w:rsidRPr="00865DE0" w:rsidRDefault="001539AF" w:rsidP="001539AF">
      <w:pPr>
        <w:spacing w:before="0" w:beforeAutospacing="0" w:after="0" w:afterAutospacing="0" w:line="240" w:lineRule="auto"/>
        <w:ind w:left="567" w:hanging="425"/>
        <w:rPr>
          <w:color w:val="222222"/>
          <w:shd w:val="clear" w:color="auto" w:fill="FFFFFF"/>
        </w:rPr>
      </w:pPr>
      <w:proofErr w:type="spellStart"/>
      <w:r w:rsidRPr="00865DE0">
        <w:rPr>
          <w:color w:val="222222"/>
          <w:shd w:val="clear" w:color="auto" w:fill="FFFFFF"/>
        </w:rPr>
        <w:t>Filbeck</w:t>
      </w:r>
      <w:proofErr w:type="spellEnd"/>
      <w:r w:rsidRPr="00865DE0">
        <w:rPr>
          <w:color w:val="222222"/>
          <w:shd w:val="clear" w:color="auto" w:fill="FFFFFF"/>
        </w:rPr>
        <w:t>, G. and Lee, S., 2000. Financial management techniques in family businesses. </w:t>
      </w:r>
      <w:r w:rsidRPr="00865DE0">
        <w:rPr>
          <w:i/>
          <w:iCs/>
          <w:color w:val="222222"/>
          <w:shd w:val="clear" w:color="auto" w:fill="FFFFFF"/>
        </w:rPr>
        <w:t>Family Business Review</w:t>
      </w:r>
      <w:r w:rsidRPr="00865DE0">
        <w:rPr>
          <w:color w:val="222222"/>
          <w:shd w:val="clear" w:color="auto" w:fill="FFFFFF"/>
        </w:rPr>
        <w:t>, </w:t>
      </w:r>
      <w:r w:rsidRPr="00865DE0">
        <w:rPr>
          <w:i/>
          <w:iCs/>
          <w:color w:val="222222"/>
          <w:shd w:val="clear" w:color="auto" w:fill="FFFFFF"/>
        </w:rPr>
        <w:t>13</w:t>
      </w:r>
      <w:r w:rsidRPr="00865DE0">
        <w:rPr>
          <w:color w:val="222222"/>
          <w:shd w:val="clear" w:color="auto" w:fill="FFFFFF"/>
        </w:rPr>
        <w:t>(3), pp.201-216.</w:t>
      </w:r>
    </w:p>
    <w:p w14:paraId="74219B6F" w14:textId="77777777" w:rsidR="001539AF" w:rsidRPr="00865DE0" w:rsidRDefault="001539AF" w:rsidP="001539AF">
      <w:pPr>
        <w:spacing w:before="0" w:beforeAutospacing="0" w:after="0" w:afterAutospacing="0" w:line="240" w:lineRule="auto"/>
        <w:ind w:left="567" w:hanging="425"/>
        <w:rPr>
          <w:color w:val="222222"/>
          <w:shd w:val="clear" w:color="auto" w:fill="FFFFFF"/>
        </w:rPr>
      </w:pPr>
      <w:proofErr w:type="spellStart"/>
      <w:r w:rsidRPr="00865DE0">
        <w:rPr>
          <w:color w:val="222222"/>
          <w:shd w:val="clear" w:color="auto" w:fill="FFFFFF"/>
        </w:rPr>
        <w:t>Gapenski</w:t>
      </w:r>
      <w:proofErr w:type="spellEnd"/>
      <w:r w:rsidRPr="00865DE0">
        <w:rPr>
          <w:color w:val="222222"/>
          <w:shd w:val="clear" w:color="auto" w:fill="FFFFFF"/>
        </w:rPr>
        <w:t>, L.C. and Pink, G.H., 2007. </w:t>
      </w:r>
      <w:r w:rsidRPr="00865DE0">
        <w:rPr>
          <w:i/>
          <w:iCs/>
          <w:color w:val="222222"/>
          <w:shd w:val="clear" w:color="auto" w:fill="FFFFFF"/>
        </w:rPr>
        <w:t>Understanding healthcare financial management</w:t>
      </w:r>
      <w:r w:rsidRPr="00865DE0">
        <w:rPr>
          <w:color w:val="222222"/>
          <w:shd w:val="clear" w:color="auto" w:fill="FFFFFF"/>
        </w:rPr>
        <w:t>. Chicago: Health Administration Press.</w:t>
      </w:r>
    </w:p>
    <w:p w14:paraId="4854E96F"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Higgins, R.C. and Reimers, M., 1995. </w:t>
      </w:r>
      <w:r w:rsidRPr="00865DE0">
        <w:rPr>
          <w:i/>
          <w:iCs/>
          <w:color w:val="222222"/>
          <w:shd w:val="clear" w:color="auto" w:fill="FFFFFF"/>
        </w:rPr>
        <w:t>Analysis for financial management</w:t>
      </w:r>
      <w:r w:rsidRPr="00865DE0">
        <w:rPr>
          <w:color w:val="222222"/>
          <w:shd w:val="clear" w:color="auto" w:fill="FFFFFF"/>
        </w:rPr>
        <w:t> (No. s 53). Chicago: Irwin.</w:t>
      </w:r>
    </w:p>
    <w:p w14:paraId="7C8C27C1"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 xml:space="preserve">Jones, C., </w:t>
      </w:r>
      <w:proofErr w:type="spellStart"/>
      <w:r w:rsidRPr="00865DE0">
        <w:rPr>
          <w:color w:val="222222"/>
          <w:shd w:val="clear" w:color="auto" w:fill="FFFFFF"/>
        </w:rPr>
        <w:t>Finkler</w:t>
      </w:r>
      <w:proofErr w:type="spellEnd"/>
      <w:r w:rsidRPr="00865DE0">
        <w:rPr>
          <w:color w:val="222222"/>
          <w:shd w:val="clear" w:color="auto" w:fill="FFFFFF"/>
        </w:rPr>
        <w:t xml:space="preserve">, S.A., Kovner, C.T. and </w:t>
      </w:r>
      <w:proofErr w:type="spellStart"/>
      <w:r w:rsidRPr="00865DE0">
        <w:rPr>
          <w:color w:val="222222"/>
          <w:shd w:val="clear" w:color="auto" w:fill="FFFFFF"/>
        </w:rPr>
        <w:t>Mose</w:t>
      </w:r>
      <w:proofErr w:type="spellEnd"/>
      <w:r w:rsidRPr="00865DE0">
        <w:rPr>
          <w:color w:val="222222"/>
          <w:shd w:val="clear" w:color="auto" w:fill="FFFFFF"/>
        </w:rPr>
        <w:t>, J., 2018. </w:t>
      </w:r>
      <w:r w:rsidRPr="00865DE0">
        <w:rPr>
          <w:i/>
          <w:iCs/>
          <w:color w:val="222222"/>
          <w:shd w:val="clear" w:color="auto" w:fill="FFFFFF"/>
        </w:rPr>
        <w:t>Financial Management for Nurse Managers and Executives-E-Book</w:t>
      </w:r>
      <w:r w:rsidRPr="00865DE0">
        <w:rPr>
          <w:color w:val="222222"/>
          <w:shd w:val="clear" w:color="auto" w:fill="FFFFFF"/>
        </w:rPr>
        <w:t>. Elsevier Health Sciences.</w:t>
      </w:r>
    </w:p>
    <w:p w14:paraId="27DE0E8D"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Madura, J., 2020. </w:t>
      </w:r>
      <w:r w:rsidRPr="00865DE0">
        <w:rPr>
          <w:i/>
          <w:iCs/>
          <w:color w:val="222222"/>
          <w:shd w:val="clear" w:color="auto" w:fill="FFFFFF"/>
        </w:rPr>
        <w:t>International financial management</w:t>
      </w:r>
      <w:r w:rsidRPr="00865DE0">
        <w:rPr>
          <w:color w:val="222222"/>
          <w:shd w:val="clear" w:color="auto" w:fill="FFFFFF"/>
        </w:rPr>
        <w:t>. Cengage Learning.</w:t>
      </w:r>
    </w:p>
    <w:p w14:paraId="0CE0FF62"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 xml:space="preserve">McMahon, R., Holmes, S., Hutchinson, P. and </w:t>
      </w:r>
      <w:proofErr w:type="spellStart"/>
      <w:r w:rsidRPr="00865DE0">
        <w:rPr>
          <w:color w:val="222222"/>
          <w:shd w:val="clear" w:color="auto" w:fill="FFFFFF"/>
        </w:rPr>
        <w:t>Forsaith</w:t>
      </w:r>
      <w:proofErr w:type="spellEnd"/>
      <w:r w:rsidRPr="00865DE0">
        <w:rPr>
          <w:color w:val="222222"/>
          <w:shd w:val="clear" w:color="auto" w:fill="FFFFFF"/>
        </w:rPr>
        <w:t>, D., 1993. </w:t>
      </w:r>
      <w:r w:rsidRPr="00865DE0">
        <w:rPr>
          <w:i/>
          <w:iCs/>
          <w:color w:val="222222"/>
          <w:shd w:val="clear" w:color="auto" w:fill="FFFFFF"/>
        </w:rPr>
        <w:t>Small enterprise financial management: Theory and practice</w:t>
      </w:r>
      <w:r w:rsidRPr="00865DE0">
        <w:rPr>
          <w:color w:val="222222"/>
          <w:shd w:val="clear" w:color="auto" w:fill="FFFFFF"/>
        </w:rPr>
        <w:t>.</w:t>
      </w:r>
    </w:p>
    <w:p w14:paraId="2EB20302"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McMenamin, J., 2002. </w:t>
      </w:r>
      <w:r w:rsidRPr="00865DE0">
        <w:rPr>
          <w:i/>
          <w:iCs/>
          <w:color w:val="222222"/>
          <w:shd w:val="clear" w:color="auto" w:fill="FFFFFF"/>
        </w:rPr>
        <w:t>Financial management: an introduction</w:t>
      </w:r>
      <w:r w:rsidRPr="00865DE0">
        <w:rPr>
          <w:color w:val="222222"/>
          <w:shd w:val="clear" w:color="auto" w:fill="FFFFFF"/>
        </w:rPr>
        <w:t>. Routledge.</w:t>
      </w:r>
    </w:p>
    <w:p w14:paraId="7E2A243D" w14:textId="77777777" w:rsidR="001539AF" w:rsidRPr="00865DE0" w:rsidRDefault="001539AF" w:rsidP="001539AF">
      <w:pPr>
        <w:spacing w:before="0" w:beforeAutospacing="0" w:after="0" w:afterAutospacing="0" w:line="240" w:lineRule="auto"/>
        <w:ind w:left="567" w:hanging="425"/>
        <w:rPr>
          <w:rFonts w:ascii="Arial" w:hAnsi="Arial" w:cs="Arial"/>
          <w:color w:val="222222"/>
          <w:sz w:val="18"/>
          <w:szCs w:val="18"/>
          <w:shd w:val="clear" w:color="auto" w:fill="FFFFFF"/>
        </w:rPr>
      </w:pPr>
      <w:r w:rsidRPr="00865DE0">
        <w:rPr>
          <w:color w:val="222222"/>
          <w:shd w:val="clear" w:color="auto" w:fill="FFFFFF"/>
        </w:rPr>
        <w:t>Peel, M.J. and Wilson, N., 1996. Working capital and financial management practices in the small firm sector. </w:t>
      </w:r>
      <w:r w:rsidRPr="00865DE0">
        <w:rPr>
          <w:i/>
          <w:iCs/>
          <w:color w:val="222222"/>
          <w:shd w:val="clear" w:color="auto" w:fill="FFFFFF"/>
        </w:rPr>
        <w:t xml:space="preserve">International </w:t>
      </w:r>
      <w:r w:rsidRPr="00865DE0">
        <w:rPr>
          <w:rFonts w:ascii="Arial" w:hAnsi="Arial" w:cs="Arial"/>
          <w:i/>
          <w:iCs/>
          <w:color w:val="222222"/>
          <w:sz w:val="18"/>
          <w:szCs w:val="18"/>
          <w:shd w:val="clear" w:color="auto" w:fill="FFFFFF"/>
        </w:rPr>
        <w:t>Small Business Journal</w:t>
      </w:r>
      <w:r w:rsidRPr="00865DE0">
        <w:rPr>
          <w:rFonts w:ascii="Arial" w:hAnsi="Arial" w:cs="Arial"/>
          <w:color w:val="222222"/>
          <w:sz w:val="18"/>
          <w:szCs w:val="18"/>
          <w:shd w:val="clear" w:color="auto" w:fill="FFFFFF"/>
        </w:rPr>
        <w:t>, </w:t>
      </w:r>
      <w:r w:rsidRPr="00865DE0">
        <w:rPr>
          <w:rFonts w:ascii="Arial" w:hAnsi="Arial" w:cs="Arial"/>
          <w:i/>
          <w:iCs/>
          <w:color w:val="222222"/>
          <w:sz w:val="18"/>
          <w:szCs w:val="18"/>
          <w:shd w:val="clear" w:color="auto" w:fill="FFFFFF"/>
        </w:rPr>
        <w:t>14</w:t>
      </w:r>
      <w:r w:rsidRPr="00865DE0">
        <w:rPr>
          <w:rFonts w:ascii="Arial" w:hAnsi="Arial" w:cs="Arial"/>
          <w:color w:val="222222"/>
          <w:sz w:val="18"/>
          <w:szCs w:val="18"/>
          <w:shd w:val="clear" w:color="auto" w:fill="FFFFFF"/>
        </w:rPr>
        <w:t>(2), pp.52-68.</w:t>
      </w:r>
    </w:p>
    <w:p w14:paraId="31BD2110"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Pollitt, C., 2001. Integrating financial management and performance management. </w:t>
      </w:r>
      <w:r w:rsidRPr="00865DE0">
        <w:rPr>
          <w:i/>
          <w:iCs/>
          <w:color w:val="222222"/>
          <w:shd w:val="clear" w:color="auto" w:fill="FFFFFF"/>
        </w:rPr>
        <w:t>OECD Journal on Budgeting</w:t>
      </w:r>
      <w:r w:rsidRPr="00865DE0">
        <w:rPr>
          <w:color w:val="222222"/>
          <w:shd w:val="clear" w:color="auto" w:fill="FFFFFF"/>
        </w:rPr>
        <w:t>, </w:t>
      </w:r>
      <w:r w:rsidRPr="00865DE0">
        <w:rPr>
          <w:i/>
          <w:iCs/>
          <w:color w:val="222222"/>
          <w:shd w:val="clear" w:color="auto" w:fill="FFFFFF"/>
        </w:rPr>
        <w:t>1</w:t>
      </w:r>
      <w:r w:rsidRPr="00865DE0">
        <w:rPr>
          <w:color w:val="222222"/>
          <w:shd w:val="clear" w:color="auto" w:fill="FFFFFF"/>
        </w:rPr>
        <w:t>(2), pp.7-37.</w:t>
      </w:r>
    </w:p>
    <w:p w14:paraId="3FAA21AD"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Pringle, J.J. and Solomon, E., 1980. </w:t>
      </w:r>
      <w:r w:rsidRPr="00865DE0">
        <w:rPr>
          <w:i/>
          <w:iCs/>
          <w:color w:val="222222"/>
          <w:shd w:val="clear" w:color="auto" w:fill="FFFFFF"/>
        </w:rPr>
        <w:t>An introduction to financial management</w:t>
      </w:r>
      <w:r w:rsidRPr="00865DE0">
        <w:rPr>
          <w:color w:val="222222"/>
          <w:shd w:val="clear" w:color="auto" w:fill="FFFFFF"/>
        </w:rPr>
        <w:t>. Santa Monica, Calif.: Goodyear Publishing Company.</w:t>
      </w:r>
    </w:p>
    <w:p w14:paraId="7CDAD2E5"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 xml:space="preserve">Shapiro, A.C. and </w:t>
      </w:r>
      <w:proofErr w:type="spellStart"/>
      <w:r w:rsidRPr="00865DE0">
        <w:rPr>
          <w:color w:val="222222"/>
          <w:shd w:val="clear" w:color="auto" w:fill="FFFFFF"/>
        </w:rPr>
        <w:t>Hanouna</w:t>
      </w:r>
      <w:proofErr w:type="spellEnd"/>
      <w:r w:rsidRPr="00865DE0">
        <w:rPr>
          <w:color w:val="222222"/>
          <w:shd w:val="clear" w:color="auto" w:fill="FFFFFF"/>
        </w:rPr>
        <w:t>, P., 2019. </w:t>
      </w:r>
      <w:r w:rsidRPr="00865DE0">
        <w:rPr>
          <w:i/>
          <w:iCs/>
          <w:color w:val="222222"/>
          <w:shd w:val="clear" w:color="auto" w:fill="FFFFFF"/>
        </w:rPr>
        <w:t>Multinational financial management</w:t>
      </w:r>
      <w:r w:rsidRPr="00865DE0">
        <w:rPr>
          <w:color w:val="222222"/>
          <w:shd w:val="clear" w:color="auto" w:fill="FFFFFF"/>
        </w:rPr>
        <w:t>. John Wiley &amp; Sons.</w:t>
      </w:r>
    </w:p>
    <w:p w14:paraId="71D98E5A"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Stern, J., Stewart, B. and Chew, D., 1995. The EVA financial management system. </w:t>
      </w:r>
      <w:r w:rsidRPr="00865DE0">
        <w:rPr>
          <w:i/>
          <w:iCs/>
          <w:color w:val="222222"/>
          <w:shd w:val="clear" w:color="auto" w:fill="FFFFFF"/>
        </w:rPr>
        <w:t>Journal of applied corporate finance</w:t>
      </w:r>
      <w:r w:rsidRPr="00865DE0">
        <w:rPr>
          <w:color w:val="222222"/>
          <w:shd w:val="clear" w:color="auto" w:fill="FFFFFF"/>
        </w:rPr>
        <w:t>, </w:t>
      </w:r>
      <w:r w:rsidRPr="00865DE0">
        <w:rPr>
          <w:i/>
          <w:iCs/>
          <w:color w:val="222222"/>
          <w:shd w:val="clear" w:color="auto" w:fill="FFFFFF"/>
        </w:rPr>
        <w:t>8</w:t>
      </w:r>
      <w:r w:rsidRPr="00865DE0">
        <w:rPr>
          <w:color w:val="222222"/>
          <w:shd w:val="clear" w:color="auto" w:fill="FFFFFF"/>
        </w:rPr>
        <w:t>(2).</w:t>
      </w:r>
    </w:p>
    <w:p w14:paraId="423719F1"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t>Titman, S., Keown, A.J., Martin, J.D. and Martin, T., 2011. </w:t>
      </w:r>
      <w:r w:rsidRPr="00865DE0">
        <w:rPr>
          <w:i/>
          <w:iCs/>
          <w:color w:val="222222"/>
          <w:shd w:val="clear" w:color="auto" w:fill="FFFFFF"/>
        </w:rPr>
        <w:t>Financial management: Principles and applications</w:t>
      </w:r>
      <w:r w:rsidRPr="00865DE0">
        <w:rPr>
          <w:color w:val="222222"/>
          <w:shd w:val="clear" w:color="auto" w:fill="FFFFFF"/>
        </w:rPr>
        <w:t> (Vol. 11). Boston: Prentice Hall.</w:t>
      </w:r>
    </w:p>
    <w:p w14:paraId="56EB0725" w14:textId="77777777" w:rsidR="001539AF" w:rsidRPr="00865DE0" w:rsidRDefault="001539AF" w:rsidP="001539AF">
      <w:pPr>
        <w:spacing w:before="0" w:beforeAutospacing="0" w:after="0" w:afterAutospacing="0" w:line="240" w:lineRule="auto"/>
        <w:ind w:left="567" w:hanging="425"/>
        <w:rPr>
          <w:color w:val="222222"/>
          <w:shd w:val="clear" w:color="auto" w:fill="FFFFFF"/>
        </w:rPr>
      </w:pPr>
      <w:r w:rsidRPr="00865DE0">
        <w:rPr>
          <w:color w:val="222222"/>
          <w:shd w:val="clear" w:color="auto" w:fill="FFFFFF"/>
        </w:rPr>
        <w:lastRenderedPageBreak/>
        <w:t>Van Horne James, C., 2002. </w:t>
      </w:r>
      <w:r w:rsidRPr="00865DE0">
        <w:rPr>
          <w:i/>
          <w:iCs/>
          <w:color w:val="222222"/>
          <w:shd w:val="clear" w:color="auto" w:fill="FFFFFF"/>
        </w:rPr>
        <w:t>Financial Management &amp; Policy, 12/E</w:t>
      </w:r>
      <w:r w:rsidRPr="00865DE0">
        <w:rPr>
          <w:color w:val="222222"/>
          <w:shd w:val="clear" w:color="auto" w:fill="FFFFFF"/>
        </w:rPr>
        <w:t>. Pearson Education India.</w:t>
      </w:r>
    </w:p>
    <w:p w14:paraId="117DF30E" w14:textId="77777777" w:rsidR="00F56C06" w:rsidRPr="00F56C06" w:rsidRDefault="00F56C06" w:rsidP="00F56C06"/>
    <w:p w14:paraId="27E2270B" w14:textId="77777777" w:rsidR="00B8221A" w:rsidRPr="00F56C06" w:rsidRDefault="00B8221A" w:rsidP="00F56C06"/>
    <w:sectPr w:rsidR="00B8221A" w:rsidRPr="00F56C06" w:rsidSect="00FB529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2FACF0" w14:textId="77777777" w:rsidR="00B91EB2" w:rsidRDefault="00B91EB2" w:rsidP="001A432C">
      <w:pPr>
        <w:spacing w:before="0" w:after="0" w:line="240" w:lineRule="auto"/>
      </w:pPr>
      <w:r>
        <w:separator/>
      </w:r>
    </w:p>
  </w:endnote>
  <w:endnote w:type="continuationSeparator" w:id="0">
    <w:p w14:paraId="12C58063" w14:textId="77777777" w:rsidR="00B91EB2" w:rsidRDefault="00B91EB2" w:rsidP="001A432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_sansregular">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B76413" w14:textId="77777777" w:rsidR="00B91EB2" w:rsidRDefault="00B91EB2" w:rsidP="001A432C">
      <w:pPr>
        <w:spacing w:before="0" w:after="0" w:line="240" w:lineRule="auto"/>
      </w:pPr>
      <w:r>
        <w:separator/>
      </w:r>
    </w:p>
  </w:footnote>
  <w:footnote w:type="continuationSeparator" w:id="0">
    <w:p w14:paraId="16DAE486" w14:textId="77777777" w:rsidR="00B91EB2" w:rsidRDefault="00B91EB2" w:rsidP="001A432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75E57"/>
    <w:rsid w:val="0004434E"/>
    <w:rsid w:val="000629B1"/>
    <w:rsid w:val="000C4BD1"/>
    <w:rsid w:val="000D72D4"/>
    <w:rsid w:val="0015053C"/>
    <w:rsid w:val="001539AF"/>
    <w:rsid w:val="001A4019"/>
    <w:rsid w:val="001A432C"/>
    <w:rsid w:val="00266205"/>
    <w:rsid w:val="00297DBA"/>
    <w:rsid w:val="002D63E1"/>
    <w:rsid w:val="002E5170"/>
    <w:rsid w:val="00327A13"/>
    <w:rsid w:val="00365164"/>
    <w:rsid w:val="003917F9"/>
    <w:rsid w:val="003C086C"/>
    <w:rsid w:val="003F50DA"/>
    <w:rsid w:val="00430470"/>
    <w:rsid w:val="00452B0B"/>
    <w:rsid w:val="00465706"/>
    <w:rsid w:val="0047440E"/>
    <w:rsid w:val="00475FCE"/>
    <w:rsid w:val="004B09ED"/>
    <w:rsid w:val="004F077C"/>
    <w:rsid w:val="00505778"/>
    <w:rsid w:val="005343EC"/>
    <w:rsid w:val="0053571D"/>
    <w:rsid w:val="00553A58"/>
    <w:rsid w:val="006315A0"/>
    <w:rsid w:val="00652215"/>
    <w:rsid w:val="006833B3"/>
    <w:rsid w:val="00686608"/>
    <w:rsid w:val="006A23AE"/>
    <w:rsid w:val="00710B8C"/>
    <w:rsid w:val="0072759C"/>
    <w:rsid w:val="007E1C9F"/>
    <w:rsid w:val="00810730"/>
    <w:rsid w:val="008369E4"/>
    <w:rsid w:val="00884AFA"/>
    <w:rsid w:val="008C0688"/>
    <w:rsid w:val="008D6066"/>
    <w:rsid w:val="008E0B06"/>
    <w:rsid w:val="008E3D3B"/>
    <w:rsid w:val="00942DDA"/>
    <w:rsid w:val="00967611"/>
    <w:rsid w:val="00976802"/>
    <w:rsid w:val="009C2AA3"/>
    <w:rsid w:val="009E0625"/>
    <w:rsid w:val="00AC28EC"/>
    <w:rsid w:val="00AE4D07"/>
    <w:rsid w:val="00B16DFB"/>
    <w:rsid w:val="00B62B05"/>
    <w:rsid w:val="00B6688A"/>
    <w:rsid w:val="00B8221A"/>
    <w:rsid w:val="00B91EB2"/>
    <w:rsid w:val="00C20FE4"/>
    <w:rsid w:val="00C26AD1"/>
    <w:rsid w:val="00C75E57"/>
    <w:rsid w:val="00C94101"/>
    <w:rsid w:val="00CD0A3B"/>
    <w:rsid w:val="00CE65C2"/>
    <w:rsid w:val="00D2031D"/>
    <w:rsid w:val="00D6026E"/>
    <w:rsid w:val="00D632A1"/>
    <w:rsid w:val="00D74311"/>
    <w:rsid w:val="00D749F3"/>
    <w:rsid w:val="00DA2A6B"/>
    <w:rsid w:val="00DD3948"/>
    <w:rsid w:val="00DE7393"/>
    <w:rsid w:val="00E00296"/>
    <w:rsid w:val="00E32F92"/>
    <w:rsid w:val="00E33EEB"/>
    <w:rsid w:val="00E55389"/>
    <w:rsid w:val="00E84F15"/>
    <w:rsid w:val="00E94D86"/>
    <w:rsid w:val="00E962C4"/>
    <w:rsid w:val="00EA21B2"/>
    <w:rsid w:val="00EC3F36"/>
    <w:rsid w:val="00ED3635"/>
    <w:rsid w:val="00EF6EEC"/>
    <w:rsid w:val="00F1069B"/>
    <w:rsid w:val="00F25A46"/>
    <w:rsid w:val="00F56C06"/>
    <w:rsid w:val="00F822E3"/>
    <w:rsid w:val="00F8332F"/>
    <w:rsid w:val="00FB529C"/>
    <w:rsid w:val="00FC577D"/>
    <w:rsid w:val="00FC69BE"/>
    <w:rsid w:val="00FD04B7"/>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47"/>
    <o:shapelayout v:ext="edit">
      <o:idmap v:ext="edit" data="1"/>
      <o:rules v:ext="edit">
        <o:r id="V:Rule1" type="connector" idref="#_x0000_s1042"/>
        <o:r id="V:Rule2" type="connector" idref="#_x0000_s1044"/>
        <o:r id="V:Rule3" type="connector" idref="#_x0000_s1046"/>
        <o:r id="V:Rule4" type="connector" idref="#_x0000_s1045"/>
        <o:r id="V:Rule5" type="connector" idref="#_x0000_s1043"/>
      </o:rules>
    </o:shapelayout>
  </w:shapeDefaults>
  <w:decimalSymbol w:val="."/>
  <w:listSeparator w:val=","/>
  <w14:docId w14:val="7C76213E"/>
  <w15:docId w15:val="{66A978E1-298F-4291-BF0D-1F38DF8D6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color w:val="000000"/>
        <w:sz w:val="24"/>
        <w:szCs w:val="24"/>
        <w:lang w:val="en-US" w:eastAsia="en-US" w:bidi="hi-IN"/>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29C"/>
  </w:style>
  <w:style w:type="paragraph" w:styleId="Heading1">
    <w:name w:val="heading 1"/>
    <w:basedOn w:val="Normal"/>
    <w:next w:val="Normal"/>
    <w:link w:val="Heading1Char"/>
    <w:uiPriority w:val="9"/>
    <w:qFormat/>
    <w:rsid w:val="00C75E57"/>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next w:val="Normal"/>
    <w:link w:val="Heading2Char"/>
    <w:uiPriority w:val="9"/>
    <w:unhideWhenUsed/>
    <w:qFormat/>
    <w:rsid w:val="00266205"/>
    <w:pPr>
      <w:keepNext/>
      <w:keepLines/>
      <w:spacing w:before="200" w:after="0"/>
      <w:outlineLvl w:val="1"/>
    </w:pPr>
    <w:rPr>
      <w:rFonts w:asciiTheme="majorHAnsi" w:eastAsiaTheme="majorEastAsia" w:hAnsiTheme="majorHAnsi" w:cstheme="majorBidi"/>
      <w:b/>
      <w:bCs/>
      <w:color w:val="4F81BD" w:themeColor="accent1"/>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E57"/>
    <w:rPr>
      <w:rFonts w:asciiTheme="majorHAnsi" w:eastAsiaTheme="majorEastAsia" w:hAnsiTheme="majorHAnsi" w:cstheme="majorBidi"/>
      <w:b/>
      <w:bCs/>
      <w:color w:val="365F91" w:themeColor="accent1" w:themeShade="BF"/>
      <w:sz w:val="28"/>
      <w:szCs w:val="25"/>
    </w:rPr>
  </w:style>
  <w:style w:type="character" w:customStyle="1" w:styleId="Heading2Char">
    <w:name w:val="Heading 2 Char"/>
    <w:basedOn w:val="DefaultParagraphFont"/>
    <w:link w:val="Heading2"/>
    <w:uiPriority w:val="9"/>
    <w:rsid w:val="00266205"/>
    <w:rPr>
      <w:rFonts w:asciiTheme="majorHAnsi" w:eastAsiaTheme="majorEastAsia" w:hAnsiTheme="majorHAnsi" w:cstheme="majorBidi"/>
      <w:b/>
      <w:bCs/>
      <w:color w:val="4F81BD" w:themeColor="accent1"/>
      <w:sz w:val="26"/>
      <w:szCs w:val="23"/>
    </w:rPr>
  </w:style>
  <w:style w:type="paragraph" w:styleId="TOCHeading">
    <w:name w:val="TOC Heading"/>
    <w:basedOn w:val="Heading1"/>
    <w:next w:val="Normal"/>
    <w:uiPriority w:val="39"/>
    <w:semiHidden/>
    <w:unhideWhenUsed/>
    <w:qFormat/>
    <w:rsid w:val="00D6026E"/>
    <w:pPr>
      <w:spacing w:beforeAutospacing="0" w:afterAutospacing="0" w:line="276" w:lineRule="auto"/>
      <w:jc w:val="left"/>
      <w:outlineLvl w:val="9"/>
    </w:pPr>
    <w:rPr>
      <w:szCs w:val="28"/>
      <w:lang w:bidi="ar-SA"/>
    </w:rPr>
  </w:style>
  <w:style w:type="paragraph" w:styleId="TOC1">
    <w:name w:val="toc 1"/>
    <w:basedOn w:val="Normal"/>
    <w:next w:val="Normal"/>
    <w:autoRedefine/>
    <w:uiPriority w:val="39"/>
    <w:unhideWhenUsed/>
    <w:rsid w:val="00D6026E"/>
    <w:rPr>
      <w:rFonts w:cs="Mangal"/>
      <w:szCs w:val="21"/>
    </w:rPr>
  </w:style>
  <w:style w:type="paragraph" w:styleId="TOC2">
    <w:name w:val="toc 2"/>
    <w:basedOn w:val="Normal"/>
    <w:next w:val="Normal"/>
    <w:autoRedefine/>
    <w:uiPriority w:val="39"/>
    <w:unhideWhenUsed/>
    <w:rsid w:val="00D6026E"/>
    <w:pPr>
      <w:ind w:left="240"/>
    </w:pPr>
    <w:rPr>
      <w:rFonts w:cs="Mangal"/>
      <w:szCs w:val="21"/>
    </w:rPr>
  </w:style>
  <w:style w:type="character" w:styleId="Hyperlink">
    <w:name w:val="Hyperlink"/>
    <w:basedOn w:val="DefaultParagraphFont"/>
    <w:uiPriority w:val="99"/>
    <w:unhideWhenUsed/>
    <w:rsid w:val="00D6026E"/>
    <w:rPr>
      <w:color w:val="0000FF" w:themeColor="hyperlink"/>
      <w:u w:val="single"/>
    </w:rPr>
  </w:style>
  <w:style w:type="paragraph" w:styleId="BalloonText">
    <w:name w:val="Balloon Text"/>
    <w:basedOn w:val="Normal"/>
    <w:link w:val="BalloonTextChar"/>
    <w:uiPriority w:val="99"/>
    <w:semiHidden/>
    <w:unhideWhenUsed/>
    <w:rsid w:val="00D6026E"/>
    <w:pPr>
      <w:spacing w:before="0"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D6026E"/>
    <w:rPr>
      <w:rFonts w:ascii="Tahoma" w:hAnsi="Tahoma" w:cs="Mangal"/>
      <w:sz w:val="16"/>
      <w:szCs w:val="14"/>
    </w:rPr>
  </w:style>
  <w:style w:type="paragraph" w:styleId="Header">
    <w:name w:val="header"/>
    <w:basedOn w:val="Normal"/>
    <w:link w:val="HeaderChar"/>
    <w:uiPriority w:val="99"/>
    <w:unhideWhenUsed/>
    <w:rsid w:val="001A432C"/>
    <w:pPr>
      <w:tabs>
        <w:tab w:val="center" w:pos="4513"/>
        <w:tab w:val="right" w:pos="9026"/>
      </w:tabs>
      <w:spacing w:before="0" w:after="0" w:line="240" w:lineRule="auto"/>
    </w:pPr>
    <w:rPr>
      <w:rFonts w:cs="Mangal"/>
      <w:szCs w:val="21"/>
    </w:rPr>
  </w:style>
  <w:style w:type="character" w:customStyle="1" w:styleId="HeaderChar">
    <w:name w:val="Header Char"/>
    <w:basedOn w:val="DefaultParagraphFont"/>
    <w:link w:val="Header"/>
    <w:uiPriority w:val="99"/>
    <w:rsid w:val="001A432C"/>
    <w:rPr>
      <w:rFonts w:cs="Mangal"/>
      <w:szCs w:val="21"/>
    </w:rPr>
  </w:style>
  <w:style w:type="paragraph" w:styleId="Footer">
    <w:name w:val="footer"/>
    <w:basedOn w:val="Normal"/>
    <w:link w:val="FooterChar"/>
    <w:uiPriority w:val="99"/>
    <w:unhideWhenUsed/>
    <w:rsid w:val="001A432C"/>
    <w:pPr>
      <w:tabs>
        <w:tab w:val="center" w:pos="4513"/>
        <w:tab w:val="right" w:pos="9026"/>
      </w:tabs>
      <w:spacing w:before="0" w:after="0" w:line="240" w:lineRule="auto"/>
    </w:pPr>
    <w:rPr>
      <w:rFonts w:cs="Mangal"/>
      <w:szCs w:val="21"/>
    </w:rPr>
  </w:style>
  <w:style w:type="character" w:customStyle="1" w:styleId="FooterChar">
    <w:name w:val="Footer Char"/>
    <w:basedOn w:val="DefaultParagraphFont"/>
    <w:link w:val="Footer"/>
    <w:uiPriority w:val="99"/>
    <w:rsid w:val="001A432C"/>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2337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96BCF3-E7B1-4D18-BC44-22D145063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Pages>
  <Words>2959</Words>
  <Characters>16871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jang bogo</dc:creator>
  <cp:lastModifiedBy>mihai anghel cristea</cp:lastModifiedBy>
  <cp:revision>43</cp:revision>
  <dcterms:created xsi:type="dcterms:W3CDTF">2020-07-03T16:18:00Z</dcterms:created>
  <dcterms:modified xsi:type="dcterms:W3CDTF">2020-07-04T21:01:00Z</dcterms:modified>
</cp:coreProperties>
</file>