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0B968" w14:textId="77777777" w:rsidR="00CF114A" w:rsidRPr="00CF114A" w:rsidRDefault="00CF114A" w:rsidP="00CF114A">
      <w:pPr>
        <w:rPr>
          <w:rFonts w:ascii="Times New Roman" w:hAnsi="Times New Roman" w:cs="Times New Roman"/>
          <w:sz w:val="24"/>
          <w:szCs w:val="24"/>
        </w:rPr>
      </w:pPr>
      <w:r w:rsidRPr="00CF114A">
        <w:rPr>
          <w:rFonts w:ascii="Arial" w:hAnsi="Arial" w:cs="Arial"/>
          <w:color w:val="000000"/>
        </w:rPr>
        <w:t>Finley Andrew McGrath</w:t>
      </w:r>
    </w:p>
    <w:p w14:paraId="5A15CE94" w14:textId="77777777" w:rsidR="00CF114A" w:rsidRPr="00CF114A" w:rsidRDefault="00CF114A" w:rsidP="00CF114A">
      <w:pPr>
        <w:rPr>
          <w:rFonts w:ascii="Times New Roman" w:hAnsi="Times New Roman" w:cs="Times New Roman"/>
          <w:sz w:val="24"/>
          <w:szCs w:val="24"/>
        </w:rPr>
      </w:pPr>
      <w:r w:rsidRPr="00CF114A">
        <w:rPr>
          <w:rFonts w:ascii="Arial" w:hAnsi="Arial" w:cs="Arial"/>
          <w:color w:val="000000"/>
        </w:rPr>
        <w:t>2215276</w:t>
      </w:r>
    </w:p>
    <w:p w14:paraId="11A2F117" w14:textId="0088798F" w:rsidR="00CF114A" w:rsidRPr="00CF114A" w:rsidRDefault="00CF114A" w:rsidP="00CF114A">
      <w:pPr>
        <w:rPr>
          <w:rFonts w:ascii="Times New Roman" w:hAnsi="Times New Roman" w:cs="Times New Roman"/>
          <w:sz w:val="24"/>
          <w:szCs w:val="24"/>
        </w:rPr>
      </w:pPr>
      <w:r w:rsidRPr="00CF114A">
        <w:rPr>
          <w:rFonts w:ascii="Arial" w:hAnsi="Arial" w:cs="Arial"/>
          <w:color w:val="000000"/>
        </w:rPr>
        <w:t xml:space="preserve">UWTSD </w:t>
      </w:r>
    </w:p>
    <w:p w14:paraId="3307B35B" w14:textId="77777777" w:rsidR="00CF114A" w:rsidRPr="00CF114A" w:rsidRDefault="00CF114A" w:rsidP="00CF114A">
      <w:pPr>
        <w:rPr>
          <w:rFonts w:ascii="Times New Roman" w:hAnsi="Times New Roman" w:cs="Times New Roman"/>
          <w:sz w:val="24"/>
          <w:szCs w:val="24"/>
        </w:rPr>
      </w:pPr>
      <w:r w:rsidRPr="00CF114A">
        <w:rPr>
          <w:rFonts w:ascii="Arial" w:hAnsi="Arial" w:cs="Arial"/>
          <w:color w:val="000000"/>
        </w:rPr>
        <w:t>Mark Napieralla</w:t>
      </w:r>
    </w:p>
    <w:p w14:paraId="49788625" w14:textId="1AABD46F" w:rsidR="00CF114A" w:rsidRPr="00CF114A" w:rsidRDefault="00CF114A" w:rsidP="00CF114A">
      <w:pPr>
        <w:rPr>
          <w:rFonts w:ascii="Times New Roman" w:hAnsi="Times New Roman" w:cs="Times New Roman"/>
          <w:sz w:val="24"/>
          <w:szCs w:val="24"/>
        </w:rPr>
      </w:pPr>
      <w:r w:rsidRPr="00CF114A">
        <w:rPr>
          <w:rFonts w:ascii="Arial" w:hAnsi="Arial" w:cs="Arial"/>
          <w:color w:val="000000"/>
        </w:rPr>
        <w:t>Assignment 1</w:t>
      </w:r>
      <w:r w:rsidR="00BF7B6E">
        <w:rPr>
          <w:rFonts w:ascii="Arial" w:hAnsi="Arial" w:cs="Arial"/>
          <w:color w:val="000000"/>
        </w:rPr>
        <w:t xml:space="preserve"> – Activity Intevention Pro</w:t>
      </w:r>
      <w:r w:rsidR="00402156">
        <w:rPr>
          <w:rFonts w:ascii="Arial" w:hAnsi="Arial" w:cs="Arial"/>
          <w:color w:val="000000"/>
        </w:rPr>
        <w:t>ject &amp; Green exercise</w:t>
      </w:r>
    </w:p>
    <w:p w14:paraId="2FBF1C59" w14:textId="77777777" w:rsidR="00CF114A" w:rsidRPr="00CF114A" w:rsidRDefault="00CF114A" w:rsidP="00CF114A">
      <w:pPr>
        <w:rPr>
          <w:rFonts w:ascii="Times New Roman" w:eastAsia="Times New Roman" w:hAnsi="Times New Roman" w:cs="Times New Roman"/>
          <w:sz w:val="24"/>
          <w:szCs w:val="24"/>
        </w:rPr>
      </w:pPr>
    </w:p>
    <w:p w14:paraId="4E16E52D" w14:textId="032DB718" w:rsidR="00CF114A" w:rsidRPr="00CF114A" w:rsidRDefault="00CF114A" w:rsidP="00CF114A">
      <w:pPr>
        <w:spacing w:after="240"/>
        <w:rPr>
          <w:rFonts w:ascii="Times New Roman" w:eastAsia="Times New Roman" w:hAnsi="Times New Roman" w:cs="Times New Roman"/>
          <w:sz w:val="24"/>
          <w:szCs w:val="24"/>
        </w:rPr>
      </w:pPr>
      <w:r w:rsidRPr="00CF114A">
        <w:rPr>
          <w:rFonts w:ascii="Times New Roman" w:eastAsia="Times New Roman" w:hAnsi="Times New Roman" w:cs="Times New Roman"/>
          <w:sz w:val="24"/>
          <w:szCs w:val="24"/>
        </w:rPr>
        <w:br/>
      </w:r>
      <w:r w:rsidR="00FA6189">
        <w:rPr>
          <w:rFonts w:ascii="Times New Roman" w:eastAsia="Times New Roman" w:hAnsi="Times New Roman" w:cs="Times New Roman"/>
          <w:sz w:val="24"/>
          <w:szCs w:val="24"/>
        </w:rPr>
        <w:t>Part 1</w:t>
      </w:r>
    </w:p>
    <w:p w14:paraId="5F62C48A" w14:textId="2C89C3D8" w:rsidR="00CF114A" w:rsidRPr="00CF114A" w:rsidRDefault="00CF114A" w:rsidP="00CF114A">
      <w:pPr>
        <w:rPr>
          <w:rFonts w:ascii="Times New Roman" w:hAnsi="Times New Roman" w:cs="Times New Roman"/>
          <w:sz w:val="24"/>
          <w:szCs w:val="24"/>
        </w:rPr>
      </w:pPr>
      <w:r w:rsidRPr="00CF114A">
        <w:rPr>
          <w:rFonts w:ascii="Arial" w:hAnsi="Arial" w:cs="Arial"/>
          <w:color w:val="000000"/>
        </w:rPr>
        <w:t xml:space="preserve">This Girl Can is an </w:t>
      </w:r>
      <w:r w:rsidR="00287FB0">
        <w:rPr>
          <w:rFonts w:ascii="Arial" w:hAnsi="Arial" w:cs="Arial"/>
          <w:color w:val="000000"/>
        </w:rPr>
        <w:t>ac</w:t>
      </w:r>
      <w:r w:rsidRPr="00CF114A">
        <w:rPr>
          <w:rFonts w:ascii="Arial" w:hAnsi="Arial" w:cs="Arial"/>
          <w:color w:val="000000"/>
        </w:rPr>
        <w:t xml:space="preserve">tivity </w:t>
      </w:r>
      <w:r w:rsidR="00287FB0">
        <w:rPr>
          <w:rFonts w:ascii="Arial" w:hAnsi="Arial" w:cs="Arial"/>
          <w:color w:val="000000"/>
        </w:rPr>
        <w:t>p</w:t>
      </w:r>
      <w:r w:rsidRPr="00CF114A">
        <w:rPr>
          <w:rFonts w:ascii="Arial" w:hAnsi="Arial" w:cs="Arial"/>
          <w:color w:val="000000"/>
        </w:rPr>
        <w:t>roject launched by Sport England in 2015 which was designed to help support women in being comfortable doing physical activities of any kind no matter how they look while taking part</w:t>
      </w:r>
      <w:r w:rsidR="007F1A6E">
        <w:rPr>
          <w:rFonts w:ascii="Arial" w:hAnsi="Arial" w:cs="Arial"/>
          <w:color w:val="000000"/>
        </w:rPr>
        <w:t>. T</w:t>
      </w:r>
      <w:r w:rsidR="007F1A6E" w:rsidRPr="00CF114A">
        <w:rPr>
          <w:rFonts w:ascii="Arial" w:hAnsi="Arial" w:cs="Arial"/>
          <w:color w:val="000000"/>
        </w:rPr>
        <w:t>he</w:t>
      </w:r>
      <w:r w:rsidRPr="00CF114A">
        <w:rPr>
          <w:rFonts w:ascii="Arial" w:hAnsi="Arial" w:cs="Arial"/>
          <w:color w:val="000000"/>
        </w:rPr>
        <w:t xml:space="preserve"> reason for the launch of this project was </w:t>
      </w:r>
      <w:r w:rsidR="007F1A6E">
        <w:rPr>
          <w:rFonts w:ascii="Arial" w:hAnsi="Arial" w:cs="Arial"/>
          <w:color w:val="000000"/>
        </w:rPr>
        <w:t>influenced by</w:t>
      </w:r>
      <w:r w:rsidRPr="00CF114A">
        <w:rPr>
          <w:rFonts w:ascii="Arial" w:hAnsi="Arial" w:cs="Arial"/>
          <w:color w:val="000000"/>
        </w:rPr>
        <w:t xml:space="preserve"> research carried out by Sport England which showed that women were put off joining in with physical activity due to fears such as being judged or feeling as if they are not good enough at whichever activity they are doing. The reason for this activity being targeted at women was due to a survey conducted by </w:t>
      </w:r>
      <w:r w:rsidR="007E7094">
        <w:rPr>
          <w:rFonts w:ascii="Arial" w:hAnsi="Arial" w:cs="Arial"/>
          <w:color w:val="000000"/>
        </w:rPr>
        <w:t>S</w:t>
      </w:r>
      <w:r w:rsidRPr="00CF114A">
        <w:rPr>
          <w:rFonts w:ascii="Arial" w:hAnsi="Arial" w:cs="Arial"/>
          <w:color w:val="000000"/>
        </w:rPr>
        <w:t xml:space="preserve">port England’s </w:t>
      </w:r>
      <w:r w:rsidR="006D4F39">
        <w:rPr>
          <w:rFonts w:ascii="Arial" w:hAnsi="Arial" w:cs="Arial"/>
          <w:color w:val="000000"/>
        </w:rPr>
        <w:t>A</w:t>
      </w:r>
      <w:r w:rsidRPr="00CF114A">
        <w:rPr>
          <w:rFonts w:ascii="Arial" w:hAnsi="Arial" w:cs="Arial"/>
          <w:color w:val="000000"/>
        </w:rPr>
        <w:t xml:space="preserve">ctive </w:t>
      </w:r>
      <w:r w:rsidR="006D4F39">
        <w:rPr>
          <w:rFonts w:ascii="Arial" w:hAnsi="Arial" w:cs="Arial"/>
          <w:color w:val="000000"/>
        </w:rPr>
        <w:t>P</w:t>
      </w:r>
      <w:r w:rsidRPr="00CF114A">
        <w:rPr>
          <w:rFonts w:ascii="Arial" w:hAnsi="Arial" w:cs="Arial"/>
          <w:color w:val="000000"/>
        </w:rPr>
        <w:t>eople (2013/2014) which stated that 1.75 million more men were exercising regularly than there were women exercising regularly. It is of the utmost importance for this project to succeed in motivating women of all ages throughout England as it has been reported</w:t>
      </w:r>
      <w:r w:rsidR="00AA0A57">
        <w:rPr>
          <w:rFonts w:ascii="Arial" w:hAnsi="Arial" w:cs="Arial"/>
          <w:color w:val="000000"/>
        </w:rPr>
        <w:t xml:space="preserve">, </w:t>
      </w:r>
      <w:r w:rsidRPr="00CF114A">
        <w:rPr>
          <w:rFonts w:ascii="Arial" w:hAnsi="Arial" w:cs="Arial"/>
          <w:color w:val="000000"/>
        </w:rPr>
        <w:t>in 2015</w:t>
      </w:r>
      <w:r w:rsidR="00AA0A57">
        <w:rPr>
          <w:rFonts w:ascii="Arial" w:hAnsi="Arial" w:cs="Arial"/>
          <w:color w:val="000000"/>
        </w:rPr>
        <w:t xml:space="preserve">, </w:t>
      </w:r>
      <w:r w:rsidRPr="00CF114A">
        <w:rPr>
          <w:rFonts w:ascii="Arial" w:hAnsi="Arial" w:cs="Arial"/>
          <w:color w:val="000000"/>
        </w:rPr>
        <w:t xml:space="preserve">that according to studies carried out by SAGE the prevalence rate of </w:t>
      </w:r>
      <w:r w:rsidR="00AA0A57">
        <w:rPr>
          <w:rFonts w:ascii="Arial" w:hAnsi="Arial" w:cs="Arial"/>
          <w:color w:val="000000"/>
        </w:rPr>
        <w:t>m</w:t>
      </w:r>
      <w:r w:rsidRPr="00CF114A">
        <w:rPr>
          <w:rFonts w:ascii="Arial" w:hAnsi="Arial" w:cs="Arial"/>
          <w:color w:val="000000"/>
        </w:rPr>
        <w:t xml:space="preserve">orbid </w:t>
      </w:r>
      <w:r w:rsidR="00AA0A57">
        <w:rPr>
          <w:rFonts w:ascii="Arial" w:hAnsi="Arial" w:cs="Arial"/>
          <w:color w:val="000000"/>
        </w:rPr>
        <w:t>o</w:t>
      </w:r>
      <w:r w:rsidRPr="00CF114A">
        <w:rPr>
          <w:rFonts w:ascii="Arial" w:hAnsi="Arial" w:cs="Arial"/>
          <w:color w:val="000000"/>
        </w:rPr>
        <w:t xml:space="preserve">besity in </w:t>
      </w:r>
      <w:r w:rsidR="00864CBE">
        <w:rPr>
          <w:rFonts w:ascii="Arial" w:hAnsi="Arial" w:cs="Arial"/>
          <w:color w:val="000000"/>
        </w:rPr>
        <w:t>w</w:t>
      </w:r>
      <w:r w:rsidRPr="00CF114A">
        <w:rPr>
          <w:rFonts w:ascii="Arial" w:hAnsi="Arial" w:cs="Arial"/>
          <w:color w:val="000000"/>
        </w:rPr>
        <w:t>omen is set to increase from 4% to 8% by the year 2035 which is a large concern the country is facing as the NHS England is currently facing a struggle of increasing demand which causes great strain on the NHS as it has been reported in 2019</w:t>
      </w:r>
      <w:r w:rsidR="00D9240A">
        <w:rPr>
          <w:rFonts w:ascii="Arial" w:hAnsi="Arial" w:cs="Arial"/>
          <w:color w:val="000000"/>
        </w:rPr>
        <w:t xml:space="preserve"> </w:t>
      </w:r>
      <w:r w:rsidRPr="00CF114A">
        <w:rPr>
          <w:rFonts w:ascii="Arial" w:hAnsi="Arial" w:cs="Arial"/>
          <w:color w:val="000000"/>
        </w:rPr>
        <w:t xml:space="preserve">that in the previous 5 years GP consultations have increased by 20% which was reported before the Covid-19 Pandemic which shows there was already pressure piling onto the NHS before the pandemic which proves just how important an </w:t>
      </w:r>
      <w:r w:rsidR="00287FB0">
        <w:rPr>
          <w:rFonts w:ascii="Arial" w:hAnsi="Arial" w:cs="Arial"/>
          <w:color w:val="000000"/>
        </w:rPr>
        <w:t>a</w:t>
      </w:r>
      <w:r w:rsidRPr="00CF114A">
        <w:rPr>
          <w:rFonts w:ascii="Arial" w:hAnsi="Arial" w:cs="Arial"/>
          <w:color w:val="000000"/>
        </w:rPr>
        <w:t>ctivity project like This Girl Can is in trying to inspire women to be more physically active and make healthier choices.</w:t>
      </w:r>
    </w:p>
    <w:p w14:paraId="6B1AD020" w14:textId="4E13DF37" w:rsidR="00CF114A" w:rsidRPr="00CF114A" w:rsidRDefault="00CF114A" w:rsidP="00CF114A">
      <w:pPr>
        <w:rPr>
          <w:rFonts w:ascii="Times New Roman" w:hAnsi="Times New Roman" w:cs="Times New Roman"/>
          <w:sz w:val="24"/>
          <w:szCs w:val="24"/>
        </w:rPr>
      </w:pPr>
      <w:r w:rsidRPr="00CF114A">
        <w:rPr>
          <w:rFonts w:ascii="Arial" w:hAnsi="Arial" w:cs="Arial"/>
          <w:color w:val="000000"/>
        </w:rPr>
        <w:t xml:space="preserve">The Lionesses’ recent triumph over the German Women’s national team to claim the women’s euro 2022 trophy coincided amazingly with Sport England’s This Girl Can objectives due to the Lionesses’ success proving vital for helping motivate women into getting involved in </w:t>
      </w:r>
      <w:r w:rsidR="00F97695">
        <w:rPr>
          <w:rFonts w:ascii="Arial" w:hAnsi="Arial" w:cs="Arial"/>
          <w:color w:val="000000"/>
        </w:rPr>
        <w:t>p</w:t>
      </w:r>
      <w:r w:rsidRPr="00CF114A">
        <w:rPr>
          <w:rFonts w:ascii="Arial" w:hAnsi="Arial" w:cs="Arial"/>
          <w:color w:val="000000"/>
        </w:rPr>
        <w:t xml:space="preserve">hysical </w:t>
      </w:r>
      <w:r w:rsidR="00F97695">
        <w:rPr>
          <w:rFonts w:ascii="Arial" w:hAnsi="Arial" w:cs="Arial"/>
          <w:color w:val="000000"/>
        </w:rPr>
        <w:t>a</w:t>
      </w:r>
      <w:r w:rsidRPr="00CF114A">
        <w:rPr>
          <w:rFonts w:ascii="Arial" w:hAnsi="Arial" w:cs="Arial"/>
          <w:color w:val="000000"/>
        </w:rPr>
        <w:t xml:space="preserve">ctivity as they have attracted large interest while performing so successfully in the Euro 2022 breaking attendance records in the competition with the final against </w:t>
      </w:r>
      <w:r w:rsidR="00C164FD">
        <w:rPr>
          <w:rFonts w:ascii="Arial" w:hAnsi="Arial" w:cs="Arial"/>
          <w:color w:val="000000"/>
        </w:rPr>
        <w:t xml:space="preserve">the </w:t>
      </w:r>
      <w:r w:rsidRPr="00CF114A">
        <w:rPr>
          <w:rFonts w:ascii="Arial" w:hAnsi="Arial" w:cs="Arial"/>
          <w:color w:val="000000"/>
        </w:rPr>
        <w:t xml:space="preserve">German women’s national team gathering an attendance of 87,192 people (2022) which is now the record attendance of any Women’s Euro game in the history of the sport, this demonstrates the attention that the Lionesses have brought to Women’s Football as not only did they achieve breaking the record of the highest attendance ever recorded at a women’s Euro game but six of their games played in the Euro 2022 are now in the top 10 highest recorded attendances of Women’s Euro games (2022). Not only has the Lionesses’ success managed to inspire many women but it has also helped with men and boy’s perception of not just </w:t>
      </w:r>
      <w:r w:rsidR="00B933D5">
        <w:rPr>
          <w:rFonts w:ascii="Arial" w:hAnsi="Arial" w:cs="Arial"/>
          <w:color w:val="000000"/>
        </w:rPr>
        <w:t>w</w:t>
      </w:r>
      <w:r w:rsidRPr="00CF114A">
        <w:rPr>
          <w:rFonts w:ascii="Arial" w:hAnsi="Arial" w:cs="Arial"/>
          <w:color w:val="000000"/>
        </w:rPr>
        <w:t xml:space="preserve">omen’s football but women’s sport in general as the successes can not be ignored and it makes people have a higher respect for </w:t>
      </w:r>
      <w:r w:rsidR="00E9649D">
        <w:rPr>
          <w:rFonts w:ascii="Arial" w:hAnsi="Arial" w:cs="Arial"/>
          <w:color w:val="000000"/>
        </w:rPr>
        <w:t>w</w:t>
      </w:r>
      <w:r w:rsidRPr="00CF114A">
        <w:rPr>
          <w:rFonts w:ascii="Arial" w:hAnsi="Arial" w:cs="Arial"/>
          <w:color w:val="000000"/>
        </w:rPr>
        <w:t>omen’s sport as a whole, this helps with the objectives of This Girl Can’s goal of motivating women to take part in physical activities despite how they look and to get rid of that fear that many women have about how they may be perceived because if there is a more positive outlook on Women’s sport by men and women of all ages there will be less fear of negative backlash for women wanting to take part in physical activity. </w:t>
      </w:r>
    </w:p>
    <w:p w14:paraId="7EAF4E56" w14:textId="449451A5" w:rsidR="00CF114A" w:rsidRPr="00CF114A" w:rsidRDefault="00CF114A" w:rsidP="00CF114A">
      <w:pPr>
        <w:rPr>
          <w:rFonts w:ascii="Times New Roman" w:hAnsi="Times New Roman" w:cs="Times New Roman"/>
          <w:sz w:val="24"/>
          <w:szCs w:val="24"/>
        </w:rPr>
      </w:pPr>
      <w:r w:rsidRPr="00CF114A">
        <w:rPr>
          <w:rFonts w:ascii="Arial" w:hAnsi="Arial" w:cs="Arial"/>
          <w:color w:val="000000"/>
        </w:rPr>
        <w:t xml:space="preserve">This Girl Can has been a widely successful </w:t>
      </w:r>
      <w:r w:rsidR="00E9649D">
        <w:rPr>
          <w:rFonts w:ascii="Arial" w:hAnsi="Arial" w:cs="Arial"/>
          <w:color w:val="000000"/>
        </w:rPr>
        <w:t>a</w:t>
      </w:r>
      <w:r w:rsidRPr="00CF114A">
        <w:rPr>
          <w:rFonts w:ascii="Arial" w:hAnsi="Arial" w:cs="Arial"/>
          <w:color w:val="000000"/>
        </w:rPr>
        <w:t xml:space="preserve">ctivity </w:t>
      </w:r>
      <w:r w:rsidR="00E9649D">
        <w:rPr>
          <w:rFonts w:ascii="Arial" w:hAnsi="Arial" w:cs="Arial"/>
          <w:color w:val="000000"/>
        </w:rPr>
        <w:t>p</w:t>
      </w:r>
      <w:r w:rsidRPr="00CF114A">
        <w:rPr>
          <w:rFonts w:ascii="Arial" w:hAnsi="Arial" w:cs="Arial"/>
          <w:color w:val="000000"/>
        </w:rPr>
        <w:t xml:space="preserve">roject since its launch in 2015, </w:t>
      </w:r>
      <w:r w:rsidR="00A36903">
        <w:rPr>
          <w:rFonts w:ascii="Arial" w:hAnsi="Arial" w:cs="Arial"/>
          <w:color w:val="000000"/>
        </w:rPr>
        <w:t>a</w:t>
      </w:r>
      <w:r w:rsidRPr="00CF114A">
        <w:rPr>
          <w:rFonts w:ascii="Arial" w:hAnsi="Arial" w:cs="Arial"/>
          <w:color w:val="000000"/>
        </w:rPr>
        <w:t xml:space="preserve">ccording to Kantar’s </w:t>
      </w:r>
      <w:r w:rsidR="005008C4">
        <w:rPr>
          <w:rFonts w:ascii="Arial" w:hAnsi="Arial" w:cs="Arial"/>
          <w:color w:val="000000"/>
        </w:rPr>
        <w:t>s</w:t>
      </w:r>
      <w:r w:rsidRPr="00CF114A">
        <w:rPr>
          <w:rFonts w:ascii="Arial" w:hAnsi="Arial" w:cs="Arial"/>
          <w:color w:val="000000"/>
        </w:rPr>
        <w:t xml:space="preserve">tandard </w:t>
      </w:r>
      <w:r w:rsidR="005008C4">
        <w:rPr>
          <w:rFonts w:ascii="Arial" w:hAnsi="Arial" w:cs="Arial"/>
          <w:color w:val="000000"/>
        </w:rPr>
        <w:t>a</w:t>
      </w:r>
      <w:r w:rsidRPr="00CF114A">
        <w:rPr>
          <w:rFonts w:ascii="Arial" w:hAnsi="Arial" w:cs="Arial"/>
          <w:color w:val="000000"/>
        </w:rPr>
        <w:t xml:space="preserve">deval </w:t>
      </w:r>
      <w:r w:rsidR="00816A7E">
        <w:rPr>
          <w:rFonts w:ascii="Arial" w:hAnsi="Arial" w:cs="Arial"/>
          <w:color w:val="000000"/>
        </w:rPr>
        <w:t>m</w:t>
      </w:r>
      <w:r w:rsidRPr="00CF114A">
        <w:rPr>
          <w:rFonts w:ascii="Arial" w:hAnsi="Arial" w:cs="Arial"/>
          <w:color w:val="000000"/>
        </w:rPr>
        <w:t xml:space="preserve">etric used in 2015 70% of women aged 14 to 40 considered themselves motivated by the activity project which is one example of This Girl Can achieving their objectives in helping motivate women to feel confident in indulging themselves into different types of </w:t>
      </w:r>
      <w:r w:rsidR="00816A7E">
        <w:rPr>
          <w:rFonts w:ascii="Arial" w:hAnsi="Arial" w:cs="Arial"/>
          <w:color w:val="000000"/>
        </w:rPr>
        <w:t>p</w:t>
      </w:r>
      <w:r w:rsidRPr="00CF114A">
        <w:rPr>
          <w:rFonts w:ascii="Arial" w:hAnsi="Arial" w:cs="Arial"/>
          <w:color w:val="000000"/>
        </w:rPr>
        <w:t>hysical activities. In a survey conducted by Sport England’s This Girl Can (2015) it was recorded that 2.8million more women were more physically active upon witnessing the This Girl Can activity project which shows again the success of the project. </w:t>
      </w:r>
    </w:p>
    <w:p w14:paraId="265D3D0B" w14:textId="012976E0" w:rsidR="00CF114A" w:rsidRPr="00CF114A" w:rsidRDefault="00CF114A" w:rsidP="00CF114A">
      <w:pPr>
        <w:rPr>
          <w:rFonts w:ascii="Times New Roman" w:hAnsi="Times New Roman" w:cs="Times New Roman"/>
          <w:sz w:val="24"/>
          <w:szCs w:val="24"/>
        </w:rPr>
      </w:pPr>
      <w:r w:rsidRPr="00CF114A">
        <w:rPr>
          <w:rFonts w:ascii="Arial" w:hAnsi="Arial" w:cs="Arial"/>
          <w:color w:val="000000"/>
        </w:rPr>
        <w:lastRenderedPageBreak/>
        <w:t>The Success of Sport England’s This Girl Can Project can be highlighted by the fact it has been expanded and trialed abroad for the first time in 2017 in Victoria,</w:t>
      </w:r>
      <w:r w:rsidR="000537A5">
        <w:rPr>
          <w:rFonts w:ascii="Arial" w:hAnsi="Arial" w:cs="Arial"/>
          <w:color w:val="000000"/>
        </w:rPr>
        <w:t xml:space="preserve"> </w:t>
      </w:r>
      <w:r w:rsidRPr="00CF114A">
        <w:rPr>
          <w:rFonts w:ascii="Arial" w:hAnsi="Arial" w:cs="Arial"/>
          <w:color w:val="000000"/>
        </w:rPr>
        <w:t xml:space="preserve">Australia with the same objectives set out as Sport England’s original approach but is being ran by VicHealth in Australia, this speaks volumes to how successful Sport England’s This Girl Can has been with reaching its goals by the fact that it has been picked up by a well-respected </w:t>
      </w:r>
      <w:r w:rsidR="005E2716" w:rsidRPr="00CF114A">
        <w:rPr>
          <w:rFonts w:ascii="Arial" w:hAnsi="Arial" w:cs="Arial"/>
          <w:color w:val="000000"/>
        </w:rPr>
        <w:t>organisation</w:t>
      </w:r>
      <w:r w:rsidRPr="00CF114A">
        <w:rPr>
          <w:rFonts w:ascii="Arial" w:hAnsi="Arial" w:cs="Arial"/>
          <w:color w:val="000000"/>
        </w:rPr>
        <w:t xml:space="preserve"> to be attempted in their local area. This can demonstrate the potential that the activity intervention project has in terms of its capabilities because the Victoria</w:t>
      </w:r>
      <w:r w:rsidR="007C4FBC">
        <w:rPr>
          <w:rFonts w:ascii="Arial" w:hAnsi="Arial" w:cs="Arial"/>
          <w:color w:val="000000"/>
        </w:rPr>
        <w:t xml:space="preserve"> He</w:t>
      </w:r>
      <w:r w:rsidRPr="00CF114A">
        <w:rPr>
          <w:rFonts w:ascii="Arial" w:hAnsi="Arial" w:cs="Arial"/>
          <w:color w:val="000000"/>
        </w:rPr>
        <w:t>alth Organisation have demonstrated that the campaign is not limited in terms of its location which shows that This Girl Can has the potential to expand globally way beyond what they had ever set out to achieve from the start of Sport England launching it all the way back in 2015.</w:t>
      </w:r>
    </w:p>
    <w:p w14:paraId="61FB95F4" w14:textId="3C7C555C" w:rsidR="00CF114A" w:rsidRPr="00CF114A" w:rsidRDefault="00CF114A" w:rsidP="00CF114A">
      <w:pPr>
        <w:rPr>
          <w:rFonts w:ascii="Times New Roman" w:hAnsi="Times New Roman" w:cs="Times New Roman"/>
          <w:sz w:val="24"/>
          <w:szCs w:val="24"/>
        </w:rPr>
      </w:pPr>
      <w:r w:rsidRPr="00CF114A">
        <w:rPr>
          <w:rFonts w:ascii="Arial" w:hAnsi="Arial" w:cs="Arial"/>
          <w:color w:val="000000"/>
        </w:rPr>
        <w:t>This Girl Can could benefit massively from trying to globalise the campaign after its national success within the United Kingdom as it has already been shown elsewhere in Victoria, Australia with VicHealth launching</w:t>
      </w:r>
      <w:r w:rsidR="000C201A">
        <w:rPr>
          <w:rFonts w:ascii="Arial" w:hAnsi="Arial" w:cs="Arial"/>
          <w:color w:val="000000"/>
        </w:rPr>
        <w:t>,</w:t>
      </w:r>
      <w:r w:rsidRPr="00CF114A">
        <w:rPr>
          <w:rFonts w:ascii="Arial" w:hAnsi="Arial" w:cs="Arial"/>
          <w:color w:val="000000"/>
        </w:rPr>
        <w:t xml:space="preserve"> it showcases that the campaign is possible to be grasped by other international organisations to help show health and confidence improvements for women globally. The possibilities of other organisations abroad attempting to launch This Girl Can would allow for a lot more studies and surveys to be done on how the campaign has affected women and if it has motivated them will help organisations to look back at the successes and failures of the campaign to then improve the campaign so it can reach more women and help benefit more women’s lives.</w:t>
      </w:r>
    </w:p>
    <w:p w14:paraId="0BB48C02" w14:textId="3BF8C9BD" w:rsidR="00CF114A" w:rsidRPr="00CF114A" w:rsidRDefault="00CF114A" w:rsidP="00CF114A">
      <w:pPr>
        <w:rPr>
          <w:rFonts w:ascii="Times New Roman" w:hAnsi="Times New Roman" w:cs="Times New Roman"/>
          <w:sz w:val="24"/>
          <w:szCs w:val="24"/>
        </w:rPr>
      </w:pPr>
      <w:r w:rsidRPr="00CF114A">
        <w:rPr>
          <w:rFonts w:ascii="Arial" w:hAnsi="Arial" w:cs="Arial"/>
          <w:color w:val="000000"/>
        </w:rPr>
        <w:t xml:space="preserve">In summary, This Girl Can has proven to be very successful since its launch and even after 7 years of launch still looks like it has large amounts of potential to get even more successful and help transform more </w:t>
      </w:r>
      <w:r w:rsidR="005E2716" w:rsidRPr="00CF114A">
        <w:rPr>
          <w:rFonts w:ascii="Arial" w:hAnsi="Arial" w:cs="Arial"/>
          <w:color w:val="000000"/>
        </w:rPr>
        <w:t>woman’s</w:t>
      </w:r>
      <w:r w:rsidRPr="00CF114A">
        <w:rPr>
          <w:rFonts w:ascii="Arial" w:hAnsi="Arial" w:cs="Arial"/>
          <w:color w:val="000000"/>
        </w:rPr>
        <w:t xml:space="preserve"> lives through the inspiration and motivation the campaign is providing.</w:t>
      </w:r>
    </w:p>
    <w:p w14:paraId="286BDE74" w14:textId="2DF63715" w:rsidR="00CF114A" w:rsidRPr="00CF114A" w:rsidRDefault="00CF114A" w:rsidP="00CF114A">
      <w:pPr>
        <w:spacing w:after="240"/>
        <w:rPr>
          <w:rFonts w:ascii="Times New Roman" w:eastAsia="Times New Roman" w:hAnsi="Times New Roman" w:cs="Times New Roman"/>
          <w:sz w:val="24"/>
          <w:szCs w:val="24"/>
        </w:rPr>
      </w:pPr>
    </w:p>
    <w:p w14:paraId="4D41C4AF" w14:textId="77777777" w:rsidR="00CF114A" w:rsidRPr="00CF114A" w:rsidRDefault="00CF114A" w:rsidP="00CF114A">
      <w:pPr>
        <w:rPr>
          <w:rFonts w:ascii="Times New Roman" w:hAnsi="Times New Roman" w:cs="Times New Roman"/>
          <w:sz w:val="24"/>
          <w:szCs w:val="24"/>
        </w:rPr>
      </w:pPr>
      <w:r w:rsidRPr="00CF114A">
        <w:rPr>
          <w:rFonts w:ascii="Arial" w:hAnsi="Arial" w:cs="Arial"/>
          <w:color w:val="000000"/>
        </w:rPr>
        <w:t>References </w:t>
      </w:r>
    </w:p>
    <w:p w14:paraId="6F233E6B" w14:textId="77777777" w:rsidR="00CF114A" w:rsidRPr="00CF114A" w:rsidRDefault="00CF114A" w:rsidP="00CF114A">
      <w:pPr>
        <w:spacing w:after="240"/>
        <w:rPr>
          <w:rFonts w:ascii="Times New Roman" w:eastAsia="Times New Roman" w:hAnsi="Times New Roman" w:cs="Times New Roman"/>
          <w:sz w:val="24"/>
          <w:szCs w:val="24"/>
        </w:rPr>
      </w:pPr>
    </w:p>
    <w:p w14:paraId="361E8EB3" w14:textId="77777777" w:rsidR="00CF114A" w:rsidRPr="00CF114A" w:rsidRDefault="00CF114A" w:rsidP="00CF114A">
      <w:pPr>
        <w:rPr>
          <w:rFonts w:ascii="Times New Roman" w:hAnsi="Times New Roman" w:cs="Times New Roman"/>
          <w:sz w:val="24"/>
          <w:szCs w:val="24"/>
        </w:rPr>
      </w:pPr>
      <w:r w:rsidRPr="00CF114A">
        <w:rPr>
          <w:rFonts w:ascii="Arial" w:hAnsi="Arial" w:cs="Arial"/>
          <w:i/>
          <w:iCs/>
          <w:color w:val="000000"/>
        </w:rPr>
        <w:t xml:space="preserve">GPs: Behind Closed Doors: Episode 11 </w:t>
      </w:r>
      <w:r w:rsidRPr="00CF114A">
        <w:rPr>
          <w:rFonts w:ascii="Arial" w:hAnsi="Arial" w:cs="Arial"/>
          <w:color w:val="000000"/>
        </w:rPr>
        <w:t>(2019)</w:t>
      </w:r>
    </w:p>
    <w:p w14:paraId="4D553E5F" w14:textId="77777777" w:rsidR="00CF114A" w:rsidRPr="00CF114A" w:rsidRDefault="00CF114A" w:rsidP="00CF114A">
      <w:pPr>
        <w:rPr>
          <w:rFonts w:ascii="Times New Roman" w:eastAsia="Times New Roman" w:hAnsi="Times New Roman" w:cs="Times New Roman"/>
          <w:sz w:val="24"/>
          <w:szCs w:val="24"/>
        </w:rPr>
      </w:pPr>
    </w:p>
    <w:p w14:paraId="5A469814" w14:textId="3931172F" w:rsidR="00CF114A" w:rsidRPr="00CF114A" w:rsidRDefault="00CF114A" w:rsidP="00CF114A">
      <w:pPr>
        <w:rPr>
          <w:rFonts w:ascii="Times New Roman" w:hAnsi="Times New Roman" w:cs="Times New Roman"/>
          <w:sz w:val="24"/>
          <w:szCs w:val="24"/>
        </w:rPr>
      </w:pPr>
      <w:r w:rsidRPr="00CF114A">
        <w:rPr>
          <w:rFonts w:ascii="Arial" w:hAnsi="Arial" w:cs="Arial"/>
          <w:color w:val="000000"/>
        </w:rPr>
        <w:t xml:space="preserve">Keaver, Xu, B., Jaccard, A., &amp; Webber, L. (2020). </w:t>
      </w:r>
      <w:r w:rsidRPr="00CF114A">
        <w:rPr>
          <w:rFonts w:ascii="Arial" w:hAnsi="Arial" w:cs="Arial"/>
          <w:i/>
          <w:iCs/>
          <w:color w:val="000000"/>
        </w:rPr>
        <w:t xml:space="preserve">Morbid obesity in the UK: A modelling projection study to 2035. Scandinavian Journal of Public Health, 48(4), 422–427. </w:t>
      </w:r>
      <w:hyperlink r:id="rId4" w:history="1">
        <w:r w:rsidRPr="00CF114A">
          <w:rPr>
            <w:rFonts w:ascii="Arial" w:hAnsi="Arial" w:cs="Arial"/>
            <w:i/>
            <w:iCs/>
            <w:color w:val="1155CC"/>
            <w:u w:val="single"/>
          </w:rPr>
          <w:t>https://doi.org/10.1177/1403494818794814</w:t>
        </w:r>
      </w:hyperlink>
      <w:r w:rsidR="001E56E4">
        <w:rPr>
          <w:rFonts w:ascii="Times New Roman" w:hAnsi="Times New Roman" w:cs="Times New Roman"/>
          <w:sz w:val="24"/>
          <w:szCs w:val="24"/>
        </w:rPr>
        <w:t xml:space="preserve"> (Accessed 1</w:t>
      </w:r>
      <w:r w:rsidR="00D64DFF">
        <w:rPr>
          <w:rFonts w:ascii="Times New Roman" w:hAnsi="Times New Roman" w:cs="Times New Roman"/>
          <w:sz w:val="24"/>
          <w:szCs w:val="24"/>
        </w:rPr>
        <w:t>7/11/22)</w:t>
      </w:r>
    </w:p>
    <w:p w14:paraId="614521BD" w14:textId="77777777" w:rsidR="00CF114A" w:rsidRPr="00CF114A" w:rsidRDefault="00CF114A" w:rsidP="00CF114A">
      <w:pPr>
        <w:rPr>
          <w:rFonts w:ascii="Times New Roman" w:eastAsia="Times New Roman" w:hAnsi="Times New Roman" w:cs="Times New Roman"/>
          <w:sz w:val="24"/>
          <w:szCs w:val="24"/>
        </w:rPr>
      </w:pPr>
    </w:p>
    <w:p w14:paraId="342C2DC5" w14:textId="77777777" w:rsidR="00CF114A" w:rsidRPr="00CF114A" w:rsidRDefault="00CF114A" w:rsidP="00CF114A">
      <w:pPr>
        <w:rPr>
          <w:rFonts w:ascii="Times New Roman" w:hAnsi="Times New Roman" w:cs="Times New Roman"/>
          <w:sz w:val="24"/>
          <w:szCs w:val="24"/>
        </w:rPr>
      </w:pPr>
      <w:r w:rsidRPr="00CF114A">
        <w:rPr>
          <w:rFonts w:ascii="Arial" w:hAnsi="Arial" w:cs="Arial"/>
          <w:color w:val="000000"/>
        </w:rPr>
        <w:t>K.Public. (2015).</w:t>
      </w:r>
      <w:r w:rsidRPr="00CF114A">
        <w:rPr>
          <w:rFonts w:ascii="Arial" w:hAnsi="Arial" w:cs="Arial"/>
          <w:i/>
          <w:iCs/>
          <w:color w:val="000000"/>
        </w:rPr>
        <w:t xml:space="preserve"> Kantar’s standard Adval metric.</w:t>
      </w:r>
    </w:p>
    <w:p w14:paraId="1DE4BDCD" w14:textId="77777777" w:rsidR="00CF114A" w:rsidRPr="00CF114A" w:rsidRDefault="00CF114A" w:rsidP="00CF114A">
      <w:pPr>
        <w:rPr>
          <w:rFonts w:ascii="Times New Roman" w:eastAsia="Times New Roman" w:hAnsi="Times New Roman" w:cs="Times New Roman"/>
          <w:sz w:val="24"/>
          <w:szCs w:val="24"/>
        </w:rPr>
      </w:pPr>
    </w:p>
    <w:p w14:paraId="543A28EE" w14:textId="77777777" w:rsidR="008E0224" w:rsidRPr="00CF114A" w:rsidRDefault="00CF114A" w:rsidP="00EC091B">
      <w:pPr>
        <w:rPr>
          <w:rFonts w:ascii="Times New Roman" w:hAnsi="Times New Roman" w:cs="Times New Roman"/>
          <w:sz w:val="24"/>
          <w:szCs w:val="24"/>
        </w:rPr>
      </w:pPr>
      <w:r w:rsidRPr="00CF114A">
        <w:rPr>
          <w:rFonts w:ascii="Arial" w:hAnsi="Arial" w:cs="Arial"/>
          <w:i/>
          <w:iCs/>
          <w:color w:val="000000"/>
        </w:rPr>
        <w:t xml:space="preserve">Victorian women sign up to this girl can campaign: it is the first time the Sport England campaign will be delivered outside of the UK which has seen 2.8 million more women get active over the past two years. </w:t>
      </w:r>
      <w:r w:rsidRPr="00CF114A">
        <w:rPr>
          <w:rFonts w:ascii="Arial" w:hAnsi="Arial" w:cs="Arial"/>
          <w:color w:val="000000"/>
        </w:rPr>
        <w:t>(2017)</w:t>
      </w:r>
      <w:r w:rsidRPr="00CF114A">
        <w:rPr>
          <w:rFonts w:ascii="Arial" w:hAnsi="Arial" w:cs="Arial"/>
          <w:i/>
          <w:iCs/>
          <w:color w:val="000000"/>
        </w:rPr>
        <w:t>. Australian Nursing &amp; Midwifery Journal, 25(3), 10–.</w:t>
      </w:r>
      <w:r w:rsidR="008E0224">
        <w:rPr>
          <w:rFonts w:ascii="Arial" w:hAnsi="Arial" w:cs="Arial"/>
          <w:i/>
          <w:iCs/>
          <w:color w:val="000000"/>
        </w:rPr>
        <w:t xml:space="preserve"> </w:t>
      </w:r>
      <w:r w:rsidR="008E0224">
        <w:rPr>
          <w:rFonts w:ascii="Times New Roman" w:hAnsi="Times New Roman" w:cs="Times New Roman"/>
          <w:sz w:val="24"/>
          <w:szCs w:val="24"/>
        </w:rPr>
        <w:t>(Accessed 17/11/22)</w:t>
      </w:r>
    </w:p>
    <w:p w14:paraId="6B523624" w14:textId="564124F3" w:rsidR="00CF114A" w:rsidRPr="00CF114A" w:rsidRDefault="00CF114A" w:rsidP="00CF114A">
      <w:pPr>
        <w:rPr>
          <w:rFonts w:ascii="Times New Roman" w:hAnsi="Times New Roman" w:cs="Times New Roman"/>
          <w:sz w:val="24"/>
          <w:szCs w:val="24"/>
        </w:rPr>
      </w:pPr>
    </w:p>
    <w:p w14:paraId="4BF3E6A8" w14:textId="77777777" w:rsidR="00CF114A" w:rsidRPr="00CF114A" w:rsidRDefault="00CF114A" w:rsidP="00CF114A">
      <w:pPr>
        <w:rPr>
          <w:rFonts w:ascii="Times New Roman" w:eastAsia="Times New Roman" w:hAnsi="Times New Roman" w:cs="Times New Roman"/>
          <w:sz w:val="24"/>
          <w:szCs w:val="24"/>
        </w:rPr>
      </w:pPr>
    </w:p>
    <w:p w14:paraId="5398B3D0" w14:textId="0F8BD6F0" w:rsidR="008E0224" w:rsidRPr="00CF114A" w:rsidRDefault="00CF114A" w:rsidP="00EC091B">
      <w:pPr>
        <w:rPr>
          <w:rFonts w:ascii="Times New Roman" w:hAnsi="Times New Roman" w:cs="Times New Roman"/>
          <w:sz w:val="24"/>
          <w:szCs w:val="24"/>
        </w:rPr>
      </w:pPr>
      <w:r w:rsidRPr="00CF114A">
        <w:rPr>
          <w:rFonts w:ascii="Arial" w:hAnsi="Arial" w:cs="Arial"/>
          <w:color w:val="000000"/>
        </w:rPr>
        <w:t xml:space="preserve">UEFA.com </w:t>
      </w:r>
      <w:r w:rsidRPr="00CF114A">
        <w:rPr>
          <w:rFonts w:ascii="Arial" w:hAnsi="Arial" w:cs="Arial"/>
          <w:i/>
          <w:iCs/>
          <w:color w:val="000000"/>
        </w:rPr>
        <w:t xml:space="preserve">Biggest Women's EURO crowds: 2022 finals the best attended ever </w:t>
      </w:r>
      <w:r w:rsidRPr="00CF114A">
        <w:rPr>
          <w:rFonts w:ascii="Arial" w:hAnsi="Arial" w:cs="Arial"/>
          <w:color w:val="000000"/>
        </w:rPr>
        <w:t>(2022)</w:t>
      </w:r>
      <w:r w:rsidR="00F84815">
        <w:rPr>
          <w:rFonts w:ascii="Arial" w:hAnsi="Arial" w:cs="Arial"/>
          <w:color w:val="000000"/>
        </w:rPr>
        <w:t xml:space="preserve"> [online]</w:t>
      </w:r>
      <w:r w:rsidR="008E0224">
        <w:rPr>
          <w:rFonts w:ascii="Arial" w:hAnsi="Arial" w:cs="Arial"/>
          <w:color w:val="000000"/>
        </w:rPr>
        <w:t xml:space="preserve"> </w:t>
      </w:r>
      <w:r w:rsidR="00490E29" w:rsidRPr="00490E29">
        <w:rPr>
          <w:rFonts w:ascii="Arial" w:hAnsi="Arial" w:cs="Arial"/>
          <w:color w:val="000000"/>
        </w:rPr>
        <w:t>https://www.uefa.com/womenseuro/news/0276-15748cb0ba74-f342af5f57b8-1000--biggest-women-s-euro-crowds-2022-finals-the-best-attended-ever/</w:t>
      </w:r>
      <w:r w:rsidR="00490E29">
        <w:rPr>
          <w:rFonts w:ascii="Times New Roman" w:hAnsi="Times New Roman" w:cs="Times New Roman"/>
          <w:sz w:val="24"/>
          <w:szCs w:val="24"/>
        </w:rPr>
        <w:t xml:space="preserve"> </w:t>
      </w:r>
      <w:r w:rsidR="008E0224">
        <w:rPr>
          <w:rFonts w:ascii="Times New Roman" w:hAnsi="Times New Roman" w:cs="Times New Roman"/>
          <w:sz w:val="24"/>
          <w:szCs w:val="24"/>
        </w:rPr>
        <w:t>(Accessed 17/11/22)</w:t>
      </w:r>
    </w:p>
    <w:p w14:paraId="66E4A44E" w14:textId="24371D0A" w:rsidR="00CF114A" w:rsidRPr="00CF114A" w:rsidRDefault="00CF114A" w:rsidP="00CF114A">
      <w:pPr>
        <w:rPr>
          <w:rFonts w:ascii="Times New Roman" w:hAnsi="Times New Roman" w:cs="Times New Roman"/>
          <w:sz w:val="24"/>
          <w:szCs w:val="24"/>
        </w:rPr>
      </w:pPr>
    </w:p>
    <w:p w14:paraId="6C80260A" w14:textId="77777777" w:rsidR="00CF114A" w:rsidRPr="00CF114A" w:rsidRDefault="00CF114A" w:rsidP="00CF114A">
      <w:pPr>
        <w:rPr>
          <w:rFonts w:ascii="Times New Roman" w:eastAsia="Times New Roman" w:hAnsi="Times New Roman" w:cs="Times New Roman"/>
          <w:sz w:val="24"/>
          <w:szCs w:val="24"/>
        </w:rPr>
      </w:pPr>
    </w:p>
    <w:p w14:paraId="7C907ACD" w14:textId="3564A91E" w:rsidR="001F1D64" w:rsidRDefault="00CF114A" w:rsidP="00EC091B">
      <w:pPr>
        <w:rPr>
          <w:rFonts w:ascii="Times New Roman" w:hAnsi="Times New Roman" w:cs="Times New Roman"/>
          <w:sz w:val="24"/>
          <w:szCs w:val="24"/>
        </w:rPr>
      </w:pPr>
      <w:r w:rsidRPr="00CF114A">
        <w:rPr>
          <w:rFonts w:ascii="Arial" w:hAnsi="Arial" w:cs="Arial"/>
          <w:color w:val="000000"/>
        </w:rPr>
        <w:t>L.</w:t>
      </w:r>
      <w:r w:rsidR="00930AC7">
        <w:rPr>
          <w:rFonts w:ascii="Arial" w:hAnsi="Arial" w:cs="Arial"/>
          <w:color w:val="000000"/>
        </w:rPr>
        <w:t xml:space="preserve"> </w:t>
      </w:r>
      <w:r w:rsidRPr="00CF114A">
        <w:rPr>
          <w:rFonts w:ascii="Arial" w:hAnsi="Arial" w:cs="Arial"/>
          <w:color w:val="000000"/>
        </w:rPr>
        <w:t>O’</w:t>
      </w:r>
      <w:r w:rsidR="00930AC7">
        <w:rPr>
          <w:rFonts w:ascii="Arial" w:hAnsi="Arial" w:cs="Arial"/>
          <w:color w:val="000000"/>
        </w:rPr>
        <w:t>K</w:t>
      </w:r>
      <w:r w:rsidRPr="00CF114A">
        <w:rPr>
          <w:rFonts w:ascii="Arial" w:hAnsi="Arial" w:cs="Arial"/>
          <w:color w:val="000000"/>
        </w:rPr>
        <w:t xml:space="preserve">eefe </w:t>
      </w:r>
      <w:r w:rsidR="00375765">
        <w:rPr>
          <w:rFonts w:ascii="Arial" w:hAnsi="Arial" w:cs="Arial"/>
          <w:color w:val="000000"/>
        </w:rPr>
        <w:t xml:space="preserve">(2001) </w:t>
      </w:r>
      <w:r w:rsidRPr="00CF114A">
        <w:rPr>
          <w:rFonts w:ascii="Arial" w:hAnsi="Arial" w:cs="Arial"/>
          <w:i/>
          <w:iCs/>
          <w:color w:val="000000"/>
        </w:rPr>
        <w:t>This Girl Can Campaign Summary</w:t>
      </w:r>
      <w:r w:rsidR="007D6CB3">
        <w:rPr>
          <w:rFonts w:ascii="Arial" w:hAnsi="Arial" w:cs="Arial"/>
          <w:i/>
          <w:iCs/>
          <w:color w:val="000000"/>
        </w:rPr>
        <w:t xml:space="preserve"> </w:t>
      </w:r>
      <w:r w:rsidR="002505F3">
        <w:rPr>
          <w:rFonts w:ascii="Arial" w:hAnsi="Arial" w:cs="Arial"/>
          <w:i/>
          <w:iCs/>
          <w:color w:val="000000"/>
        </w:rPr>
        <w:t>[</w:t>
      </w:r>
      <w:r w:rsidR="002505F3" w:rsidRPr="002505F3">
        <w:rPr>
          <w:rFonts w:ascii="Arial" w:hAnsi="Arial" w:cs="Arial"/>
          <w:color w:val="000000"/>
        </w:rPr>
        <w:t>ONLINE]</w:t>
      </w:r>
      <w:r w:rsidRPr="00CF114A">
        <w:rPr>
          <w:rFonts w:ascii="Arial" w:hAnsi="Arial" w:cs="Arial"/>
          <w:color w:val="000000"/>
        </w:rPr>
        <w:t xml:space="preserve"> https://sportengland-production-files.s3.eu-west-2.amazonaws.com/s3fs-public/2022-05/TGC%20Campaign%20summary%202021_0.pdf?VersionId=8j5WaQWXjRZy95JkiyT8s_8efCG.8llF (2021)</w:t>
      </w:r>
      <w:r w:rsidR="001F1D64">
        <w:rPr>
          <w:rFonts w:ascii="Arial" w:hAnsi="Arial" w:cs="Arial"/>
          <w:color w:val="000000"/>
        </w:rPr>
        <w:t xml:space="preserve"> </w:t>
      </w:r>
      <w:r w:rsidR="001F1D64">
        <w:rPr>
          <w:rFonts w:ascii="Times New Roman" w:hAnsi="Times New Roman" w:cs="Times New Roman"/>
          <w:sz w:val="24"/>
          <w:szCs w:val="24"/>
        </w:rPr>
        <w:t>(Accessed 17/11/22)</w:t>
      </w:r>
    </w:p>
    <w:p w14:paraId="71B8A3E2" w14:textId="537419F3" w:rsidR="00AC32B5" w:rsidRDefault="00AC32B5" w:rsidP="00EC091B">
      <w:pPr>
        <w:rPr>
          <w:rFonts w:ascii="Times New Roman" w:hAnsi="Times New Roman" w:cs="Times New Roman"/>
          <w:sz w:val="24"/>
          <w:szCs w:val="24"/>
        </w:rPr>
      </w:pPr>
    </w:p>
    <w:p w14:paraId="28145B11" w14:textId="2FF66236" w:rsidR="00AC32B5" w:rsidRDefault="00AC32B5" w:rsidP="00EC091B">
      <w:pPr>
        <w:rPr>
          <w:rFonts w:ascii="Times New Roman" w:hAnsi="Times New Roman" w:cs="Times New Roman"/>
          <w:sz w:val="24"/>
          <w:szCs w:val="24"/>
        </w:rPr>
      </w:pPr>
    </w:p>
    <w:p w14:paraId="6608ABFA" w14:textId="278B20D7" w:rsidR="00154E73" w:rsidRPr="00D1330A" w:rsidRDefault="00D1330A" w:rsidP="00730169">
      <w:pPr>
        <w:rPr>
          <w:rFonts w:ascii="Times New Roman" w:hAnsi="Times New Roman" w:cs="Times New Roman"/>
        </w:rPr>
      </w:pPr>
      <w:r>
        <w:rPr>
          <w:rFonts w:ascii="Times New Roman" w:hAnsi="Times New Roman" w:cs="Times New Roman"/>
        </w:rPr>
        <w:lastRenderedPageBreak/>
        <w:t>Part 2</w:t>
      </w:r>
    </w:p>
    <w:p w14:paraId="215633E2" w14:textId="2F8A41BD" w:rsidR="00154E73" w:rsidRPr="00D1330A" w:rsidRDefault="00154E73" w:rsidP="00730169">
      <w:pPr>
        <w:rPr>
          <w:rFonts w:ascii="Arial" w:hAnsi="Arial" w:cs="Arial"/>
        </w:rPr>
      </w:pPr>
      <w:r w:rsidRPr="00D1330A">
        <w:rPr>
          <w:rFonts w:ascii="Arial" w:hAnsi="Arial" w:cs="Arial"/>
        </w:rPr>
        <w:t xml:space="preserve">According to Franklin.H “Physical Activity Promotes Health. Nature contact promotes health.” This quote demonstrates on a simple scale of what green exercise is as it is a combination of both Physical Activity and Nature contact. There are various different types of green exercise as it could be different types of sports like football, rugby, shinty, Cricket, and many more which are all forms of team played sports that can be played outside to include nature contact. On the other hand Green exercise can be singular activities such as Yoga, Dog-walking, Cycling, Nature-walking, Long-distance Running and many more. The English government have invested £5.5million in green exercise to test how interlinking people to nature could improve mental-health. This relates to some of the activities mentioned above as these activities could be apart of the planned investments ideas to help improve people’s mental-health. The different Locations (Humber coast &amp; Vale Heath, South Yorkshire ,  Nottingham, Derbyshire, Greater Manchester, Bristol) in which the fund is being shared shows that it is being divided equally and not being affected by factors such as ethnic inequalities or affluence which shows this Investment is focused on everyone which shows great equality and inclusion. In the 40 day green exercise intervention programme targeted at scarcely active adults tests were done on then adults involved in the intervention on different attributes with some of these attributes being Stress , Depression and Anxiety. The results of the Wilcoxon signed-ranks test (2019)  showcased that the mean score of depression were reduced from 8.1 to 2.8, the mean score of Anxiety was reduced from 4.4 to 2.5 , the mean score of Stress was reduced from 10.6 to 6.0 which shows that the inclusion of green exercise in these scarcely active adults lives benefitted them due to the reduction in the factors mentioned above. It was also shown in the test mentioned above that the Well-being mean was increased from 6.9 to 8.1 which also demonstrates the benefits that the inclusion of green exercise has caused. The study conducted on the 40 day green exercise programme is a great supporting factor in the large investment made by the English government as to why green exercise has a positive affect on peoples mental health which is a huge problem that the government is facing which shows that this is a priority due to the large investment put forward into green exercise with one of the main factors being to improve peoples mental-health. </w:t>
      </w:r>
    </w:p>
    <w:p w14:paraId="03113727" w14:textId="77777777" w:rsidR="00154E73" w:rsidRPr="00D1330A" w:rsidRDefault="00154E73" w:rsidP="00730169">
      <w:pPr>
        <w:rPr>
          <w:rFonts w:ascii="Arial" w:hAnsi="Arial" w:cs="Arial"/>
        </w:rPr>
      </w:pPr>
      <w:r w:rsidRPr="00D1330A">
        <w:rPr>
          <w:rFonts w:ascii="Arial" w:hAnsi="Arial" w:cs="Arial"/>
        </w:rPr>
        <w:t>Overall Green Exercise has showcased why it is so important in the modern day world due to how successful it has already proven in the Wilcoxon signed-ranks test (2019) in uplifting peoples well-being and reducing the problems in people’s mental-health which shows that Green Exercise is aligning with tackling government priorities as the English Government have shown they trust how Green exercise helps people with the large investment they made. Green exercise can only get better with the correct funding and support given to allow it to excel at its full capacity.</w:t>
      </w:r>
    </w:p>
    <w:p w14:paraId="467D82AC" w14:textId="77777777" w:rsidR="00154E73" w:rsidRPr="00D1330A" w:rsidRDefault="00154E73" w:rsidP="00730169">
      <w:pPr>
        <w:rPr>
          <w:rFonts w:ascii="Arial" w:hAnsi="Arial" w:cs="Arial"/>
        </w:rPr>
      </w:pPr>
    </w:p>
    <w:p w14:paraId="580AE078" w14:textId="77777777" w:rsidR="00154E73" w:rsidRPr="00D1330A" w:rsidRDefault="00154E73" w:rsidP="00730169">
      <w:pPr>
        <w:rPr>
          <w:rFonts w:ascii="Arial" w:hAnsi="Arial" w:cs="Arial"/>
        </w:rPr>
      </w:pPr>
    </w:p>
    <w:p w14:paraId="34524039" w14:textId="77777777" w:rsidR="00154E73" w:rsidRPr="00D1330A" w:rsidRDefault="00154E73" w:rsidP="00730169">
      <w:pPr>
        <w:rPr>
          <w:rFonts w:ascii="Arial" w:hAnsi="Arial" w:cs="Arial"/>
        </w:rPr>
      </w:pPr>
    </w:p>
    <w:p w14:paraId="5276A25F" w14:textId="77777777" w:rsidR="00154E73" w:rsidRPr="00D1330A" w:rsidRDefault="00154E73" w:rsidP="00730169">
      <w:pPr>
        <w:rPr>
          <w:rFonts w:ascii="Arial" w:hAnsi="Arial" w:cs="Arial"/>
        </w:rPr>
      </w:pPr>
    </w:p>
    <w:p w14:paraId="2C400448" w14:textId="77777777" w:rsidR="00154E73" w:rsidRPr="00D1330A" w:rsidRDefault="00154E73" w:rsidP="00730169">
      <w:pPr>
        <w:rPr>
          <w:rFonts w:ascii="Arial" w:hAnsi="Arial" w:cs="Arial"/>
        </w:rPr>
      </w:pPr>
    </w:p>
    <w:p w14:paraId="2EF11BF8" w14:textId="77777777" w:rsidR="00154E73" w:rsidRPr="00D1330A" w:rsidRDefault="00154E73" w:rsidP="00730169">
      <w:pPr>
        <w:rPr>
          <w:rFonts w:ascii="Arial" w:hAnsi="Arial" w:cs="Arial"/>
        </w:rPr>
      </w:pPr>
    </w:p>
    <w:p w14:paraId="2E296A69" w14:textId="77777777" w:rsidR="00154E73" w:rsidRPr="00D1330A" w:rsidRDefault="00154E73" w:rsidP="00730169">
      <w:pPr>
        <w:rPr>
          <w:rFonts w:ascii="Arial" w:hAnsi="Arial" w:cs="Arial"/>
        </w:rPr>
      </w:pPr>
    </w:p>
    <w:p w14:paraId="05E4125E" w14:textId="77777777" w:rsidR="00154E73" w:rsidRPr="00D1330A" w:rsidRDefault="00154E73" w:rsidP="00730169">
      <w:pPr>
        <w:rPr>
          <w:rFonts w:ascii="Arial" w:hAnsi="Arial" w:cs="Arial"/>
          <w:color w:val="000000" w:themeColor="text1"/>
        </w:rPr>
      </w:pPr>
      <w:r w:rsidRPr="00D1330A">
        <w:rPr>
          <w:rFonts w:ascii="Arial" w:hAnsi="Arial" w:cs="Arial"/>
          <w:color w:val="000000" w:themeColor="text1"/>
        </w:rPr>
        <w:t>References</w:t>
      </w:r>
    </w:p>
    <w:p w14:paraId="19A159EC" w14:textId="77777777" w:rsidR="00154E73" w:rsidRPr="00D1330A" w:rsidRDefault="00154E73" w:rsidP="00730169">
      <w:pPr>
        <w:rPr>
          <w:rFonts w:ascii="Arial" w:hAnsi="Arial" w:cs="Arial"/>
          <w:color w:val="000000" w:themeColor="text1"/>
        </w:rPr>
      </w:pPr>
    </w:p>
    <w:p w14:paraId="5E0367EF" w14:textId="77777777" w:rsidR="00154E73" w:rsidRPr="00D1330A" w:rsidRDefault="00154E73" w:rsidP="00730169">
      <w:pPr>
        <w:rPr>
          <w:rFonts w:ascii="Arial" w:hAnsi="Arial" w:cs="Arial"/>
          <w:color w:val="000000" w:themeColor="text1"/>
        </w:rPr>
      </w:pPr>
      <w:r w:rsidRPr="00D1330A">
        <w:rPr>
          <w:rFonts w:ascii="Arial" w:hAnsi="Arial" w:cs="Arial"/>
          <w:color w:val="000000" w:themeColor="text1"/>
        </w:rPr>
        <w:t xml:space="preserve">J Barton et al. (2016) </w:t>
      </w:r>
      <w:r w:rsidRPr="00D1330A">
        <w:rPr>
          <w:rFonts w:ascii="Arial" w:hAnsi="Arial" w:cs="Arial"/>
          <w:i/>
          <w:iCs/>
          <w:color w:val="000000" w:themeColor="text1"/>
        </w:rPr>
        <w:t>Green Exercise : Linking Nature, Health and Well-being. London: Routledge.</w:t>
      </w:r>
      <w:r w:rsidRPr="00D1330A">
        <w:rPr>
          <w:rFonts w:ascii="Arial" w:hAnsi="Arial" w:cs="Arial"/>
          <w:color w:val="000000" w:themeColor="text1"/>
        </w:rPr>
        <w:t xml:space="preserve"> Available at: https://search-ebscohost-com.ezproxy.uwtsd.ac.uk/login.aspx?</w:t>
      </w:r>
    </w:p>
    <w:p w14:paraId="43B71451" w14:textId="77777777" w:rsidR="00154E73" w:rsidRPr="00D1330A" w:rsidRDefault="00154E73" w:rsidP="00730169">
      <w:pPr>
        <w:rPr>
          <w:rFonts w:ascii="Arial" w:hAnsi="Arial" w:cs="Arial"/>
          <w:color w:val="000000" w:themeColor="text1"/>
        </w:rPr>
      </w:pPr>
      <w:r w:rsidRPr="00D1330A">
        <w:rPr>
          <w:rFonts w:ascii="Arial" w:hAnsi="Arial" w:cs="Arial"/>
          <w:color w:val="000000" w:themeColor="text1"/>
        </w:rPr>
        <w:t>direct=true&amp;db=nlebk&amp;AN=1286118&amp;site=ehost-live (Accessed: 16 November 2022).</w:t>
      </w:r>
    </w:p>
    <w:p w14:paraId="61932EC1" w14:textId="77777777" w:rsidR="00154E73" w:rsidRPr="00D1330A" w:rsidRDefault="00154E73" w:rsidP="00730169">
      <w:pPr>
        <w:rPr>
          <w:rFonts w:ascii="Arial" w:hAnsi="Arial" w:cs="Arial"/>
          <w:color w:val="000000" w:themeColor="text1"/>
        </w:rPr>
      </w:pPr>
    </w:p>
    <w:p w14:paraId="66759F51" w14:textId="77777777" w:rsidR="00154E73" w:rsidRPr="00D1330A" w:rsidRDefault="00154E73" w:rsidP="00730169">
      <w:pPr>
        <w:rPr>
          <w:rFonts w:ascii="Arial" w:eastAsia="Times New Roman" w:hAnsi="Arial" w:cs="Arial"/>
          <w:color w:val="000000" w:themeColor="text1"/>
          <w:shd w:val="clear" w:color="auto" w:fill="FFFFFF"/>
        </w:rPr>
      </w:pPr>
      <w:r w:rsidRPr="00D1330A">
        <w:rPr>
          <w:rFonts w:ascii="Arial" w:eastAsia="Times New Roman" w:hAnsi="Arial" w:cs="Arial"/>
          <w:color w:val="000000" w:themeColor="text1"/>
          <w:shd w:val="clear" w:color="auto" w:fill="FFFFFF"/>
        </w:rPr>
        <w:t xml:space="preserve">POLLEY.S., (2019).GOING GREEN: </w:t>
      </w:r>
      <w:r w:rsidRPr="00D1330A">
        <w:rPr>
          <w:rFonts w:ascii="Arial" w:eastAsia="Times New Roman" w:hAnsi="Arial" w:cs="Arial"/>
          <w:i/>
          <w:iCs/>
          <w:color w:val="000000" w:themeColor="text1"/>
          <w:shd w:val="clear" w:color="auto" w:fill="FFFFFF"/>
        </w:rPr>
        <w:t>The Effectiveness of a 40-Day Green Exercise Intervention for Insufficiently Active Adults.</w:t>
      </w:r>
      <w:r w:rsidRPr="00D1330A">
        <w:rPr>
          <w:rStyle w:val="apple-converted-space"/>
          <w:rFonts w:ascii="Arial" w:eastAsia="Times New Roman" w:hAnsi="Arial" w:cs="Arial"/>
          <w:color w:val="000000" w:themeColor="text1"/>
          <w:shd w:val="clear" w:color="auto" w:fill="FFFFFF"/>
        </w:rPr>
        <w:t> </w:t>
      </w:r>
      <w:r w:rsidRPr="00D1330A">
        <w:rPr>
          <w:rFonts w:ascii="Arial" w:eastAsia="Times New Roman" w:hAnsi="Arial" w:cs="Arial"/>
          <w:i/>
          <w:iCs/>
          <w:color w:val="000000" w:themeColor="text1"/>
        </w:rPr>
        <w:t>Sports,</w:t>
      </w:r>
      <w:r w:rsidRPr="00D1330A">
        <w:rPr>
          <w:rStyle w:val="apple-converted-space"/>
          <w:rFonts w:ascii="Arial" w:eastAsia="Times New Roman" w:hAnsi="Arial" w:cs="Arial"/>
          <w:i/>
          <w:iCs/>
          <w:color w:val="000000" w:themeColor="text1"/>
        </w:rPr>
        <w:t> </w:t>
      </w:r>
      <w:r w:rsidRPr="00D1330A">
        <w:rPr>
          <w:rFonts w:ascii="Arial" w:eastAsia="Times New Roman" w:hAnsi="Arial" w:cs="Arial"/>
          <w:b/>
          <w:bCs/>
          <w:color w:val="000000" w:themeColor="text1"/>
        </w:rPr>
        <w:t>7</w:t>
      </w:r>
      <w:r w:rsidRPr="00D1330A">
        <w:rPr>
          <w:rFonts w:ascii="Arial" w:eastAsia="Times New Roman" w:hAnsi="Arial" w:cs="Arial"/>
          <w:color w:val="000000" w:themeColor="text1"/>
          <w:shd w:val="clear" w:color="auto" w:fill="FFFFFF"/>
        </w:rPr>
        <w:t>(6), pp. 142.</w:t>
      </w:r>
    </w:p>
    <w:p w14:paraId="496DD445" w14:textId="77777777" w:rsidR="00154E73" w:rsidRPr="00D1330A" w:rsidRDefault="00154E73" w:rsidP="00730169">
      <w:pPr>
        <w:rPr>
          <w:rFonts w:ascii="Arial" w:eastAsia="Times New Roman" w:hAnsi="Arial" w:cs="Arial"/>
          <w:color w:val="000000" w:themeColor="text1"/>
          <w:shd w:val="clear" w:color="auto" w:fill="FFFFFF"/>
        </w:rPr>
      </w:pPr>
    </w:p>
    <w:p w14:paraId="15753FD9" w14:textId="77777777" w:rsidR="00154E73" w:rsidRPr="00D1330A" w:rsidRDefault="00154E73" w:rsidP="00730169">
      <w:pPr>
        <w:rPr>
          <w:rFonts w:ascii="Arial" w:eastAsia="Times New Roman" w:hAnsi="Arial" w:cs="Arial"/>
          <w:i/>
          <w:iCs/>
          <w:color w:val="000000" w:themeColor="text1"/>
        </w:rPr>
      </w:pPr>
      <w:r w:rsidRPr="00D1330A">
        <w:rPr>
          <w:rFonts w:ascii="Arial" w:eastAsia="Times New Roman" w:hAnsi="Arial" w:cs="Arial"/>
          <w:color w:val="000000" w:themeColor="text1"/>
          <w:shd w:val="clear" w:color="auto" w:fill="FFFFFF"/>
        </w:rPr>
        <w:t xml:space="preserve">Gov.uk R.pow (2020) </w:t>
      </w:r>
      <w:r w:rsidRPr="00D1330A">
        <w:rPr>
          <w:rFonts w:ascii="Arial" w:eastAsia="Times New Roman" w:hAnsi="Arial" w:cs="Arial"/>
          <w:i/>
          <w:iCs/>
          <w:color w:val="000000" w:themeColor="text1"/>
        </w:rPr>
        <w:t xml:space="preserve">Press release New sites to test how connecting people to nature can improve mental health GOV </w:t>
      </w:r>
      <w:r w:rsidRPr="00D1330A">
        <w:rPr>
          <w:rFonts w:ascii="Arial" w:hAnsi="Arial" w:cs="Arial"/>
          <w:color w:val="000000" w:themeColor="text1"/>
        </w:rPr>
        <w:t>(Accessed: 16 November 2022).</w:t>
      </w:r>
    </w:p>
    <w:p w14:paraId="4E1F2712" w14:textId="77777777" w:rsidR="00154E73" w:rsidRPr="002D336D" w:rsidRDefault="00154E73" w:rsidP="00730169">
      <w:pPr>
        <w:rPr>
          <w:i/>
          <w:iCs/>
        </w:rPr>
      </w:pPr>
    </w:p>
    <w:p w14:paraId="1C2AC312" w14:textId="77777777" w:rsidR="00154E73" w:rsidRDefault="00154E73" w:rsidP="00730169"/>
    <w:p w14:paraId="1A226C97" w14:textId="35AC8E75" w:rsidR="00AC32B5" w:rsidRDefault="00AC32B5" w:rsidP="00EC091B">
      <w:pPr>
        <w:rPr>
          <w:rFonts w:ascii="Times New Roman" w:hAnsi="Times New Roman" w:cs="Times New Roman"/>
          <w:sz w:val="24"/>
          <w:szCs w:val="24"/>
        </w:rPr>
      </w:pPr>
    </w:p>
    <w:p w14:paraId="37E201C9" w14:textId="77777777" w:rsidR="00AC32B5" w:rsidRPr="00CF114A" w:rsidRDefault="00AC32B5" w:rsidP="00EC091B">
      <w:pPr>
        <w:rPr>
          <w:rFonts w:ascii="Times New Roman" w:hAnsi="Times New Roman" w:cs="Times New Roman"/>
          <w:sz w:val="24"/>
          <w:szCs w:val="24"/>
        </w:rPr>
      </w:pPr>
    </w:p>
    <w:p w14:paraId="0B404872" w14:textId="4DC40D86" w:rsidR="00CF114A" w:rsidRPr="00CF114A" w:rsidRDefault="00CF114A" w:rsidP="00CF114A">
      <w:pPr>
        <w:rPr>
          <w:rFonts w:ascii="Times New Roman" w:hAnsi="Times New Roman" w:cs="Times New Roman"/>
          <w:sz w:val="24"/>
          <w:szCs w:val="24"/>
        </w:rPr>
      </w:pPr>
    </w:p>
    <w:p w14:paraId="3C27E5CD" w14:textId="77777777" w:rsidR="00CF114A" w:rsidRPr="00CF114A" w:rsidRDefault="00CF114A" w:rsidP="00CF114A">
      <w:pPr>
        <w:spacing w:after="240"/>
        <w:rPr>
          <w:rFonts w:ascii="Times New Roman" w:eastAsia="Times New Roman" w:hAnsi="Times New Roman" w:cs="Times New Roman"/>
          <w:sz w:val="24"/>
          <w:szCs w:val="24"/>
        </w:rPr>
      </w:pPr>
      <w:r w:rsidRPr="00CF114A">
        <w:rPr>
          <w:rFonts w:ascii="Times New Roman" w:eastAsia="Times New Roman" w:hAnsi="Times New Roman" w:cs="Times New Roman"/>
          <w:sz w:val="24"/>
          <w:szCs w:val="24"/>
        </w:rPr>
        <w:br/>
      </w:r>
      <w:r w:rsidRPr="00CF114A">
        <w:rPr>
          <w:rFonts w:ascii="Times New Roman" w:eastAsia="Times New Roman" w:hAnsi="Times New Roman" w:cs="Times New Roman"/>
          <w:sz w:val="24"/>
          <w:szCs w:val="24"/>
        </w:rPr>
        <w:br/>
      </w:r>
      <w:r w:rsidRPr="00CF114A">
        <w:rPr>
          <w:rFonts w:ascii="Times New Roman" w:eastAsia="Times New Roman" w:hAnsi="Times New Roman" w:cs="Times New Roman"/>
          <w:sz w:val="24"/>
          <w:szCs w:val="24"/>
        </w:rPr>
        <w:br/>
      </w:r>
    </w:p>
    <w:p w14:paraId="61A7BFA3" w14:textId="77777777" w:rsidR="00CF114A" w:rsidRPr="00CF114A" w:rsidRDefault="00CF114A" w:rsidP="00CF114A">
      <w:pPr>
        <w:rPr>
          <w:rFonts w:ascii="Times New Roman" w:hAnsi="Times New Roman" w:cs="Times New Roman"/>
          <w:sz w:val="24"/>
          <w:szCs w:val="24"/>
        </w:rPr>
      </w:pPr>
    </w:p>
    <w:p w14:paraId="23F5F22A" w14:textId="0251FFC8" w:rsidR="001E4909" w:rsidRPr="001E4909" w:rsidRDefault="001E4909"/>
    <w:sectPr w:rsidR="001E4909" w:rsidRPr="001E4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09"/>
    <w:rsid w:val="000537A5"/>
    <w:rsid w:val="000C201A"/>
    <w:rsid w:val="00154E73"/>
    <w:rsid w:val="001E4909"/>
    <w:rsid w:val="001E56E4"/>
    <w:rsid w:val="001F1D64"/>
    <w:rsid w:val="002505F3"/>
    <w:rsid w:val="00252F36"/>
    <w:rsid w:val="00287FB0"/>
    <w:rsid w:val="00375765"/>
    <w:rsid w:val="00402156"/>
    <w:rsid w:val="00425C51"/>
    <w:rsid w:val="004777E7"/>
    <w:rsid w:val="00490E29"/>
    <w:rsid w:val="005008C4"/>
    <w:rsid w:val="005B70A9"/>
    <w:rsid w:val="005E2716"/>
    <w:rsid w:val="00697915"/>
    <w:rsid w:val="006D4F39"/>
    <w:rsid w:val="00724F42"/>
    <w:rsid w:val="007C4FBC"/>
    <w:rsid w:val="007D6CB3"/>
    <w:rsid w:val="007E7094"/>
    <w:rsid w:val="007F1A6E"/>
    <w:rsid w:val="00816A7E"/>
    <w:rsid w:val="00864CBE"/>
    <w:rsid w:val="008E0224"/>
    <w:rsid w:val="00930AC7"/>
    <w:rsid w:val="009B35E2"/>
    <w:rsid w:val="00A26BCC"/>
    <w:rsid w:val="00A36903"/>
    <w:rsid w:val="00AA0A57"/>
    <w:rsid w:val="00AC32B5"/>
    <w:rsid w:val="00B933D5"/>
    <w:rsid w:val="00BF7B6E"/>
    <w:rsid w:val="00C164FD"/>
    <w:rsid w:val="00CF114A"/>
    <w:rsid w:val="00D1330A"/>
    <w:rsid w:val="00D64DFF"/>
    <w:rsid w:val="00D9240A"/>
    <w:rsid w:val="00E9649D"/>
    <w:rsid w:val="00F84815"/>
    <w:rsid w:val="00F97695"/>
    <w:rsid w:val="00FA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B001A1"/>
  <w15:chartTrackingRefBased/>
  <w15:docId w15:val="{96CE9785-A22F-8F46-85B6-B14F57E3B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114A"/>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CF114A"/>
    <w:rPr>
      <w:color w:val="0000FF"/>
      <w:u w:val="single"/>
    </w:rPr>
  </w:style>
  <w:style w:type="character" w:customStyle="1" w:styleId="apple-converted-space">
    <w:name w:val="apple-converted-space"/>
    <w:basedOn w:val="DefaultParagraphFont"/>
    <w:rsid w:val="00154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77/14034948187948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1611</Words>
  <Characters>9186</Characters>
  <Application>Microsoft Office Word</Application>
  <DocSecurity>0</DocSecurity>
  <Lines>76</Lines>
  <Paragraphs>21</Paragraphs>
  <ScaleCrop>false</ScaleCrop>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Mcgrath (2215276)</dc:creator>
  <cp:keywords/>
  <dc:description/>
  <cp:lastModifiedBy>Finley Mcgrath (2215276)</cp:lastModifiedBy>
  <cp:revision>2</cp:revision>
  <dcterms:created xsi:type="dcterms:W3CDTF">2022-11-18T13:40:00Z</dcterms:created>
  <dcterms:modified xsi:type="dcterms:W3CDTF">2022-11-18T13:40:00Z</dcterms:modified>
</cp:coreProperties>
</file>