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D7695" w:rsidRPr="00A24C45" w:rsidRDefault="005D7695" w:rsidP="005D7695">
      <w:pPr>
        <w:tabs>
          <w:tab w:val="left" w:pos="2790"/>
          <w:tab w:val="center" w:pos="4513"/>
        </w:tabs>
        <w:rPr>
          <w:rStyle w:val="normaltextrun"/>
          <w:rFonts w:cs="Arial"/>
          <w:b/>
          <w:bCs/>
          <w:sz w:val="24"/>
          <w:szCs w:val="24"/>
          <w:shd w:val="clear" w:color="auto" w:fill="FFFFFF"/>
        </w:rPr>
      </w:pPr>
      <w:r w:rsidRPr="00A24C45">
        <w:rPr>
          <w:rStyle w:val="normaltextrun"/>
          <w:rFonts w:cs="Arial"/>
          <w:b/>
          <w:bCs/>
          <w:sz w:val="24"/>
          <w:szCs w:val="24"/>
          <w:shd w:val="clear" w:color="auto" w:fill="FFFFFF"/>
        </w:rPr>
        <w:tab/>
      </w:r>
      <w:r w:rsidRPr="00A24C45">
        <w:rPr>
          <w:rStyle w:val="normaltextrun"/>
          <w:rFonts w:cs="Arial"/>
          <w:b/>
          <w:bCs/>
          <w:sz w:val="24"/>
          <w:szCs w:val="24"/>
          <w:shd w:val="clear" w:color="auto" w:fill="FFFFFF"/>
        </w:rPr>
        <w:tab/>
        <w:t>Critical Reflective Evaluation</w:t>
      </w:r>
    </w:p>
    <w:p w:rsidR="005D7695" w:rsidRPr="00A24C45" w:rsidRDefault="005D7695" w:rsidP="005D7695">
      <w:pPr>
        <w:tabs>
          <w:tab w:val="left" w:pos="2790"/>
          <w:tab w:val="center" w:pos="4513"/>
        </w:tabs>
        <w:rPr>
          <w:rStyle w:val="normaltextrun"/>
          <w:rFonts w:cs="Arial"/>
          <w:bCs/>
          <w:sz w:val="24"/>
          <w:szCs w:val="24"/>
          <w:shd w:val="clear" w:color="auto" w:fill="FFFFFF"/>
        </w:rPr>
      </w:pPr>
      <w:r w:rsidRPr="00A24C45">
        <w:rPr>
          <w:rStyle w:val="normaltextrun"/>
          <w:rFonts w:cs="Arial"/>
          <w:bCs/>
          <w:sz w:val="24"/>
          <w:szCs w:val="24"/>
          <w:shd w:val="clear" w:color="auto" w:fill="FFFFFF"/>
        </w:rPr>
        <w:t>Over the years, reflection has become a fundamental aspect of teaching and learning and has been acknowledged by eminent academics and experts in the field (</w:t>
      </w:r>
      <w:proofErr w:type="spellStart"/>
      <w:r w:rsidRPr="00A24C45">
        <w:rPr>
          <w:rStyle w:val="normaltextrun"/>
          <w:rFonts w:cs="Arial"/>
          <w:bCs/>
          <w:sz w:val="24"/>
          <w:szCs w:val="24"/>
          <w:shd w:val="clear" w:color="auto" w:fill="FFFFFF"/>
        </w:rPr>
        <w:t>Zwozdiak</w:t>
      </w:r>
      <w:proofErr w:type="spellEnd"/>
      <w:r w:rsidRPr="00A24C45">
        <w:rPr>
          <w:rStyle w:val="normaltextrun"/>
          <w:rFonts w:cs="Arial"/>
          <w:bCs/>
          <w:sz w:val="24"/>
          <w:szCs w:val="24"/>
          <w:shd w:val="clear" w:color="auto" w:fill="FFFFFF"/>
        </w:rPr>
        <w:t xml:space="preserve">-Myers, 2012). </w:t>
      </w:r>
      <w:proofErr w:type="spellStart"/>
      <w:r w:rsidRPr="00A24C45">
        <w:rPr>
          <w:rStyle w:val="normaltextrun"/>
          <w:rFonts w:cs="Arial"/>
          <w:bCs/>
          <w:sz w:val="24"/>
          <w:szCs w:val="24"/>
          <w:shd w:val="clear" w:color="auto" w:fill="FFFFFF"/>
        </w:rPr>
        <w:t>Halpin</w:t>
      </w:r>
      <w:proofErr w:type="spellEnd"/>
      <w:r w:rsidRPr="00A24C45">
        <w:rPr>
          <w:rStyle w:val="normaltextrun"/>
          <w:rFonts w:cs="Arial"/>
          <w:bCs/>
          <w:sz w:val="24"/>
          <w:szCs w:val="24"/>
          <w:shd w:val="clear" w:color="auto" w:fill="FFFFFF"/>
        </w:rPr>
        <w:t xml:space="preserve"> (2015) recognises that reflection is able to have positive results on teaching and learning when individuals reflect seriously and meticulously. Teachers who are willing to reflect regularly, are those who are likely to become a successful and valued educator (Thompson and Pascal, 2012). Reflective practice strengthens developmental insights and progression in teaching practice, which allows the teachers to assess their own performance and recognise where improvement is needed (McGregor and Cartwright, 2011). Although reflection seems to have many benefits, Kornblith (2012) argues that reflection often initiates unreliable results, since reflection is only as honest and defined as the individual considers it to be. Rolfe (2014) agrees, adding that reflection in education has become misconstrued since the nineties, and is currently deemed to be an ineffective tool in education and training.</w:t>
      </w:r>
    </w:p>
    <w:p w:rsidR="005D7695" w:rsidRPr="00A24C45" w:rsidRDefault="005D7695" w:rsidP="005D7695">
      <w:pPr>
        <w:tabs>
          <w:tab w:val="left" w:pos="2790"/>
          <w:tab w:val="center" w:pos="4513"/>
        </w:tabs>
        <w:rPr>
          <w:rStyle w:val="normaltextrun"/>
          <w:rFonts w:cs="Arial"/>
          <w:bCs/>
          <w:sz w:val="24"/>
          <w:szCs w:val="24"/>
          <w:shd w:val="clear" w:color="auto" w:fill="FFFFFF"/>
        </w:rPr>
      </w:pPr>
      <w:r w:rsidRPr="00A24C45">
        <w:rPr>
          <w:rStyle w:val="normaltextrun"/>
          <w:rFonts w:cs="Arial"/>
          <w:bCs/>
          <w:sz w:val="24"/>
          <w:szCs w:val="24"/>
          <w:shd w:val="clear" w:color="auto" w:fill="FFFFFF"/>
        </w:rPr>
        <w:t xml:space="preserve">In September 2017, I embarked on my journey of becoming a teacher by undertaking a Post Graduate Certificate in Education (PGCE) in Post Compulsory Education and Training (PCET). Although I knew what the degree entailed, I was extremely anxious of what was to come. Having a parental bereavement shortly before the course had started, possibly made me more anxious than normal, and I began to worry that I would underperform, however that anxiety made me more determined than ever before, I knew that I had to be strong-minded to achieve success. Cohen et al (2010) explain that new PGCE students engage in their studies full of anxiety, excitement, trepidation and eagerness, primarily because the experience is new and they are unaware of what the process will lead to. Sussex et al (2008) </w:t>
      </w:r>
      <w:r w:rsidRPr="00A24C45">
        <w:rPr>
          <w:rStyle w:val="normaltextrun"/>
          <w:rFonts w:cs="Arial"/>
          <w:bCs/>
          <w:sz w:val="24"/>
          <w:szCs w:val="24"/>
          <w:shd w:val="clear" w:color="auto" w:fill="FFFFFF"/>
        </w:rPr>
        <w:lastRenderedPageBreak/>
        <w:t>and Nicholson et al (2013) correspond, by adding that those who become anxious when in an unfamiliar environment, occasionally feel overwhelmed with pressure. However, that pressure sometimes encourages innovative responses and increases their ability to achieve. Students with a positive attitude, are more likely to perform better and succeed compared to those who do not.</w:t>
      </w:r>
    </w:p>
    <w:p w:rsidR="005D7695" w:rsidRPr="00A24C45" w:rsidRDefault="005D7695" w:rsidP="005D7695">
      <w:pPr>
        <w:tabs>
          <w:tab w:val="left" w:pos="2790"/>
          <w:tab w:val="center" w:pos="4513"/>
        </w:tabs>
        <w:rPr>
          <w:rStyle w:val="normaltextrun"/>
          <w:rFonts w:cs="Arial"/>
          <w:bCs/>
          <w:color w:val="000000" w:themeColor="text1"/>
          <w:sz w:val="24"/>
          <w:szCs w:val="24"/>
          <w:shd w:val="clear" w:color="auto" w:fill="FFFFFF"/>
        </w:rPr>
      </w:pPr>
      <w:r w:rsidRPr="00A24C45">
        <w:rPr>
          <w:rStyle w:val="normaltextrun"/>
          <w:rFonts w:cs="Arial"/>
          <w:bCs/>
          <w:color w:val="000000" w:themeColor="text1"/>
          <w:sz w:val="24"/>
          <w:szCs w:val="24"/>
          <w:shd w:val="clear" w:color="auto" w:fill="FFFFFF"/>
        </w:rPr>
        <w:t xml:space="preserve">My teaching began in October 2017, where I was asked to teach two different groups of students a lesson named Professional and Academic Development (PAD), both groups posed a number of students with different learning needs and language barriers, which meant that I had to plan lessons to suit the needs of all students, all of which met the United Kingdom Professional Standards Framework (UKPSF) (HEA). I used my newfound knowledge of Dale’s Cone of Experience, Blooms Taxonomy and understanding of different learning styles to plan my lessons. Scales et al (2013) explain that effective planning is fundamental to becoming an efficacious educator. All students learn differently, therefore taking into consideration different learning styles and incorporating different strategies, methods and resources in each lesson will demonstrate good practice. Incisive learning is key in higher education, and PCET must adapt to learners with different abilities. By embracing differentiation, higher education settings are facilitating all students’ proficiency and competence (Duckworth et al, 2010). Baume and </w:t>
      </w:r>
      <w:proofErr w:type="spellStart"/>
      <w:r w:rsidRPr="00A24C45">
        <w:rPr>
          <w:rStyle w:val="normaltextrun"/>
          <w:rFonts w:cs="Arial"/>
          <w:bCs/>
          <w:color w:val="000000" w:themeColor="text1"/>
          <w:sz w:val="24"/>
          <w:szCs w:val="24"/>
          <w:shd w:val="clear" w:color="auto" w:fill="FFFFFF"/>
        </w:rPr>
        <w:t>Popovic</w:t>
      </w:r>
      <w:proofErr w:type="spellEnd"/>
      <w:r w:rsidRPr="00A24C45">
        <w:rPr>
          <w:rStyle w:val="normaltextrun"/>
          <w:rFonts w:cs="Arial"/>
          <w:bCs/>
          <w:color w:val="000000" w:themeColor="text1"/>
          <w:sz w:val="24"/>
          <w:szCs w:val="24"/>
          <w:shd w:val="clear" w:color="auto" w:fill="FFFFFF"/>
        </w:rPr>
        <w:t xml:space="preserve"> (2016) disclose that the introduction of the UKPSF, has had a profound effect on education and assessment strategies, since the framework identifies the considerable range of diverse learning. However, Parkinson (2013) acknowledges that there are times when teachers do not take planning seriously and do not plan for lessons effectively, mainly because lesson planning is a time consuming process. Some teachers do not see planning as a fundamental element of </w:t>
      </w:r>
      <w:r w:rsidRPr="00A24C45">
        <w:rPr>
          <w:rStyle w:val="normaltextrun"/>
          <w:rFonts w:cs="Arial"/>
          <w:bCs/>
          <w:color w:val="000000" w:themeColor="text1"/>
          <w:sz w:val="24"/>
          <w:szCs w:val="24"/>
          <w:shd w:val="clear" w:color="auto" w:fill="FFFFFF"/>
        </w:rPr>
        <w:lastRenderedPageBreak/>
        <w:t>teaching and learning, and believe that time wasted on planning could be used inspiring students. This information suggests that new and long term teachers need to understand the benefits effective planning can have on teaching, learning and assessment. Effective planning aids coherent instruction and supports time management.</w:t>
      </w:r>
    </w:p>
    <w:p w:rsidR="005D7695" w:rsidRPr="00A24C45" w:rsidRDefault="005D7695" w:rsidP="005D7695">
      <w:pPr>
        <w:tabs>
          <w:tab w:val="left" w:pos="2790"/>
          <w:tab w:val="center" w:pos="4513"/>
        </w:tabs>
        <w:rPr>
          <w:rStyle w:val="normaltextrun"/>
          <w:rFonts w:cs="Arial"/>
          <w:bCs/>
          <w:sz w:val="24"/>
          <w:szCs w:val="24"/>
          <w:shd w:val="clear" w:color="auto" w:fill="FFFFFF"/>
        </w:rPr>
      </w:pPr>
      <w:r w:rsidRPr="00A24C45">
        <w:rPr>
          <w:rStyle w:val="normaltextrun"/>
          <w:rFonts w:cs="Arial"/>
          <w:bCs/>
          <w:sz w:val="24"/>
          <w:szCs w:val="24"/>
          <w:shd w:val="clear" w:color="auto" w:fill="FFFFFF"/>
        </w:rPr>
        <w:t xml:space="preserve">After being taught about Effective Teaching, Learning and Assessment, I became more aware of how to formatively assess students during practice. I understood that by asking a small number of questions, I could assess student understanding and provide them with additional support if needed. I feel that the strategies I used in each of my lessons were mostly beneficial to my learning as well as the students. Throughout the duration of my teaching experience, I have mostly used formative assessment through the use of questions, tasks and emergent technology activities incorporated in the lesson. However, I feel that I could have used technology more throughout my experience, as it is a useful tool to assess and keep students engaged. The University of Sheffield (2018) acknowledge that formative assessment is a valued tool for guidance in higher education, however it is not deemed as standard practice due to it not having an air of finality. Although formative assessment is not standard practice, Chen et al (2015) acknowledge the importance of using formative assessment, as it is crucial for meeting the needs of diverse learning in higher education. Formative assessment monitors understanding, and is an essential practice in teaching and learning. Koch (2016) recognises that the use of emergent technology is an extremely beneficial way to engage students of all ages. Classrooms where technology use is rich, and innovates learning. Technology benefit students significantly, and allows the teacher to use different tools such as online questions and activities to assess student knowledge. Henderson et al (2015) adds to this, by stating that in recent years technology has become </w:t>
      </w:r>
      <w:r w:rsidRPr="00A24C45">
        <w:rPr>
          <w:rStyle w:val="normaltextrun"/>
          <w:rFonts w:cs="Arial"/>
          <w:bCs/>
          <w:sz w:val="24"/>
          <w:szCs w:val="24"/>
          <w:shd w:val="clear" w:color="auto" w:fill="FFFFFF"/>
        </w:rPr>
        <w:lastRenderedPageBreak/>
        <w:t xml:space="preserve">central to student experience through the countless benefit it can offer. However, </w:t>
      </w:r>
      <w:proofErr w:type="spellStart"/>
      <w:r w:rsidRPr="00A24C45">
        <w:rPr>
          <w:rStyle w:val="normaltextrun"/>
          <w:rFonts w:cs="Arial"/>
          <w:bCs/>
          <w:sz w:val="24"/>
          <w:szCs w:val="24"/>
          <w:shd w:val="clear" w:color="auto" w:fill="FFFFFF"/>
        </w:rPr>
        <w:t>McClincy</w:t>
      </w:r>
      <w:proofErr w:type="spellEnd"/>
      <w:r w:rsidRPr="00A24C45">
        <w:rPr>
          <w:rStyle w:val="normaltextrun"/>
          <w:rFonts w:cs="Arial"/>
          <w:bCs/>
          <w:sz w:val="24"/>
          <w:szCs w:val="24"/>
          <w:shd w:val="clear" w:color="auto" w:fill="FFFFFF"/>
        </w:rPr>
        <w:t xml:space="preserve"> (2011) discloses that although the use of emergent technology has many benefits, some students, especially those who are returning to education after a number of years, may feel reluctant to use technology. There are also times when teachers may not feel competent enough to use emergent technologies, and may require additional training to use technologies for teaching and assessment. This information implies that the use of assessment is beneficial for both teaching and learning. Technology is clearly valuable for the means of formative assessment, however teachers who are not confident using technology need to be offered additional support to maximise student experience. </w:t>
      </w:r>
    </w:p>
    <w:p w:rsidR="005D7695" w:rsidRPr="00A24C45" w:rsidRDefault="005D7695" w:rsidP="005D7695">
      <w:pPr>
        <w:tabs>
          <w:tab w:val="left" w:pos="2790"/>
          <w:tab w:val="center" w:pos="4513"/>
        </w:tabs>
        <w:rPr>
          <w:rStyle w:val="normaltextrun"/>
          <w:rFonts w:cs="Arial"/>
          <w:bCs/>
          <w:sz w:val="24"/>
          <w:szCs w:val="24"/>
          <w:shd w:val="clear" w:color="auto" w:fill="FFFFFF"/>
        </w:rPr>
      </w:pPr>
      <w:r w:rsidRPr="00A24C45">
        <w:rPr>
          <w:rStyle w:val="normaltextrun"/>
          <w:rFonts w:cs="Arial"/>
          <w:bCs/>
          <w:sz w:val="24"/>
          <w:szCs w:val="24"/>
          <w:shd w:val="clear" w:color="auto" w:fill="FFFFFF"/>
        </w:rPr>
        <w:t xml:space="preserve">Although formative assessment was used in mostly each lesson, there have been a number of times where students have been assessed through summative assessment, this included reflections, written tests and presentations. Benjamin (2013) explains that summative assessment is commonly used in PCET and is a valuable tool to evaluate what students have learnt. Summative assessment is usually in the form of tests, examinations and essays and do not take into account the individual learner. Summative assessment usually occurs at the end of a module or course and is generally graded numerically or alphabetically. Summative assessment provides an accurate representation of each individual learner (Burke, 2010). Although summative assessment is an effective way to assess student understanding, it has an air of finality, and does not help the students improve on that current module or semester. Summative assessment does however, contain feedback where students are able to take on board the comments to improve on future assessments (Nicol, 2010). This information indicates that summative assessment is not only important for student assessment, it also assesses the teachers teaching skills. Results from summative </w:t>
      </w:r>
      <w:r w:rsidRPr="00A24C45">
        <w:rPr>
          <w:rStyle w:val="normaltextrun"/>
          <w:rFonts w:cs="Arial"/>
          <w:bCs/>
          <w:sz w:val="24"/>
          <w:szCs w:val="24"/>
          <w:shd w:val="clear" w:color="auto" w:fill="FFFFFF"/>
        </w:rPr>
        <w:lastRenderedPageBreak/>
        <w:t xml:space="preserve">assessment will indicate where the teacher needs to improve teaching and learning strategies, and could be an indicator that the teacher may need to use formative assessment more often throughout lessons. </w:t>
      </w:r>
    </w:p>
    <w:p w:rsidR="005D7695" w:rsidRPr="00A24C45" w:rsidRDefault="005D7695" w:rsidP="005D7695">
      <w:pPr>
        <w:tabs>
          <w:tab w:val="left" w:pos="2790"/>
          <w:tab w:val="center" w:pos="4513"/>
        </w:tabs>
        <w:rPr>
          <w:rStyle w:val="normaltextrun"/>
          <w:rFonts w:cs="Arial"/>
          <w:sz w:val="24"/>
          <w:szCs w:val="24"/>
          <w:shd w:val="clear" w:color="auto" w:fill="FFFFFF"/>
        </w:rPr>
      </w:pPr>
      <w:r w:rsidRPr="00A24C45">
        <w:rPr>
          <w:rStyle w:val="normaltextrun"/>
          <w:rFonts w:cs="Arial"/>
          <w:sz w:val="24"/>
          <w:szCs w:val="24"/>
          <w:shd w:val="clear" w:color="auto" w:fill="FFFFFF"/>
        </w:rPr>
        <w:t xml:space="preserve">In the second semester, I was asked to deliver a Health Research module. Although I am confident with research, health is not my background and I felt slightly apprehensive and conscious as to whether I could relate the whole module to health, however on the other hand I was eager and determined to deliver the module successfully. The students were expected to learn a tremendous amount in a short space of time, and I knew I had to incorporate a number of contemporary pedagogies such as group discussions, demonstrations and </w:t>
      </w:r>
      <w:proofErr w:type="spellStart"/>
      <w:r w:rsidRPr="00A24C45">
        <w:rPr>
          <w:rStyle w:val="normaltextrun"/>
          <w:rFonts w:cs="Arial"/>
          <w:sz w:val="24"/>
          <w:szCs w:val="24"/>
          <w:shd w:val="clear" w:color="auto" w:fill="FFFFFF"/>
        </w:rPr>
        <w:t>groupwork</w:t>
      </w:r>
      <w:proofErr w:type="spellEnd"/>
      <w:r w:rsidRPr="00A24C45">
        <w:rPr>
          <w:rStyle w:val="normaltextrun"/>
          <w:rFonts w:cs="Arial"/>
          <w:sz w:val="24"/>
          <w:szCs w:val="24"/>
          <w:shd w:val="clear" w:color="auto" w:fill="FFFFFF"/>
        </w:rPr>
        <w:t xml:space="preserve"> to keep students engaged. I understood that the use of Dales Cone of Experience and Blooms Taxonomy was essential throughout this module as they both recognise different ways in which individuals learn. </w:t>
      </w:r>
      <w:proofErr w:type="spellStart"/>
      <w:r w:rsidRPr="00A24C45">
        <w:rPr>
          <w:rStyle w:val="normaltextrun"/>
          <w:rFonts w:cs="Arial"/>
          <w:sz w:val="24"/>
          <w:szCs w:val="24"/>
          <w:shd w:val="clear" w:color="auto" w:fill="FFFFFF"/>
        </w:rPr>
        <w:t>Boud</w:t>
      </w:r>
      <w:proofErr w:type="spellEnd"/>
      <w:r w:rsidRPr="00A24C45">
        <w:rPr>
          <w:rStyle w:val="normaltextrun"/>
          <w:rFonts w:cs="Arial"/>
          <w:sz w:val="24"/>
          <w:szCs w:val="24"/>
          <w:shd w:val="clear" w:color="auto" w:fill="FFFFFF"/>
        </w:rPr>
        <w:t xml:space="preserve"> et al (2001) explains that </w:t>
      </w:r>
      <w:proofErr w:type="spellStart"/>
      <w:r w:rsidRPr="00A24C45">
        <w:rPr>
          <w:rStyle w:val="normaltextrun"/>
          <w:rFonts w:cs="Arial"/>
          <w:sz w:val="24"/>
          <w:szCs w:val="24"/>
          <w:shd w:val="clear" w:color="auto" w:fill="FFFFFF"/>
        </w:rPr>
        <w:t>groupwork</w:t>
      </w:r>
      <w:proofErr w:type="spellEnd"/>
      <w:r w:rsidRPr="00A24C45">
        <w:rPr>
          <w:rStyle w:val="normaltextrun"/>
          <w:rFonts w:cs="Arial"/>
          <w:sz w:val="24"/>
          <w:szCs w:val="24"/>
          <w:shd w:val="clear" w:color="auto" w:fill="FFFFFF"/>
        </w:rPr>
        <w:t xml:space="preserve"> is a useful tool to increase student engagement as well as being an advantageous tool for assessment. </w:t>
      </w:r>
      <w:proofErr w:type="spellStart"/>
      <w:r w:rsidRPr="00A24C45">
        <w:rPr>
          <w:rStyle w:val="normaltextrun"/>
          <w:rFonts w:cs="Arial"/>
          <w:sz w:val="24"/>
          <w:szCs w:val="24"/>
          <w:shd w:val="clear" w:color="auto" w:fill="FFFFFF"/>
        </w:rPr>
        <w:t>Groupwork</w:t>
      </w:r>
      <w:proofErr w:type="spellEnd"/>
      <w:r w:rsidRPr="00A24C45">
        <w:rPr>
          <w:rStyle w:val="normaltextrun"/>
          <w:rFonts w:cs="Arial"/>
          <w:sz w:val="24"/>
          <w:szCs w:val="24"/>
          <w:shd w:val="clear" w:color="auto" w:fill="FFFFFF"/>
        </w:rPr>
        <w:t xml:space="preserve"> encourages communication amongst students and is known to help students remember what they have learnt. However, there are times when </w:t>
      </w:r>
      <w:proofErr w:type="spellStart"/>
      <w:r w:rsidRPr="00A24C45">
        <w:rPr>
          <w:rStyle w:val="normaltextrun"/>
          <w:rFonts w:cs="Arial"/>
          <w:sz w:val="24"/>
          <w:szCs w:val="24"/>
          <w:shd w:val="clear" w:color="auto" w:fill="FFFFFF"/>
        </w:rPr>
        <w:t>groupwork</w:t>
      </w:r>
      <w:proofErr w:type="spellEnd"/>
      <w:r w:rsidRPr="00A24C45">
        <w:rPr>
          <w:rStyle w:val="normaltextrun"/>
          <w:rFonts w:cs="Arial"/>
          <w:sz w:val="24"/>
          <w:szCs w:val="24"/>
          <w:shd w:val="clear" w:color="auto" w:fill="FFFFFF"/>
        </w:rPr>
        <w:t xml:space="preserve"> proves to be disadvantageous. Petty (2004) explains that there are times when some students may feel reluctant to join in with </w:t>
      </w:r>
      <w:proofErr w:type="spellStart"/>
      <w:r w:rsidRPr="00A24C45">
        <w:rPr>
          <w:rStyle w:val="normaltextrun"/>
          <w:rFonts w:cs="Arial"/>
          <w:sz w:val="24"/>
          <w:szCs w:val="24"/>
          <w:shd w:val="clear" w:color="auto" w:fill="FFFFFF"/>
        </w:rPr>
        <w:t>groupwork</w:t>
      </w:r>
      <w:proofErr w:type="spellEnd"/>
      <w:r w:rsidRPr="00A24C45">
        <w:rPr>
          <w:rStyle w:val="normaltextrun"/>
          <w:rFonts w:cs="Arial"/>
          <w:sz w:val="24"/>
          <w:szCs w:val="24"/>
          <w:shd w:val="clear" w:color="auto" w:fill="FFFFFF"/>
        </w:rPr>
        <w:t xml:space="preserve">, and fail to see the benefits it has to offer. Shy students may feel that </w:t>
      </w:r>
      <w:proofErr w:type="spellStart"/>
      <w:r w:rsidRPr="00A24C45">
        <w:rPr>
          <w:rStyle w:val="normaltextrun"/>
          <w:rFonts w:cs="Arial"/>
          <w:sz w:val="24"/>
          <w:szCs w:val="24"/>
          <w:shd w:val="clear" w:color="auto" w:fill="FFFFFF"/>
        </w:rPr>
        <w:t>groupwork</w:t>
      </w:r>
      <w:proofErr w:type="spellEnd"/>
      <w:r w:rsidRPr="00A24C45">
        <w:rPr>
          <w:rStyle w:val="normaltextrun"/>
          <w:rFonts w:cs="Arial"/>
          <w:sz w:val="24"/>
          <w:szCs w:val="24"/>
          <w:shd w:val="clear" w:color="auto" w:fill="FFFFFF"/>
        </w:rPr>
        <w:t xml:space="preserve"> puts them in an awkward position, feeling pressured to join in and become anxious about the teaching method. Like group work, demonstrations also help learning, they change the learning environment and allow students to engage in active learning. Demonstrations, whether from a teacher, the student or their peers offer different learning techniques which facilitates learning and stimulates </w:t>
      </w:r>
      <w:proofErr w:type="gramStart"/>
      <w:r w:rsidRPr="00A24C45">
        <w:rPr>
          <w:rStyle w:val="normaltextrun"/>
          <w:rFonts w:cs="Arial"/>
          <w:sz w:val="24"/>
          <w:szCs w:val="24"/>
          <w:shd w:val="clear" w:color="auto" w:fill="FFFFFF"/>
        </w:rPr>
        <w:t>communication.</w:t>
      </w:r>
      <w:proofErr w:type="gramEnd"/>
      <w:r w:rsidRPr="00A24C45">
        <w:rPr>
          <w:rStyle w:val="normaltextrun"/>
          <w:rFonts w:cs="Arial"/>
          <w:sz w:val="24"/>
          <w:szCs w:val="24"/>
          <w:shd w:val="clear" w:color="auto" w:fill="FFFFFF"/>
        </w:rPr>
        <w:t xml:space="preserve"> Demonstrations not only offers visual learning and engagement, </w:t>
      </w:r>
      <w:r w:rsidRPr="00A24C45">
        <w:rPr>
          <w:rStyle w:val="normaltextrun"/>
          <w:rFonts w:cs="Arial"/>
          <w:sz w:val="24"/>
          <w:szCs w:val="24"/>
          <w:shd w:val="clear" w:color="auto" w:fill="FFFFFF"/>
        </w:rPr>
        <w:lastRenderedPageBreak/>
        <w:t>they offer teachers an opportunity to assess student knowledge by allowing for questions and answers throughout (Frost, 2014). However demonstrations also pose a number of disadvantages, teachers need to be aware that not all demonstrations do not go to plan, they could be costly and it is not a teaching method suited to all students. Teachers planning to provide a demonstration need to be aware that demonstrations are more effective in small groups so that all students can see what is happening (Ware and Johnson, 2015). This information suggests that I need to be aware of the makeup of the class before planning for group work or demonstrations. Shy students or those who prefer not to work in groups may feel intimidated and fail to learn from the process.</w:t>
      </w:r>
    </w:p>
    <w:p w:rsidR="005D7695" w:rsidRPr="00A24C45" w:rsidRDefault="005D7695" w:rsidP="005D7695">
      <w:pPr>
        <w:tabs>
          <w:tab w:val="left" w:pos="2790"/>
          <w:tab w:val="center" w:pos="4513"/>
        </w:tabs>
        <w:rPr>
          <w:rStyle w:val="normaltextrun"/>
          <w:rFonts w:cs="Arial"/>
          <w:sz w:val="24"/>
          <w:szCs w:val="24"/>
          <w:shd w:val="clear" w:color="auto" w:fill="FFFFFF"/>
        </w:rPr>
      </w:pPr>
      <w:r w:rsidRPr="00A24C45">
        <w:rPr>
          <w:rStyle w:val="normaltextrun"/>
          <w:rFonts w:cs="Arial"/>
          <w:sz w:val="24"/>
          <w:szCs w:val="24"/>
          <w:shd w:val="clear" w:color="auto" w:fill="FFFFFF"/>
        </w:rPr>
        <w:t>As the year passed and students started to present and hand in their essays, I had a duty to participate in the marking. Although I understood the marking criteria, having used it as a student, I felt slightly apprehensive for the fear that I would be unable to mark correctly, however this was an area I would have to become comfortable with and the best way to learn was to do it. Although marking made me nervous, it was an opportunity to mark the work from the lessons I had delivered and this made me feel more enthusiastic as it was an opportunity to evaluate what students understood in the lessons I had taught. Butcher (2005) explains that PGCE students often feel under pressure when being asked to mark essays and sometimes feel like they have been thrown in the deep end. Marking is a skill that needs to be developed over time, and positive feedback from mentors will help develop the skill effectively. However, Crawford (2013) expresses that marking is one of the key features of teaching and is a skill that will progress with time. Marking is an aspect that many PGCE students find daunting, yet it is a skill that with experience will become second nature as time goes on.</w:t>
      </w:r>
    </w:p>
    <w:p w:rsidR="005D7695" w:rsidRPr="00A24C45" w:rsidRDefault="005D7695" w:rsidP="005D7695">
      <w:pPr>
        <w:tabs>
          <w:tab w:val="left" w:pos="2790"/>
          <w:tab w:val="center" w:pos="4513"/>
        </w:tabs>
        <w:rPr>
          <w:rStyle w:val="normaltextrun"/>
          <w:rFonts w:cs="Arial"/>
          <w:sz w:val="24"/>
          <w:szCs w:val="24"/>
          <w:shd w:val="clear" w:color="auto" w:fill="FFFFFF"/>
        </w:rPr>
      </w:pPr>
      <w:r w:rsidRPr="00A24C45">
        <w:rPr>
          <w:rStyle w:val="normaltextrun"/>
          <w:rFonts w:cs="Arial"/>
          <w:sz w:val="24"/>
          <w:szCs w:val="24"/>
          <w:shd w:val="clear" w:color="auto" w:fill="FFFFFF"/>
        </w:rPr>
        <w:lastRenderedPageBreak/>
        <w:t xml:space="preserve">On a number of occasions I have been asked to cover staff on short notice, mostly for lessons that I had not taught previously, however it was for a subject that I have experience within which made me feel reassured. Being asked to cover has made me feel that I have been a benefit to the department, not only have they told me on a number of occasions that I have done a good job, being asked to cover their teaching has proved they had confidence in me to deliver effectively. MacKay (2011) acknowledges that praise and positive feedback motivates individuals and develops performance. Write et al (2017) agree, by adding that PGCE students in particular rely on constructive feedback during their Initial Teacher Training (ITT). Students who are praised for their good work and input are those who found it easy to develop a sense of identity as a teacher. Those students are likely to become more confident, feel appreciated and are likely to take on additional responsibilities. However, </w:t>
      </w:r>
      <w:proofErr w:type="spellStart"/>
      <w:r w:rsidRPr="00A24C45">
        <w:rPr>
          <w:rStyle w:val="normaltextrun"/>
          <w:rFonts w:cs="Arial"/>
          <w:sz w:val="24"/>
          <w:szCs w:val="24"/>
          <w:shd w:val="clear" w:color="auto" w:fill="FFFFFF"/>
        </w:rPr>
        <w:t>Kiggundu</w:t>
      </w:r>
      <w:proofErr w:type="spellEnd"/>
      <w:r w:rsidRPr="00A24C45">
        <w:rPr>
          <w:rStyle w:val="normaltextrun"/>
          <w:rFonts w:cs="Arial"/>
          <w:sz w:val="24"/>
          <w:szCs w:val="24"/>
          <w:shd w:val="clear" w:color="auto" w:fill="FFFFFF"/>
        </w:rPr>
        <w:t xml:space="preserve"> and </w:t>
      </w:r>
      <w:proofErr w:type="spellStart"/>
      <w:r w:rsidRPr="00A24C45">
        <w:rPr>
          <w:rStyle w:val="normaltextrun"/>
          <w:rFonts w:cs="Arial"/>
          <w:sz w:val="24"/>
          <w:szCs w:val="24"/>
          <w:shd w:val="clear" w:color="auto" w:fill="FFFFFF"/>
        </w:rPr>
        <w:t>Nayimuli</w:t>
      </w:r>
      <w:proofErr w:type="spellEnd"/>
      <w:r w:rsidRPr="00A24C45">
        <w:rPr>
          <w:rStyle w:val="normaltextrun"/>
          <w:rFonts w:cs="Arial"/>
          <w:sz w:val="24"/>
          <w:szCs w:val="24"/>
          <w:shd w:val="clear" w:color="auto" w:fill="FFFFFF"/>
        </w:rPr>
        <w:t xml:space="preserve"> (2009) explain that there are times when mentors do not praise PGCE students during their teaching practice, and sometimes make them feel like they are a burden. Those students are likely to feel intimidated, unappreciated and lack in self-confidence. There are times when managers are more concerned with their own egos to praise their staff for good work. Managers who fail to praise their staff tend to have ineffective workplaces, therefore it is important that those who do a good job are shown that they are appreciated (MacKay, 2011). This implies that settings need to ensure that all PGCE students feel worthy. PGCE students are there to learn from those who are meant to be positive role models and guide them through a process to become successful educators.</w:t>
      </w:r>
    </w:p>
    <w:p w:rsidR="005D7695" w:rsidRPr="00A24C45" w:rsidRDefault="005D7695" w:rsidP="005D7695">
      <w:pPr>
        <w:tabs>
          <w:tab w:val="left" w:pos="2790"/>
          <w:tab w:val="center" w:pos="4513"/>
        </w:tabs>
        <w:rPr>
          <w:rStyle w:val="normaltextrun"/>
          <w:rFonts w:cs="Arial"/>
          <w:sz w:val="24"/>
          <w:szCs w:val="24"/>
          <w:shd w:val="clear" w:color="auto" w:fill="FFFFFF"/>
        </w:rPr>
      </w:pPr>
      <w:r w:rsidRPr="00A24C45">
        <w:rPr>
          <w:rStyle w:val="normaltextrun"/>
          <w:rFonts w:cs="Arial"/>
          <w:sz w:val="24"/>
          <w:szCs w:val="24"/>
          <w:shd w:val="clear" w:color="auto" w:fill="FFFFFF"/>
        </w:rPr>
        <w:t xml:space="preserve">Reflecting on my teaching experience has led me to believe that reflection will continue to be an advantageous tool throughout my career and professional development. As a student completing study, I feel extremely fortunate to have had a supportive mentor and teaching </w:t>
      </w:r>
      <w:r w:rsidRPr="00A24C45">
        <w:rPr>
          <w:rStyle w:val="normaltextrun"/>
          <w:rFonts w:cs="Arial"/>
          <w:sz w:val="24"/>
          <w:szCs w:val="24"/>
          <w:shd w:val="clear" w:color="auto" w:fill="FFFFFF"/>
        </w:rPr>
        <w:lastRenderedPageBreak/>
        <w:t>placement to guide me through a rigorous and demanding year of study. I feel that not only my confidence to teach has increased tremendously, my self-esteem has also developed, I have confidence in the work I produce, confidence in the way I teach and in myself as an individual. I now have faith in myself and my teaching methods to be used in future practice. However, I am aware that I need constantly be aware of the makeup of the class to ensure that I plan effective lessons to benefit each student. I also need to keep building on my use of emergent technologies and continue to develop my confidence. I feel that building on these skills in the future will enable me to provide an effective learning environment for students and become an efficacious educator.</w:t>
      </w:r>
    </w:p>
    <w:p w:rsidR="005D7695" w:rsidRPr="00A24C45" w:rsidRDefault="005D7695" w:rsidP="005D7695">
      <w:pPr>
        <w:tabs>
          <w:tab w:val="left" w:pos="2790"/>
          <w:tab w:val="center" w:pos="4513"/>
        </w:tabs>
        <w:rPr>
          <w:rStyle w:val="normaltextrun"/>
          <w:rFonts w:cs="Arial"/>
          <w:sz w:val="24"/>
          <w:szCs w:val="24"/>
          <w:shd w:val="clear" w:color="auto" w:fill="FFFFFF"/>
        </w:rPr>
      </w:pPr>
    </w:p>
    <w:p w:rsidR="005D7695" w:rsidRPr="00A24C45" w:rsidRDefault="005D7695" w:rsidP="005D7695">
      <w:pPr>
        <w:tabs>
          <w:tab w:val="left" w:pos="2790"/>
          <w:tab w:val="center" w:pos="4513"/>
        </w:tabs>
        <w:rPr>
          <w:rStyle w:val="normaltextrun"/>
          <w:rFonts w:cs="Arial"/>
          <w:sz w:val="24"/>
          <w:szCs w:val="24"/>
          <w:shd w:val="clear" w:color="auto" w:fill="FFFFFF"/>
        </w:rPr>
      </w:pPr>
    </w:p>
    <w:p w:rsidR="005D7695" w:rsidRPr="00A24C45" w:rsidRDefault="005D7695" w:rsidP="005D7695">
      <w:pPr>
        <w:tabs>
          <w:tab w:val="left" w:pos="2790"/>
          <w:tab w:val="center" w:pos="4513"/>
        </w:tabs>
        <w:rPr>
          <w:rStyle w:val="normaltextrun"/>
          <w:rFonts w:cs="Arial"/>
          <w:sz w:val="24"/>
          <w:szCs w:val="24"/>
          <w:shd w:val="clear" w:color="auto" w:fill="FFFFFF"/>
        </w:rPr>
      </w:pPr>
    </w:p>
    <w:p w:rsidR="005D7695" w:rsidRPr="00A24C45" w:rsidRDefault="005D7695" w:rsidP="005D7695">
      <w:pPr>
        <w:pStyle w:val="NoSpacing"/>
        <w:jc w:val="center"/>
        <w:rPr>
          <w:rStyle w:val="normaltextrun"/>
          <w:rFonts w:cs="Arial"/>
          <w:b/>
          <w:sz w:val="24"/>
          <w:szCs w:val="24"/>
          <w:shd w:val="clear" w:color="auto" w:fill="FFFFFF"/>
        </w:rPr>
      </w:pPr>
    </w:p>
    <w:p w:rsidR="005D7695" w:rsidRPr="00A24C45" w:rsidRDefault="005D7695" w:rsidP="005D7695">
      <w:pPr>
        <w:pStyle w:val="NoSpacing"/>
        <w:jc w:val="center"/>
        <w:rPr>
          <w:rStyle w:val="normaltextrun"/>
          <w:rFonts w:cs="Arial"/>
          <w:b/>
          <w:sz w:val="24"/>
          <w:szCs w:val="24"/>
          <w:shd w:val="clear" w:color="auto" w:fill="FFFFFF"/>
        </w:rPr>
      </w:pPr>
    </w:p>
    <w:p w:rsidR="005D7695" w:rsidRPr="00A24C45" w:rsidRDefault="005D7695" w:rsidP="005D7695">
      <w:pPr>
        <w:pStyle w:val="NoSpacing"/>
        <w:jc w:val="center"/>
        <w:rPr>
          <w:rStyle w:val="normaltextrun"/>
          <w:rFonts w:cs="Arial"/>
          <w:b/>
          <w:sz w:val="24"/>
          <w:szCs w:val="24"/>
          <w:shd w:val="clear" w:color="auto" w:fill="FFFFFF"/>
        </w:rPr>
      </w:pPr>
    </w:p>
    <w:p w:rsidR="005D7695" w:rsidRPr="00A24C45" w:rsidRDefault="005D7695" w:rsidP="005D7695">
      <w:pPr>
        <w:pStyle w:val="NoSpacing"/>
        <w:jc w:val="center"/>
        <w:rPr>
          <w:rStyle w:val="normaltextrun"/>
          <w:rFonts w:cs="Arial"/>
          <w:b/>
          <w:sz w:val="24"/>
          <w:szCs w:val="24"/>
          <w:shd w:val="clear" w:color="auto" w:fill="FFFFFF"/>
        </w:rPr>
      </w:pPr>
    </w:p>
    <w:p w:rsidR="005D7695" w:rsidRPr="00A24C45" w:rsidRDefault="005D7695" w:rsidP="005D7695">
      <w:pPr>
        <w:pStyle w:val="NoSpacing"/>
        <w:jc w:val="center"/>
        <w:rPr>
          <w:rStyle w:val="normaltextrun"/>
          <w:rFonts w:cs="Arial"/>
          <w:b/>
          <w:sz w:val="24"/>
          <w:szCs w:val="24"/>
          <w:shd w:val="clear" w:color="auto" w:fill="FFFFFF"/>
        </w:rPr>
      </w:pPr>
    </w:p>
    <w:p w:rsidR="005D7695" w:rsidRPr="00A24C45" w:rsidRDefault="005D7695" w:rsidP="005D7695">
      <w:pPr>
        <w:pStyle w:val="NoSpacing"/>
        <w:jc w:val="center"/>
        <w:rPr>
          <w:rStyle w:val="normaltextrun"/>
          <w:rFonts w:cs="Arial"/>
          <w:b/>
          <w:sz w:val="24"/>
          <w:szCs w:val="24"/>
          <w:shd w:val="clear" w:color="auto" w:fill="FFFFFF"/>
        </w:rPr>
      </w:pPr>
    </w:p>
    <w:p w:rsidR="005D7695" w:rsidRPr="00A24C45" w:rsidRDefault="005D7695" w:rsidP="005D7695">
      <w:pPr>
        <w:pStyle w:val="NoSpacing"/>
        <w:jc w:val="center"/>
        <w:rPr>
          <w:rStyle w:val="normaltextrun"/>
          <w:rFonts w:cs="Arial"/>
          <w:b/>
          <w:sz w:val="24"/>
          <w:szCs w:val="24"/>
          <w:shd w:val="clear" w:color="auto" w:fill="FFFFFF"/>
        </w:rPr>
      </w:pPr>
    </w:p>
    <w:p w:rsidR="005D7695" w:rsidRPr="00A24C45" w:rsidRDefault="005D7695" w:rsidP="005D7695">
      <w:pPr>
        <w:pStyle w:val="NoSpacing"/>
        <w:jc w:val="center"/>
        <w:rPr>
          <w:rStyle w:val="normaltextrun"/>
          <w:rFonts w:cs="Arial"/>
          <w:b/>
          <w:sz w:val="24"/>
          <w:szCs w:val="24"/>
          <w:shd w:val="clear" w:color="auto" w:fill="FFFFFF"/>
        </w:rPr>
      </w:pPr>
    </w:p>
    <w:p w:rsidR="005D7695" w:rsidRPr="00A24C45" w:rsidRDefault="005D7695" w:rsidP="005D7695">
      <w:pPr>
        <w:pStyle w:val="NoSpacing"/>
        <w:jc w:val="center"/>
        <w:rPr>
          <w:rStyle w:val="normaltextrun"/>
          <w:rFonts w:cs="Arial"/>
          <w:b/>
          <w:sz w:val="24"/>
          <w:szCs w:val="24"/>
          <w:shd w:val="clear" w:color="auto" w:fill="FFFFFF"/>
        </w:rPr>
      </w:pPr>
    </w:p>
    <w:p w:rsidR="005D7695" w:rsidRPr="00A24C45" w:rsidRDefault="005D7695" w:rsidP="005D7695">
      <w:pPr>
        <w:pStyle w:val="NoSpacing"/>
        <w:jc w:val="center"/>
        <w:rPr>
          <w:rStyle w:val="normaltextrun"/>
          <w:rFonts w:cs="Arial"/>
          <w:b/>
          <w:sz w:val="24"/>
          <w:szCs w:val="24"/>
          <w:shd w:val="clear" w:color="auto" w:fill="FFFFFF"/>
        </w:rPr>
      </w:pPr>
    </w:p>
    <w:p w:rsidR="005D7695" w:rsidRPr="00A24C45" w:rsidRDefault="005D7695" w:rsidP="005D7695">
      <w:pPr>
        <w:pStyle w:val="NoSpacing"/>
        <w:jc w:val="center"/>
        <w:rPr>
          <w:rStyle w:val="normaltextrun"/>
          <w:rFonts w:cs="Arial"/>
          <w:b/>
          <w:sz w:val="24"/>
          <w:szCs w:val="24"/>
          <w:shd w:val="clear" w:color="auto" w:fill="FFFFFF"/>
        </w:rPr>
      </w:pPr>
    </w:p>
    <w:p w:rsidR="005D7695" w:rsidRPr="00A24C45" w:rsidRDefault="005D7695" w:rsidP="005D7695">
      <w:pPr>
        <w:pStyle w:val="NoSpacing"/>
        <w:jc w:val="center"/>
        <w:rPr>
          <w:rStyle w:val="normaltextrun"/>
          <w:rFonts w:cs="Arial"/>
          <w:b/>
          <w:sz w:val="24"/>
          <w:szCs w:val="24"/>
          <w:shd w:val="clear" w:color="auto" w:fill="FFFFFF"/>
        </w:rPr>
      </w:pPr>
    </w:p>
    <w:p w:rsidR="005D7695" w:rsidRPr="00A24C45" w:rsidRDefault="005D7695" w:rsidP="005D7695">
      <w:pPr>
        <w:pStyle w:val="NoSpacing"/>
        <w:jc w:val="center"/>
        <w:rPr>
          <w:rStyle w:val="normaltextrun"/>
          <w:rFonts w:cs="Arial"/>
          <w:b/>
          <w:sz w:val="24"/>
          <w:szCs w:val="24"/>
          <w:shd w:val="clear" w:color="auto" w:fill="FFFFFF"/>
        </w:rPr>
      </w:pPr>
    </w:p>
    <w:p w:rsidR="005D7695" w:rsidRPr="00A24C45" w:rsidRDefault="005D7695" w:rsidP="005D7695">
      <w:pPr>
        <w:pStyle w:val="NoSpacing"/>
        <w:jc w:val="center"/>
        <w:rPr>
          <w:rStyle w:val="normaltextrun"/>
          <w:rFonts w:cs="Arial"/>
          <w:b/>
          <w:sz w:val="24"/>
          <w:szCs w:val="24"/>
          <w:shd w:val="clear" w:color="auto" w:fill="FFFFFF"/>
        </w:rPr>
      </w:pPr>
    </w:p>
    <w:p w:rsidR="005D7695" w:rsidRPr="00A24C45" w:rsidRDefault="005D7695" w:rsidP="005D7695">
      <w:pPr>
        <w:pStyle w:val="NoSpacing"/>
        <w:jc w:val="center"/>
        <w:rPr>
          <w:rStyle w:val="normaltextrun"/>
          <w:rFonts w:cs="Arial"/>
          <w:b/>
          <w:sz w:val="24"/>
          <w:szCs w:val="24"/>
          <w:shd w:val="clear" w:color="auto" w:fill="FFFFFF"/>
        </w:rPr>
      </w:pPr>
    </w:p>
    <w:p w:rsidR="005D7695" w:rsidRPr="00A24C45" w:rsidRDefault="005D7695" w:rsidP="005D7695">
      <w:pPr>
        <w:pStyle w:val="NoSpacing"/>
        <w:jc w:val="center"/>
        <w:rPr>
          <w:rStyle w:val="normaltextrun"/>
          <w:rFonts w:cs="Arial"/>
          <w:b/>
          <w:sz w:val="24"/>
          <w:szCs w:val="24"/>
          <w:shd w:val="clear" w:color="auto" w:fill="FFFFFF"/>
        </w:rPr>
      </w:pPr>
    </w:p>
    <w:p w:rsidR="005D7695" w:rsidRPr="00A24C45" w:rsidRDefault="005D7695" w:rsidP="005D7695">
      <w:pPr>
        <w:pStyle w:val="NoSpacing"/>
        <w:jc w:val="center"/>
        <w:rPr>
          <w:rStyle w:val="normaltextrun"/>
          <w:rFonts w:cs="Arial"/>
          <w:b/>
          <w:sz w:val="24"/>
          <w:szCs w:val="24"/>
          <w:shd w:val="clear" w:color="auto" w:fill="FFFFFF"/>
        </w:rPr>
      </w:pPr>
    </w:p>
    <w:p w:rsidR="005D7695" w:rsidRPr="00A24C45" w:rsidRDefault="005D7695" w:rsidP="005D7695">
      <w:pPr>
        <w:pStyle w:val="NoSpacing"/>
        <w:jc w:val="center"/>
        <w:rPr>
          <w:rStyle w:val="normaltextrun"/>
          <w:rFonts w:cs="Arial"/>
          <w:b/>
          <w:sz w:val="24"/>
          <w:szCs w:val="24"/>
          <w:shd w:val="clear" w:color="auto" w:fill="FFFFFF"/>
        </w:rPr>
      </w:pPr>
    </w:p>
    <w:p w:rsidR="005D7695" w:rsidRPr="00A24C45" w:rsidRDefault="005D7695" w:rsidP="005D7695">
      <w:pPr>
        <w:pStyle w:val="NoSpacing"/>
        <w:jc w:val="center"/>
        <w:rPr>
          <w:rStyle w:val="normaltextrun"/>
          <w:rFonts w:cs="Arial"/>
          <w:b/>
          <w:sz w:val="24"/>
          <w:szCs w:val="24"/>
          <w:shd w:val="clear" w:color="auto" w:fill="FFFFFF"/>
        </w:rPr>
      </w:pPr>
    </w:p>
    <w:p w:rsidR="005D7695" w:rsidRPr="00A24C45" w:rsidRDefault="005D7695" w:rsidP="005D7695">
      <w:pPr>
        <w:pStyle w:val="NoSpacing"/>
        <w:jc w:val="center"/>
        <w:rPr>
          <w:rStyle w:val="normaltextrun"/>
          <w:rFonts w:cs="Arial"/>
          <w:b/>
          <w:sz w:val="24"/>
          <w:szCs w:val="24"/>
          <w:shd w:val="clear" w:color="auto" w:fill="FFFFFF"/>
        </w:rPr>
      </w:pPr>
      <w:r w:rsidRPr="00A24C45">
        <w:rPr>
          <w:rStyle w:val="normaltextrun"/>
          <w:rFonts w:cs="Arial"/>
          <w:b/>
          <w:sz w:val="24"/>
          <w:szCs w:val="24"/>
          <w:shd w:val="clear" w:color="auto" w:fill="FFFFFF"/>
        </w:rPr>
        <w:lastRenderedPageBreak/>
        <w:t>References</w:t>
      </w:r>
      <w:r>
        <w:rPr>
          <w:rStyle w:val="normaltextrun"/>
          <w:rFonts w:cs="Arial"/>
          <w:b/>
          <w:sz w:val="24"/>
          <w:szCs w:val="24"/>
          <w:shd w:val="clear" w:color="auto" w:fill="FFFFFF"/>
        </w:rPr>
        <w:t xml:space="preserve"> – Critical Reflective Evaluation</w:t>
      </w:r>
    </w:p>
    <w:p w:rsidR="005D7695" w:rsidRPr="00A24C45" w:rsidRDefault="005D7695" w:rsidP="005D7695">
      <w:pPr>
        <w:pStyle w:val="NoSpacing"/>
        <w:rPr>
          <w:rStyle w:val="normaltextrun"/>
          <w:rFonts w:cs="Arial"/>
          <w:b/>
          <w:sz w:val="24"/>
          <w:szCs w:val="24"/>
          <w:shd w:val="clear" w:color="auto" w:fill="FFFFFF"/>
        </w:rPr>
      </w:pPr>
    </w:p>
    <w:p w:rsidR="005D7695" w:rsidRPr="00A24C45" w:rsidRDefault="005D7695" w:rsidP="005D7695">
      <w:pPr>
        <w:pStyle w:val="NoSpacing"/>
        <w:rPr>
          <w:sz w:val="24"/>
          <w:szCs w:val="24"/>
        </w:rPr>
      </w:pPr>
    </w:p>
    <w:p w:rsidR="005D7695" w:rsidRPr="00A24C45" w:rsidRDefault="005D7695" w:rsidP="005D7695">
      <w:pPr>
        <w:pStyle w:val="NoSpacing"/>
        <w:rPr>
          <w:rFonts w:cs="Arial"/>
          <w:b/>
          <w:sz w:val="24"/>
          <w:szCs w:val="24"/>
          <w:shd w:val="clear" w:color="auto" w:fill="FFFFFF"/>
        </w:rPr>
      </w:pPr>
      <w:r w:rsidRPr="00A24C45">
        <w:rPr>
          <w:sz w:val="24"/>
          <w:szCs w:val="24"/>
        </w:rPr>
        <w:t xml:space="preserve">Baume, D. and </w:t>
      </w:r>
      <w:proofErr w:type="spellStart"/>
      <w:r w:rsidRPr="00A24C45">
        <w:rPr>
          <w:sz w:val="24"/>
          <w:szCs w:val="24"/>
        </w:rPr>
        <w:t>Popovic</w:t>
      </w:r>
      <w:proofErr w:type="spellEnd"/>
      <w:r w:rsidRPr="00A24C45">
        <w:rPr>
          <w:sz w:val="24"/>
          <w:szCs w:val="24"/>
        </w:rPr>
        <w:t xml:space="preserve">, C. (2016) </w:t>
      </w:r>
      <w:r w:rsidRPr="00A24C45">
        <w:rPr>
          <w:i/>
          <w:sz w:val="24"/>
          <w:szCs w:val="24"/>
        </w:rPr>
        <w:t>Advancing Practice in Academic Development</w:t>
      </w:r>
      <w:r w:rsidRPr="00A24C45">
        <w:rPr>
          <w:sz w:val="24"/>
          <w:szCs w:val="24"/>
        </w:rPr>
        <w:t>. London: Sage</w:t>
      </w:r>
    </w:p>
    <w:p w:rsidR="005D7695" w:rsidRPr="00A24C45" w:rsidRDefault="005D7695" w:rsidP="005D7695">
      <w:pPr>
        <w:pStyle w:val="NoSpacing"/>
        <w:rPr>
          <w:sz w:val="24"/>
          <w:szCs w:val="24"/>
        </w:rPr>
      </w:pPr>
    </w:p>
    <w:p w:rsidR="005D7695" w:rsidRPr="00A24C45" w:rsidRDefault="005D7695" w:rsidP="005D7695">
      <w:pPr>
        <w:pStyle w:val="NoSpacing"/>
        <w:rPr>
          <w:sz w:val="24"/>
          <w:szCs w:val="24"/>
        </w:rPr>
      </w:pPr>
      <w:r w:rsidRPr="00A24C45">
        <w:rPr>
          <w:sz w:val="24"/>
          <w:szCs w:val="24"/>
        </w:rPr>
        <w:t xml:space="preserve">Benjamin, A. (2013) </w:t>
      </w:r>
      <w:r w:rsidRPr="00A24C45">
        <w:rPr>
          <w:i/>
          <w:sz w:val="24"/>
          <w:szCs w:val="24"/>
        </w:rPr>
        <w:t>Formative Assessment for English Language Arts: A Guide for Middle and High School Teachers</w:t>
      </w:r>
      <w:r w:rsidRPr="00A24C45">
        <w:rPr>
          <w:sz w:val="24"/>
          <w:szCs w:val="24"/>
        </w:rPr>
        <w:t>. Abingdon: Routledge</w:t>
      </w:r>
    </w:p>
    <w:p w:rsidR="005D7695" w:rsidRPr="00A24C45" w:rsidRDefault="005D7695" w:rsidP="005D7695">
      <w:pPr>
        <w:pStyle w:val="NoSpacing"/>
        <w:rPr>
          <w:sz w:val="24"/>
          <w:szCs w:val="24"/>
        </w:rPr>
      </w:pPr>
    </w:p>
    <w:p w:rsidR="005D7695" w:rsidRPr="00A24C45" w:rsidRDefault="005D7695" w:rsidP="005D7695">
      <w:pPr>
        <w:pStyle w:val="NoSpacing"/>
        <w:rPr>
          <w:sz w:val="24"/>
          <w:szCs w:val="24"/>
        </w:rPr>
      </w:pPr>
      <w:proofErr w:type="spellStart"/>
      <w:r w:rsidRPr="00A24C45">
        <w:rPr>
          <w:sz w:val="24"/>
          <w:szCs w:val="24"/>
        </w:rPr>
        <w:t>Boud</w:t>
      </w:r>
      <w:proofErr w:type="spellEnd"/>
      <w:r w:rsidRPr="00A24C45">
        <w:rPr>
          <w:sz w:val="24"/>
          <w:szCs w:val="24"/>
        </w:rPr>
        <w:t xml:space="preserve">, D., Cohen, R. and Sampson, J. (2001) </w:t>
      </w:r>
      <w:r w:rsidRPr="00A24C45">
        <w:rPr>
          <w:i/>
          <w:sz w:val="24"/>
          <w:szCs w:val="24"/>
        </w:rPr>
        <w:t>Peer Learning in Higher Education: Learning from and With Each Other</w:t>
      </w:r>
      <w:r w:rsidRPr="00A24C45">
        <w:rPr>
          <w:sz w:val="24"/>
          <w:szCs w:val="24"/>
        </w:rPr>
        <w:t xml:space="preserve">. London: </w:t>
      </w:r>
      <w:proofErr w:type="spellStart"/>
      <w:r w:rsidRPr="00A24C45">
        <w:rPr>
          <w:sz w:val="24"/>
          <w:szCs w:val="24"/>
        </w:rPr>
        <w:t>Kogan</w:t>
      </w:r>
      <w:proofErr w:type="spellEnd"/>
      <w:r w:rsidRPr="00A24C45">
        <w:rPr>
          <w:sz w:val="24"/>
          <w:szCs w:val="24"/>
        </w:rPr>
        <w:t xml:space="preserve"> Page</w:t>
      </w:r>
    </w:p>
    <w:p w:rsidR="005D7695" w:rsidRPr="00A24C45" w:rsidRDefault="005D7695" w:rsidP="005D7695">
      <w:pPr>
        <w:pStyle w:val="NoSpacing"/>
        <w:rPr>
          <w:sz w:val="24"/>
          <w:szCs w:val="24"/>
        </w:rPr>
      </w:pPr>
    </w:p>
    <w:p w:rsidR="005D7695" w:rsidRPr="00A24C45" w:rsidRDefault="005D7695" w:rsidP="005D7695">
      <w:pPr>
        <w:pStyle w:val="NoSpacing"/>
        <w:rPr>
          <w:sz w:val="24"/>
          <w:szCs w:val="24"/>
        </w:rPr>
      </w:pPr>
      <w:r w:rsidRPr="00A24C45">
        <w:rPr>
          <w:sz w:val="24"/>
          <w:szCs w:val="24"/>
        </w:rPr>
        <w:t xml:space="preserve">Burke, K (2010) </w:t>
      </w:r>
      <w:r w:rsidRPr="00A24C45">
        <w:rPr>
          <w:i/>
          <w:sz w:val="24"/>
          <w:szCs w:val="24"/>
        </w:rPr>
        <w:t>Balanced Assessment: From Formative to Summative</w:t>
      </w:r>
      <w:r w:rsidRPr="00A24C45">
        <w:rPr>
          <w:sz w:val="24"/>
          <w:szCs w:val="24"/>
        </w:rPr>
        <w:t>. Bloomington, IN: Solution Tree Press</w:t>
      </w:r>
    </w:p>
    <w:p w:rsidR="005D7695" w:rsidRPr="00A24C45" w:rsidRDefault="005D7695" w:rsidP="005D7695">
      <w:pPr>
        <w:pStyle w:val="NoSpacing"/>
        <w:rPr>
          <w:sz w:val="24"/>
          <w:szCs w:val="24"/>
        </w:rPr>
      </w:pPr>
    </w:p>
    <w:p w:rsidR="005D7695" w:rsidRPr="00A24C45" w:rsidRDefault="005D7695" w:rsidP="005D7695">
      <w:pPr>
        <w:pStyle w:val="NoSpacing"/>
        <w:rPr>
          <w:sz w:val="24"/>
          <w:szCs w:val="24"/>
        </w:rPr>
      </w:pPr>
      <w:r w:rsidRPr="00A24C45">
        <w:rPr>
          <w:sz w:val="24"/>
          <w:szCs w:val="24"/>
        </w:rPr>
        <w:t xml:space="preserve">Butcher, J. (2005) </w:t>
      </w:r>
      <w:r w:rsidRPr="00A24C45">
        <w:rPr>
          <w:i/>
          <w:sz w:val="24"/>
          <w:szCs w:val="24"/>
        </w:rPr>
        <w:t>Developing Effective 16-19 Teaching Skills</w:t>
      </w:r>
      <w:r w:rsidRPr="00A24C45">
        <w:rPr>
          <w:sz w:val="24"/>
          <w:szCs w:val="24"/>
        </w:rPr>
        <w:t>. Abingdon: Routledge</w:t>
      </w:r>
    </w:p>
    <w:p w:rsidR="005D7695" w:rsidRPr="00A24C45" w:rsidRDefault="005D7695" w:rsidP="005D7695">
      <w:pPr>
        <w:pStyle w:val="NoSpacing"/>
        <w:rPr>
          <w:sz w:val="24"/>
          <w:szCs w:val="24"/>
        </w:rPr>
      </w:pPr>
    </w:p>
    <w:p w:rsidR="005D7695" w:rsidRPr="00A24C45" w:rsidRDefault="005D7695" w:rsidP="005D7695">
      <w:pPr>
        <w:pStyle w:val="NoSpacing"/>
        <w:rPr>
          <w:sz w:val="24"/>
          <w:szCs w:val="24"/>
        </w:rPr>
      </w:pPr>
      <w:r w:rsidRPr="00A24C45">
        <w:rPr>
          <w:sz w:val="24"/>
          <w:szCs w:val="24"/>
        </w:rPr>
        <w:t xml:space="preserve">Chen, F., Andrade, H., </w:t>
      </w:r>
      <w:proofErr w:type="spellStart"/>
      <w:r w:rsidRPr="00A24C45">
        <w:rPr>
          <w:sz w:val="24"/>
          <w:szCs w:val="24"/>
        </w:rPr>
        <w:t>Hefferen</w:t>
      </w:r>
      <w:proofErr w:type="spellEnd"/>
      <w:r w:rsidRPr="00A24C45">
        <w:rPr>
          <w:sz w:val="24"/>
          <w:szCs w:val="24"/>
        </w:rPr>
        <w:t xml:space="preserve">, J. and Palma, M. (2015) Formative Assessment in Theatre Education: An Application to Practice, </w:t>
      </w:r>
      <w:r w:rsidRPr="00A24C45">
        <w:rPr>
          <w:i/>
          <w:sz w:val="24"/>
          <w:szCs w:val="24"/>
        </w:rPr>
        <w:t>Drama Research: International Journal of Drama in Education.</w:t>
      </w:r>
      <w:r w:rsidRPr="00A24C45">
        <w:rPr>
          <w:sz w:val="24"/>
          <w:szCs w:val="24"/>
        </w:rPr>
        <w:t xml:space="preserve"> Vol. 6 (1), pp. 1-21</w:t>
      </w:r>
    </w:p>
    <w:p w:rsidR="005D7695" w:rsidRPr="00A24C45" w:rsidRDefault="005D7695" w:rsidP="005D7695">
      <w:pPr>
        <w:pStyle w:val="NoSpacing"/>
        <w:rPr>
          <w:sz w:val="24"/>
          <w:szCs w:val="24"/>
        </w:rPr>
      </w:pPr>
    </w:p>
    <w:p w:rsidR="005D7695" w:rsidRPr="00A24C45" w:rsidRDefault="005D7695" w:rsidP="005D7695">
      <w:pPr>
        <w:pStyle w:val="NoSpacing"/>
        <w:rPr>
          <w:sz w:val="24"/>
          <w:szCs w:val="24"/>
        </w:rPr>
      </w:pPr>
      <w:r w:rsidRPr="00A24C45">
        <w:rPr>
          <w:sz w:val="24"/>
          <w:szCs w:val="24"/>
        </w:rPr>
        <w:t xml:space="preserve">Cohen, L., </w:t>
      </w:r>
      <w:proofErr w:type="spellStart"/>
      <w:r w:rsidRPr="00A24C45">
        <w:rPr>
          <w:sz w:val="24"/>
          <w:szCs w:val="24"/>
        </w:rPr>
        <w:t>Manion</w:t>
      </w:r>
      <w:proofErr w:type="spellEnd"/>
      <w:r w:rsidRPr="00A24C45">
        <w:rPr>
          <w:sz w:val="24"/>
          <w:szCs w:val="24"/>
        </w:rPr>
        <w:t xml:space="preserve">, L., Morrison, K. and Wyse, D. (2010) </w:t>
      </w:r>
      <w:r w:rsidRPr="00A24C45">
        <w:rPr>
          <w:i/>
          <w:sz w:val="24"/>
          <w:szCs w:val="24"/>
        </w:rPr>
        <w:t>A Guide to Teaching Practice</w:t>
      </w:r>
      <w:r w:rsidRPr="00A24C45">
        <w:rPr>
          <w:sz w:val="24"/>
          <w:szCs w:val="24"/>
        </w:rPr>
        <w:t>. 5</w:t>
      </w:r>
      <w:r w:rsidRPr="00A24C45">
        <w:rPr>
          <w:sz w:val="24"/>
          <w:szCs w:val="24"/>
          <w:vertAlign w:val="superscript"/>
        </w:rPr>
        <w:t>th</w:t>
      </w:r>
      <w:r w:rsidRPr="00A24C45">
        <w:rPr>
          <w:sz w:val="24"/>
          <w:szCs w:val="24"/>
        </w:rPr>
        <w:t xml:space="preserve"> Edition. Abingdon: Routledge </w:t>
      </w:r>
    </w:p>
    <w:p w:rsidR="005D7695" w:rsidRPr="00A24C45" w:rsidRDefault="005D7695" w:rsidP="005D7695">
      <w:pPr>
        <w:pStyle w:val="NoSpacing"/>
        <w:rPr>
          <w:sz w:val="24"/>
          <w:szCs w:val="24"/>
        </w:rPr>
      </w:pPr>
    </w:p>
    <w:p w:rsidR="005D7695" w:rsidRPr="00A24C45" w:rsidRDefault="005D7695" w:rsidP="005D7695">
      <w:pPr>
        <w:pStyle w:val="NoSpacing"/>
        <w:rPr>
          <w:sz w:val="24"/>
          <w:szCs w:val="24"/>
        </w:rPr>
      </w:pPr>
      <w:r w:rsidRPr="00A24C45">
        <w:rPr>
          <w:sz w:val="24"/>
          <w:szCs w:val="24"/>
        </w:rPr>
        <w:t xml:space="preserve">Crawford, R. (2013) </w:t>
      </w:r>
      <w:r w:rsidRPr="00A24C45">
        <w:rPr>
          <w:i/>
          <w:sz w:val="24"/>
          <w:szCs w:val="24"/>
        </w:rPr>
        <w:t>The ICT Teachers Handbook: Teaching, Learning and Managing ICT in the Secondary School</w:t>
      </w:r>
      <w:r w:rsidRPr="00A24C45">
        <w:rPr>
          <w:sz w:val="24"/>
          <w:szCs w:val="24"/>
        </w:rPr>
        <w:t>. 2</w:t>
      </w:r>
      <w:r w:rsidRPr="00A24C45">
        <w:rPr>
          <w:sz w:val="24"/>
          <w:szCs w:val="24"/>
          <w:vertAlign w:val="superscript"/>
        </w:rPr>
        <w:t>nd</w:t>
      </w:r>
      <w:r w:rsidRPr="00A24C45">
        <w:rPr>
          <w:sz w:val="24"/>
          <w:szCs w:val="24"/>
        </w:rPr>
        <w:t xml:space="preserve"> Edition. Abingdon: Routledge</w:t>
      </w:r>
    </w:p>
    <w:p w:rsidR="005D7695" w:rsidRPr="00A24C45" w:rsidRDefault="005D7695" w:rsidP="005D7695">
      <w:pPr>
        <w:pStyle w:val="NoSpacing"/>
        <w:rPr>
          <w:sz w:val="24"/>
          <w:szCs w:val="24"/>
        </w:rPr>
      </w:pPr>
    </w:p>
    <w:p w:rsidR="005D7695" w:rsidRPr="00A24C45" w:rsidRDefault="005D7695" w:rsidP="005D7695">
      <w:pPr>
        <w:pStyle w:val="NoSpacing"/>
        <w:rPr>
          <w:sz w:val="24"/>
          <w:szCs w:val="24"/>
        </w:rPr>
      </w:pPr>
      <w:r w:rsidRPr="00A24C45">
        <w:rPr>
          <w:sz w:val="24"/>
          <w:szCs w:val="24"/>
        </w:rPr>
        <w:t xml:space="preserve">Duckworth, V., Wood, J., Bostock, J. and Dickinson, J. (2010) </w:t>
      </w:r>
      <w:r w:rsidRPr="00A24C45">
        <w:rPr>
          <w:i/>
          <w:sz w:val="24"/>
          <w:szCs w:val="24"/>
        </w:rPr>
        <w:t>Successful Teaching Practice in the Life-Long Learning Sector</w:t>
      </w:r>
      <w:r w:rsidRPr="00A24C45">
        <w:rPr>
          <w:sz w:val="24"/>
          <w:szCs w:val="24"/>
        </w:rPr>
        <w:t>. Exeter: Learning Matters</w:t>
      </w:r>
    </w:p>
    <w:p w:rsidR="005D7695" w:rsidRPr="00A24C45" w:rsidRDefault="005D7695" w:rsidP="005D7695">
      <w:pPr>
        <w:pStyle w:val="NoSpacing"/>
        <w:rPr>
          <w:sz w:val="24"/>
          <w:szCs w:val="24"/>
        </w:rPr>
      </w:pPr>
    </w:p>
    <w:p w:rsidR="005D7695" w:rsidRPr="00A24C45" w:rsidRDefault="005D7695" w:rsidP="005D7695">
      <w:pPr>
        <w:pStyle w:val="NoSpacing"/>
        <w:rPr>
          <w:sz w:val="24"/>
          <w:szCs w:val="24"/>
        </w:rPr>
      </w:pPr>
      <w:r w:rsidRPr="00A24C45">
        <w:rPr>
          <w:sz w:val="24"/>
          <w:szCs w:val="24"/>
        </w:rPr>
        <w:t xml:space="preserve">Frost, J. (2014) </w:t>
      </w:r>
      <w:r w:rsidRPr="00A24C45">
        <w:rPr>
          <w:i/>
          <w:sz w:val="24"/>
          <w:szCs w:val="24"/>
        </w:rPr>
        <w:t>Teaching Science</w:t>
      </w:r>
      <w:r w:rsidRPr="00A24C45">
        <w:rPr>
          <w:sz w:val="24"/>
          <w:szCs w:val="24"/>
        </w:rPr>
        <w:t>. Abingdon: Routledge</w:t>
      </w:r>
    </w:p>
    <w:p w:rsidR="005D7695" w:rsidRPr="00A24C45" w:rsidRDefault="005D7695" w:rsidP="005D7695">
      <w:pPr>
        <w:pStyle w:val="NoSpacing"/>
        <w:rPr>
          <w:sz w:val="24"/>
          <w:szCs w:val="24"/>
        </w:rPr>
      </w:pPr>
    </w:p>
    <w:p w:rsidR="005D7695" w:rsidRPr="00A24C45" w:rsidRDefault="005D7695" w:rsidP="005D7695">
      <w:pPr>
        <w:pStyle w:val="NoSpacing"/>
        <w:rPr>
          <w:sz w:val="24"/>
          <w:szCs w:val="24"/>
        </w:rPr>
      </w:pPr>
      <w:proofErr w:type="spellStart"/>
      <w:r w:rsidRPr="00A24C45">
        <w:rPr>
          <w:sz w:val="24"/>
          <w:szCs w:val="24"/>
        </w:rPr>
        <w:t>Halpin</w:t>
      </w:r>
      <w:proofErr w:type="spellEnd"/>
      <w:r w:rsidRPr="00A24C45">
        <w:rPr>
          <w:sz w:val="24"/>
          <w:szCs w:val="24"/>
        </w:rPr>
        <w:t xml:space="preserve">, D. (2015) Essaying and Reflective Practice in Education: The Legacy of Michel De Montaigne, </w:t>
      </w:r>
      <w:r w:rsidRPr="00A24C45">
        <w:rPr>
          <w:i/>
          <w:sz w:val="24"/>
          <w:szCs w:val="24"/>
        </w:rPr>
        <w:t>Journal of Philosophy of Education</w:t>
      </w:r>
      <w:r w:rsidRPr="00A24C45">
        <w:rPr>
          <w:sz w:val="24"/>
          <w:szCs w:val="24"/>
        </w:rPr>
        <w:t>, Vol. 49 (1), pp. 129-141</w:t>
      </w:r>
    </w:p>
    <w:p w:rsidR="005D7695" w:rsidRPr="00A24C45" w:rsidRDefault="005D7695" w:rsidP="005D7695">
      <w:pPr>
        <w:pStyle w:val="NoSpacing"/>
        <w:rPr>
          <w:sz w:val="24"/>
          <w:szCs w:val="24"/>
        </w:rPr>
      </w:pPr>
    </w:p>
    <w:p w:rsidR="005D7695" w:rsidRPr="00A24C45" w:rsidRDefault="005D7695" w:rsidP="005D7695">
      <w:pPr>
        <w:pStyle w:val="NoSpacing"/>
        <w:rPr>
          <w:sz w:val="24"/>
          <w:szCs w:val="24"/>
        </w:rPr>
      </w:pPr>
      <w:r w:rsidRPr="00A24C45">
        <w:rPr>
          <w:sz w:val="24"/>
          <w:szCs w:val="24"/>
        </w:rPr>
        <w:t xml:space="preserve">Henderson, M., Selwyn, N. and Aston, R. (2015) </w:t>
      </w:r>
      <w:proofErr w:type="gramStart"/>
      <w:r w:rsidRPr="00A24C45">
        <w:rPr>
          <w:sz w:val="24"/>
          <w:szCs w:val="24"/>
        </w:rPr>
        <w:t>What</w:t>
      </w:r>
      <w:proofErr w:type="gramEnd"/>
      <w:r w:rsidRPr="00A24C45">
        <w:rPr>
          <w:sz w:val="24"/>
          <w:szCs w:val="24"/>
        </w:rPr>
        <w:t xml:space="preserve"> works and Why? Student Perceptions of ‘Useful’ Digital Technology in University Teaching and Learning, </w:t>
      </w:r>
      <w:r w:rsidRPr="00A24C45">
        <w:rPr>
          <w:i/>
          <w:sz w:val="24"/>
          <w:szCs w:val="24"/>
        </w:rPr>
        <w:t>Studies in Higher Education</w:t>
      </w:r>
      <w:r w:rsidRPr="00A24C45">
        <w:rPr>
          <w:sz w:val="24"/>
          <w:szCs w:val="24"/>
        </w:rPr>
        <w:t>. Vol. 42 (8), pp. 1567-1579</w:t>
      </w:r>
    </w:p>
    <w:p w:rsidR="005D7695" w:rsidRPr="00A24C45" w:rsidRDefault="005D7695" w:rsidP="005D7695">
      <w:pPr>
        <w:pStyle w:val="NoSpacing"/>
        <w:rPr>
          <w:sz w:val="24"/>
          <w:szCs w:val="24"/>
        </w:rPr>
      </w:pPr>
    </w:p>
    <w:p w:rsidR="005D7695" w:rsidRPr="00A24C45" w:rsidRDefault="005D7695" w:rsidP="005D7695">
      <w:pPr>
        <w:pStyle w:val="NoSpacing"/>
        <w:rPr>
          <w:sz w:val="24"/>
          <w:szCs w:val="24"/>
        </w:rPr>
      </w:pPr>
      <w:proofErr w:type="spellStart"/>
      <w:r w:rsidRPr="00A24C45">
        <w:rPr>
          <w:sz w:val="24"/>
          <w:szCs w:val="24"/>
        </w:rPr>
        <w:t>Kiggundu</w:t>
      </w:r>
      <w:proofErr w:type="spellEnd"/>
      <w:r w:rsidRPr="00A24C45">
        <w:rPr>
          <w:sz w:val="24"/>
          <w:szCs w:val="24"/>
        </w:rPr>
        <w:t xml:space="preserve">, E. and </w:t>
      </w:r>
      <w:proofErr w:type="spellStart"/>
      <w:r w:rsidRPr="00A24C45">
        <w:rPr>
          <w:sz w:val="24"/>
          <w:szCs w:val="24"/>
        </w:rPr>
        <w:t>Nayimuli</w:t>
      </w:r>
      <w:proofErr w:type="spellEnd"/>
      <w:r w:rsidRPr="00A24C45">
        <w:rPr>
          <w:sz w:val="24"/>
          <w:szCs w:val="24"/>
        </w:rPr>
        <w:t xml:space="preserve">, S. (2009) Teaching Practice: A Make or Break Phase for Student Teachers, </w:t>
      </w:r>
      <w:r w:rsidRPr="00A24C45">
        <w:rPr>
          <w:i/>
          <w:sz w:val="24"/>
          <w:szCs w:val="24"/>
        </w:rPr>
        <w:t>South African Journal of Education</w:t>
      </w:r>
      <w:r w:rsidRPr="00A24C45">
        <w:rPr>
          <w:sz w:val="24"/>
          <w:szCs w:val="24"/>
        </w:rPr>
        <w:t>. Vol. 29, pp. 345-358</w:t>
      </w:r>
    </w:p>
    <w:p w:rsidR="005D7695" w:rsidRPr="00A24C45" w:rsidRDefault="005D7695" w:rsidP="005D7695">
      <w:pPr>
        <w:pStyle w:val="NoSpacing"/>
        <w:rPr>
          <w:sz w:val="24"/>
          <w:szCs w:val="24"/>
        </w:rPr>
      </w:pPr>
    </w:p>
    <w:p w:rsidR="005D7695" w:rsidRPr="00A24C45" w:rsidRDefault="005D7695" w:rsidP="005D7695">
      <w:pPr>
        <w:pStyle w:val="NoSpacing"/>
        <w:rPr>
          <w:sz w:val="24"/>
          <w:szCs w:val="24"/>
        </w:rPr>
      </w:pPr>
      <w:r w:rsidRPr="00A24C45">
        <w:rPr>
          <w:sz w:val="24"/>
          <w:szCs w:val="24"/>
        </w:rPr>
        <w:t xml:space="preserve">Koch, J. (2016) </w:t>
      </w:r>
      <w:r w:rsidRPr="00A24C45">
        <w:rPr>
          <w:i/>
          <w:sz w:val="24"/>
          <w:szCs w:val="24"/>
        </w:rPr>
        <w:t>Science Stories: Science Methods for Elementary and Middle School Teachers</w:t>
      </w:r>
      <w:r w:rsidRPr="00A24C45">
        <w:rPr>
          <w:sz w:val="24"/>
          <w:szCs w:val="24"/>
        </w:rPr>
        <w:t>. Andover: Cengage</w:t>
      </w:r>
    </w:p>
    <w:p w:rsidR="005D7695" w:rsidRPr="00A24C45" w:rsidRDefault="005D7695" w:rsidP="005D7695">
      <w:pPr>
        <w:pStyle w:val="NoSpacing"/>
        <w:rPr>
          <w:sz w:val="24"/>
          <w:szCs w:val="24"/>
        </w:rPr>
      </w:pPr>
    </w:p>
    <w:p w:rsidR="005D7695" w:rsidRPr="00A24C45" w:rsidRDefault="005D7695" w:rsidP="005D7695">
      <w:pPr>
        <w:pStyle w:val="NoSpacing"/>
        <w:rPr>
          <w:sz w:val="24"/>
          <w:szCs w:val="24"/>
        </w:rPr>
      </w:pPr>
      <w:r w:rsidRPr="00A24C45">
        <w:rPr>
          <w:sz w:val="24"/>
          <w:szCs w:val="24"/>
        </w:rPr>
        <w:t xml:space="preserve">Kornblith, H. (2012) </w:t>
      </w:r>
      <w:r w:rsidRPr="00A24C45">
        <w:rPr>
          <w:i/>
          <w:sz w:val="24"/>
          <w:szCs w:val="24"/>
        </w:rPr>
        <w:t>On Reflection</w:t>
      </w:r>
      <w:r w:rsidRPr="00A24C45">
        <w:rPr>
          <w:sz w:val="24"/>
          <w:szCs w:val="24"/>
        </w:rPr>
        <w:t>. Oxford: Oxford University Press</w:t>
      </w:r>
    </w:p>
    <w:p w:rsidR="005D7695" w:rsidRPr="00A24C45" w:rsidRDefault="005D7695" w:rsidP="005D7695">
      <w:pPr>
        <w:pStyle w:val="NoSpacing"/>
        <w:rPr>
          <w:sz w:val="24"/>
          <w:szCs w:val="24"/>
        </w:rPr>
      </w:pPr>
    </w:p>
    <w:p w:rsidR="005D7695" w:rsidRPr="00A24C45" w:rsidRDefault="005D7695" w:rsidP="005D7695">
      <w:pPr>
        <w:pStyle w:val="NoSpacing"/>
        <w:rPr>
          <w:sz w:val="24"/>
          <w:szCs w:val="24"/>
        </w:rPr>
      </w:pPr>
      <w:r w:rsidRPr="00A24C45">
        <w:rPr>
          <w:sz w:val="24"/>
          <w:szCs w:val="24"/>
        </w:rPr>
        <w:lastRenderedPageBreak/>
        <w:t xml:space="preserve">MacKay, A. (2011) </w:t>
      </w:r>
      <w:r w:rsidRPr="00A24C45">
        <w:rPr>
          <w:i/>
          <w:sz w:val="24"/>
          <w:szCs w:val="24"/>
        </w:rPr>
        <w:t>Motivation, Ability and Confidence Building in People.</w:t>
      </w:r>
      <w:r w:rsidRPr="00A24C45">
        <w:rPr>
          <w:sz w:val="24"/>
          <w:szCs w:val="24"/>
        </w:rPr>
        <w:t xml:space="preserve"> 2</w:t>
      </w:r>
      <w:r w:rsidRPr="00A24C45">
        <w:rPr>
          <w:sz w:val="24"/>
          <w:szCs w:val="24"/>
          <w:vertAlign w:val="superscript"/>
        </w:rPr>
        <w:t>nd</w:t>
      </w:r>
      <w:r w:rsidRPr="00A24C45">
        <w:rPr>
          <w:sz w:val="24"/>
          <w:szCs w:val="24"/>
        </w:rPr>
        <w:t xml:space="preserve"> Edition. Abingdon: Routledge</w:t>
      </w:r>
    </w:p>
    <w:p w:rsidR="005D7695" w:rsidRPr="00A24C45" w:rsidRDefault="005D7695" w:rsidP="005D7695">
      <w:pPr>
        <w:pStyle w:val="NoSpacing"/>
        <w:rPr>
          <w:sz w:val="24"/>
          <w:szCs w:val="24"/>
        </w:rPr>
      </w:pPr>
    </w:p>
    <w:p w:rsidR="005D7695" w:rsidRPr="00A24C45" w:rsidRDefault="005D7695" w:rsidP="005D7695">
      <w:pPr>
        <w:pStyle w:val="NoSpacing"/>
        <w:rPr>
          <w:sz w:val="24"/>
          <w:szCs w:val="24"/>
        </w:rPr>
      </w:pPr>
      <w:proofErr w:type="spellStart"/>
      <w:r w:rsidRPr="00A24C45">
        <w:rPr>
          <w:sz w:val="24"/>
          <w:szCs w:val="24"/>
        </w:rPr>
        <w:t>McClincy</w:t>
      </w:r>
      <w:proofErr w:type="spellEnd"/>
      <w:r w:rsidRPr="00A24C45">
        <w:rPr>
          <w:sz w:val="24"/>
          <w:szCs w:val="24"/>
        </w:rPr>
        <w:t xml:space="preserve">, W. (2011) </w:t>
      </w:r>
      <w:r w:rsidRPr="00A24C45">
        <w:rPr>
          <w:i/>
          <w:sz w:val="24"/>
          <w:szCs w:val="24"/>
        </w:rPr>
        <w:t>Instructional Methods for Public Safety</w:t>
      </w:r>
      <w:r w:rsidRPr="00A24C45">
        <w:rPr>
          <w:sz w:val="24"/>
          <w:szCs w:val="24"/>
        </w:rPr>
        <w:t>. London: Jones and Barrett Learning International</w:t>
      </w:r>
    </w:p>
    <w:p w:rsidR="005D7695" w:rsidRPr="00A24C45" w:rsidRDefault="005D7695" w:rsidP="005D7695">
      <w:pPr>
        <w:pStyle w:val="NoSpacing"/>
        <w:rPr>
          <w:sz w:val="24"/>
          <w:szCs w:val="24"/>
        </w:rPr>
      </w:pPr>
    </w:p>
    <w:p w:rsidR="005D7695" w:rsidRPr="00A24C45" w:rsidRDefault="005D7695" w:rsidP="005D7695">
      <w:pPr>
        <w:pStyle w:val="NoSpacing"/>
        <w:rPr>
          <w:sz w:val="24"/>
          <w:szCs w:val="24"/>
        </w:rPr>
      </w:pPr>
      <w:r w:rsidRPr="00A24C45">
        <w:rPr>
          <w:sz w:val="24"/>
          <w:szCs w:val="24"/>
        </w:rPr>
        <w:t xml:space="preserve">McGregor, D. and Cartwright, L. (2011) </w:t>
      </w:r>
      <w:r w:rsidRPr="00A24C45">
        <w:rPr>
          <w:i/>
          <w:sz w:val="24"/>
          <w:szCs w:val="24"/>
        </w:rPr>
        <w:t>Developing Reflective Practice: A Guide for Beginning Teachers</w:t>
      </w:r>
      <w:r w:rsidRPr="00A24C45">
        <w:rPr>
          <w:sz w:val="24"/>
          <w:szCs w:val="24"/>
        </w:rPr>
        <w:t>. Maidenhead: Open University press</w:t>
      </w:r>
    </w:p>
    <w:p w:rsidR="005D7695" w:rsidRPr="00A24C45" w:rsidRDefault="005D7695" w:rsidP="005D7695">
      <w:pPr>
        <w:pStyle w:val="NoSpacing"/>
        <w:rPr>
          <w:sz w:val="24"/>
          <w:szCs w:val="24"/>
        </w:rPr>
      </w:pPr>
    </w:p>
    <w:p w:rsidR="005D7695" w:rsidRPr="00A24C45" w:rsidRDefault="005D7695" w:rsidP="005D7695">
      <w:pPr>
        <w:pStyle w:val="NoSpacing"/>
        <w:rPr>
          <w:sz w:val="24"/>
          <w:szCs w:val="24"/>
        </w:rPr>
      </w:pPr>
      <w:r w:rsidRPr="00A24C45">
        <w:rPr>
          <w:sz w:val="24"/>
          <w:szCs w:val="24"/>
        </w:rPr>
        <w:t xml:space="preserve">Nicholson, L., </w:t>
      </w:r>
      <w:proofErr w:type="spellStart"/>
      <w:r w:rsidRPr="00A24C45">
        <w:rPr>
          <w:sz w:val="24"/>
          <w:szCs w:val="24"/>
        </w:rPr>
        <w:t>Putwain</w:t>
      </w:r>
      <w:proofErr w:type="spellEnd"/>
      <w:r w:rsidRPr="00A24C45">
        <w:rPr>
          <w:sz w:val="24"/>
          <w:szCs w:val="24"/>
        </w:rPr>
        <w:t xml:space="preserve">, D., Connors, L. and Hornby-Atkinson, P. (2013) </w:t>
      </w:r>
      <w:proofErr w:type="gramStart"/>
      <w:r w:rsidRPr="00A24C45">
        <w:rPr>
          <w:sz w:val="24"/>
          <w:szCs w:val="24"/>
        </w:rPr>
        <w:t>The</w:t>
      </w:r>
      <w:proofErr w:type="gramEnd"/>
      <w:r w:rsidRPr="00A24C45">
        <w:rPr>
          <w:sz w:val="24"/>
          <w:szCs w:val="24"/>
        </w:rPr>
        <w:t xml:space="preserve"> Key to Successful Achievement as an Undergraduate Student: Confidence and Unrealistic Expectations?</w:t>
      </w:r>
      <w:r w:rsidRPr="00A24C45">
        <w:rPr>
          <w:i/>
          <w:sz w:val="24"/>
          <w:szCs w:val="24"/>
        </w:rPr>
        <w:t xml:space="preserve"> Studies in Higher Education</w:t>
      </w:r>
      <w:r w:rsidRPr="00A24C45">
        <w:rPr>
          <w:sz w:val="24"/>
          <w:szCs w:val="24"/>
        </w:rPr>
        <w:t>. Vol. 38 (2), pp. 258-298</w:t>
      </w:r>
    </w:p>
    <w:p w:rsidR="005D7695" w:rsidRPr="00A24C45" w:rsidRDefault="005D7695" w:rsidP="005D7695">
      <w:pPr>
        <w:pStyle w:val="NoSpacing"/>
        <w:rPr>
          <w:sz w:val="24"/>
          <w:szCs w:val="24"/>
        </w:rPr>
      </w:pPr>
    </w:p>
    <w:p w:rsidR="005D7695" w:rsidRPr="00A24C45" w:rsidRDefault="005D7695" w:rsidP="005D7695">
      <w:pPr>
        <w:pStyle w:val="NoSpacing"/>
        <w:rPr>
          <w:sz w:val="24"/>
          <w:szCs w:val="24"/>
        </w:rPr>
      </w:pPr>
      <w:r w:rsidRPr="00A24C45">
        <w:rPr>
          <w:sz w:val="24"/>
          <w:szCs w:val="24"/>
        </w:rPr>
        <w:t xml:space="preserve">Nicol, D. (2010) From Monologue to Dialogue: Improving Written Feedback Processes in Mass Higher Education, </w:t>
      </w:r>
      <w:r w:rsidRPr="00A24C45">
        <w:rPr>
          <w:i/>
          <w:sz w:val="24"/>
          <w:szCs w:val="24"/>
        </w:rPr>
        <w:t>Assessment and Evaluation in Higher Education</w:t>
      </w:r>
      <w:r w:rsidRPr="00A24C45">
        <w:rPr>
          <w:sz w:val="24"/>
          <w:szCs w:val="24"/>
        </w:rPr>
        <w:t>, Vol. 35 (5), pp. 501-517</w:t>
      </w:r>
    </w:p>
    <w:p w:rsidR="005D7695" w:rsidRPr="00A24C45" w:rsidRDefault="005D7695" w:rsidP="005D7695">
      <w:pPr>
        <w:pStyle w:val="NoSpacing"/>
        <w:rPr>
          <w:sz w:val="24"/>
          <w:szCs w:val="24"/>
        </w:rPr>
      </w:pPr>
    </w:p>
    <w:p w:rsidR="005D7695" w:rsidRPr="00A24C45" w:rsidRDefault="005D7695" w:rsidP="005D7695">
      <w:pPr>
        <w:pStyle w:val="NoSpacing"/>
        <w:rPr>
          <w:sz w:val="24"/>
          <w:szCs w:val="24"/>
        </w:rPr>
      </w:pPr>
      <w:r w:rsidRPr="00A24C45">
        <w:rPr>
          <w:sz w:val="24"/>
          <w:szCs w:val="24"/>
        </w:rPr>
        <w:t xml:space="preserve">Parkinson, J. (2013) </w:t>
      </w:r>
      <w:proofErr w:type="gramStart"/>
      <w:r w:rsidRPr="00A24C45">
        <w:rPr>
          <w:i/>
          <w:sz w:val="24"/>
          <w:szCs w:val="24"/>
        </w:rPr>
        <w:t>The</w:t>
      </w:r>
      <w:proofErr w:type="gramEnd"/>
      <w:r w:rsidRPr="00A24C45">
        <w:rPr>
          <w:i/>
          <w:sz w:val="24"/>
          <w:szCs w:val="24"/>
        </w:rPr>
        <w:t xml:space="preserve"> Effective Teaching of Secondary Science. </w:t>
      </w:r>
      <w:r w:rsidRPr="00A24C45">
        <w:rPr>
          <w:sz w:val="24"/>
          <w:szCs w:val="24"/>
        </w:rPr>
        <w:t xml:space="preserve">Abingdon: Routledge </w:t>
      </w:r>
    </w:p>
    <w:p w:rsidR="005D7695" w:rsidRPr="00A24C45" w:rsidRDefault="005D7695" w:rsidP="005D7695">
      <w:pPr>
        <w:pStyle w:val="NoSpacing"/>
        <w:rPr>
          <w:sz w:val="24"/>
          <w:szCs w:val="24"/>
        </w:rPr>
      </w:pPr>
    </w:p>
    <w:p w:rsidR="005D7695" w:rsidRPr="00A24C45" w:rsidRDefault="005D7695" w:rsidP="005D7695">
      <w:pPr>
        <w:pStyle w:val="NoSpacing"/>
        <w:rPr>
          <w:sz w:val="24"/>
          <w:szCs w:val="24"/>
        </w:rPr>
      </w:pPr>
      <w:r w:rsidRPr="00A24C45">
        <w:rPr>
          <w:sz w:val="24"/>
          <w:szCs w:val="24"/>
        </w:rPr>
        <w:t xml:space="preserve">Petty, G. (2004) </w:t>
      </w:r>
      <w:r w:rsidRPr="00A24C45">
        <w:rPr>
          <w:i/>
          <w:sz w:val="24"/>
          <w:szCs w:val="24"/>
        </w:rPr>
        <w:t>Teaching Today: A Practical Guide</w:t>
      </w:r>
      <w:r w:rsidRPr="00A24C45">
        <w:rPr>
          <w:sz w:val="24"/>
          <w:szCs w:val="24"/>
        </w:rPr>
        <w:t>. Cheltenham: Nelson Thornes Ltd</w:t>
      </w:r>
    </w:p>
    <w:p w:rsidR="005D7695" w:rsidRPr="00A24C45" w:rsidRDefault="005D7695" w:rsidP="005D7695">
      <w:pPr>
        <w:pStyle w:val="NoSpacing"/>
        <w:rPr>
          <w:sz w:val="24"/>
          <w:szCs w:val="24"/>
        </w:rPr>
      </w:pPr>
    </w:p>
    <w:p w:rsidR="005D7695" w:rsidRPr="00A24C45" w:rsidRDefault="005D7695" w:rsidP="005D7695">
      <w:pPr>
        <w:pStyle w:val="NoSpacing"/>
        <w:rPr>
          <w:sz w:val="24"/>
          <w:szCs w:val="24"/>
        </w:rPr>
      </w:pPr>
      <w:r w:rsidRPr="00A24C45">
        <w:rPr>
          <w:sz w:val="24"/>
          <w:szCs w:val="24"/>
        </w:rPr>
        <w:t>Rolfe, G. (2014) Rethinking Reflective Education: What Would Dewey Have Done</w:t>
      </w:r>
      <w:proofErr w:type="gramStart"/>
      <w:r w:rsidRPr="00A24C45">
        <w:rPr>
          <w:sz w:val="24"/>
          <w:szCs w:val="24"/>
        </w:rPr>
        <w:t>?</w:t>
      </w:r>
      <w:r w:rsidRPr="00A24C45">
        <w:rPr>
          <w:i/>
          <w:sz w:val="24"/>
          <w:szCs w:val="24"/>
        </w:rPr>
        <w:t>,</w:t>
      </w:r>
      <w:proofErr w:type="gramEnd"/>
      <w:r w:rsidRPr="00A24C45">
        <w:rPr>
          <w:i/>
          <w:sz w:val="24"/>
          <w:szCs w:val="24"/>
        </w:rPr>
        <w:t xml:space="preserve"> Nurse Education Today</w:t>
      </w:r>
      <w:r w:rsidRPr="00A24C45">
        <w:rPr>
          <w:sz w:val="24"/>
          <w:szCs w:val="24"/>
        </w:rPr>
        <w:t>, Vol. 34 (8), pp. 1179-1183</w:t>
      </w:r>
    </w:p>
    <w:p w:rsidR="005D7695" w:rsidRPr="00A24C45" w:rsidRDefault="005D7695" w:rsidP="005D7695">
      <w:pPr>
        <w:pStyle w:val="NoSpacing"/>
        <w:rPr>
          <w:sz w:val="24"/>
          <w:szCs w:val="24"/>
        </w:rPr>
      </w:pPr>
    </w:p>
    <w:p w:rsidR="005D7695" w:rsidRPr="00A24C45" w:rsidRDefault="005D7695" w:rsidP="005D7695">
      <w:pPr>
        <w:pStyle w:val="NoSpacing"/>
        <w:rPr>
          <w:sz w:val="24"/>
          <w:szCs w:val="24"/>
        </w:rPr>
      </w:pPr>
      <w:r w:rsidRPr="00A24C45">
        <w:rPr>
          <w:sz w:val="24"/>
          <w:szCs w:val="24"/>
        </w:rPr>
        <w:t xml:space="preserve">Scales, P., </w:t>
      </w:r>
      <w:proofErr w:type="spellStart"/>
      <w:r w:rsidRPr="00A24C45">
        <w:rPr>
          <w:sz w:val="24"/>
          <w:szCs w:val="24"/>
        </w:rPr>
        <w:t>Briddon</w:t>
      </w:r>
      <w:proofErr w:type="spellEnd"/>
      <w:r w:rsidRPr="00A24C45">
        <w:rPr>
          <w:sz w:val="24"/>
          <w:szCs w:val="24"/>
        </w:rPr>
        <w:t xml:space="preserve">, K. and Senior, L. (2013) </w:t>
      </w:r>
      <w:r w:rsidRPr="00A24C45">
        <w:rPr>
          <w:i/>
          <w:sz w:val="24"/>
          <w:szCs w:val="24"/>
        </w:rPr>
        <w:t>Teaching in the Life-Long Learning Sector</w:t>
      </w:r>
      <w:r w:rsidRPr="00A24C45">
        <w:rPr>
          <w:sz w:val="24"/>
          <w:szCs w:val="24"/>
        </w:rPr>
        <w:t>. 2</w:t>
      </w:r>
      <w:r w:rsidRPr="00A24C45">
        <w:rPr>
          <w:sz w:val="24"/>
          <w:szCs w:val="24"/>
          <w:vertAlign w:val="superscript"/>
        </w:rPr>
        <w:t>nd</w:t>
      </w:r>
      <w:r w:rsidRPr="00A24C45">
        <w:rPr>
          <w:sz w:val="24"/>
          <w:szCs w:val="24"/>
        </w:rPr>
        <w:t xml:space="preserve"> Edition. Maidenhead: Open University Press</w:t>
      </w:r>
    </w:p>
    <w:p w:rsidR="005D7695" w:rsidRPr="00A24C45" w:rsidRDefault="005D7695" w:rsidP="005D7695">
      <w:pPr>
        <w:pStyle w:val="NoSpacing"/>
        <w:rPr>
          <w:sz w:val="24"/>
          <w:szCs w:val="24"/>
        </w:rPr>
      </w:pPr>
    </w:p>
    <w:p w:rsidR="005D7695" w:rsidRPr="00A24C45" w:rsidRDefault="005D7695" w:rsidP="005D7695">
      <w:pPr>
        <w:pStyle w:val="NoSpacing"/>
        <w:rPr>
          <w:sz w:val="24"/>
          <w:szCs w:val="24"/>
        </w:rPr>
      </w:pPr>
      <w:r w:rsidRPr="00A24C45">
        <w:rPr>
          <w:sz w:val="24"/>
          <w:szCs w:val="24"/>
        </w:rPr>
        <w:t xml:space="preserve">Sussex, F., Hearne, D. and </w:t>
      </w:r>
      <w:proofErr w:type="spellStart"/>
      <w:r w:rsidRPr="00A24C45">
        <w:rPr>
          <w:sz w:val="24"/>
          <w:szCs w:val="24"/>
        </w:rPr>
        <w:t>Scourfield</w:t>
      </w:r>
      <w:proofErr w:type="spellEnd"/>
      <w:r w:rsidRPr="00A24C45">
        <w:rPr>
          <w:sz w:val="24"/>
          <w:szCs w:val="24"/>
        </w:rPr>
        <w:t xml:space="preserve">. P. (2008) </w:t>
      </w:r>
      <w:r w:rsidRPr="00A24C45">
        <w:rPr>
          <w:i/>
          <w:sz w:val="24"/>
          <w:szCs w:val="24"/>
        </w:rPr>
        <w:t>Advanced Health and Social Care: For NVQ/SVQ, Level 4 and Foundation Degrees</w:t>
      </w:r>
      <w:r w:rsidRPr="00A24C45">
        <w:rPr>
          <w:sz w:val="24"/>
          <w:szCs w:val="24"/>
        </w:rPr>
        <w:t>. Harlow: Heinemann</w:t>
      </w:r>
    </w:p>
    <w:p w:rsidR="005D7695" w:rsidRPr="00A24C45" w:rsidRDefault="005D7695" w:rsidP="005D7695">
      <w:pPr>
        <w:pStyle w:val="NoSpacing"/>
        <w:rPr>
          <w:sz w:val="24"/>
          <w:szCs w:val="24"/>
        </w:rPr>
      </w:pPr>
    </w:p>
    <w:p w:rsidR="005D7695" w:rsidRPr="00A24C45" w:rsidRDefault="005D7695" w:rsidP="005D7695">
      <w:pPr>
        <w:pStyle w:val="NoSpacing"/>
        <w:rPr>
          <w:sz w:val="24"/>
          <w:szCs w:val="24"/>
        </w:rPr>
      </w:pPr>
      <w:r w:rsidRPr="00A24C45">
        <w:rPr>
          <w:sz w:val="24"/>
          <w:szCs w:val="24"/>
        </w:rPr>
        <w:t xml:space="preserve">Thompson, N. and Pascal, J. (2012) Developing Critically Reflective Practice, </w:t>
      </w:r>
      <w:r w:rsidRPr="00A24C45">
        <w:rPr>
          <w:i/>
          <w:sz w:val="24"/>
          <w:szCs w:val="24"/>
        </w:rPr>
        <w:t>Reflective Practice: International and Multidisciplinary Perspectives</w:t>
      </w:r>
      <w:r w:rsidRPr="00A24C45">
        <w:rPr>
          <w:sz w:val="24"/>
          <w:szCs w:val="24"/>
        </w:rPr>
        <w:t>, Vol. 13 (2), pp. 311-325</w:t>
      </w:r>
    </w:p>
    <w:p w:rsidR="005D7695" w:rsidRPr="00A24C45" w:rsidRDefault="005D7695" w:rsidP="005D7695">
      <w:pPr>
        <w:pStyle w:val="NoSpacing"/>
        <w:rPr>
          <w:sz w:val="24"/>
          <w:szCs w:val="24"/>
        </w:rPr>
      </w:pPr>
    </w:p>
    <w:p w:rsidR="005D7695" w:rsidRPr="00A24C45" w:rsidRDefault="005D7695" w:rsidP="005D7695">
      <w:pPr>
        <w:pStyle w:val="NoSpacing"/>
        <w:rPr>
          <w:sz w:val="24"/>
          <w:szCs w:val="24"/>
        </w:rPr>
      </w:pPr>
      <w:r w:rsidRPr="00A24C45">
        <w:rPr>
          <w:sz w:val="24"/>
          <w:szCs w:val="24"/>
        </w:rPr>
        <w:t xml:space="preserve">University of Sheffield (2012) </w:t>
      </w:r>
      <w:r w:rsidRPr="00A24C45">
        <w:rPr>
          <w:i/>
          <w:sz w:val="24"/>
          <w:szCs w:val="24"/>
        </w:rPr>
        <w:t xml:space="preserve">Toolkit for Learning and Teaching, Feedback and Assessment </w:t>
      </w:r>
      <w:r w:rsidRPr="00A24C45">
        <w:rPr>
          <w:sz w:val="24"/>
          <w:szCs w:val="24"/>
        </w:rPr>
        <w:t>[online] Available at: https://www.sheffield.ac.uk/lets/toolkit/f-a/assessment (accessed 18/04/2018)</w:t>
      </w:r>
    </w:p>
    <w:p w:rsidR="005D7695" w:rsidRPr="00A24C45" w:rsidRDefault="005D7695" w:rsidP="005D7695">
      <w:pPr>
        <w:pStyle w:val="NoSpacing"/>
        <w:rPr>
          <w:sz w:val="24"/>
          <w:szCs w:val="24"/>
        </w:rPr>
      </w:pPr>
    </w:p>
    <w:p w:rsidR="005D7695" w:rsidRPr="00A24C45" w:rsidRDefault="005D7695" w:rsidP="005D7695">
      <w:pPr>
        <w:pStyle w:val="NoSpacing"/>
        <w:rPr>
          <w:sz w:val="24"/>
          <w:szCs w:val="24"/>
        </w:rPr>
      </w:pPr>
      <w:r w:rsidRPr="00A24C45">
        <w:rPr>
          <w:sz w:val="24"/>
          <w:szCs w:val="24"/>
        </w:rPr>
        <w:t xml:space="preserve">Ware, M. E. and Johnson, D. E. (2015) </w:t>
      </w:r>
      <w:r w:rsidRPr="00A24C45">
        <w:rPr>
          <w:i/>
          <w:sz w:val="24"/>
          <w:szCs w:val="24"/>
        </w:rPr>
        <w:t>Handbook of Demonstrations and Activities in Teaching of Psychology</w:t>
      </w:r>
      <w:r w:rsidRPr="00A24C45">
        <w:rPr>
          <w:sz w:val="24"/>
          <w:szCs w:val="24"/>
        </w:rPr>
        <w:t>. 2</w:t>
      </w:r>
      <w:r w:rsidRPr="00A24C45">
        <w:rPr>
          <w:sz w:val="24"/>
          <w:szCs w:val="24"/>
          <w:vertAlign w:val="superscript"/>
        </w:rPr>
        <w:t>nd</w:t>
      </w:r>
      <w:r w:rsidRPr="00A24C45">
        <w:rPr>
          <w:sz w:val="24"/>
          <w:szCs w:val="24"/>
        </w:rPr>
        <w:t xml:space="preserve"> Edition. London: Psychology Press</w:t>
      </w:r>
    </w:p>
    <w:p w:rsidR="005D7695" w:rsidRPr="00A24C45" w:rsidRDefault="005D7695" w:rsidP="005D7695">
      <w:pPr>
        <w:pStyle w:val="NoSpacing"/>
        <w:rPr>
          <w:sz w:val="24"/>
          <w:szCs w:val="24"/>
        </w:rPr>
      </w:pPr>
    </w:p>
    <w:p w:rsidR="005D7695" w:rsidRPr="00A24C45" w:rsidRDefault="005D7695" w:rsidP="005D7695">
      <w:pPr>
        <w:pStyle w:val="NoSpacing"/>
        <w:rPr>
          <w:sz w:val="24"/>
          <w:szCs w:val="24"/>
        </w:rPr>
      </w:pPr>
      <w:r w:rsidRPr="00A24C45">
        <w:rPr>
          <w:sz w:val="24"/>
          <w:szCs w:val="24"/>
        </w:rPr>
        <w:t xml:space="preserve">Wright, V., Loughlin, T. and Hall, V. (2017) ͚Lesson Observation and Feedback in Relation to the Developing Identity of Student Teachers͛, </w:t>
      </w:r>
      <w:r w:rsidRPr="00A24C45">
        <w:rPr>
          <w:i/>
          <w:sz w:val="24"/>
          <w:szCs w:val="24"/>
        </w:rPr>
        <w:t>TEAN Journal</w:t>
      </w:r>
      <w:r w:rsidRPr="00A24C45">
        <w:rPr>
          <w:sz w:val="24"/>
          <w:szCs w:val="24"/>
        </w:rPr>
        <w:t>, Vol. 9 (1), pp. 100-112.</w:t>
      </w:r>
    </w:p>
    <w:p w:rsidR="005D7695" w:rsidRPr="00A24C45" w:rsidRDefault="005D7695" w:rsidP="005D7695">
      <w:pPr>
        <w:pStyle w:val="NoSpacing"/>
        <w:rPr>
          <w:sz w:val="24"/>
          <w:szCs w:val="24"/>
        </w:rPr>
      </w:pPr>
    </w:p>
    <w:p w:rsidR="005D7695" w:rsidRPr="00A24C45" w:rsidRDefault="005D7695" w:rsidP="005D7695">
      <w:pPr>
        <w:pStyle w:val="NoSpacing"/>
        <w:rPr>
          <w:sz w:val="24"/>
          <w:szCs w:val="24"/>
        </w:rPr>
      </w:pPr>
      <w:proofErr w:type="spellStart"/>
      <w:r w:rsidRPr="00A24C45">
        <w:rPr>
          <w:sz w:val="24"/>
          <w:szCs w:val="24"/>
        </w:rPr>
        <w:t>Zwozdiak</w:t>
      </w:r>
      <w:proofErr w:type="spellEnd"/>
      <w:r w:rsidRPr="00A24C45">
        <w:rPr>
          <w:sz w:val="24"/>
          <w:szCs w:val="24"/>
        </w:rPr>
        <w:t xml:space="preserve">-Myers, P. (2012) </w:t>
      </w:r>
      <w:r w:rsidRPr="00A24C45">
        <w:rPr>
          <w:i/>
          <w:sz w:val="24"/>
          <w:szCs w:val="24"/>
        </w:rPr>
        <w:t>The Teachers Reflective Practice Handbook: Becoming an Extended Professional Through Capturing Evidence-Informed Practice</w:t>
      </w:r>
      <w:r w:rsidRPr="00A24C45">
        <w:rPr>
          <w:sz w:val="24"/>
          <w:szCs w:val="24"/>
        </w:rPr>
        <w:t>. Abingdon: Routledge</w:t>
      </w:r>
    </w:p>
    <w:p w:rsidR="005D7695" w:rsidRPr="009609CC" w:rsidRDefault="005D7695" w:rsidP="005D7695">
      <w:pPr>
        <w:tabs>
          <w:tab w:val="left" w:pos="2790"/>
          <w:tab w:val="center" w:pos="4513"/>
        </w:tabs>
        <w:rPr>
          <w:rStyle w:val="normaltextrun"/>
          <w:rFonts w:cs="Arial"/>
          <w:sz w:val="24"/>
          <w:szCs w:val="24"/>
          <w:shd w:val="clear" w:color="auto" w:fill="FFFFFF"/>
        </w:rPr>
      </w:pPr>
    </w:p>
    <w:p w:rsidR="005D7695" w:rsidRPr="00064233" w:rsidRDefault="005D7695" w:rsidP="005D7695">
      <w:pPr>
        <w:jc w:val="center"/>
        <w:rPr>
          <w:rStyle w:val="normaltextrun"/>
          <w:rFonts w:cs="Arial"/>
          <w:sz w:val="24"/>
          <w:szCs w:val="24"/>
          <w:shd w:val="clear" w:color="auto" w:fill="FFFFFF"/>
        </w:rPr>
      </w:pPr>
      <w:r w:rsidRPr="00064233">
        <w:rPr>
          <w:rStyle w:val="normaltextrun"/>
          <w:rFonts w:cs="Arial"/>
          <w:b/>
          <w:bCs/>
          <w:sz w:val="24"/>
          <w:szCs w:val="24"/>
          <w:shd w:val="clear" w:color="auto" w:fill="FFFFFF"/>
        </w:rPr>
        <w:lastRenderedPageBreak/>
        <w:t>Academic Critique</w:t>
      </w:r>
      <w:r>
        <w:rPr>
          <w:rStyle w:val="normaltextrun"/>
          <w:rFonts w:cs="Arial"/>
          <w:b/>
          <w:bCs/>
          <w:sz w:val="24"/>
          <w:szCs w:val="24"/>
          <w:shd w:val="clear" w:color="auto" w:fill="FFFFFF"/>
        </w:rPr>
        <w:t xml:space="preserve"> – Reflective Practice</w:t>
      </w:r>
    </w:p>
    <w:p w:rsidR="005D7695" w:rsidRDefault="005D7695" w:rsidP="005D7695">
      <w:pPr>
        <w:rPr>
          <w:rStyle w:val="normaltextrun"/>
          <w:rFonts w:cs="Arial"/>
          <w:sz w:val="24"/>
          <w:szCs w:val="24"/>
          <w:shd w:val="clear" w:color="auto" w:fill="FFFFFF"/>
        </w:rPr>
      </w:pPr>
      <w:r w:rsidRPr="006009E7">
        <w:rPr>
          <w:rStyle w:val="normaltextrun"/>
          <w:rFonts w:cs="Arial"/>
          <w:sz w:val="24"/>
          <w:szCs w:val="24"/>
          <w:shd w:val="clear" w:color="auto" w:fill="FFFFFF"/>
        </w:rPr>
        <w:t>In recent years, reflective practice has been acknowledged by notable academics, intellectuals and specialists in education, as an indispensable element for continued professional development (</w:t>
      </w:r>
      <w:proofErr w:type="spellStart"/>
      <w:r w:rsidRPr="006009E7">
        <w:rPr>
          <w:rStyle w:val="normaltextrun"/>
          <w:rFonts w:cs="Arial"/>
          <w:sz w:val="24"/>
          <w:szCs w:val="24"/>
          <w:shd w:val="clear" w:color="auto" w:fill="FFFFFF"/>
        </w:rPr>
        <w:t>Zwozdiak</w:t>
      </w:r>
      <w:proofErr w:type="spellEnd"/>
      <w:r w:rsidRPr="006009E7">
        <w:rPr>
          <w:rStyle w:val="normaltextrun"/>
          <w:rFonts w:cs="Arial"/>
          <w:sz w:val="24"/>
          <w:szCs w:val="24"/>
          <w:shd w:val="clear" w:color="auto" w:fill="FFFFFF"/>
        </w:rPr>
        <w:t>-Myers, 2012). Reflection strengthens an individual’s development and innovates teaching</w:t>
      </w:r>
      <w:r>
        <w:rPr>
          <w:rStyle w:val="normaltextrun"/>
          <w:rFonts w:cs="Arial"/>
          <w:sz w:val="24"/>
          <w:szCs w:val="24"/>
          <w:shd w:val="clear" w:color="auto" w:fill="FFFFFF"/>
        </w:rPr>
        <w:t xml:space="preserve"> and learning</w:t>
      </w:r>
      <w:r w:rsidRPr="006009E7">
        <w:rPr>
          <w:rStyle w:val="normaltextrun"/>
          <w:rFonts w:cs="Arial"/>
          <w:sz w:val="24"/>
          <w:szCs w:val="24"/>
          <w:shd w:val="clear" w:color="auto" w:fill="FFFFFF"/>
        </w:rPr>
        <w:t xml:space="preserve"> by allowing teachers to appraise own performance to recognise where improvement is needed (McGregor and Cartwright, 2011). </w:t>
      </w:r>
      <w:proofErr w:type="spellStart"/>
      <w:r w:rsidRPr="006009E7">
        <w:rPr>
          <w:rStyle w:val="normaltextrun"/>
          <w:rFonts w:cs="Arial"/>
          <w:sz w:val="24"/>
          <w:szCs w:val="24"/>
          <w:shd w:val="clear" w:color="auto" w:fill="FFFFFF"/>
        </w:rPr>
        <w:t>Halpin</w:t>
      </w:r>
      <w:proofErr w:type="spellEnd"/>
      <w:r w:rsidRPr="006009E7">
        <w:rPr>
          <w:rStyle w:val="normaltextrun"/>
          <w:rFonts w:cs="Arial"/>
          <w:sz w:val="24"/>
          <w:szCs w:val="24"/>
          <w:shd w:val="clear" w:color="auto" w:fill="FFFFFF"/>
        </w:rPr>
        <w:t xml:space="preserve"> (2015) </w:t>
      </w:r>
      <w:r>
        <w:rPr>
          <w:rStyle w:val="normaltextrun"/>
          <w:rFonts w:cs="Arial"/>
          <w:sz w:val="24"/>
          <w:szCs w:val="24"/>
          <w:shd w:val="clear" w:color="auto" w:fill="FFFFFF"/>
        </w:rPr>
        <w:t>identifies</w:t>
      </w:r>
      <w:r w:rsidRPr="006009E7">
        <w:rPr>
          <w:rStyle w:val="normaltextrun"/>
          <w:rFonts w:cs="Arial"/>
          <w:sz w:val="24"/>
          <w:szCs w:val="24"/>
          <w:shd w:val="clear" w:color="auto" w:fill="FFFFFF"/>
        </w:rPr>
        <w:t xml:space="preserve"> that reflective practice has proved to have had convincing results within education settings, purely when those individuals engaging reflect seriously and intentionally. Reflective practice is developing into a significant and trustworthy concept in all kinds of education setting, and to become an efficacious teacher, it is essential that individuals are willing to reflect on their own practice</w:t>
      </w:r>
      <w:r>
        <w:rPr>
          <w:rStyle w:val="normaltextrun"/>
          <w:rFonts w:cs="Arial"/>
          <w:sz w:val="24"/>
          <w:szCs w:val="24"/>
          <w:shd w:val="clear" w:color="auto" w:fill="FFFFFF"/>
        </w:rPr>
        <w:t xml:space="preserve"> thoroughly and regularly</w:t>
      </w:r>
      <w:r w:rsidRPr="006009E7">
        <w:rPr>
          <w:rStyle w:val="normaltextrun"/>
          <w:rFonts w:cs="Arial"/>
          <w:sz w:val="24"/>
          <w:szCs w:val="24"/>
          <w:shd w:val="clear" w:color="auto" w:fill="FFFFFF"/>
        </w:rPr>
        <w:t xml:space="preserve"> (Thompson and Pascal, 2012).</w:t>
      </w:r>
    </w:p>
    <w:p w:rsidR="005D7695" w:rsidRDefault="005D7695" w:rsidP="005D7695">
      <w:pPr>
        <w:rPr>
          <w:rStyle w:val="normaltextrun"/>
          <w:rFonts w:cs="Arial"/>
          <w:sz w:val="24"/>
          <w:szCs w:val="24"/>
          <w:shd w:val="clear" w:color="auto" w:fill="FFFFFF"/>
        </w:rPr>
      </w:pPr>
      <w:r>
        <w:rPr>
          <w:rStyle w:val="normaltextrun"/>
          <w:rFonts w:cs="Arial"/>
          <w:sz w:val="24"/>
          <w:szCs w:val="24"/>
          <w:shd w:val="clear" w:color="auto" w:fill="FFFFFF"/>
        </w:rPr>
        <w:t xml:space="preserve">Of late, supporting students to become reflective practitioners is considered to be an important aspect of academia. </w:t>
      </w:r>
      <w:r w:rsidRPr="006009E7">
        <w:rPr>
          <w:rStyle w:val="normaltextrun"/>
          <w:rFonts w:cs="Arial"/>
          <w:sz w:val="24"/>
          <w:szCs w:val="24"/>
          <w:shd w:val="clear" w:color="auto" w:fill="FFFFFF"/>
        </w:rPr>
        <w:t>Teachers are those who desire to change people for the better. Teachers strive to ensure that their students become more knowledgeable, dexterous and smarter than before they educated them. Teachers want their students to be challenge the way they think in context to their learning, making refle</w:t>
      </w:r>
      <w:r>
        <w:rPr>
          <w:rStyle w:val="normaltextrun"/>
          <w:rFonts w:cs="Arial"/>
          <w:sz w:val="24"/>
          <w:szCs w:val="24"/>
          <w:shd w:val="clear" w:color="auto" w:fill="FFFFFF"/>
        </w:rPr>
        <w:t>ction a vital element to</w:t>
      </w:r>
      <w:r w:rsidRPr="006009E7">
        <w:rPr>
          <w:rStyle w:val="normaltextrun"/>
          <w:rFonts w:cs="Arial"/>
          <w:sz w:val="24"/>
          <w:szCs w:val="24"/>
          <w:shd w:val="clear" w:color="auto" w:fill="FFFFFF"/>
        </w:rPr>
        <w:t xml:space="preserve"> their teaching practice (Radford, 2016).</w:t>
      </w:r>
      <w:r>
        <w:rPr>
          <w:rStyle w:val="normaltextrun"/>
          <w:rFonts w:cs="Arial"/>
          <w:sz w:val="24"/>
          <w:szCs w:val="24"/>
          <w:shd w:val="clear" w:color="auto" w:fill="FFFFFF"/>
        </w:rPr>
        <w:t xml:space="preserve"> Higher education in particular, intends to support students to become reflective practitioners through reflective thinking and writing (Bruno and </w:t>
      </w:r>
      <w:proofErr w:type="spellStart"/>
      <w:r>
        <w:rPr>
          <w:rStyle w:val="normaltextrun"/>
          <w:rFonts w:cs="Arial"/>
          <w:sz w:val="24"/>
          <w:szCs w:val="24"/>
          <w:shd w:val="clear" w:color="auto" w:fill="FFFFFF"/>
        </w:rPr>
        <w:t>Dell’Aversana</w:t>
      </w:r>
      <w:proofErr w:type="spellEnd"/>
      <w:r>
        <w:rPr>
          <w:rStyle w:val="normaltextrun"/>
          <w:rFonts w:cs="Arial"/>
          <w:sz w:val="24"/>
          <w:szCs w:val="24"/>
          <w:shd w:val="clear" w:color="auto" w:fill="FFFFFF"/>
        </w:rPr>
        <w:t>, 2017). Reflection is believed to prepare students with the right skills to prepare them for life-long learning. Reflection is concerned with learner-centred learning that visualises the learner as the main delegate in their own learning, which transpires from their own personal experiences (</w:t>
      </w:r>
      <w:proofErr w:type="spellStart"/>
      <w:r w:rsidRPr="003F4BA5">
        <w:rPr>
          <w:sz w:val="24"/>
          <w:szCs w:val="24"/>
        </w:rPr>
        <w:t>Blaschk</w:t>
      </w:r>
      <w:r>
        <w:rPr>
          <w:sz w:val="24"/>
          <w:szCs w:val="24"/>
        </w:rPr>
        <w:t>e</w:t>
      </w:r>
      <w:proofErr w:type="spellEnd"/>
      <w:r>
        <w:rPr>
          <w:sz w:val="24"/>
          <w:szCs w:val="24"/>
        </w:rPr>
        <w:t xml:space="preserve">, 2017). </w:t>
      </w:r>
      <w:proofErr w:type="spellStart"/>
      <w:r>
        <w:rPr>
          <w:sz w:val="24"/>
          <w:szCs w:val="24"/>
        </w:rPr>
        <w:t>Feucht</w:t>
      </w:r>
      <w:proofErr w:type="spellEnd"/>
      <w:r>
        <w:rPr>
          <w:sz w:val="24"/>
          <w:szCs w:val="24"/>
        </w:rPr>
        <w:t xml:space="preserve"> et al (2017) acknowledge that </w:t>
      </w:r>
      <w:r>
        <w:rPr>
          <w:sz w:val="24"/>
          <w:szCs w:val="24"/>
        </w:rPr>
        <w:lastRenderedPageBreak/>
        <w:t xml:space="preserve">understanding reflective practice in </w:t>
      </w:r>
      <w:r w:rsidRPr="007562FF">
        <w:rPr>
          <w:sz w:val="24"/>
          <w:szCs w:val="24"/>
        </w:rPr>
        <w:t xml:space="preserve">education, builds foundations of teacher education and professional development. </w:t>
      </w:r>
      <w:r>
        <w:rPr>
          <w:rFonts w:cs="Arial"/>
          <w:color w:val="333333"/>
          <w:sz w:val="24"/>
          <w:szCs w:val="24"/>
        </w:rPr>
        <w:t>Reflective practice facilitates important and sustainable change in teaching and learning, and is a change that benefits teachers and students.</w:t>
      </w:r>
      <w:r>
        <w:rPr>
          <w:sz w:val="24"/>
          <w:szCs w:val="24"/>
        </w:rPr>
        <w:t xml:space="preserve"> </w:t>
      </w:r>
      <w:proofErr w:type="spellStart"/>
      <w:r>
        <w:rPr>
          <w:sz w:val="24"/>
          <w:szCs w:val="24"/>
        </w:rPr>
        <w:t>Ghaye</w:t>
      </w:r>
      <w:proofErr w:type="spellEnd"/>
      <w:r>
        <w:rPr>
          <w:sz w:val="24"/>
          <w:szCs w:val="24"/>
        </w:rPr>
        <w:t xml:space="preserve"> (2010) acknowledges that although most students understand that reflective practice is important in education, however there are still a number of students who cannot grasp reflection and they are unable to put in to practice the benefits it has to offer. </w:t>
      </w:r>
      <w:proofErr w:type="spellStart"/>
      <w:r>
        <w:rPr>
          <w:sz w:val="24"/>
          <w:szCs w:val="24"/>
        </w:rPr>
        <w:t>Scaife</w:t>
      </w:r>
      <w:proofErr w:type="spellEnd"/>
      <w:r>
        <w:rPr>
          <w:sz w:val="24"/>
          <w:szCs w:val="24"/>
        </w:rPr>
        <w:t xml:space="preserve"> (2010) agrees by adding that reflection is a process that cannot be rushed. Reflection involves the individual to think critically and analytically of the situation, and this is something that takes take time to develop.</w:t>
      </w:r>
    </w:p>
    <w:p w:rsidR="005D7695" w:rsidRDefault="005D7695" w:rsidP="005D7695">
      <w:pPr>
        <w:rPr>
          <w:rStyle w:val="normaltextrun"/>
          <w:rFonts w:cs="Arial"/>
          <w:sz w:val="24"/>
          <w:szCs w:val="24"/>
          <w:shd w:val="clear" w:color="auto" w:fill="FFFFFF"/>
        </w:rPr>
      </w:pPr>
      <w:r>
        <w:rPr>
          <w:rStyle w:val="normaltextrun"/>
          <w:rFonts w:cs="Arial"/>
          <w:sz w:val="24"/>
          <w:szCs w:val="24"/>
          <w:shd w:val="clear" w:color="auto" w:fill="FFFFFF"/>
        </w:rPr>
        <w:t xml:space="preserve">Reflective practice become established a number of years ago, when practitioners began to recognise that individuals could learn from their experiences, also known as experiential learning (Kolb, 2015). David Kolb, a reflective practitioner researched deeply into this theory that people learn from their experiences and after some time, designed a learning experiential cycle, where he believed that individuals needed experiences to reflect and learn from what they do. Kolb’s learning cycle was split into four stages, all of which illustrate the importance of reflection and how to identify problems in the learning process. The four stages of Kolb’s theory are concrete experience, reflective observation, abstract conceptualisation and active experimentation (Pont, 2003). University of Leicester (ND) acknowledge that Kolb’s theory is widely used in university and is key to student learning. Students are encouraged to use reflection regularly and theory are stage 1 - </w:t>
      </w:r>
      <w:r w:rsidRPr="00F85D02">
        <w:rPr>
          <w:rStyle w:val="normaltextrun"/>
          <w:rFonts w:cs="Arial"/>
          <w:b/>
          <w:sz w:val="24"/>
          <w:szCs w:val="24"/>
          <w:shd w:val="clear" w:color="auto" w:fill="FFFFFF"/>
        </w:rPr>
        <w:t>concrete experience</w:t>
      </w:r>
      <w:r>
        <w:rPr>
          <w:rStyle w:val="normaltextrun"/>
          <w:rFonts w:cs="Arial"/>
          <w:sz w:val="24"/>
          <w:szCs w:val="24"/>
          <w:shd w:val="clear" w:color="auto" w:fill="FFFFFF"/>
        </w:rPr>
        <w:t xml:space="preserve">, where the individual is actively doing something. Teaching activities which would support Kolb’s cycle would be readings, observations, presentations or fieldwork. Stage 2 - </w:t>
      </w:r>
      <w:r w:rsidRPr="00F85D02">
        <w:rPr>
          <w:rStyle w:val="normaltextrun"/>
          <w:rFonts w:cs="Arial"/>
          <w:b/>
          <w:sz w:val="24"/>
          <w:szCs w:val="24"/>
          <w:shd w:val="clear" w:color="auto" w:fill="FFFFFF"/>
        </w:rPr>
        <w:t>reflective observation</w:t>
      </w:r>
      <w:r>
        <w:rPr>
          <w:rStyle w:val="normaltextrun"/>
          <w:rFonts w:cs="Arial"/>
          <w:b/>
          <w:sz w:val="24"/>
          <w:szCs w:val="24"/>
          <w:shd w:val="clear" w:color="auto" w:fill="FFFFFF"/>
        </w:rPr>
        <w:t xml:space="preserve">, </w:t>
      </w:r>
      <w:r>
        <w:rPr>
          <w:rStyle w:val="normaltextrun"/>
          <w:rFonts w:cs="Arial"/>
          <w:sz w:val="24"/>
          <w:szCs w:val="24"/>
          <w:shd w:val="clear" w:color="auto" w:fill="FFFFFF"/>
        </w:rPr>
        <w:t xml:space="preserve">where the individual takes time to review and reflect on </w:t>
      </w:r>
      <w:r>
        <w:rPr>
          <w:rStyle w:val="normaltextrun"/>
          <w:rFonts w:cs="Arial"/>
          <w:sz w:val="24"/>
          <w:szCs w:val="24"/>
          <w:shd w:val="clear" w:color="auto" w:fill="FFFFFF"/>
        </w:rPr>
        <w:lastRenderedPageBreak/>
        <w:t xml:space="preserve">what they have done. Teaching activities which would support Kolb’s cycle would be rhetorical questions, brainstorming or discussions. Stage 3 - </w:t>
      </w:r>
      <w:r>
        <w:rPr>
          <w:rStyle w:val="normaltextrun"/>
          <w:rFonts w:cs="Arial"/>
          <w:b/>
          <w:sz w:val="24"/>
          <w:szCs w:val="24"/>
          <w:shd w:val="clear" w:color="auto" w:fill="FFFFFF"/>
        </w:rPr>
        <w:t xml:space="preserve">abstract conceptualisation, </w:t>
      </w:r>
      <w:r w:rsidRPr="00F85D02">
        <w:rPr>
          <w:rStyle w:val="normaltextrun"/>
          <w:rFonts w:cs="Arial"/>
          <w:sz w:val="24"/>
          <w:szCs w:val="24"/>
          <w:shd w:val="clear" w:color="auto" w:fill="FFFFFF"/>
        </w:rPr>
        <w:t>where individuals are able to make sense of the situation and how they are going to put what they have learnt into practic</w:t>
      </w:r>
      <w:r>
        <w:rPr>
          <w:rStyle w:val="normaltextrun"/>
          <w:rFonts w:cs="Arial"/>
          <w:sz w:val="24"/>
          <w:szCs w:val="24"/>
          <w:shd w:val="clear" w:color="auto" w:fill="FFFFFF"/>
        </w:rPr>
        <w:t xml:space="preserve">e. Teaching activities which would support Kolb’s cycle would be a lecture or projects, and stage 4 - </w:t>
      </w:r>
      <w:r>
        <w:rPr>
          <w:rStyle w:val="normaltextrun"/>
          <w:rFonts w:cs="Arial"/>
          <w:b/>
          <w:sz w:val="24"/>
          <w:szCs w:val="24"/>
          <w:shd w:val="clear" w:color="auto" w:fill="FFFFFF"/>
        </w:rPr>
        <w:t>active experimentation,</w:t>
      </w:r>
      <w:r>
        <w:rPr>
          <w:rStyle w:val="normaltextrun"/>
          <w:rFonts w:cs="Arial"/>
          <w:sz w:val="24"/>
          <w:szCs w:val="24"/>
          <w:shd w:val="clear" w:color="auto" w:fill="FFFFFF"/>
        </w:rPr>
        <w:t xml:space="preserve"> also known as the final stage of the learning cycle where students are able to put what they have learnt into practice. Teaching activities which would support Kolb’s cycle would be homework, case studies or simulations (ibid). Although Kolb’s learning cycle is commonly used in teaching and learning, Michaelson (2015) explains that not all students are able to follow the cycle accurately, and that the learning cycle restricts the way that individuals comprehend experience. </w:t>
      </w:r>
      <w:proofErr w:type="spellStart"/>
      <w:r>
        <w:rPr>
          <w:rStyle w:val="normaltextrun"/>
          <w:rFonts w:cs="Arial"/>
          <w:sz w:val="24"/>
          <w:szCs w:val="24"/>
          <w:shd w:val="clear" w:color="auto" w:fill="FFFFFF"/>
        </w:rPr>
        <w:t>Kornbith</w:t>
      </w:r>
      <w:proofErr w:type="spellEnd"/>
      <w:r>
        <w:rPr>
          <w:rStyle w:val="normaltextrun"/>
          <w:rFonts w:cs="Arial"/>
          <w:sz w:val="24"/>
          <w:szCs w:val="24"/>
          <w:shd w:val="clear" w:color="auto" w:fill="FFFFFF"/>
        </w:rPr>
        <w:t>, (2012) shares the conviction that individuals understand experience differently, by adding that reflection is only as accurate and truthful as that individual believes it to be. Reflection is unable to solve problems and is likely to pose unrealistic expectations.</w:t>
      </w:r>
    </w:p>
    <w:p w:rsidR="005D7695" w:rsidRPr="00DC3C18" w:rsidRDefault="005D7695" w:rsidP="005D7695">
      <w:pPr>
        <w:rPr>
          <w:rStyle w:val="normaltextrun"/>
          <w:sz w:val="24"/>
          <w:szCs w:val="24"/>
        </w:rPr>
      </w:pPr>
      <w:r>
        <w:rPr>
          <w:sz w:val="24"/>
          <w:szCs w:val="24"/>
        </w:rPr>
        <w:t>Donald Schön, a reflective practitioner built on Kolb’s theory by trusting that individuals were not only able to reflect after an experience has passed, if they were able to act sharply they could reflect during an experience or task if the individual recognises it is not going to plan and something needs to be changed immediately to make it better. Schön named this theory reflection in action (</w:t>
      </w:r>
      <w:proofErr w:type="spellStart"/>
      <w:r>
        <w:rPr>
          <w:sz w:val="24"/>
          <w:szCs w:val="24"/>
        </w:rPr>
        <w:t>Schon</w:t>
      </w:r>
      <w:proofErr w:type="spellEnd"/>
      <w:r>
        <w:rPr>
          <w:sz w:val="24"/>
          <w:szCs w:val="24"/>
        </w:rPr>
        <w:t xml:space="preserve">, 1987). Schön considers reflection as the route to effective teaching and learning. Reflection is a trial and error practice, where individuals need to </w:t>
      </w:r>
      <w:r w:rsidRPr="005B0BA0">
        <w:rPr>
          <w:color w:val="000000" w:themeColor="text1"/>
          <w:sz w:val="24"/>
          <w:szCs w:val="24"/>
        </w:rPr>
        <w:t xml:space="preserve">observe their own performances to appreciate why they perform the way they do (Bolton, 2014). Schön is a great believer that in the current day reflection is the centre of teaching and learning, since reflection allows individuals to develop observation and critical thinking </w:t>
      </w:r>
      <w:r w:rsidRPr="005B0BA0">
        <w:rPr>
          <w:color w:val="000000" w:themeColor="text1"/>
          <w:sz w:val="24"/>
          <w:szCs w:val="24"/>
        </w:rPr>
        <w:lastRenderedPageBreak/>
        <w:t>skills, builds on communication, enables individuals to becoming mindful of diversity and learn from their performances (ibid). Nowadays, reflection in action is used in all areas of teaching and learning and teachers being able to reflect in action when a lesson is not going to plan and being able to know when to reflect is deemed as good practice. Being able to understand what is going on and reflecting in action where necessary in that situation is extremely beneficial in teaching and learning environments (</w:t>
      </w:r>
      <w:proofErr w:type="spellStart"/>
      <w:r w:rsidRPr="005B0BA0">
        <w:rPr>
          <w:color w:val="000000" w:themeColor="text1"/>
          <w:sz w:val="24"/>
          <w:szCs w:val="24"/>
        </w:rPr>
        <w:t>Middelman</w:t>
      </w:r>
      <w:proofErr w:type="spellEnd"/>
      <w:r w:rsidRPr="005B0BA0">
        <w:rPr>
          <w:color w:val="000000" w:themeColor="text1"/>
          <w:sz w:val="24"/>
          <w:szCs w:val="24"/>
        </w:rPr>
        <w:t xml:space="preserve"> and Wood, 1991). Schon’s impression of reflection in action, not only signifies the way in which teachers engage in professional development, it is an approach they can use to keep a close eye on the insider view of the experience. Reflection merely challenges essential traditionalism in teaching and </w:t>
      </w:r>
      <w:proofErr w:type="gramStart"/>
      <w:r w:rsidRPr="005B0BA0">
        <w:rPr>
          <w:color w:val="000000" w:themeColor="text1"/>
          <w:sz w:val="24"/>
          <w:szCs w:val="24"/>
        </w:rPr>
        <w:t>learning</w:t>
      </w:r>
      <w:proofErr w:type="gramEnd"/>
      <w:r w:rsidRPr="005B0BA0">
        <w:rPr>
          <w:color w:val="000000" w:themeColor="text1"/>
          <w:sz w:val="24"/>
          <w:szCs w:val="24"/>
        </w:rPr>
        <w:t xml:space="preserve"> (Lyons, 2010). Daly </w:t>
      </w:r>
      <w:r>
        <w:rPr>
          <w:sz w:val="24"/>
          <w:szCs w:val="24"/>
        </w:rPr>
        <w:t xml:space="preserve">et al (2014) explain that reflection in action has </w:t>
      </w:r>
      <w:r w:rsidRPr="00E70A74">
        <w:rPr>
          <w:color w:val="000000" w:themeColor="text1"/>
          <w:sz w:val="24"/>
          <w:szCs w:val="24"/>
        </w:rPr>
        <w:t xml:space="preserve">become a beneficial tool in teaching and learning, as it allows individuals to unceasingly test numerous theories whilst engaged in practice, and because of this, it is deemed to be an advanced method of reflection. Although reflection in action can be a beneficial tool in teaching and learning, Lyons (2010) explains that many individuals find it difficult to grasp reflection in action because of the difficulties reflection in action holds. Bolton (2014) agrees, by acknowledging that although Schön was a great believer in reflection, however he also </w:t>
      </w:r>
      <w:r>
        <w:rPr>
          <w:color w:val="000000" w:themeColor="text1"/>
          <w:sz w:val="24"/>
          <w:szCs w:val="24"/>
        </w:rPr>
        <w:t>understood</w:t>
      </w:r>
      <w:r w:rsidRPr="00E70A74">
        <w:rPr>
          <w:color w:val="000000" w:themeColor="text1"/>
          <w:sz w:val="24"/>
          <w:szCs w:val="24"/>
        </w:rPr>
        <w:t xml:space="preserve"> that reflection in action is a trial and error process, and those who reflect often reflect incorrectly. Individuals need to reflect in action often to be able to reflect accurately. Those who make mistakes when reflecting have to live with the consequences.</w:t>
      </w:r>
    </w:p>
    <w:p w:rsidR="005D7695" w:rsidRDefault="005D7695" w:rsidP="005D7695">
      <w:pPr>
        <w:rPr>
          <w:rStyle w:val="normaltextrun"/>
          <w:rFonts w:cs="Arial"/>
          <w:sz w:val="24"/>
          <w:szCs w:val="24"/>
          <w:shd w:val="clear" w:color="auto" w:fill="FFFFFF"/>
        </w:rPr>
      </w:pPr>
      <w:r w:rsidRPr="006009E7">
        <w:rPr>
          <w:rStyle w:val="normaltextrun"/>
          <w:rFonts w:cs="Arial"/>
          <w:sz w:val="24"/>
          <w:szCs w:val="24"/>
          <w:shd w:val="clear" w:color="auto" w:fill="FFFFFF"/>
        </w:rPr>
        <w:t>Througho</w:t>
      </w:r>
      <w:r>
        <w:rPr>
          <w:rStyle w:val="normaltextrun"/>
          <w:rFonts w:cs="Arial"/>
          <w:sz w:val="24"/>
          <w:szCs w:val="24"/>
          <w:shd w:val="clear" w:color="auto" w:fill="FFFFFF"/>
        </w:rPr>
        <w:t>ut the duration of the Post Gr</w:t>
      </w:r>
      <w:r w:rsidRPr="006009E7">
        <w:rPr>
          <w:rStyle w:val="normaltextrun"/>
          <w:rFonts w:cs="Arial"/>
          <w:sz w:val="24"/>
          <w:szCs w:val="24"/>
          <w:shd w:val="clear" w:color="auto" w:fill="FFFFFF"/>
        </w:rPr>
        <w:t xml:space="preserve">aduate Certificate in Education (PGCE), students are </w:t>
      </w:r>
      <w:r>
        <w:rPr>
          <w:rStyle w:val="normaltextrun"/>
          <w:rFonts w:cs="Arial"/>
          <w:sz w:val="24"/>
          <w:szCs w:val="24"/>
          <w:shd w:val="clear" w:color="auto" w:fill="FFFFFF"/>
        </w:rPr>
        <w:t>encouraged</w:t>
      </w:r>
      <w:r w:rsidRPr="006009E7">
        <w:rPr>
          <w:rStyle w:val="normaltextrun"/>
          <w:rFonts w:cs="Arial"/>
          <w:sz w:val="24"/>
          <w:szCs w:val="24"/>
          <w:shd w:val="clear" w:color="auto" w:fill="FFFFFF"/>
        </w:rPr>
        <w:t xml:space="preserve"> to engage in reflective practice on a regular basis</w:t>
      </w:r>
      <w:r>
        <w:rPr>
          <w:rStyle w:val="normaltextrun"/>
          <w:rFonts w:cs="Arial"/>
          <w:sz w:val="24"/>
          <w:szCs w:val="24"/>
          <w:shd w:val="clear" w:color="auto" w:fill="FFFFFF"/>
        </w:rPr>
        <w:t xml:space="preserve">. Reflection is primarily used so that student teachers are able to learn from their positive and negative experiences, starting </w:t>
      </w:r>
      <w:r>
        <w:rPr>
          <w:rStyle w:val="normaltextrun"/>
          <w:rFonts w:cs="Arial"/>
          <w:sz w:val="24"/>
          <w:szCs w:val="24"/>
          <w:shd w:val="clear" w:color="auto" w:fill="FFFFFF"/>
        </w:rPr>
        <w:lastRenderedPageBreak/>
        <w:t>with micro-teaches at the beginning of the year, and then throughout teaching experience (</w:t>
      </w:r>
      <w:proofErr w:type="spellStart"/>
      <w:r>
        <w:rPr>
          <w:rStyle w:val="normaltextrun"/>
          <w:rFonts w:cs="Arial"/>
          <w:sz w:val="24"/>
          <w:szCs w:val="24"/>
          <w:shd w:val="clear" w:color="auto" w:fill="FFFFFF"/>
        </w:rPr>
        <w:t>Birrell</w:t>
      </w:r>
      <w:proofErr w:type="spellEnd"/>
      <w:r>
        <w:rPr>
          <w:rStyle w:val="normaltextrun"/>
          <w:rFonts w:cs="Arial"/>
          <w:sz w:val="24"/>
          <w:szCs w:val="24"/>
          <w:shd w:val="clear" w:color="auto" w:fill="FFFFFF"/>
        </w:rPr>
        <w:t xml:space="preserve"> et al, 2010). Brooks (2010) states that PGCE students are encouraged to reflect spontaneously with both honesty and care. By reflecting in that way, students are more inclined to have positive results and experiences. </w:t>
      </w:r>
      <w:proofErr w:type="spellStart"/>
      <w:r>
        <w:rPr>
          <w:rStyle w:val="normaltextrun"/>
          <w:rFonts w:cs="Arial"/>
          <w:sz w:val="24"/>
          <w:szCs w:val="24"/>
          <w:shd w:val="clear" w:color="auto" w:fill="FFFFFF"/>
        </w:rPr>
        <w:t>Aramaz</w:t>
      </w:r>
      <w:proofErr w:type="spellEnd"/>
      <w:r>
        <w:rPr>
          <w:rStyle w:val="normaltextrun"/>
          <w:rFonts w:cs="Arial"/>
          <w:sz w:val="24"/>
          <w:szCs w:val="24"/>
          <w:shd w:val="clear" w:color="auto" w:fill="FFFFFF"/>
        </w:rPr>
        <w:t xml:space="preserve"> (2015) corresponds, by adding that training teachers must remain positive and remain completely unbiased when reflecting. There will be times when feedback from other teachers is given, and the student may not agree with the comments made, however it does not mean that they are being targeted, it is an opportunity for the students to understand what other people see. It is extremely important that they take the feedback seriously to take steps for self-development. By taking on board feedback, reflection should PGCE students to consider why </w:t>
      </w:r>
      <w:r w:rsidRPr="00F3452F">
        <w:rPr>
          <w:rStyle w:val="normaltextrun"/>
          <w:rFonts w:cs="Arial"/>
          <w:sz w:val="24"/>
          <w:szCs w:val="24"/>
          <w:shd w:val="clear" w:color="auto" w:fill="FFFFFF"/>
        </w:rPr>
        <w:t>they are thinking the way they are, and to act upon their beliefs rather than reacting to it (ibid). Brooks (2010) acknowledges that there will be times when some PGCE students are in a situation where they may need to critically reflect on their department or the environment they are undertaking their professional practice within. By doing this, the student may feel uneasy about questioning in an open and honest way, fearing that the professional practice department may disapprove with any issues raised. Brooks (2010) also states that although the fear of disapproving placement may put many students off reflecting honestly, this is not always the case. Most learning environments take on board comments made and reflect to make their environments better and more effective for training PGCE students, therefore students should always reflect honestly to improve their professional development</w:t>
      </w:r>
      <w:r w:rsidRPr="00E7015F">
        <w:rPr>
          <w:rStyle w:val="normaltextrun"/>
          <w:rFonts w:cs="Arial"/>
          <w:sz w:val="24"/>
          <w:szCs w:val="24"/>
          <w:shd w:val="clear" w:color="auto" w:fill="FFFFFF"/>
        </w:rPr>
        <w:t xml:space="preserve">. Although there appears to be a number of positive factors for the use of reflective practice throughout PGCE, McKenzie (2015) adds that many PGCE students feel that whilst reflection is a useful tool to use for practice and self-development, reflection is an extremely time consuming process and finding time to reflect is sometimes </w:t>
      </w:r>
      <w:r w:rsidRPr="00E7015F">
        <w:rPr>
          <w:rStyle w:val="normaltextrun"/>
          <w:rFonts w:cs="Arial"/>
          <w:sz w:val="24"/>
          <w:szCs w:val="24"/>
          <w:shd w:val="clear" w:color="auto" w:fill="FFFFFF"/>
        </w:rPr>
        <w:lastRenderedPageBreak/>
        <w:t>problematic. Many students feel that if they</w:t>
      </w:r>
      <w:r>
        <w:rPr>
          <w:rStyle w:val="normaltextrun"/>
          <w:rFonts w:cs="Arial"/>
          <w:sz w:val="24"/>
          <w:szCs w:val="24"/>
          <w:shd w:val="clear" w:color="auto" w:fill="FFFFFF"/>
        </w:rPr>
        <w:t xml:space="preserve"> cannot find the time and they are unable to reflect properly, then they are less likely to develop the right skills to take forward for professional development. Brooks (2010) agrees, adding that some students appreciate that reflection is a tool that will enhance their skills for professional development, however PGCE courses are usually intense and for students to think deeply into their practice requires too much commitment. Many PGCE students feel they cannot fully commit to reflect properly on their practice, since they do not have the time to do so.</w:t>
      </w:r>
    </w:p>
    <w:p w:rsidR="005D7695" w:rsidRDefault="005D7695" w:rsidP="005D7695">
      <w:pPr>
        <w:rPr>
          <w:rStyle w:val="normaltextrun"/>
          <w:rFonts w:cs="Arial"/>
          <w:sz w:val="24"/>
          <w:szCs w:val="24"/>
          <w:shd w:val="clear" w:color="auto" w:fill="FFFFFF"/>
        </w:rPr>
      </w:pPr>
      <w:r w:rsidRPr="00E7015F">
        <w:rPr>
          <w:rStyle w:val="normaltextrun"/>
          <w:rFonts w:cs="Arial"/>
          <w:sz w:val="24"/>
          <w:szCs w:val="24"/>
          <w:shd w:val="clear" w:color="auto" w:fill="FFFFFF"/>
        </w:rPr>
        <w:t>It is clear that reflection has a number of benefits in teaching and learning, with reflective practitioners such as Kolb and Schön having made an encouraging impact on the way that it is seen in all concepts of teaching and learning. Reflection is a skill that is learnt with time and when understood, holds many benefits. However, there are still professionals who consider reflection to be an inaccurate and unreliable tool, and believe that those who wish to understand the world more accurately, should merely stop reflecting. Although there are a number of individuals who consider reflection to be an invaluable tool, it is clear that it is a practice that will continue to benefit, stimulate and even confuse for as long as it is used in teaching and learning. Reflection needs to be given time</w:t>
      </w:r>
      <w:r>
        <w:rPr>
          <w:rStyle w:val="normaltextrun"/>
          <w:rFonts w:cs="Arial"/>
          <w:sz w:val="24"/>
          <w:szCs w:val="24"/>
          <w:shd w:val="clear" w:color="auto" w:fill="FFFFFF"/>
        </w:rPr>
        <w:t>, deep thought</w:t>
      </w:r>
      <w:r w:rsidRPr="00E7015F">
        <w:rPr>
          <w:rStyle w:val="normaltextrun"/>
          <w:rFonts w:cs="Arial"/>
          <w:sz w:val="24"/>
          <w:szCs w:val="24"/>
          <w:shd w:val="clear" w:color="auto" w:fill="FFFFFF"/>
        </w:rPr>
        <w:t xml:space="preserve"> and commitment in order to improve and transform professional development</w:t>
      </w:r>
      <w:r>
        <w:rPr>
          <w:rStyle w:val="normaltextrun"/>
          <w:rFonts w:cs="Arial"/>
          <w:sz w:val="24"/>
          <w:szCs w:val="24"/>
          <w:shd w:val="clear" w:color="auto" w:fill="FFFFFF"/>
        </w:rPr>
        <w:t>,</w:t>
      </w:r>
      <w:r w:rsidRPr="00E7015F">
        <w:rPr>
          <w:rStyle w:val="normaltextrun"/>
          <w:rFonts w:cs="Arial"/>
          <w:sz w:val="24"/>
          <w:szCs w:val="24"/>
          <w:shd w:val="clear" w:color="auto" w:fill="FFFFFF"/>
        </w:rPr>
        <w:t xml:space="preserve"> and when done correctly, students and teachers are more inclined to have positive results and experiences. Reflection undoubtedly has more benefits that disadvantages, and is a practice that will</w:t>
      </w:r>
      <w:r>
        <w:rPr>
          <w:rStyle w:val="normaltextrun"/>
          <w:rFonts w:cs="Arial"/>
          <w:sz w:val="24"/>
          <w:szCs w:val="24"/>
          <w:shd w:val="clear" w:color="auto" w:fill="FFFFFF"/>
        </w:rPr>
        <w:t xml:space="preserve"> continue to</w:t>
      </w:r>
      <w:r w:rsidRPr="00E7015F">
        <w:rPr>
          <w:rStyle w:val="normaltextrun"/>
          <w:rFonts w:cs="Arial"/>
          <w:sz w:val="24"/>
          <w:szCs w:val="24"/>
          <w:shd w:val="clear" w:color="auto" w:fill="FFFFFF"/>
        </w:rPr>
        <w:t xml:space="preserve"> dominate teaching and learning for many years to come.</w:t>
      </w:r>
    </w:p>
    <w:p w:rsidR="005D7695" w:rsidRDefault="005D7695" w:rsidP="005D7695">
      <w:pPr>
        <w:rPr>
          <w:rStyle w:val="normaltextrun"/>
          <w:rFonts w:cs="Arial"/>
          <w:sz w:val="24"/>
          <w:szCs w:val="24"/>
          <w:shd w:val="clear" w:color="auto" w:fill="FFFFFF"/>
        </w:rPr>
      </w:pPr>
    </w:p>
    <w:p w:rsidR="005D7695" w:rsidRDefault="005D7695" w:rsidP="005D7695">
      <w:pPr>
        <w:rPr>
          <w:rStyle w:val="normaltextrun"/>
          <w:rFonts w:cs="Arial"/>
          <w:sz w:val="24"/>
          <w:szCs w:val="24"/>
          <w:shd w:val="clear" w:color="auto" w:fill="FFFFFF"/>
        </w:rPr>
      </w:pPr>
    </w:p>
    <w:p w:rsidR="005D7695" w:rsidRPr="00F04B47" w:rsidRDefault="005D7695" w:rsidP="005D7695">
      <w:pPr>
        <w:pStyle w:val="NoSpacing"/>
        <w:jc w:val="center"/>
        <w:rPr>
          <w:b/>
          <w:sz w:val="24"/>
          <w:szCs w:val="24"/>
        </w:rPr>
      </w:pPr>
      <w:r w:rsidRPr="00F04B47">
        <w:rPr>
          <w:b/>
          <w:sz w:val="24"/>
          <w:szCs w:val="24"/>
        </w:rPr>
        <w:lastRenderedPageBreak/>
        <w:t xml:space="preserve">References </w:t>
      </w:r>
      <w:r>
        <w:rPr>
          <w:b/>
          <w:sz w:val="24"/>
          <w:szCs w:val="24"/>
        </w:rPr>
        <w:t>- Academic C</w:t>
      </w:r>
      <w:r w:rsidRPr="00F04B47">
        <w:rPr>
          <w:b/>
          <w:sz w:val="24"/>
          <w:szCs w:val="24"/>
        </w:rPr>
        <w:t>ritique</w:t>
      </w:r>
      <w:r>
        <w:rPr>
          <w:b/>
          <w:sz w:val="24"/>
          <w:szCs w:val="24"/>
        </w:rPr>
        <w:t xml:space="preserve"> (Reflective Practice)</w:t>
      </w:r>
    </w:p>
    <w:p w:rsidR="005D7695" w:rsidRDefault="005D7695" w:rsidP="005D7695">
      <w:pPr>
        <w:pStyle w:val="NoSpacing"/>
        <w:rPr>
          <w:sz w:val="24"/>
          <w:szCs w:val="24"/>
        </w:rPr>
      </w:pPr>
    </w:p>
    <w:p w:rsidR="005D7695" w:rsidRDefault="005D7695" w:rsidP="005D7695">
      <w:pPr>
        <w:pStyle w:val="NoSpacing"/>
        <w:rPr>
          <w:sz w:val="24"/>
          <w:szCs w:val="24"/>
        </w:rPr>
      </w:pPr>
      <w:proofErr w:type="spellStart"/>
      <w:r>
        <w:rPr>
          <w:sz w:val="24"/>
          <w:szCs w:val="24"/>
        </w:rPr>
        <w:t>Aramaz</w:t>
      </w:r>
      <w:proofErr w:type="spellEnd"/>
      <w:r>
        <w:rPr>
          <w:sz w:val="24"/>
          <w:szCs w:val="24"/>
        </w:rPr>
        <w:t xml:space="preserve">, S. D. (2015) </w:t>
      </w:r>
      <w:r>
        <w:rPr>
          <w:i/>
          <w:sz w:val="24"/>
          <w:szCs w:val="24"/>
        </w:rPr>
        <w:t>Teacher Training Assignments: Complete Examples of PGCE, PTLLS, CTLLS and DTLLS</w:t>
      </w:r>
      <w:r>
        <w:rPr>
          <w:sz w:val="24"/>
          <w:szCs w:val="24"/>
        </w:rPr>
        <w:t>. Washington: Library of Congress</w:t>
      </w:r>
    </w:p>
    <w:p w:rsidR="005D7695" w:rsidRDefault="005D7695" w:rsidP="005D7695">
      <w:pPr>
        <w:pStyle w:val="NoSpacing"/>
        <w:rPr>
          <w:sz w:val="24"/>
          <w:szCs w:val="24"/>
        </w:rPr>
      </w:pPr>
    </w:p>
    <w:p w:rsidR="005D7695" w:rsidRDefault="005D7695" w:rsidP="005D7695">
      <w:pPr>
        <w:pStyle w:val="NoSpacing"/>
        <w:rPr>
          <w:sz w:val="24"/>
          <w:szCs w:val="24"/>
        </w:rPr>
      </w:pPr>
      <w:proofErr w:type="spellStart"/>
      <w:r>
        <w:rPr>
          <w:sz w:val="24"/>
          <w:szCs w:val="24"/>
        </w:rPr>
        <w:t>Birrell</w:t>
      </w:r>
      <w:proofErr w:type="spellEnd"/>
      <w:r>
        <w:rPr>
          <w:sz w:val="24"/>
          <w:szCs w:val="24"/>
        </w:rPr>
        <w:t xml:space="preserve">, G., Taylor, H. and Ward, H. (2010) </w:t>
      </w:r>
      <w:r>
        <w:rPr>
          <w:i/>
          <w:sz w:val="24"/>
          <w:szCs w:val="24"/>
        </w:rPr>
        <w:t>Succeeding on your Primary PGCE</w:t>
      </w:r>
      <w:r>
        <w:rPr>
          <w:sz w:val="24"/>
          <w:szCs w:val="24"/>
        </w:rPr>
        <w:t>. London: Sage</w:t>
      </w:r>
    </w:p>
    <w:p w:rsidR="005D7695" w:rsidRDefault="005D7695" w:rsidP="005D7695">
      <w:pPr>
        <w:pStyle w:val="NoSpacing"/>
        <w:rPr>
          <w:sz w:val="24"/>
          <w:szCs w:val="24"/>
        </w:rPr>
      </w:pPr>
    </w:p>
    <w:p w:rsidR="005D7695" w:rsidRDefault="005D7695" w:rsidP="005D7695">
      <w:pPr>
        <w:pStyle w:val="NoSpacing"/>
        <w:rPr>
          <w:sz w:val="24"/>
          <w:szCs w:val="24"/>
          <w:lang w:val="en"/>
        </w:rPr>
      </w:pPr>
      <w:proofErr w:type="spellStart"/>
      <w:r>
        <w:rPr>
          <w:sz w:val="24"/>
          <w:szCs w:val="24"/>
        </w:rPr>
        <w:t>Blaschke</w:t>
      </w:r>
      <w:proofErr w:type="spellEnd"/>
      <w:r>
        <w:rPr>
          <w:sz w:val="24"/>
          <w:szCs w:val="24"/>
        </w:rPr>
        <w:t xml:space="preserve">, L. M. (2017) </w:t>
      </w:r>
      <w:r>
        <w:rPr>
          <w:sz w:val="24"/>
          <w:szCs w:val="24"/>
          <w:lang w:val="en"/>
        </w:rPr>
        <w:t>Self-determined Learning (</w:t>
      </w:r>
      <w:proofErr w:type="spellStart"/>
      <w:r>
        <w:rPr>
          <w:sz w:val="24"/>
          <w:szCs w:val="24"/>
          <w:lang w:val="en"/>
        </w:rPr>
        <w:t>Heutagogy</w:t>
      </w:r>
      <w:proofErr w:type="spellEnd"/>
      <w:r>
        <w:rPr>
          <w:sz w:val="24"/>
          <w:szCs w:val="24"/>
          <w:lang w:val="en"/>
        </w:rPr>
        <w:t xml:space="preserve">) and Digital Media Creating integrated Educational Environments for Developing Lifelong Learning Skills, </w:t>
      </w:r>
      <w:r>
        <w:rPr>
          <w:i/>
          <w:sz w:val="24"/>
          <w:szCs w:val="24"/>
          <w:lang w:val="en"/>
        </w:rPr>
        <w:t>The Digital Turn in Higher Education</w:t>
      </w:r>
      <w:r>
        <w:rPr>
          <w:sz w:val="24"/>
          <w:szCs w:val="24"/>
          <w:lang w:val="en"/>
        </w:rPr>
        <w:t>. pp. 129-140</w:t>
      </w:r>
    </w:p>
    <w:p w:rsidR="005D7695" w:rsidRDefault="005D7695" w:rsidP="005D7695">
      <w:pPr>
        <w:pStyle w:val="NoSpacing"/>
        <w:rPr>
          <w:sz w:val="24"/>
          <w:szCs w:val="24"/>
        </w:rPr>
      </w:pPr>
    </w:p>
    <w:p w:rsidR="005D7695" w:rsidRDefault="005D7695" w:rsidP="005D7695">
      <w:pPr>
        <w:pStyle w:val="NoSpacing"/>
        <w:rPr>
          <w:sz w:val="24"/>
          <w:szCs w:val="24"/>
        </w:rPr>
      </w:pPr>
      <w:r>
        <w:rPr>
          <w:sz w:val="24"/>
          <w:szCs w:val="24"/>
        </w:rPr>
        <w:t xml:space="preserve">Bolton, G (2014) </w:t>
      </w:r>
      <w:r>
        <w:rPr>
          <w:i/>
          <w:sz w:val="24"/>
          <w:szCs w:val="24"/>
        </w:rPr>
        <w:t>Reflective Practice: Writing and Professional Development</w:t>
      </w:r>
      <w:r>
        <w:rPr>
          <w:sz w:val="24"/>
          <w:szCs w:val="24"/>
        </w:rPr>
        <w:t>. London: Sage</w:t>
      </w:r>
    </w:p>
    <w:p w:rsidR="005D7695" w:rsidRDefault="005D7695" w:rsidP="005D7695">
      <w:pPr>
        <w:pStyle w:val="NoSpacing"/>
        <w:rPr>
          <w:sz w:val="24"/>
          <w:szCs w:val="24"/>
        </w:rPr>
      </w:pPr>
    </w:p>
    <w:p w:rsidR="005D7695" w:rsidRDefault="005D7695" w:rsidP="005D7695">
      <w:pPr>
        <w:pStyle w:val="NoSpacing"/>
        <w:rPr>
          <w:sz w:val="24"/>
          <w:szCs w:val="24"/>
        </w:rPr>
      </w:pPr>
      <w:r>
        <w:rPr>
          <w:sz w:val="24"/>
          <w:szCs w:val="24"/>
        </w:rPr>
        <w:t xml:space="preserve">Brooks, C. (2010) </w:t>
      </w:r>
      <w:r>
        <w:rPr>
          <w:i/>
          <w:sz w:val="24"/>
          <w:szCs w:val="24"/>
        </w:rPr>
        <w:t>Studying PGCE Geography at M-Level: Reflection, Research and Writing for Professional Development.</w:t>
      </w:r>
      <w:r>
        <w:rPr>
          <w:sz w:val="24"/>
          <w:szCs w:val="24"/>
        </w:rPr>
        <w:t xml:space="preserve"> Abingdon: Routledge</w:t>
      </w:r>
    </w:p>
    <w:p w:rsidR="005D7695" w:rsidRDefault="005D7695" w:rsidP="005D7695">
      <w:pPr>
        <w:pStyle w:val="NoSpacing"/>
        <w:rPr>
          <w:rStyle w:val="normaltextrun"/>
          <w:rFonts w:cs="Arial"/>
          <w:shd w:val="clear" w:color="auto" w:fill="FFFFFF"/>
        </w:rPr>
      </w:pPr>
    </w:p>
    <w:p w:rsidR="005D7695" w:rsidRDefault="005D7695" w:rsidP="005D7695">
      <w:pPr>
        <w:pStyle w:val="NoSpacing"/>
        <w:rPr>
          <w:rStyle w:val="normaltextrun"/>
          <w:rFonts w:cs="Arial"/>
          <w:sz w:val="24"/>
          <w:szCs w:val="24"/>
          <w:shd w:val="clear" w:color="auto" w:fill="FFFFFF"/>
        </w:rPr>
      </w:pPr>
      <w:r>
        <w:rPr>
          <w:rStyle w:val="normaltextrun"/>
          <w:rFonts w:cs="Arial"/>
          <w:sz w:val="24"/>
          <w:szCs w:val="24"/>
          <w:shd w:val="clear" w:color="auto" w:fill="FFFFFF"/>
        </w:rPr>
        <w:t xml:space="preserve">Bruno, A. and </w:t>
      </w:r>
      <w:proofErr w:type="spellStart"/>
      <w:r>
        <w:rPr>
          <w:rStyle w:val="normaltextrun"/>
          <w:rFonts w:cs="Arial"/>
          <w:sz w:val="24"/>
          <w:szCs w:val="24"/>
          <w:shd w:val="clear" w:color="auto" w:fill="FFFFFF"/>
        </w:rPr>
        <w:t>Dell’Aversana</w:t>
      </w:r>
      <w:proofErr w:type="spellEnd"/>
      <w:r>
        <w:rPr>
          <w:rStyle w:val="normaltextrun"/>
          <w:rFonts w:cs="Arial"/>
          <w:sz w:val="24"/>
          <w:szCs w:val="24"/>
          <w:shd w:val="clear" w:color="auto" w:fill="FFFFFF"/>
        </w:rPr>
        <w:t xml:space="preserve">, G. (2017) Reflective Practicum in Higher Education: The Influence of the Learning Environment on the Quality of Learning, </w:t>
      </w:r>
      <w:r>
        <w:rPr>
          <w:rStyle w:val="normaltextrun"/>
          <w:rFonts w:cs="Arial"/>
          <w:i/>
          <w:sz w:val="24"/>
          <w:szCs w:val="24"/>
          <w:shd w:val="clear" w:color="auto" w:fill="FFFFFF"/>
        </w:rPr>
        <w:t xml:space="preserve">Assessment and Evaluation in Higher Education. </w:t>
      </w:r>
      <w:r>
        <w:rPr>
          <w:rStyle w:val="normaltextrun"/>
          <w:rFonts w:cs="Arial"/>
          <w:sz w:val="24"/>
          <w:szCs w:val="24"/>
          <w:shd w:val="clear" w:color="auto" w:fill="FFFFFF"/>
        </w:rPr>
        <w:t>Vol. 43 (3), pp. 345-358</w:t>
      </w:r>
    </w:p>
    <w:p w:rsidR="005D7695" w:rsidRDefault="005D7695" w:rsidP="005D7695">
      <w:pPr>
        <w:pStyle w:val="NoSpacing"/>
      </w:pPr>
    </w:p>
    <w:p w:rsidR="005D7695" w:rsidRDefault="005D7695" w:rsidP="005D7695">
      <w:pPr>
        <w:pStyle w:val="NoSpacing"/>
        <w:rPr>
          <w:sz w:val="24"/>
          <w:szCs w:val="24"/>
        </w:rPr>
      </w:pPr>
      <w:r>
        <w:rPr>
          <w:sz w:val="24"/>
          <w:szCs w:val="24"/>
        </w:rPr>
        <w:t>Daly, J., Speedy, S. and Jackson, D. (2014)</w:t>
      </w:r>
      <w:r>
        <w:rPr>
          <w:i/>
          <w:sz w:val="24"/>
          <w:szCs w:val="24"/>
        </w:rPr>
        <w:t xml:space="preserve"> Contexts of Nursing</w:t>
      </w:r>
      <w:r>
        <w:rPr>
          <w:sz w:val="24"/>
          <w:szCs w:val="24"/>
        </w:rPr>
        <w:t xml:space="preserve">. </w:t>
      </w:r>
      <w:proofErr w:type="spellStart"/>
      <w:r>
        <w:rPr>
          <w:sz w:val="24"/>
          <w:szCs w:val="24"/>
        </w:rPr>
        <w:t>Chatswood</w:t>
      </w:r>
      <w:proofErr w:type="spellEnd"/>
      <w:r>
        <w:rPr>
          <w:sz w:val="24"/>
          <w:szCs w:val="24"/>
        </w:rPr>
        <w:t>, NSW: Elsevier</w:t>
      </w:r>
    </w:p>
    <w:p w:rsidR="005D7695" w:rsidRDefault="005D7695" w:rsidP="005D7695">
      <w:pPr>
        <w:pStyle w:val="NoSpacing"/>
        <w:rPr>
          <w:sz w:val="24"/>
          <w:szCs w:val="24"/>
        </w:rPr>
      </w:pPr>
    </w:p>
    <w:p w:rsidR="005D7695" w:rsidRDefault="005D7695" w:rsidP="005D7695">
      <w:pPr>
        <w:pStyle w:val="NoSpacing"/>
        <w:rPr>
          <w:sz w:val="24"/>
          <w:szCs w:val="24"/>
        </w:rPr>
      </w:pPr>
      <w:proofErr w:type="spellStart"/>
      <w:r>
        <w:rPr>
          <w:sz w:val="24"/>
          <w:szCs w:val="24"/>
        </w:rPr>
        <w:t>Feucht</w:t>
      </w:r>
      <w:proofErr w:type="spellEnd"/>
      <w:r>
        <w:rPr>
          <w:sz w:val="24"/>
          <w:szCs w:val="24"/>
        </w:rPr>
        <w:t xml:space="preserve">, F. C., Brownlee, J. L. and Schraw, G. (2017) </w:t>
      </w:r>
      <w:r>
        <w:rPr>
          <w:rStyle w:val="nlmarticle-title"/>
          <w:color w:val="333333"/>
          <w:sz w:val="24"/>
          <w:szCs w:val="24"/>
        </w:rPr>
        <w:t xml:space="preserve">Moving Beyond Reflection: Reflexivity and Epistemic Cognition in Teaching and Teacher Education, </w:t>
      </w:r>
      <w:r>
        <w:rPr>
          <w:rStyle w:val="nlmarticle-title"/>
          <w:i/>
          <w:color w:val="333333"/>
          <w:sz w:val="24"/>
          <w:szCs w:val="24"/>
        </w:rPr>
        <w:t>Educational Psychologist</w:t>
      </w:r>
      <w:r>
        <w:rPr>
          <w:rStyle w:val="nlmarticle-title"/>
          <w:color w:val="333333"/>
          <w:sz w:val="24"/>
          <w:szCs w:val="24"/>
        </w:rPr>
        <w:t xml:space="preserve">. Vol. 52 (4), pp. 234-241 </w:t>
      </w:r>
    </w:p>
    <w:p w:rsidR="005D7695" w:rsidRDefault="005D7695" w:rsidP="005D7695">
      <w:pPr>
        <w:pStyle w:val="NoSpacing"/>
        <w:rPr>
          <w:sz w:val="24"/>
          <w:szCs w:val="24"/>
        </w:rPr>
      </w:pPr>
    </w:p>
    <w:p w:rsidR="005D7695" w:rsidRDefault="005D7695" w:rsidP="005D7695">
      <w:pPr>
        <w:pStyle w:val="NoSpacing"/>
        <w:rPr>
          <w:sz w:val="24"/>
          <w:szCs w:val="24"/>
        </w:rPr>
      </w:pPr>
      <w:proofErr w:type="spellStart"/>
      <w:r>
        <w:rPr>
          <w:sz w:val="24"/>
          <w:szCs w:val="24"/>
        </w:rPr>
        <w:t>Ghaye</w:t>
      </w:r>
      <w:proofErr w:type="spellEnd"/>
      <w:r>
        <w:rPr>
          <w:sz w:val="24"/>
          <w:szCs w:val="24"/>
        </w:rPr>
        <w:t xml:space="preserve">, T. (2010) </w:t>
      </w:r>
      <w:r>
        <w:rPr>
          <w:i/>
          <w:sz w:val="24"/>
          <w:szCs w:val="24"/>
        </w:rPr>
        <w:t xml:space="preserve">Teaching and Learning </w:t>
      </w:r>
      <w:proofErr w:type="gramStart"/>
      <w:r>
        <w:rPr>
          <w:i/>
          <w:sz w:val="24"/>
          <w:szCs w:val="24"/>
        </w:rPr>
        <w:t>Through</w:t>
      </w:r>
      <w:proofErr w:type="gramEnd"/>
      <w:r>
        <w:rPr>
          <w:i/>
          <w:sz w:val="24"/>
          <w:szCs w:val="24"/>
        </w:rPr>
        <w:t xml:space="preserve"> Reflective Practice</w:t>
      </w:r>
      <w:r>
        <w:rPr>
          <w:sz w:val="24"/>
          <w:szCs w:val="24"/>
        </w:rPr>
        <w:t xml:space="preserve">: </w:t>
      </w:r>
      <w:r>
        <w:rPr>
          <w:i/>
          <w:sz w:val="24"/>
          <w:szCs w:val="24"/>
        </w:rPr>
        <w:t xml:space="preserve">A Practical Guide for Positive Action </w:t>
      </w:r>
      <w:r>
        <w:rPr>
          <w:sz w:val="24"/>
          <w:szCs w:val="24"/>
        </w:rPr>
        <w:t>2</w:t>
      </w:r>
      <w:r>
        <w:rPr>
          <w:sz w:val="24"/>
          <w:szCs w:val="24"/>
          <w:vertAlign w:val="superscript"/>
        </w:rPr>
        <w:t>nd</w:t>
      </w:r>
      <w:r>
        <w:rPr>
          <w:sz w:val="24"/>
          <w:szCs w:val="24"/>
        </w:rPr>
        <w:t xml:space="preserve"> Edition. Abingdon: Routledge</w:t>
      </w:r>
    </w:p>
    <w:p w:rsidR="005D7695" w:rsidRDefault="005D7695" w:rsidP="005D7695">
      <w:pPr>
        <w:pStyle w:val="NoSpacing"/>
        <w:rPr>
          <w:rStyle w:val="normaltextrun"/>
          <w:rFonts w:cs="Arial"/>
          <w:shd w:val="clear" w:color="auto" w:fill="FFFFFF"/>
        </w:rPr>
      </w:pPr>
    </w:p>
    <w:p w:rsidR="005D7695" w:rsidRDefault="005D7695" w:rsidP="005D7695">
      <w:pPr>
        <w:pStyle w:val="NoSpacing"/>
        <w:rPr>
          <w:rStyle w:val="normaltextrun"/>
          <w:rFonts w:cs="Arial"/>
          <w:sz w:val="24"/>
          <w:szCs w:val="24"/>
          <w:shd w:val="clear" w:color="auto" w:fill="FFFFFF"/>
        </w:rPr>
      </w:pPr>
      <w:proofErr w:type="spellStart"/>
      <w:r>
        <w:rPr>
          <w:rStyle w:val="normaltextrun"/>
          <w:rFonts w:cs="Arial"/>
          <w:sz w:val="24"/>
          <w:szCs w:val="24"/>
          <w:shd w:val="clear" w:color="auto" w:fill="FFFFFF"/>
        </w:rPr>
        <w:t>Halpin</w:t>
      </w:r>
      <w:proofErr w:type="spellEnd"/>
      <w:r>
        <w:rPr>
          <w:rStyle w:val="normaltextrun"/>
          <w:rFonts w:cs="Arial"/>
          <w:sz w:val="24"/>
          <w:szCs w:val="24"/>
          <w:shd w:val="clear" w:color="auto" w:fill="FFFFFF"/>
        </w:rPr>
        <w:t xml:space="preserve">, D. (2015) Essaying and Reflective Practice in Education: The Legacy of Michel de Montaigne, </w:t>
      </w:r>
      <w:r>
        <w:rPr>
          <w:rStyle w:val="normaltextrun"/>
          <w:rFonts w:cs="Arial"/>
          <w:i/>
          <w:sz w:val="24"/>
          <w:szCs w:val="24"/>
          <w:shd w:val="clear" w:color="auto" w:fill="FFFFFF"/>
        </w:rPr>
        <w:t>Journal of Philosophy of Education</w:t>
      </w:r>
      <w:r>
        <w:rPr>
          <w:rStyle w:val="normaltextrun"/>
          <w:rFonts w:cs="Arial"/>
          <w:sz w:val="24"/>
          <w:szCs w:val="24"/>
          <w:shd w:val="clear" w:color="auto" w:fill="FFFFFF"/>
        </w:rPr>
        <w:t>. Vol. 49 (1), pp. 129-141</w:t>
      </w:r>
    </w:p>
    <w:p w:rsidR="005D7695" w:rsidRDefault="005D7695" w:rsidP="005D7695">
      <w:pPr>
        <w:pStyle w:val="NoSpacing"/>
      </w:pPr>
    </w:p>
    <w:p w:rsidR="005D7695" w:rsidRDefault="005D7695" w:rsidP="005D7695">
      <w:pPr>
        <w:pStyle w:val="NoSpacing"/>
        <w:rPr>
          <w:sz w:val="24"/>
          <w:szCs w:val="24"/>
        </w:rPr>
      </w:pPr>
      <w:r>
        <w:rPr>
          <w:sz w:val="24"/>
          <w:szCs w:val="24"/>
        </w:rPr>
        <w:t xml:space="preserve">Kolb, D. (2015) </w:t>
      </w:r>
      <w:r>
        <w:rPr>
          <w:i/>
          <w:sz w:val="24"/>
          <w:szCs w:val="24"/>
        </w:rPr>
        <w:t>Experiential Learning: Experience as the Source of Learning and Development</w:t>
      </w:r>
      <w:r>
        <w:rPr>
          <w:sz w:val="24"/>
          <w:szCs w:val="24"/>
        </w:rPr>
        <w:t>. 2</w:t>
      </w:r>
      <w:r>
        <w:rPr>
          <w:sz w:val="24"/>
          <w:szCs w:val="24"/>
          <w:vertAlign w:val="superscript"/>
        </w:rPr>
        <w:t>nd</w:t>
      </w:r>
      <w:r>
        <w:rPr>
          <w:sz w:val="24"/>
          <w:szCs w:val="24"/>
        </w:rPr>
        <w:t xml:space="preserve"> Edition. Upper Saddle River, NJ: Pearson Education Inc.</w:t>
      </w:r>
    </w:p>
    <w:p w:rsidR="005D7695" w:rsidRDefault="005D7695" w:rsidP="005D7695">
      <w:pPr>
        <w:pStyle w:val="NoSpacing"/>
        <w:rPr>
          <w:sz w:val="24"/>
          <w:szCs w:val="24"/>
        </w:rPr>
      </w:pPr>
    </w:p>
    <w:p w:rsidR="005D7695" w:rsidRDefault="005D7695" w:rsidP="005D7695">
      <w:pPr>
        <w:pStyle w:val="NoSpacing"/>
        <w:rPr>
          <w:sz w:val="24"/>
          <w:szCs w:val="24"/>
        </w:rPr>
      </w:pPr>
      <w:r>
        <w:rPr>
          <w:sz w:val="24"/>
          <w:szCs w:val="24"/>
        </w:rPr>
        <w:t xml:space="preserve">Kornblith, H. (2012) </w:t>
      </w:r>
      <w:r>
        <w:rPr>
          <w:i/>
          <w:sz w:val="24"/>
          <w:szCs w:val="24"/>
        </w:rPr>
        <w:t>On Reflection</w:t>
      </w:r>
      <w:r>
        <w:rPr>
          <w:sz w:val="24"/>
          <w:szCs w:val="24"/>
        </w:rPr>
        <w:t>. Oxford: Oxford University Press</w:t>
      </w:r>
    </w:p>
    <w:p w:rsidR="005D7695" w:rsidRDefault="005D7695" w:rsidP="005D7695">
      <w:pPr>
        <w:pStyle w:val="NoSpacing"/>
        <w:rPr>
          <w:sz w:val="24"/>
          <w:szCs w:val="24"/>
        </w:rPr>
      </w:pPr>
    </w:p>
    <w:p w:rsidR="005D7695" w:rsidRDefault="005D7695" w:rsidP="005D7695">
      <w:pPr>
        <w:pStyle w:val="NoSpacing"/>
        <w:rPr>
          <w:sz w:val="24"/>
          <w:szCs w:val="24"/>
        </w:rPr>
      </w:pPr>
      <w:r>
        <w:rPr>
          <w:sz w:val="24"/>
          <w:szCs w:val="24"/>
        </w:rPr>
        <w:t xml:space="preserve">Lyons, N. (2010) </w:t>
      </w:r>
      <w:r>
        <w:rPr>
          <w:i/>
          <w:sz w:val="24"/>
          <w:szCs w:val="24"/>
        </w:rPr>
        <w:t>Handbook of Reflection and Reflective Inquiry: Mapping a Way of Knowing for Professional Reflective Inquiry</w:t>
      </w:r>
      <w:r>
        <w:rPr>
          <w:sz w:val="24"/>
          <w:szCs w:val="24"/>
        </w:rPr>
        <w:t>. Cork: Springer</w:t>
      </w:r>
    </w:p>
    <w:p w:rsidR="005D7695" w:rsidRDefault="005D7695" w:rsidP="005D7695">
      <w:pPr>
        <w:pStyle w:val="NoSpacing"/>
        <w:rPr>
          <w:rStyle w:val="normaltextrun"/>
          <w:rFonts w:cs="Arial"/>
          <w:shd w:val="clear" w:color="auto" w:fill="FFFFFF"/>
        </w:rPr>
      </w:pPr>
    </w:p>
    <w:p w:rsidR="005D7695" w:rsidRDefault="005D7695" w:rsidP="005D7695">
      <w:pPr>
        <w:pStyle w:val="NoSpacing"/>
        <w:rPr>
          <w:rStyle w:val="normaltextrun"/>
          <w:rFonts w:cs="Arial"/>
          <w:sz w:val="24"/>
          <w:szCs w:val="24"/>
          <w:shd w:val="clear" w:color="auto" w:fill="FFFFFF"/>
        </w:rPr>
      </w:pPr>
      <w:r>
        <w:rPr>
          <w:rStyle w:val="normaltextrun"/>
          <w:rFonts w:cs="Arial"/>
          <w:sz w:val="24"/>
          <w:szCs w:val="24"/>
          <w:shd w:val="clear" w:color="auto" w:fill="FFFFFF"/>
        </w:rPr>
        <w:t>McGregor, D. and Cartwright, L. (2011)</w:t>
      </w:r>
      <w:r>
        <w:rPr>
          <w:rStyle w:val="normaltextrun"/>
          <w:rFonts w:cs="Arial"/>
          <w:i/>
          <w:sz w:val="24"/>
          <w:szCs w:val="24"/>
          <w:shd w:val="clear" w:color="auto" w:fill="FFFFFF"/>
        </w:rPr>
        <w:t xml:space="preserve"> Developing Reflective Practice: A Guide for Beginning Teachers</w:t>
      </w:r>
      <w:r>
        <w:rPr>
          <w:rStyle w:val="normaltextrun"/>
          <w:rFonts w:cs="Arial"/>
          <w:sz w:val="24"/>
          <w:szCs w:val="24"/>
          <w:shd w:val="clear" w:color="auto" w:fill="FFFFFF"/>
        </w:rPr>
        <w:t>. Maidenhead: Open University Press</w:t>
      </w:r>
    </w:p>
    <w:p w:rsidR="005D7695" w:rsidRDefault="005D7695" w:rsidP="005D7695">
      <w:pPr>
        <w:pStyle w:val="NoSpacing"/>
      </w:pPr>
    </w:p>
    <w:p w:rsidR="005D7695" w:rsidRDefault="005D7695" w:rsidP="005D7695">
      <w:pPr>
        <w:pStyle w:val="NoSpacing"/>
        <w:rPr>
          <w:sz w:val="24"/>
          <w:szCs w:val="24"/>
        </w:rPr>
      </w:pPr>
      <w:r>
        <w:rPr>
          <w:sz w:val="24"/>
          <w:szCs w:val="24"/>
        </w:rPr>
        <w:t xml:space="preserve">McKenzie, L. (2015) Trainee Teachers Experience of Reflection, </w:t>
      </w:r>
      <w:r>
        <w:rPr>
          <w:i/>
          <w:sz w:val="24"/>
          <w:szCs w:val="24"/>
        </w:rPr>
        <w:t>Journal of Further and Higher Education</w:t>
      </w:r>
      <w:r>
        <w:rPr>
          <w:sz w:val="24"/>
          <w:szCs w:val="24"/>
        </w:rPr>
        <w:t>, Vol. 39 (5), pp. 645-664</w:t>
      </w:r>
    </w:p>
    <w:p w:rsidR="005D7695" w:rsidRDefault="005D7695" w:rsidP="005D7695">
      <w:pPr>
        <w:pStyle w:val="NoSpacing"/>
        <w:rPr>
          <w:sz w:val="24"/>
          <w:szCs w:val="24"/>
        </w:rPr>
      </w:pPr>
    </w:p>
    <w:p w:rsidR="005D7695" w:rsidRDefault="005D7695" w:rsidP="005D7695">
      <w:pPr>
        <w:pStyle w:val="NoSpacing"/>
        <w:rPr>
          <w:sz w:val="24"/>
          <w:szCs w:val="24"/>
        </w:rPr>
      </w:pPr>
      <w:r>
        <w:rPr>
          <w:sz w:val="24"/>
          <w:szCs w:val="24"/>
        </w:rPr>
        <w:t xml:space="preserve">Michaelson, E. (2015) </w:t>
      </w:r>
      <w:r>
        <w:rPr>
          <w:i/>
          <w:sz w:val="24"/>
          <w:szCs w:val="24"/>
        </w:rPr>
        <w:t xml:space="preserve">Gender, Experience, and Knowledge in Adult Learning: </w:t>
      </w:r>
      <w:proofErr w:type="spellStart"/>
      <w:r>
        <w:rPr>
          <w:i/>
          <w:sz w:val="24"/>
          <w:szCs w:val="24"/>
        </w:rPr>
        <w:t>Alisoun’s</w:t>
      </w:r>
      <w:proofErr w:type="spellEnd"/>
      <w:r>
        <w:rPr>
          <w:i/>
          <w:sz w:val="24"/>
          <w:szCs w:val="24"/>
        </w:rPr>
        <w:t xml:space="preserve"> Daughters</w:t>
      </w:r>
      <w:r>
        <w:rPr>
          <w:sz w:val="24"/>
          <w:szCs w:val="24"/>
        </w:rPr>
        <w:t>. Abingdon: Routledge</w:t>
      </w:r>
    </w:p>
    <w:p w:rsidR="005D7695" w:rsidRDefault="005D7695" w:rsidP="005D7695">
      <w:pPr>
        <w:pStyle w:val="NoSpacing"/>
        <w:rPr>
          <w:sz w:val="24"/>
          <w:szCs w:val="24"/>
        </w:rPr>
      </w:pPr>
    </w:p>
    <w:p w:rsidR="005D7695" w:rsidRDefault="005D7695" w:rsidP="005D7695">
      <w:pPr>
        <w:pStyle w:val="NoSpacing"/>
        <w:rPr>
          <w:sz w:val="24"/>
          <w:szCs w:val="24"/>
        </w:rPr>
      </w:pPr>
      <w:r>
        <w:rPr>
          <w:sz w:val="24"/>
          <w:szCs w:val="24"/>
        </w:rPr>
        <w:t xml:space="preserve">Middleman, R. and Wood, G. G. (1991) </w:t>
      </w:r>
      <w:r>
        <w:rPr>
          <w:i/>
          <w:sz w:val="24"/>
          <w:szCs w:val="24"/>
        </w:rPr>
        <w:t>Teaching Secrets: The Technology in Social Work Education</w:t>
      </w:r>
      <w:r>
        <w:rPr>
          <w:sz w:val="24"/>
          <w:szCs w:val="24"/>
        </w:rPr>
        <w:t>. Abingdon: Routledge</w:t>
      </w:r>
    </w:p>
    <w:p w:rsidR="005D7695" w:rsidRDefault="005D7695" w:rsidP="005D7695">
      <w:pPr>
        <w:pStyle w:val="NoSpacing"/>
        <w:rPr>
          <w:sz w:val="24"/>
          <w:szCs w:val="24"/>
        </w:rPr>
      </w:pPr>
    </w:p>
    <w:p w:rsidR="005D7695" w:rsidRDefault="005D7695" w:rsidP="005D7695">
      <w:pPr>
        <w:pStyle w:val="NoSpacing"/>
        <w:rPr>
          <w:sz w:val="24"/>
          <w:szCs w:val="24"/>
        </w:rPr>
      </w:pPr>
      <w:r>
        <w:rPr>
          <w:sz w:val="24"/>
          <w:szCs w:val="24"/>
        </w:rPr>
        <w:t xml:space="preserve">Pont, T. (2003) </w:t>
      </w:r>
      <w:r>
        <w:rPr>
          <w:i/>
          <w:sz w:val="24"/>
          <w:szCs w:val="24"/>
        </w:rPr>
        <w:t>Developing Effective Training Skills: From Personal Insight to Organisational Performance</w:t>
      </w:r>
      <w:r>
        <w:rPr>
          <w:sz w:val="24"/>
          <w:szCs w:val="24"/>
        </w:rPr>
        <w:t>. London: Chartered Institute of Personnel and Development</w:t>
      </w:r>
    </w:p>
    <w:p w:rsidR="005D7695" w:rsidRDefault="005D7695" w:rsidP="005D7695">
      <w:pPr>
        <w:pStyle w:val="NoSpacing"/>
        <w:rPr>
          <w:rStyle w:val="normaltextrun"/>
          <w:rFonts w:cs="Arial"/>
          <w:shd w:val="clear" w:color="auto" w:fill="FFFFFF"/>
        </w:rPr>
      </w:pPr>
    </w:p>
    <w:p w:rsidR="005D7695" w:rsidRDefault="005D7695" w:rsidP="005D7695">
      <w:pPr>
        <w:pStyle w:val="NoSpacing"/>
        <w:rPr>
          <w:rStyle w:val="normaltextrun"/>
          <w:rFonts w:cs="Arial"/>
          <w:sz w:val="24"/>
          <w:szCs w:val="24"/>
          <w:shd w:val="clear" w:color="auto" w:fill="FFFFFF"/>
        </w:rPr>
      </w:pPr>
      <w:r>
        <w:rPr>
          <w:rStyle w:val="normaltextrun"/>
          <w:rFonts w:cs="Arial"/>
          <w:sz w:val="24"/>
          <w:szCs w:val="24"/>
          <w:shd w:val="clear" w:color="auto" w:fill="FFFFFF"/>
        </w:rPr>
        <w:t xml:space="preserve">Radford, C. P. (2016) </w:t>
      </w:r>
      <w:r>
        <w:rPr>
          <w:rStyle w:val="normaltextrun"/>
          <w:rFonts w:cs="Arial"/>
          <w:i/>
          <w:sz w:val="24"/>
          <w:szCs w:val="24"/>
          <w:shd w:val="clear" w:color="auto" w:fill="FFFFFF"/>
        </w:rPr>
        <w:t>The First Years Matter: Becoming an Effective Teacher</w:t>
      </w:r>
      <w:r>
        <w:rPr>
          <w:rStyle w:val="normaltextrun"/>
          <w:rFonts w:cs="Arial"/>
          <w:sz w:val="24"/>
          <w:szCs w:val="24"/>
          <w:shd w:val="clear" w:color="auto" w:fill="FFFFFF"/>
        </w:rPr>
        <w:t>. Thousand Oaks, CA: Corwin Press</w:t>
      </w:r>
    </w:p>
    <w:p w:rsidR="005D7695" w:rsidRDefault="005D7695" w:rsidP="005D7695">
      <w:pPr>
        <w:pStyle w:val="NoSpacing"/>
      </w:pPr>
    </w:p>
    <w:p w:rsidR="005D7695" w:rsidRDefault="005D7695" w:rsidP="005D7695">
      <w:pPr>
        <w:pStyle w:val="NoSpacing"/>
        <w:rPr>
          <w:sz w:val="24"/>
          <w:szCs w:val="24"/>
        </w:rPr>
      </w:pPr>
      <w:proofErr w:type="spellStart"/>
      <w:r>
        <w:rPr>
          <w:sz w:val="24"/>
          <w:szCs w:val="24"/>
        </w:rPr>
        <w:t>Scaife</w:t>
      </w:r>
      <w:proofErr w:type="spellEnd"/>
      <w:r>
        <w:rPr>
          <w:sz w:val="24"/>
          <w:szCs w:val="24"/>
        </w:rPr>
        <w:t xml:space="preserve">, J. (2010) </w:t>
      </w:r>
      <w:r>
        <w:rPr>
          <w:i/>
          <w:sz w:val="24"/>
          <w:szCs w:val="24"/>
        </w:rPr>
        <w:t>Supervising the Reflective Practitioner: An Essential Guide to Theory and Practice</w:t>
      </w:r>
      <w:r>
        <w:rPr>
          <w:sz w:val="24"/>
          <w:szCs w:val="24"/>
        </w:rPr>
        <w:t>. Abingdon: Routledge</w:t>
      </w:r>
    </w:p>
    <w:p w:rsidR="005D7695" w:rsidRDefault="005D7695" w:rsidP="005D7695">
      <w:pPr>
        <w:pStyle w:val="NoSpacing"/>
        <w:rPr>
          <w:sz w:val="24"/>
          <w:szCs w:val="24"/>
        </w:rPr>
      </w:pPr>
    </w:p>
    <w:p w:rsidR="005D7695" w:rsidRDefault="005D7695" w:rsidP="005D7695">
      <w:pPr>
        <w:pStyle w:val="NoSpacing"/>
        <w:rPr>
          <w:sz w:val="24"/>
          <w:szCs w:val="24"/>
        </w:rPr>
      </w:pPr>
      <w:r>
        <w:rPr>
          <w:sz w:val="24"/>
          <w:szCs w:val="24"/>
        </w:rPr>
        <w:t xml:space="preserve">Schön, D. (1987) </w:t>
      </w:r>
      <w:r>
        <w:rPr>
          <w:i/>
          <w:sz w:val="24"/>
          <w:szCs w:val="24"/>
        </w:rPr>
        <w:t>Educating the Reflective Practitioner.</w:t>
      </w:r>
      <w:r>
        <w:rPr>
          <w:sz w:val="24"/>
          <w:szCs w:val="24"/>
        </w:rPr>
        <w:t xml:space="preserve"> San Francisco: </w:t>
      </w:r>
      <w:proofErr w:type="spellStart"/>
      <w:r>
        <w:rPr>
          <w:sz w:val="24"/>
          <w:szCs w:val="24"/>
        </w:rPr>
        <w:t>Jossey</w:t>
      </w:r>
      <w:proofErr w:type="spellEnd"/>
      <w:r>
        <w:rPr>
          <w:sz w:val="24"/>
          <w:szCs w:val="24"/>
        </w:rPr>
        <w:t>-Bass</w:t>
      </w:r>
    </w:p>
    <w:p w:rsidR="005D7695" w:rsidRDefault="005D7695" w:rsidP="005D7695">
      <w:pPr>
        <w:pStyle w:val="NoSpacing"/>
        <w:rPr>
          <w:rStyle w:val="normaltextrun"/>
          <w:rFonts w:cs="Arial"/>
          <w:shd w:val="clear" w:color="auto" w:fill="FFFFFF"/>
        </w:rPr>
      </w:pPr>
    </w:p>
    <w:p w:rsidR="005D7695" w:rsidRDefault="005D7695" w:rsidP="005D7695">
      <w:pPr>
        <w:pStyle w:val="NoSpacing"/>
        <w:rPr>
          <w:rStyle w:val="normaltextrun"/>
          <w:rFonts w:cs="Arial"/>
          <w:sz w:val="24"/>
          <w:szCs w:val="24"/>
          <w:shd w:val="clear" w:color="auto" w:fill="FFFFFF"/>
        </w:rPr>
      </w:pPr>
      <w:r>
        <w:rPr>
          <w:rStyle w:val="normaltextrun"/>
          <w:rFonts w:cs="Arial"/>
          <w:sz w:val="24"/>
          <w:szCs w:val="24"/>
          <w:shd w:val="clear" w:color="auto" w:fill="FFFFFF"/>
        </w:rPr>
        <w:t xml:space="preserve">Thompson, N. and Pascal, J. (2012) Developing Critically Reflective Practice, </w:t>
      </w:r>
      <w:r>
        <w:rPr>
          <w:rStyle w:val="normaltextrun"/>
          <w:rFonts w:cs="Arial"/>
          <w:i/>
          <w:sz w:val="24"/>
          <w:szCs w:val="24"/>
          <w:shd w:val="clear" w:color="auto" w:fill="FFFFFF"/>
        </w:rPr>
        <w:t>Reflective Practice: International and Multidisciplinary Perspectives</w:t>
      </w:r>
      <w:r>
        <w:rPr>
          <w:rStyle w:val="normaltextrun"/>
          <w:rFonts w:cs="Arial"/>
          <w:sz w:val="24"/>
          <w:szCs w:val="24"/>
          <w:shd w:val="clear" w:color="auto" w:fill="FFFFFF"/>
        </w:rPr>
        <w:t>. Vol. 13 (2), pp. 311-325</w:t>
      </w:r>
    </w:p>
    <w:p w:rsidR="005D7695" w:rsidRDefault="005D7695" w:rsidP="005D7695">
      <w:pPr>
        <w:pStyle w:val="NoSpacing"/>
      </w:pPr>
    </w:p>
    <w:p w:rsidR="005D7695" w:rsidRDefault="005D7695" w:rsidP="005D7695">
      <w:pPr>
        <w:pStyle w:val="NoSpacing"/>
        <w:rPr>
          <w:sz w:val="24"/>
          <w:szCs w:val="24"/>
        </w:rPr>
      </w:pPr>
      <w:r>
        <w:rPr>
          <w:sz w:val="24"/>
          <w:szCs w:val="24"/>
        </w:rPr>
        <w:t xml:space="preserve">University of Leicester (ND) </w:t>
      </w:r>
      <w:r>
        <w:rPr>
          <w:i/>
          <w:sz w:val="24"/>
          <w:szCs w:val="24"/>
        </w:rPr>
        <w:t>David Kolb</w:t>
      </w:r>
      <w:r>
        <w:rPr>
          <w:sz w:val="24"/>
          <w:szCs w:val="24"/>
        </w:rPr>
        <w:t xml:space="preserve"> [online] Available at: https://www2.le.ac.uk/departments/doctoralcollege/training/eresources/teaching/theories/kolb (accessed 25/04/2018)</w:t>
      </w:r>
    </w:p>
    <w:p w:rsidR="005D7695" w:rsidRDefault="005D7695" w:rsidP="005D7695">
      <w:pPr>
        <w:pStyle w:val="NoSpacing"/>
        <w:rPr>
          <w:rStyle w:val="normaltextrun"/>
          <w:rFonts w:cs="Arial"/>
          <w:shd w:val="clear" w:color="auto" w:fill="FFFFFF"/>
        </w:rPr>
      </w:pPr>
    </w:p>
    <w:p w:rsidR="005D7695" w:rsidRDefault="005D7695" w:rsidP="005D7695">
      <w:pPr>
        <w:pStyle w:val="NoSpacing"/>
        <w:rPr>
          <w:rStyle w:val="normaltextrun"/>
          <w:rFonts w:cs="Arial"/>
          <w:sz w:val="24"/>
          <w:szCs w:val="24"/>
          <w:shd w:val="clear" w:color="auto" w:fill="FFFFFF"/>
        </w:rPr>
      </w:pPr>
      <w:proofErr w:type="spellStart"/>
      <w:r>
        <w:rPr>
          <w:rStyle w:val="normaltextrun"/>
          <w:rFonts w:cs="Arial"/>
          <w:sz w:val="24"/>
          <w:szCs w:val="24"/>
          <w:shd w:val="clear" w:color="auto" w:fill="FFFFFF"/>
        </w:rPr>
        <w:t>Zwozdiak</w:t>
      </w:r>
      <w:proofErr w:type="spellEnd"/>
      <w:r>
        <w:rPr>
          <w:rStyle w:val="normaltextrun"/>
          <w:rFonts w:cs="Arial"/>
          <w:sz w:val="24"/>
          <w:szCs w:val="24"/>
          <w:shd w:val="clear" w:color="auto" w:fill="FFFFFF"/>
        </w:rPr>
        <w:t xml:space="preserve">-Myers, P. (2012) </w:t>
      </w:r>
      <w:r>
        <w:rPr>
          <w:rStyle w:val="normaltextrun"/>
          <w:rFonts w:cs="Arial"/>
          <w:i/>
          <w:sz w:val="24"/>
          <w:szCs w:val="24"/>
          <w:shd w:val="clear" w:color="auto" w:fill="FFFFFF"/>
        </w:rPr>
        <w:t>The Teachers Reflective Practice Handbook: Becoming an Extended Professional Through Capturing Evidence-Informed Practice</w:t>
      </w:r>
      <w:r>
        <w:rPr>
          <w:rStyle w:val="normaltextrun"/>
          <w:rFonts w:cs="Arial"/>
          <w:sz w:val="24"/>
          <w:szCs w:val="24"/>
          <w:shd w:val="clear" w:color="auto" w:fill="FFFFFF"/>
        </w:rPr>
        <w:t>. Abingdon: Routledge</w:t>
      </w:r>
    </w:p>
    <w:p w:rsidR="005D7695" w:rsidRPr="00E7015F" w:rsidRDefault="005D7695" w:rsidP="005D7695">
      <w:pPr>
        <w:rPr>
          <w:rStyle w:val="normaltextrun"/>
          <w:rFonts w:cs="Arial"/>
          <w:sz w:val="24"/>
          <w:szCs w:val="24"/>
          <w:shd w:val="clear" w:color="auto" w:fill="FFFFFF"/>
        </w:rPr>
      </w:pPr>
    </w:p>
    <w:p w:rsidR="0032394C" w:rsidRDefault="00044C46"/>
    <w:p w:rsidR="005D7695" w:rsidRDefault="005D7695"/>
    <w:p w:rsidR="005D7695" w:rsidRDefault="005D7695"/>
    <w:p w:rsidR="005D7695" w:rsidRDefault="005D7695"/>
    <w:p w:rsidR="005D7695" w:rsidRDefault="005D7695"/>
    <w:p w:rsidR="005D7695" w:rsidRDefault="005D7695"/>
    <w:p w:rsidR="005D7695" w:rsidRDefault="005D7695"/>
    <w:p w:rsidR="005D7695" w:rsidRDefault="005D7695"/>
    <w:p w:rsidR="005D7695" w:rsidRPr="00BA3DBF" w:rsidRDefault="005D7695" w:rsidP="005D7695">
      <w:pPr>
        <w:tabs>
          <w:tab w:val="left" w:pos="2610"/>
          <w:tab w:val="center" w:pos="4513"/>
        </w:tabs>
        <w:rPr>
          <w:rStyle w:val="normaltextrun"/>
          <w:rFonts w:cs="Arial"/>
          <w:b/>
          <w:sz w:val="24"/>
          <w:szCs w:val="24"/>
          <w:shd w:val="clear" w:color="auto" w:fill="FFFFFF"/>
        </w:rPr>
      </w:pPr>
      <w:r>
        <w:rPr>
          <w:rStyle w:val="normaltextrun"/>
          <w:rFonts w:ascii="Arial" w:hAnsi="Arial" w:cs="Arial"/>
          <w:b/>
          <w:shd w:val="clear" w:color="auto" w:fill="FFFFFF"/>
        </w:rPr>
        <w:lastRenderedPageBreak/>
        <w:tab/>
      </w:r>
      <w:r>
        <w:rPr>
          <w:rStyle w:val="normaltextrun"/>
          <w:rFonts w:ascii="Arial" w:hAnsi="Arial" w:cs="Arial"/>
          <w:b/>
          <w:shd w:val="clear" w:color="auto" w:fill="FFFFFF"/>
        </w:rPr>
        <w:tab/>
      </w:r>
      <w:r w:rsidRPr="00091228">
        <w:rPr>
          <w:rStyle w:val="normaltextrun"/>
          <w:rFonts w:cs="Arial"/>
          <w:b/>
          <w:sz w:val="24"/>
          <w:szCs w:val="24"/>
          <w:shd w:val="clear" w:color="auto" w:fill="FFFFFF"/>
        </w:rPr>
        <w:t>Academic Critique – Adult Learning</w:t>
      </w:r>
    </w:p>
    <w:p w:rsidR="005D7695" w:rsidRPr="007D36F8" w:rsidRDefault="005D7695" w:rsidP="005D7695">
      <w:pPr>
        <w:tabs>
          <w:tab w:val="left" w:pos="2610"/>
          <w:tab w:val="center" w:pos="4513"/>
        </w:tabs>
        <w:rPr>
          <w:rStyle w:val="normaltextrun"/>
          <w:rFonts w:cs="Arial"/>
          <w:sz w:val="24"/>
          <w:szCs w:val="24"/>
          <w:shd w:val="clear" w:color="auto" w:fill="FFFFFF"/>
        </w:rPr>
      </w:pPr>
      <w:r w:rsidRPr="007D36F8">
        <w:rPr>
          <w:rStyle w:val="normaltextrun"/>
          <w:rFonts w:cs="Arial"/>
          <w:sz w:val="24"/>
          <w:szCs w:val="24"/>
          <w:shd w:val="clear" w:color="auto" w:fill="FFFFFF"/>
        </w:rPr>
        <w:t>In recent years, there has been a dramatic increase on the number of adults returning to education (</w:t>
      </w:r>
      <w:proofErr w:type="spellStart"/>
      <w:r w:rsidRPr="007D36F8">
        <w:rPr>
          <w:rStyle w:val="normaltextrun"/>
          <w:rFonts w:cs="Arial"/>
          <w:sz w:val="24"/>
          <w:szCs w:val="24"/>
          <w:shd w:val="clear" w:color="auto" w:fill="FFFFFF"/>
        </w:rPr>
        <w:t>Wlodkowski</w:t>
      </w:r>
      <w:proofErr w:type="spellEnd"/>
      <w:r w:rsidRPr="007D36F8">
        <w:rPr>
          <w:rStyle w:val="normaltextrun"/>
          <w:rFonts w:cs="Arial"/>
          <w:sz w:val="24"/>
          <w:szCs w:val="24"/>
          <w:shd w:val="clear" w:color="auto" w:fill="FFFFFF"/>
        </w:rPr>
        <w:t xml:space="preserve"> and Ginsberg, 2017).</w:t>
      </w:r>
      <w:r>
        <w:rPr>
          <w:rStyle w:val="normaltextrun"/>
          <w:rFonts w:cs="Arial"/>
          <w:sz w:val="24"/>
          <w:szCs w:val="24"/>
          <w:shd w:val="clear" w:color="auto" w:fill="FFFFFF"/>
        </w:rPr>
        <w:t xml:space="preserve"> Merriam (2015) states that there is no particular model, meaning or theory as to why adults decide to return to education, however it is clear that they return to increase personal skills and knowledge on a particular subject. </w:t>
      </w:r>
      <w:proofErr w:type="spellStart"/>
      <w:r w:rsidRPr="007D36F8">
        <w:rPr>
          <w:rStyle w:val="normaltextrun"/>
          <w:rFonts w:cs="Arial"/>
          <w:sz w:val="24"/>
          <w:szCs w:val="24"/>
          <w:shd w:val="clear" w:color="auto" w:fill="FFFFFF"/>
        </w:rPr>
        <w:t>Dujlovic</w:t>
      </w:r>
      <w:proofErr w:type="spellEnd"/>
      <w:r w:rsidRPr="007D36F8">
        <w:rPr>
          <w:rStyle w:val="normaltextrun"/>
          <w:rFonts w:cs="Arial"/>
          <w:sz w:val="24"/>
          <w:szCs w:val="24"/>
          <w:shd w:val="clear" w:color="auto" w:fill="FFFFFF"/>
        </w:rPr>
        <w:t xml:space="preserve"> (2015) explains that there becomes a time in life where individuals have to make the decision to continue with what they already know, or make a commitment to learn something new. That commitment may often be to undertake a short cour</w:t>
      </w:r>
      <w:r>
        <w:rPr>
          <w:rStyle w:val="normaltextrun"/>
          <w:rFonts w:cs="Arial"/>
          <w:sz w:val="24"/>
          <w:szCs w:val="24"/>
          <w:shd w:val="clear" w:color="auto" w:fill="FFFFFF"/>
        </w:rPr>
        <w:t>se to increase competency</w:t>
      </w:r>
      <w:r w:rsidRPr="007D36F8">
        <w:rPr>
          <w:rStyle w:val="normaltextrun"/>
          <w:rFonts w:cs="Arial"/>
          <w:sz w:val="24"/>
          <w:szCs w:val="24"/>
          <w:shd w:val="clear" w:color="auto" w:fill="FFFFFF"/>
        </w:rPr>
        <w:t xml:space="preserve">, or something bigger such as committing to lifelong learning, both of which provide skills and knowledge to take through into their future. Abraham Maslow, an American psychologist, believed that adults who return to education, are those who strive to be successful (Maslow, 1968). Maslow created a theory that in life people move through a pyramid which consist of five levels. Individuals start at the bottom of the pyramid named psychological needs, which is basic needs to survive, working their way up the pyramid aiming to attain the highest level, self-actualisation. Maslow understood that adults returning to education were those who wanted to move up the hierarchy pyramid of needs aiming for a lifespan achievement (ibid). However, </w:t>
      </w:r>
      <w:r w:rsidRPr="002E1862">
        <w:rPr>
          <w:rStyle w:val="normaltextrun"/>
          <w:rFonts w:cs="Arial"/>
          <w:sz w:val="24"/>
          <w:szCs w:val="24"/>
          <w:shd w:val="clear" w:color="auto" w:fill="FFFFFF"/>
        </w:rPr>
        <w:t xml:space="preserve">Griffin (2014) acknowledges </w:t>
      </w:r>
      <w:r w:rsidRPr="007D36F8">
        <w:rPr>
          <w:rStyle w:val="normaltextrun"/>
          <w:rFonts w:cs="Arial"/>
          <w:sz w:val="24"/>
          <w:szCs w:val="24"/>
          <w:shd w:val="clear" w:color="auto" w:fill="FFFFFF"/>
        </w:rPr>
        <w:t>that not everyone reaches self-actualisation</w:t>
      </w:r>
      <w:r w:rsidRPr="007D36F8">
        <w:rPr>
          <w:rFonts w:cs="Arial"/>
          <w:sz w:val="24"/>
          <w:szCs w:val="24"/>
          <w:shd w:val="clear" w:color="auto" w:fill="FFFFFF"/>
        </w:rPr>
        <w:t>, for many, progressing passed the first level is sometimes a challenge which lasts a lifetime.</w:t>
      </w:r>
    </w:p>
    <w:p w:rsidR="005D7695" w:rsidRPr="007D36F8" w:rsidRDefault="005D7695" w:rsidP="005D7695">
      <w:pPr>
        <w:tabs>
          <w:tab w:val="left" w:pos="2610"/>
          <w:tab w:val="center" w:pos="4513"/>
        </w:tabs>
        <w:rPr>
          <w:rStyle w:val="normaltextrun"/>
          <w:rFonts w:cs="Arial"/>
          <w:sz w:val="24"/>
          <w:szCs w:val="24"/>
          <w:shd w:val="clear" w:color="auto" w:fill="FFFFFF"/>
        </w:rPr>
      </w:pPr>
      <w:r w:rsidRPr="007D36F8">
        <w:rPr>
          <w:rStyle w:val="normaltextrun"/>
          <w:rFonts w:cs="Arial"/>
          <w:sz w:val="24"/>
          <w:szCs w:val="24"/>
          <w:shd w:val="clear" w:color="auto" w:fill="FFFFFF"/>
        </w:rPr>
        <w:t>A rising number of adult learners are those who are required to study further qualifications for employment purposes (</w:t>
      </w:r>
      <w:proofErr w:type="spellStart"/>
      <w:r w:rsidRPr="007D36F8">
        <w:rPr>
          <w:rStyle w:val="normaltextrun"/>
          <w:rFonts w:cs="Arial"/>
          <w:sz w:val="24"/>
          <w:szCs w:val="24"/>
          <w:shd w:val="clear" w:color="auto" w:fill="FFFFFF"/>
        </w:rPr>
        <w:t>Bossfeld</w:t>
      </w:r>
      <w:proofErr w:type="spellEnd"/>
      <w:r w:rsidRPr="007D36F8">
        <w:rPr>
          <w:rStyle w:val="normaltextrun"/>
          <w:rFonts w:cs="Arial"/>
          <w:sz w:val="24"/>
          <w:szCs w:val="24"/>
          <w:shd w:val="clear" w:color="auto" w:fill="FFFFFF"/>
        </w:rPr>
        <w:t xml:space="preserve"> et al, 2014). However, Foley (2004) acknowledges that in the early twentieth century, careers were served for the whole of an individual’s working life and it was rare for women to work and no need for those who worked to engage in </w:t>
      </w:r>
      <w:r w:rsidRPr="007D36F8">
        <w:rPr>
          <w:rStyle w:val="normaltextrun"/>
          <w:rFonts w:cs="Arial"/>
          <w:sz w:val="24"/>
          <w:szCs w:val="24"/>
          <w:shd w:val="clear" w:color="auto" w:fill="FFFFFF"/>
        </w:rPr>
        <w:lastRenderedPageBreak/>
        <w:t xml:space="preserve">lifelong learning. Lyons et al (2015) clarify that as the years moved on, working trends and occupational change has seen a growing number of adults who decide to return to education due to change in career. A number of those individuals have family and work commitments. Forsyth (2013) and Hirsch (2001) recognise that mature learners who are parents, tend to be extremely organised, manage their time better and find it easy to juggle education, work and family life compared to an individual who does not. The more organised a student is, the more likely they are to complete their education successfully. Edwards (1993) agrees, by adding that adult learners, are usually those who are generally more motivated, and life experiences make it easier for them to connect with their academic studies. However, Cryer (2006) argues that life experiences may have a number of advantages, nonetheless those life experiences may have no relevance to the course. Harley at </w:t>
      </w:r>
      <w:proofErr w:type="spellStart"/>
      <w:r w:rsidRPr="007D36F8">
        <w:rPr>
          <w:rStyle w:val="normaltextrun"/>
          <w:rFonts w:cs="Arial"/>
          <w:sz w:val="24"/>
          <w:szCs w:val="24"/>
          <w:shd w:val="clear" w:color="auto" w:fill="FFFFFF"/>
        </w:rPr>
        <w:t>al</w:t>
      </w:r>
      <w:proofErr w:type="spellEnd"/>
      <w:r w:rsidRPr="007D36F8">
        <w:rPr>
          <w:rStyle w:val="normaltextrun"/>
          <w:rFonts w:cs="Arial"/>
          <w:sz w:val="24"/>
          <w:szCs w:val="24"/>
          <w:shd w:val="clear" w:color="auto" w:fill="FFFFFF"/>
        </w:rPr>
        <w:t xml:space="preserve"> (2018) add that although there seems to be a number of benefits to adult learning, not all adult learners with family and work commitments will agree. Many adult learners would find it difficult to organise their family and work life balance, have problems with finance and struggle finding the time to fit in essay writing or studying for exams (</w:t>
      </w:r>
      <w:r>
        <w:rPr>
          <w:rStyle w:val="normaltextrun"/>
          <w:rFonts w:cs="Arial"/>
          <w:sz w:val="24"/>
          <w:szCs w:val="24"/>
          <w:shd w:val="clear" w:color="auto" w:fill="FFFFFF"/>
        </w:rPr>
        <w:t>ibid</w:t>
      </w:r>
      <w:r w:rsidRPr="007D36F8">
        <w:rPr>
          <w:rStyle w:val="normaltextrun"/>
          <w:rFonts w:cs="Arial"/>
          <w:sz w:val="24"/>
          <w:szCs w:val="24"/>
          <w:shd w:val="clear" w:color="auto" w:fill="FFFFFF"/>
        </w:rPr>
        <w:t xml:space="preserve">). </w:t>
      </w:r>
    </w:p>
    <w:p w:rsidR="005D7695" w:rsidRPr="007D36F8" w:rsidRDefault="005D7695" w:rsidP="005D7695">
      <w:pPr>
        <w:tabs>
          <w:tab w:val="left" w:pos="2610"/>
          <w:tab w:val="center" w:pos="4513"/>
        </w:tabs>
        <w:rPr>
          <w:rStyle w:val="normaltextrun"/>
          <w:rFonts w:cs="Arial"/>
          <w:sz w:val="24"/>
          <w:szCs w:val="24"/>
          <w:shd w:val="clear" w:color="auto" w:fill="FFFFFF"/>
        </w:rPr>
      </w:pPr>
      <w:r w:rsidRPr="007D36F8">
        <w:rPr>
          <w:rStyle w:val="normaltextrun"/>
          <w:rFonts w:cs="Arial"/>
          <w:sz w:val="24"/>
          <w:szCs w:val="24"/>
          <w:shd w:val="clear" w:color="auto" w:fill="FFFFFF"/>
        </w:rPr>
        <w:t xml:space="preserve">Although a small number of students may experience difficulty with education, Boyer et al (2013) acknowledge that lifelong learning, has proven to stimulate enthusiasm in adults and increases self-efficiency and performance. Jasper (2003) identify that universities and colleges introducing evening classes, have made education more accessible to adult learners, stating that convenient learning attracts learners of all ages and abilities to join a programme at times that work around other commitments. </w:t>
      </w:r>
      <w:proofErr w:type="spellStart"/>
      <w:r w:rsidRPr="007D36F8">
        <w:rPr>
          <w:rStyle w:val="normaltextrun"/>
          <w:rFonts w:cs="Arial"/>
          <w:sz w:val="24"/>
          <w:szCs w:val="24"/>
          <w:shd w:val="clear" w:color="auto" w:fill="FFFFFF"/>
        </w:rPr>
        <w:t>Dujolvic</w:t>
      </w:r>
      <w:proofErr w:type="spellEnd"/>
      <w:r w:rsidRPr="007D36F8">
        <w:rPr>
          <w:rStyle w:val="normaltextrun"/>
          <w:rFonts w:cs="Arial"/>
          <w:sz w:val="24"/>
          <w:szCs w:val="24"/>
          <w:shd w:val="clear" w:color="auto" w:fill="FFFFFF"/>
        </w:rPr>
        <w:t xml:space="preserve"> (2015) explains that in recent times, university courses are filled with adults of all ages and abilities, with the average age of prospective graduates rising. However, many mature students who study in </w:t>
      </w:r>
      <w:r w:rsidRPr="007D36F8">
        <w:rPr>
          <w:rStyle w:val="normaltextrun"/>
          <w:rFonts w:cs="Arial"/>
          <w:sz w:val="24"/>
          <w:szCs w:val="24"/>
          <w:shd w:val="clear" w:color="auto" w:fill="FFFFFF"/>
        </w:rPr>
        <w:lastRenderedPageBreak/>
        <w:t xml:space="preserve">the classroom admit they feel too old and sometimes uncomfortable studying in a class full of younger students. </w:t>
      </w:r>
    </w:p>
    <w:p w:rsidR="005D7695" w:rsidRPr="007D36F8" w:rsidRDefault="005D7695" w:rsidP="005D7695">
      <w:pPr>
        <w:tabs>
          <w:tab w:val="left" w:pos="2610"/>
          <w:tab w:val="center" w:pos="4513"/>
        </w:tabs>
        <w:rPr>
          <w:rStyle w:val="normaltextrun"/>
          <w:rFonts w:cs="Arial"/>
          <w:sz w:val="24"/>
          <w:szCs w:val="24"/>
          <w:shd w:val="clear" w:color="auto" w:fill="FFFFFF"/>
        </w:rPr>
      </w:pPr>
      <w:r w:rsidRPr="007D36F8">
        <w:rPr>
          <w:rStyle w:val="normaltextrun"/>
          <w:rFonts w:cs="Arial"/>
          <w:sz w:val="24"/>
          <w:szCs w:val="24"/>
          <w:shd w:val="clear" w:color="auto" w:fill="FFFFFF"/>
        </w:rPr>
        <w:t>In recent years, universities have also acknowledged that many find study too costly, find it difficult to commit to attending lectures, or even that the course they want to study is too far away, and because of this there has be a substantial increase in the number of online courses offered to adult learners. Online learning, also known as distance or e-learning, allows learners to learn at times that suit them best, increases online social interaction and improve learner’s technological skills (University of Birmingham, 2018). Kumar and Lin (2013) correspond, adding that technology is contemporary, and offering students online courses is altering the way schooling is conducted. However, Harley et al (2018) add that although online learning has become increasingly popular in recent years, adults who have been out of the education system for a</w:t>
      </w:r>
      <w:r>
        <w:rPr>
          <w:rStyle w:val="normaltextrun"/>
          <w:rFonts w:cs="Arial"/>
          <w:sz w:val="24"/>
          <w:szCs w:val="24"/>
          <w:shd w:val="clear" w:color="auto" w:fill="FFFFFF"/>
        </w:rPr>
        <w:t xml:space="preserve"> number of years,</w:t>
      </w:r>
      <w:r w:rsidRPr="007D36F8">
        <w:rPr>
          <w:rStyle w:val="normaltextrun"/>
          <w:rFonts w:cs="Arial"/>
          <w:sz w:val="24"/>
          <w:szCs w:val="24"/>
          <w:shd w:val="clear" w:color="auto" w:fill="FFFFFF"/>
        </w:rPr>
        <w:t xml:space="preserve"> may encounter some barriers within their education. Distance learners do not always have teacher support or peer support that a classroom has to offer, and adults returning to education after a number of years may struggle with academia. Adult learners need to be aware that barriers may arise at any time throughout their education, and during those times, students must work harder to manage them. </w:t>
      </w:r>
      <w:proofErr w:type="spellStart"/>
      <w:r w:rsidRPr="007D36F8">
        <w:rPr>
          <w:rStyle w:val="normaltextrun"/>
          <w:rFonts w:cs="Arial"/>
          <w:sz w:val="24"/>
          <w:szCs w:val="24"/>
          <w:shd w:val="clear" w:color="auto" w:fill="FFFFFF"/>
        </w:rPr>
        <w:t>McClincy</w:t>
      </w:r>
      <w:proofErr w:type="spellEnd"/>
      <w:r w:rsidRPr="007D36F8">
        <w:rPr>
          <w:rStyle w:val="normaltextrun"/>
          <w:rFonts w:cs="Arial"/>
          <w:sz w:val="24"/>
          <w:szCs w:val="24"/>
          <w:shd w:val="clear" w:color="auto" w:fill="FFFFFF"/>
        </w:rPr>
        <w:t xml:space="preserve"> (2011) acknowledge that technology may also pose as a barrier to mature learners. Some learners may be computer illiterate, and the older generation in particular, may feel reluctant to use Information Communication Technology (ICT). </w:t>
      </w:r>
    </w:p>
    <w:p w:rsidR="005D7695" w:rsidRPr="007D36F8" w:rsidRDefault="005D7695" w:rsidP="005D7695">
      <w:pPr>
        <w:tabs>
          <w:tab w:val="left" w:pos="2610"/>
          <w:tab w:val="center" w:pos="4513"/>
        </w:tabs>
        <w:rPr>
          <w:rStyle w:val="normaltextrun"/>
          <w:rFonts w:cs="Arial"/>
          <w:sz w:val="24"/>
          <w:szCs w:val="24"/>
          <w:shd w:val="clear" w:color="auto" w:fill="FFFFFF"/>
        </w:rPr>
      </w:pPr>
      <w:r w:rsidRPr="007D36F8">
        <w:rPr>
          <w:rStyle w:val="normaltextrun"/>
          <w:rFonts w:cs="Arial"/>
          <w:sz w:val="24"/>
          <w:szCs w:val="24"/>
          <w:shd w:val="clear" w:color="auto" w:fill="FFFFFF"/>
        </w:rPr>
        <w:t xml:space="preserve">Fogarty and Pete (2017) explain that humanity has an aging population. The learning styles of the younger generation is different to the aging population, therefore has an influence on the way individuals learn. Adult learners are known as andragogic learners mainly because they are in control of their own learning, they are independent self-directed learners and </w:t>
      </w:r>
      <w:r w:rsidRPr="007D36F8">
        <w:rPr>
          <w:rStyle w:val="normaltextrun"/>
          <w:rFonts w:cs="Arial"/>
          <w:sz w:val="24"/>
          <w:szCs w:val="24"/>
          <w:shd w:val="clear" w:color="auto" w:fill="FFFFFF"/>
        </w:rPr>
        <w:lastRenderedPageBreak/>
        <w:t>differ completely to the younger population (ibid). Nevertheless, Woodside et al (2016) explain that education setting</w:t>
      </w:r>
      <w:r>
        <w:rPr>
          <w:rStyle w:val="normaltextrun"/>
          <w:rFonts w:cs="Arial"/>
          <w:sz w:val="24"/>
          <w:szCs w:val="24"/>
          <w:shd w:val="clear" w:color="auto" w:fill="FFFFFF"/>
        </w:rPr>
        <w:t>s</w:t>
      </w:r>
      <w:r w:rsidRPr="007D36F8">
        <w:rPr>
          <w:rStyle w:val="normaltextrun"/>
          <w:rFonts w:cs="Arial"/>
          <w:sz w:val="24"/>
          <w:szCs w:val="24"/>
          <w:shd w:val="clear" w:color="auto" w:fill="FFFFFF"/>
        </w:rPr>
        <w:t xml:space="preserve"> need to be aware of how adults learn and learner ability to ensure each student reaches their full potential. </w:t>
      </w:r>
    </w:p>
    <w:p w:rsidR="005D7695" w:rsidRDefault="005D7695" w:rsidP="005D7695">
      <w:pPr>
        <w:tabs>
          <w:tab w:val="left" w:pos="2610"/>
          <w:tab w:val="center" w:pos="4513"/>
        </w:tabs>
        <w:rPr>
          <w:rStyle w:val="normaltextrun"/>
          <w:rFonts w:cs="Arial"/>
          <w:sz w:val="24"/>
          <w:szCs w:val="24"/>
          <w:shd w:val="clear" w:color="auto" w:fill="FFFFFF"/>
        </w:rPr>
      </w:pPr>
      <w:r w:rsidRPr="000C7DCE">
        <w:rPr>
          <w:rStyle w:val="normaltextrun"/>
          <w:rFonts w:cs="Arial"/>
          <w:sz w:val="24"/>
          <w:szCs w:val="24"/>
          <w:shd w:val="clear" w:color="auto" w:fill="FFFFFF"/>
        </w:rPr>
        <w:t>It is clear that adult learning has become increasingly popular in the twenty first century, primarily because of the accessibility of education in the modern day. Adult learning has a number of benefits not only for employment purposes, but also for personal development. Adult learning clearly has a substantial amount of benefits to offer, however settings need to be aware of the impact classroom learning may have on older students. By embracing adult learning, education settings are establishing a base for equality as well as creating educated communities.</w:t>
      </w:r>
    </w:p>
    <w:p w:rsidR="005D7695" w:rsidRDefault="005D7695" w:rsidP="005D7695">
      <w:pPr>
        <w:tabs>
          <w:tab w:val="left" w:pos="2610"/>
          <w:tab w:val="center" w:pos="4513"/>
        </w:tabs>
        <w:rPr>
          <w:rStyle w:val="normaltextrun"/>
          <w:rFonts w:cs="Arial"/>
          <w:sz w:val="24"/>
          <w:szCs w:val="24"/>
          <w:shd w:val="clear" w:color="auto" w:fill="FFFFFF"/>
        </w:rPr>
      </w:pPr>
    </w:p>
    <w:p w:rsidR="005D7695" w:rsidRDefault="005D7695" w:rsidP="005D7695">
      <w:pPr>
        <w:tabs>
          <w:tab w:val="left" w:pos="2610"/>
          <w:tab w:val="center" w:pos="4513"/>
        </w:tabs>
        <w:rPr>
          <w:rStyle w:val="normaltextrun"/>
          <w:rFonts w:cs="Arial"/>
          <w:sz w:val="24"/>
          <w:szCs w:val="24"/>
          <w:shd w:val="clear" w:color="auto" w:fill="FFFFFF"/>
        </w:rPr>
      </w:pPr>
    </w:p>
    <w:p w:rsidR="005D7695" w:rsidRDefault="005D7695" w:rsidP="005D7695">
      <w:pPr>
        <w:tabs>
          <w:tab w:val="left" w:pos="2610"/>
          <w:tab w:val="center" w:pos="4513"/>
        </w:tabs>
        <w:rPr>
          <w:rStyle w:val="normaltextrun"/>
          <w:rFonts w:cs="Arial"/>
          <w:sz w:val="24"/>
          <w:szCs w:val="24"/>
          <w:shd w:val="clear" w:color="auto" w:fill="FFFFFF"/>
        </w:rPr>
      </w:pPr>
    </w:p>
    <w:p w:rsidR="005D7695" w:rsidRDefault="005D7695" w:rsidP="005D7695">
      <w:pPr>
        <w:tabs>
          <w:tab w:val="left" w:pos="2610"/>
          <w:tab w:val="center" w:pos="4513"/>
        </w:tabs>
        <w:rPr>
          <w:rStyle w:val="normaltextrun"/>
          <w:rFonts w:cs="Arial"/>
          <w:sz w:val="24"/>
          <w:szCs w:val="24"/>
          <w:shd w:val="clear" w:color="auto" w:fill="FFFFFF"/>
        </w:rPr>
      </w:pPr>
    </w:p>
    <w:p w:rsidR="005D7695" w:rsidRDefault="005D7695" w:rsidP="005D7695">
      <w:pPr>
        <w:tabs>
          <w:tab w:val="left" w:pos="2610"/>
          <w:tab w:val="center" w:pos="4513"/>
        </w:tabs>
        <w:rPr>
          <w:rStyle w:val="normaltextrun"/>
          <w:rFonts w:cs="Arial"/>
          <w:sz w:val="24"/>
          <w:szCs w:val="24"/>
          <w:shd w:val="clear" w:color="auto" w:fill="FFFFFF"/>
        </w:rPr>
      </w:pPr>
    </w:p>
    <w:p w:rsidR="005D7695" w:rsidRDefault="005D7695" w:rsidP="005D7695">
      <w:pPr>
        <w:tabs>
          <w:tab w:val="left" w:pos="2610"/>
          <w:tab w:val="center" w:pos="4513"/>
        </w:tabs>
        <w:rPr>
          <w:rStyle w:val="normaltextrun"/>
          <w:rFonts w:cs="Arial"/>
          <w:sz w:val="24"/>
          <w:szCs w:val="24"/>
          <w:shd w:val="clear" w:color="auto" w:fill="FFFFFF"/>
        </w:rPr>
      </w:pPr>
    </w:p>
    <w:p w:rsidR="005D7695" w:rsidRDefault="005D7695" w:rsidP="005D7695">
      <w:pPr>
        <w:tabs>
          <w:tab w:val="left" w:pos="2610"/>
          <w:tab w:val="center" w:pos="4513"/>
        </w:tabs>
        <w:rPr>
          <w:rStyle w:val="normaltextrun"/>
          <w:rFonts w:cs="Arial"/>
          <w:sz w:val="24"/>
          <w:szCs w:val="24"/>
          <w:shd w:val="clear" w:color="auto" w:fill="FFFFFF"/>
        </w:rPr>
      </w:pPr>
    </w:p>
    <w:p w:rsidR="005D7695" w:rsidRDefault="005D7695" w:rsidP="005D7695">
      <w:pPr>
        <w:tabs>
          <w:tab w:val="left" w:pos="2610"/>
          <w:tab w:val="center" w:pos="4513"/>
        </w:tabs>
        <w:rPr>
          <w:rStyle w:val="normaltextrun"/>
          <w:rFonts w:cs="Arial"/>
          <w:sz w:val="24"/>
          <w:szCs w:val="24"/>
          <w:shd w:val="clear" w:color="auto" w:fill="FFFFFF"/>
        </w:rPr>
      </w:pPr>
    </w:p>
    <w:p w:rsidR="005D7695" w:rsidRDefault="005D7695" w:rsidP="005D7695">
      <w:pPr>
        <w:tabs>
          <w:tab w:val="left" w:pos="2610"/>
          <w:tab w:val="center" w:pos="4513"/>
        </w:tabs>
        <w:rPr>
          <w:rStyle w:val="normaltextrun"/>
          <w:rFonts w:cs="Arial"/>
          <w:sz w:val="24"/>
          <w:szCs w:val="24"/>
          <w:shd w:val="clear" w:color="auto" w:fill="FFFFFF"/>
        </w:rPr>
      </w:pPr>
    </w:p>
    <w:p w:rsidR="005D7695" w:rsidRDefault="005D7695" w:rsidP="005D7695">
      <w:pPr>
        <w:jc w:val="center"/>
        <w:rPr>
          <w:b/>
          <w:sz w:val="24"/>
          <w:szCs w:val="24"/>
        </w:rPr>
      </w:pPr>
      <w:r>
        <w:rPr>
          <w:b/>
          <w:sz w:val="24"/>
          <w:szCs w:val="24"/>
        </w:rPr>
        <w:lastRenderedPageBreak/>
        <w:t>References</w:t>
      </w:r>
      <w:r>
        <w:rPr>
          <w:b/>
          <w:sz w:val="24"/>
          <w:szCs w:val="24"/>
        </w:rPr>
        <w:t xml:space="preserve"> – Adult Learning</w:t>
      </w:r>
    </w:p>
    <w:p w:rsidR="005D7695" w:rsidRDefault="005D7695" w:rsidP="005D7695">
      <w:pPr>
        <w:pStyle w:val="NoSpacing"/>
        <w:rPr>
          <w:sz w:val="24"/>
          <w:szCs w:val="24"/>
        </w:rPr>
      </w:pPr>
      <w:proofErr w:type="spellStart"/>
      <w:r>
        <w:rPr>
          <w:sz w:val="24"/>
          <w:szCs w:val="24"/>
        </w:rPr>
        <w:t>Bossfeld</w:t>
      </w:r>
      <w:proofErr w:type="spellEnd"/>
      <w:r>
        <w:rPr>
          <w:sz w:val="24"/>
          <w:szCs w:val="24"/>
        </w:rPr>
        <w:t xml:space="preserve">, H., </w:t>
      </w:r>
      <w:proofErr w:type="spellStart"/>
      <w:r>
        <w:rPr>
          <w:sz w:val="24"/>
          <w:szCs w:val="24"/>
        </w:rPr>
        <w:t>Kilpi-Jakonen</w:t>
      </w:r>
      <w:proofErr w:type="spellEnd"/>
      <w:r>
        <w:rPr>
          <w:sz w:val="24"/>
          <w:szCs w:val="24"/>
        </w:rPr>
        <w:t xml:space="preserve">, E., </w:t>
      </w:r>
      <w:proofErr w:type="spellStart"/>
      <w:r>
        <w:rPr>
          <w:sz w:val="24"/>
          <w:szCs w:val="24"/>
        </w:rPr>
        <w:t>Vono</w:t>
      </w:r>
      <w:proofErr w:type="spellEnd"/>
      <w:r>
        <w:rPr>
          <w:sz w:val="24"/>
          <w:szCs w:val="24"/>
        </w:rPr>
        <w:t xml:space="preserve"> De </w:t>
      </w:r>
      <w:proofErr w:type="spellStart"/>
      <w:r>
        <w:rPr>
          <w:sz w:val="24"/>
          <w:szCs w:val="24"/>
        </w:rPr>
        <w:t>Vilhena</w:t>
      </w:r>
      <w:proofErr w:type="spellEnd"/>
      <w:r>
        <w:rPr>
          <w:sz w:val="24"/>
          <w:szCs w:val="24"/>
        </w:rPr>
        <w:t>, D. and Buchholz, S. (2014)</w:t>
      </w:r>
      <w:r>
        <w:rPr>
          <w:i/>
          <w:sz w:val="24"/>
          <w:szCs w:val="24"/>
        </w:rPr>
        <w:t xml:space="preserve"> Adult Learning in Modern Societies: An International Comparison from Life-course Perspective</w:t>
      </w:r>
      <w:r>
        <w:rPr>
          <w:sz w:val="24"/>
          <w:szCs w:val="24"/>
        </w:rPr>
        <w:t>. Cheltenham: Elgar</w:t>
      </w:r>
    </w:p>
    <w:p w:rsidR="005D7695" w:rsidRDefault="005D7695" w:rsidP="005D7695">
      <w:pPr>
        <w:pStyle w:val="NoSpacing"/>
        <w:rPr>
          <w:sz w:val="24"/>
          <w:szCs w:val="24"/>
        </w:rPr>
      </w:pPr>
    </w:p>
    <w:p w:rsidR="005D7695" w:rsidRDefault="005D7695" w:rsidP="005D7695">
      <w:pPr>
        <w:pStyle w:val="NoSpacing"/>
        <w:rPr>
          <w:sz w:val="24"/>
          <w:szCs w:val="24"/>
        </w:rPr>
      </w:pPr>
      <w:r>
        <w:rPr>
          <w:sz w:val="24"/>
          <w:szCs w:val="24"/>
        </w:rPr>
        <w:t xml:space="preserve">Boyer, S. L., </w:t>
      </w:r>
      <w:proofErr w:type="spellStart"/>
      <w:r>
        <w:rPr>
          <w:sz w:val="24"/>
          <w:szCs w:val="24"/>
        </w:rPr>
        <w:t>Edmonson</w:t>
      </w:r>
      <w:proofErr w:type="spellEnd"/>
      <w:r>
        <w:rPr>
          <w:sz w:val="24"/>
          <w:szCs w:val="24"/>
        </w:rPr>
        <w:t xml:space="preserve">, D. R., </w:t>
      </w:r>
      <w:proofErr w:type="spellStart"/>
      <w:r>
        <w:rPr>
          <w:sz w:val="24"/>
          <w:szCs w:val="24"/>
        </w:rPr>
        <w:t>Artis</w:t>
      </w:r>
      <w:proofErr w:type="spellEnd"/>
      <w:r>
        <w:rPr>
          <w:sz w:val="24"/>
          <w:szCs w:val="24"/>
        </w:rPr>
        <w:t>, A. B. and Fleming, D. (2013) Self-Directed Learning: A Tool for Lifelong Learning,</w:t>
      </w:r>
      <w:r>
        <w:rPr>
          <w:i/>
          <w:sz w:val="24"/>
          <w:szCs w:val="24"/>
        </w:rPr>
        <w:t xml:space="preserve"> Journal of Marketing Education</w:t>
      </w:r>
      <w:r>
        <w:rPr>
          <w:sz w:val="24"/>
          <w:szCs w:val="24"/>
        </w:rPr>
        <w:t>. Vol. 36 (1), pp. 20-32</w:t>
      </w:r>
    </w:p>
    <w:p w:rsidR="005D7695" w:rsidRDefault="005D7695" w:rsidP="005D7695">
      <w:pPr>
        <w:pStyle w:val="NoSpacing"/>
        <w:rPr>
          <w:sz w:val="24"/>
          <w:szCs w:val="24"/>
        </w:rPr>
      </w:pPr>
    </w:p>
    <w:p w:rsidR="005D7695" w:rsidRDefault="005D7695" w:rsidP="005D7695">
      <w:pPr>
        <w:pStyle w:val="NoSpacing"/>
        <w:rPr>
          <w:sz w:val="24"/>
          <w:szCs w:val="24"/>
        </w:rPr>
      </w:pPr>
      <w:r>
        <w:rPr>
          <w:sz w:val="24"/>
          <w:szCs w:val="24"/>
        </w:rPr>
        <w:t xml:space="preserve">Cryer, P. (2006) </w:t>
      </w:r>
      <w:r>
        <w:rPr>
          <w:i/>
          <w:sz w:val="24"/>
          <w:szCs w:val="24"/>
        </w:rPr>
        <w:t>The Research Student’s Guide to Success</w:t>
      </w:r>
      <w:r>
        <w:rPr>
          <w:sz w:val="24"/>
          <w:szCs w:val="24"/>
        </w:rPr>
        <w:t>. 3</w:t>
      </w:r>
      <w:r>
        <w:rPr>
          <w:sz w:val="24"/>
          <w:szCs w:val="24"/>
          <w:vertAlign w:val="superscript"/>
        </w:rPr>
        <w:t>rd</w:t>
      </w:r>
      <w:r>
        <w:rPr>
          <w:sz w:val="24"/>
          <w:szCs w:val="24"/>
        </w:rPr>
        <w:t xml:space="preserve"> Edition. Maidenhead: Open University Press</w:t>
      </w:r>
    </w:p>
    <w:p w:rsidR="005D7695" w:rsidRDefault="005D7695" w:rsidP="005D7695">
      <w:pPr>
        <w:pStyle w:val="NoSpacing"/>
        <w:rPr>
          <w:sz w:val="24"/>
          <w:szCs w:val="24"/>
        </w:rPr>
      </w:pPr>
    </w:p>
    <w:p w:rsidR="005D7695" w:rsidRDefault="005D7695" w:rsidP="005D7695">
      <w:pPr>
        <w:pStyle w:val="NoSpacing"/>
        <w:rPr>
          <w:sz w:val="24"/>
          <w:szCs w:val="24"/>
        </w:rPr>
      </w:pPr>
      <w:proofErr w:type="spellStart"/>
      <w:r>
        <w:rPr>
          <w:sz w:val="24"/>
          <w:szCs w:val="24"/>
        </w:rPr>
        <w:t>Dujlovic</w:t>
      </w:r>
      <w:proofErr w:type="spellEnd"/>
      <w:r>
        <w:rPr>
          <w:sz w:val="24"/>
          <w:szCs w:val="24"/>
        </w:rPr>
        <w:t xml:space="preserve">, A. (2015) </w:t>
      </w:r>
      <w:r>
        <w:rPr>
          <w:i/>
          <w:sz w:val="24"/>
          <w:szCs w:val="24"/>
        </w:rPr>
        <w:t>Why Learning as an Adult can Increase Life Satisfaction</w:t>
      </w:r>
      <w:r>
        <w:rPr>
          <w:sz w:val="24"/>
          <w:szCs w:val="24"/>
        </w:rPr>
        <w:t xml:space="preserve"> [online] Available at: https://www.britishcouncil.org/voices-magazine/why-learning-adult-can-increase-life-satisfaction (accessed 09/05/2018)</w:t>
      </w:r>
    </w:p>
    <w:p w:rsidR="005D7695" w:rsidRDefault="005D7695" w:rsidP="005D7695">
      <w:pPr>
        <w:pStyle w:val="NoSpacing"/>
        <w:rPr>
          <w:sz w:val="24"/>
          <w:szCs w:val="24"/>
        </w:rPr>
      </w:pPr>
    </w:p>
    <w:p w:rsidR="005D7695" w:rsidRDefault="005D7695" w:rsidP="005D7695">
      <w:pPr>
        <w:pStyle w:val="NoSpacing"/>
        <w:rPr>
          <w:sz w:val="24"/>
          <w:szCs w:val="24"/>
        </w:rPr>
      </w:pPr>
      <w:r>
        <w:rPr>
          <w:sz w:val="24"/>
          <w:szCs w:val="24"/>
        </w:rPr>
        <w:t xml:space="preserve">Edwards, R. (2003) </w:t>
      </w:r>
      <w:r>
        <w:rPr>
          <w:i/>
          <w:sz w:val="24"/>
          <w:szCs w:val="24"/>
        </w:rPr>
        <w:t>Mature Women Students: Separating or Connecting Family and Education</w:t>
      </w:r>
      <w:r>
        <w:rPr>
          <w:sz w:val="24"/>
          <w:szCs w:val="24"/>
        </w:rPr>
        <w:t>. London: Sage</w:t>
      </w:r>
    </w:p>
    <w:p w:rsidR="005D7695" w:rsidRDefault="005D7695" w:rsidP="005D7695">
      <w:pPr>
        <w:pStyle w:val="NoSpacing"/>
        <w:rPr>
          <w:sz w:val="24"/>
          <w:szCs w:val="24"/>
        </w:rPr>
      </w:pPr>
    </w:p>
    <w:p w:rsidR="005D7695" w:rsidRDefault="005D7695" w:rsidP="005D7695">
      <w:pPr>
        <w:pStyle w:val="NoSpacing"/>
        <w:rPr>
          <w:sz w:val="24"/>
          <w:szCs w:val="24"/>
        </w:rPr>
      </w:pPr>
      <w:r>
        <w:rPr>
          <w:sz w:val="24"/>
          <w:szCs w:val="24"/>
        </w:rPr>
        <w:t>Fogarty, R. J. and Pete, B. M. (2017) From Staff Room to Classroom: A Guide for Planning and Coaching Professional Development. Thousand Oaks, CA: Corwin Press</w:t>
      </w:r>
    </w:p>
    <w:p w:rsidR="005D7695" w:rsidRDefault="005D7695" w:rsidP="005D7695">
      <w:pPr>
        <w:pStyle w:val="NoSpacing"/>
        <w:rPr>
          <w:sz w:val="24"/>
          <w:szCs w:val="24"/>
        </w:rPr>
      </w:pPr>
    </w:p>
    <w:p w:rsidR="005D7695" w:rsidRDefault="005D7695" w:rsidP="005D7695">
      <w:pPr>
        <w:pStyle w:val="NoSpacing"/>
        <w:rPr>
          <w:sz w:val="24"/>
          <w:szCs w:val="24"/>
        </w:rPr>
      </w:pPr>
      <w:r>
        <w:rPr>
          <w:sz w:val="24"/>
          <w:szCs w:val="24"/>
        </w:rPr>
        <w:t xml:space="preserve">Foley, G. (2004) </w:t>
      </w:r>
      <w:r>
        <w:rPr>
          <w:i/>
          <w:sz w:val="24"/>
          <w:szCs w:val="24"/>
        </w:rPr>
        <w:t>Dimensions of Adult Learning</w:t>
      </w:r>
      <w:r>
        <w:rPr>
          <w:sz w:val="24"/>
          <w:szCs w:val="24"/>
        </w:rPr>
        <w:t>. Maidenhead: Open University Press</w:t>
      </w:r>
    </w:p>
    <w:p w:rsidR="005D7695" w:rsidRDefault="005D7695" w:rsidP="005D7695">
      <w:pPr>
        <w:pStyle w:val="NoSpacing"/>
        <w:rPr>
          <w:sz w:val="24"/>
          <w:szCs w:val="24"/>
        </w:rPr>
      </w:pPr>
    </w:p>
    <w:p w:rsidR="005D7695" w:rsidRDefault="005D7695" w:rsidP="005D7695">
      <w:pPr>
        <w:pStyle w:val="NoSpacing"/>
        <w:rPr>
          <w:sz w:val="24"/>
          <w:szCs w:val="24"/>
        </w:rPr>
      </w:pPr>
      <w:r>
        <w:rPr>
          <w:sz w:val="24"/>
          <w:szCs w:val="24"/>
        </w:rPr>
        <w:t xml:space="preserve">Forsyth, P. (2013) </w:t>
      </w:r>
      <w:r>
        <w:rPr>
          <w:i/>
          <w:sz w:val="24"/>
          <w:szCs w:val="24"/>
        </w:rPr>
        <w:t>Successful Time Management.</w:t>
      </w:r>
      <w:r>
        <w:rPr>
          <w:sz w:val="24"/>
          <w:szCs w:val="24"/>
        </w:rPr>
        <w:t xml:space="preserve"> Third Edition. London: </w:t>
      </w:r>
      <w:proofErr w:type="spellStart"/>
      <w:r>
        <w:rPr>
          <w:sz w:val="24"/>
          <w:szCs w:val="24"/>
        </w:rPr>
        <w:t>Kogan</w:t>
      </w:r>
      <w:proofErr w:type="spellEnd"/>
      <w:r>
        <w:rPr>
          <w:sz w:val="24"/>
          <w:szCs w:val="24"/>
        </w:rPr>
        <w:t xml:space="preserve"> Page Limited</w:t>
      </w:r>
    </w:p>
    <w:p w:rsidR="005D7695" w:rsidRDefault="005D7695" w:rsidP="005D7695">
      <w:pPr>
        <w:pStyle w:val="NoSpacing"/>
        <w:rPr>
          <w:sz w:val="24"/>
          <w:szCs w:val="24"/>
          <w:lang w:val="en"/>
        </w:rPr>
      </w:pPr>
    </w:p>
    <w:p w:rsidR="005D7695" w:rsidRDefault="005D7695" w:rsidP="005D7695">
      <w:pPr>
        <w:pStyle w:val="NoSpacing"/>
        <w:rPr>
          <w:sz w:val="24"/>
          <w:szCs w:val="24"/>
        </w:rPr>
      </w:pPr>
      <w:r>
        <w:rPr>
          <w:sz w:val="24"/>
          <w:szCs w:val="24"/>
          <w:lang w:val="en"/>
        </w:rPr>
        <w:t>Griffin, R. (2014)</w:t>
      </w:r>
      <w:r>
        <w:rPr>
          <w:sz w:val="24"/>
          <w:szCs w:val="24"/>
        </w:rPr>
        <w:t xml:space="preserve"> Education in Indigenous, Nomadic and Travelling Communities. London: A and C Black Publishers </w:t>
      </w:r>
    </w:p>
    <w:p w:rsidR="005D7695" w:rsidRDefault="005D7695" w:rsidP="005D7695">
      <w:pPr>
        <w:pStyle w:val="NoSpacing"/>
        <w:rPr>
          <w:sz w:val="24"/>
          <w:szCs w:val="24"/>
        </w:rPr>
      </w:pPr>
    </w:p>
    <w:p w:rsidR="005D7695" w:rsidRDefault="005D7695" w:rsidP="005D7695">
      <w:pPr>
        <w:pStyle w:val="NoSpacing"/>
        <w:rPr>
          <w:sz w:val="24"/>
          <w:szCs w:val="24"/>
        </w:rPr>
      </w:pPr>
      <w:r>
        <w:rPr>
          <w:sz w:val="24"/>
          <w:szCs w:val="24"/>
        </w:rPr>
        <w:t xml:space="preserve">Harley, D. A., </w:t>
      </w:r>
      <w:proofErr w:type="spellStart"/>
      <w:r>
        <w:rPr>
          <w:sz w:val="24"/>
          <w:szCs w:val="24"/>
        </w:rPr>
        <w:t>Yasai</w:t>
      </w:r>
      <w:proofErr w:type="spellEnd"/>
      <w:r>
        <w:rPr>
          <w:sz w:val="24"/>
          <w:szCs w:val="24"/>
        </w:rPr>
        <w:t xml:space="preserve">, N. A., Bishop. M. L. and </w:t>
      </w:r>
      <w:proofErr w:type="spellStart"/>
      <w:r>
        <w:rPr>
          <w:sz w:val="24"/>
          <w:szCs w:val="24"/>
        </w:rPr>
        <w:t>Felming</w:t>
      </w:r>
      <w:proofErr w:type="spellEnd"/>
      <w:r>
        <w:rPr>
          <w:sz w:val="24"/>
          <w:szCs w:val="24"/>
        </w:rPr>
        <w:t xml:space="preserve">, A. R. (2018) </w:t>
      </w:r>
      <w:r>
        <w:rPr>
          <w:i/>
          <w:sz w:val="24"/>
          <w:szCs w:val="24"/>
        </w:rPr>
        <w:t>Disability and Vocational Rehabilitation in Rural Settings: Challenges to Service Delivery</w:t>
      </w:r>
      <w:r>
        <w:rPr>
          <w:sz w:val="24"/>
          <w:szCs w:val="24"/>
        </w:rPr>
        <w:t>. New York: Springer</w:t>
      </w:r>
    </w:p>
    <w:p w:rsidR="005D7695" w:rsidRDefault="005D7695" w:rsidP="005D7695">
      <w:pPr>
        <w:pStyle w:val="NoSpacing"/>
        <w:rPr>
          <w:sz w:val="24"/>
          <w:szCs w:val="24"/>
        </w:rPr>
      </w:pPr>
    </w:p>
    <w:p w:rsidR="005D7695" w:rsidRDefault="005D7695" w:rsidP="005D7695">
      <w:pPr>
        <w:pStyle w:val="NoSpacing"/>
        <w:rPr>
          <w:sz w:val="24"/>
          <w:szCs w:val="24"/>
        </w:rPr>
      </w:pPr>
      <w:r>
        <w:rPr>
          <w:sz w:val="24"/>
          <w:szCs w:val="24"/>
        </w:rPr>
        <w:t xml:space="preserve">Hirsch, G. (2001) </w:t>
      </w:r>
      <w:r>
        <w:rPr>
          <w:i/>
          <w:sz w:val="24"/>
          <w:szCs w:val="24"/>
        </w:rPr>
        <w:t>Helping College Students Succeed: A Model for Effective Intervention.</w:t>
      </w:r>
      <w:r>
        <w:rPr>
          <w:sz w:val="24"/>
          <w:szCs w:val="24"/>
        </w:rPr>
        <w:t xml:space="preserve"> Hove Brunner-Routledge</w:t>
      </w:r>
    </w:p>
    <w:p w:rsidR="005D7695" w:rsidRDefault="005D7695" w:rsidP="005D7695">
      <w:pPr>
        <w:pStyle w:val="NoSpacing"/>
        <w:rPr>
          <w:rFonts w:cs="Arial"/>
          <w:spacing w:val="5"/>
          <w:sz w:val="24"/>
          <w:szCs w:val="24"/>
          <w:shd w:val="clear" w:color="auto" w:fill="FFFFFF"/>
        </w:rPr>
      </w:pPr>
    </w:p>
    <w:p w:rsidR="005D7695" w:rsidRDefault="005D7695" w:rsidP="005D7695">
      <w:pPr>
        <w:pStyle w:val="NoSpacing"/>
        <w:rPr>
          <w:rFonts w:cs="Arial"/>
          <w:spacing w:val="5"/>
          <w:sz w:val="24"/>
          <w:szCs w:val="24"/>
          <w:shd w:val="clear" w:color="auto" w:fill="FFFFFF"/>
        </w:rPr>
      </w:pPr>
      <w:r>
        <w:rPr>
          <w:rFonts w:cs="Arial"/>
          <w:spacing w:val="5"/>
          <w:sz w:val="24"/>
          <w:szCs w:val="24"/>
          <w:shd w:val="clear" w:color="auto" w:fill="FFFFFF"/>
        </w:rPr>
        <w:t xml:space="preserve">Jasper, M. (2003) </w:t>
      </w:r>
      <w:r>
        <w:rPr>
          <w:rFonts w:cs="Arial"/>
          <w:i/>
          <w:spacing w:val="5"/>
          <w:sz w:val="24"/>
          <w:szCs w:val="24"/>
          <w:shd w:val="clear" w:color="auto" w:fill="FFFFFF"/>
        </w:rPr>
        <w:t>Beginning Reflective Practice</w:t>
      </w:r>
      <w:r>
        <w:rPr>
          <w:rFonts w:cs="Arial"/>
          <w:spacing w:val="5"/>
          <w:sz w:val="24"/>
          <w:szCs w:val="24"/>
          <w:shd w:val="clear" w:color="auto" w:fill="FFFFFF"/>
        </w:rPr>
        <w:t>. Cheltenham: Nelson Thornes</w:t>
      </w:r>
    </w:p>
    <w:p w:rsidR="005D7695" w:rsidRDefault="005D7695" w:rsidP="005D7695">
      <w:pPr>
        <w:pStyle w:val="NoSpacing"/>
        <w:rPr>
          <w:rFonts w:cs="Arial"/>
          <w:spacing w:val="5"/>
          <w:sz w:val="24"/>
          <w:szCs w:val="24"/>
          <w:shd w:val="clear" w:color="auto" w:fill="FFFFFF"/>
        </w:rPr>
      </w:pPr>
    </w:p>
    <w:p w:rsidR="005D7695" w:rsidRDefault="005D7695" w:rsidP="005D7695">
      <w:pPr>
        <w:pStyle w:val="NoSpacing"/>
        <w:rPr>
          <w:rFonts w:cs="Arial"/>
          <w:spacing w:val="5"/>
          <w:sz w:val="24"/>
          <w:szCs w:val="24"/>
          <w:shd w:val="clear" w:color="auto" w:fill="FFFFFF"/>
        </w:rPr>
      </w:pPr>
      <w:r>
        <w:rPr>
          <w:rFonts w:cs="Arial"/>
          <w:spacing w:val="5"/>
          <w:sz w:val="24"/>
          <w:szCs w:val="24"/>
          <w:shd w:val="clear" w:color="auto" w:fill="FFFFFF"/>
        </w:rPr>
        <w:t xml:space="preserve">Kumar, V. and Lin, F. (2013) </w:t>
      </w:r>
      <w:r>
        <w:rPr>
          <w:rFonts w:cs="Arial"/>
          <w:i/>
          <w:spacing w:val="5"/>
          <w:sz w:val="24"/>
          <w:szCs w:val="24"/>
          <w:shd w:val="clear" w:color="auto" w:fill="FFFFFF"/>
        </w:rPr>
        <w:t>Systems and Technology Advancements in Distance Learning</w:t>
      </w:r>
      <w:r>
        <w:rPr>
          <w:rFonts w:cs="Arial"/>
          <w:spacing w:val="5"/>
          <w:sz w:val="24"/>
          <w:szCs w:val="24"/>
          <w:shd w:val="clear" w:color="auto" w:fill="FFFFFF"/>
        </w:rPr>
        <w:t>. Washington: Library of Congress</w:t>
      </w:r>
    </w:p>
    <w:p w:rsidR="005D7695" w:rsidRDefault="005D7695" w:rsidP="005D7695">
      <w:pPr>
        <w:pStyle w:val="NoSpacing"/>
        <w:rPr>
          <w:sz w:val="24"/>
          <w:szCs w:val="24"/>
        </w:rPr>
      </w:pPr>
    </w:p>
    <w:p w:rsidR="005D7695" w:rsidRDefault="005D7695" w:rsidP="005D7695">
      <w:pPr>
        <w:pStyle w:val="NoSpacing"/>
        <w:rPr>
          <w:rFonts w:cs="Arial"/>
          <w:spacing w:val="5"/>
          <w:sz w:val="24"/>
          <w:szCs w:val="24"/>
          <w:shd w:val="clear" w:color="auto" w:fill="FFFFFF"/>
        </w:rPr>
      </w:pPr>
      <w:r>
        <w:rPr>
          <w:sz w:val="24"/>
          <w:szCs w:val="24"/>
        </w:rPr>
        <w:t xml:space="preserve">Lyons, S. T., Schweitzer, L. and Eddy S. W. (2015) </w:t>
      </w:r>
      <w:r>
        <w:rPr>
          <w:rFonts w:cs="Arial"/>
          <w:spacing w:val="5"/>
          <w:sz w:val="24"/>
          <w:szCs w:val="24"/>
          <w:shd w:val="clear" w:color="auto" w:fill="FFFFFF"/>
        </w:rPr>
        <w:t>"How Have Careers Changed? An Investigation of Changing Career Patterns across Four Generations</w:t>
      </w:r>
      <w:r>
        <w:rPr>
          <w:rFonts w:cs="Arial"/>
          <w:i/>
          <w:spacing w:val="5"/>
          <w:sz w:val="24"/>
          <w:szCs w:val="24"/>
          <w:shd w:val="clear" w:color="auto" w:fill="FFFFFF"/>
        </w:rPr>
        <w:t>", </w:t>
      </w:r>
      <w:r>
        <w:rPr>
          <w:i/>
          <w:sz w:val="24"/>
          <w:szCs w:val="24"/>
        </w:rPr>
        <w:t>Journal of Managerial Psychology</w:t>
      </w:r>
      <w:r>
        <w:rPr>
          <w:rFonts w:cs="Arial"/>
          <w:spacing w:val="5"/>
          <w:sz w:val="24"/>
          <w:szCs w:val="24"/>
          <w:shd w:val="clear" w:color="auto" w:fill="FFFFFF"/>
        </w:rPr>
        <w:t>, Vol. 30 (1), pp 8-21</w:t>
      </w:r>
    </w:p>
    <w:p w:rsidR="005D7695" w:rsidRDefault="005D7695" w:rsidP="005D7695">
      <w:pPr>
        <w:pStyle w:val="NoSpacing"/>
        <w:rPr>
          <w:sz w:val="24"/>
          <w:szCs w:val="24"/>
        </w:rPr>
      </w:pPr>
    </w:p>
    <w:p w:rsidR="005D7695" w:rsidRDefault="005D7695" w:rsidP="005D7695">
      <w:pPr>
        <w:pStyle w:val="NoSpacing"/>
        <w:rPr>
          <w:sz w:val="24"/>
          <w:szCs w:val="24"/>
        </w:rPr>
      </w:pPr>
      <w:r>
        <w:rPr>
          <w:sz w:val="24"/>
          <w:szCs w:val="24"/>
        </w:rPr>
        <w:t>Maslow, A. (1968)</w:t>
      </w:r>
      <w:r>
        <w:rPr>
          <w:i/>
          <w:sz w:val="24"/>
          <w:szCs w:val="24"/>
        </w:rPr>
        <w:t xml:space="preserve"> Towards a Psychology of Being</w:t>
      </w:r>
      <w:r>
        <w:rPr>
          <w:sz w:val="24"/>
          <w:szCs w:val="24"/>
        </w:rPr>
        <w:t xml:space="preserve">. New York: Van </w:t>
      </w:r>
      <w:proofErr w:type="spellStart"/>
      <w:r>
        <w:rPr>
          <w:sz w:val="24"/>
          <w:szCs w:val="24"/>
        </w:rPr>
        <w:t>Nostrand</w:t>
      </w:r>
      <w:proofErr w:type="spellEnd"/>
    </w:p>
    <w:p w:rsidR="005D7695" w:rsidRDefault="005D7695" w:rsidP="005D7695">
      <w:pPr>
        <w:pStyle w:val="NoSpacing"/>
        <w:rPr>
          <w:sz w:val="24"/>
          <w:szCs w:val="24"/>
        </w:rPr>
      </w:pPr>
    </w:p>
    <w:p w:rsidR="005D7695" w:rsidRDefault="005D7695" w:rsidP="005D7695">
      <w:pPr>
        <w:pStyle w:val="NoSpacing"/>
        <w:rPr>
          <w:sz w:val="24"/>
          <w:szCs w:val="24"/>
        </w:rPr>
      </w:pPr>
      <w:proofErr w:type="spellStart"/>
      <w:r>
        <w:rPr>
          <w:sz w:val="24"/>
          <w:szCs w:val="24"/>
        </w:rPr>
        <w:lastRenderedPageBreak/>
        <w:t>McClincy</w:t>
      </w:r>
      <w:proofErr w:type="spellEnd"/>
      <w:r>
        <w:rPr>
          <w:sz w:val="24"/>
          <w:szCs w:val="24"/>
        </w:rPr>
        <w:t xml:space="preserve">, W. (2011) </w:t>
      </w:r>
      <w:r>
        <w:rPr>
          <w:i/>
          <w:sz w:val="24"/>
          <w:szCs w:val="24"/>
        </w:rPr>
        <w:t>Instructional Methods for Public Safety.</w:t>
      </w:r>
      <w:r>
        <w:rPr>
          <w:sz w:val="24"/>
          <w:szCs w:val="24"/>
        </w:rPr>
        <w:t xml:space="preserve"> London: Jones and Bartlett Leaning International</w:t>
      </w:r>
    </w:p>
    <w:p w:rsidR="005D7695" w:rsidRDefault="005D7695" w:rsidP="005D7695">
      <w:pPr>
        <w:pStyle w:val="NoSpacing"/>
        <w:rPr>
          <w:sz w:val="24"/>
          <w:szCs w:val="24"/>
        </w:rPr>
      </w:pPr>
    </w:p>
    <w:p w:rsidR="005D7695" w:rsidRDefault="005D7695" w:rsidP="005D7695">
      <w:pPr>
        <w:pStyle w:val="NoSpacing"/>
        <w:rPr>
          <w:sz w:val="24"/>
          <w:szCs w:val="24"/>
        </w:rPr>
      </w:pPr>
      <w:r>
        <w:rPr>
          <w:sz w:val="24"/>
          <w:szCs w:val="24"/>
        </w:rPr>
        <w:t xml:space="preserve">Merriam, S. B. (2015) Adult Learning Theory: A Review and an Update, </w:t>
      </w:r>
      <w:r>
        <w:rPr>
          <w:i/>
          <w:sz w:val="24"/>
          <w:szCs w:val="24"/>
        </w:rPr>
        <w:t>Culture, Biography and Lifelong Learning.</w:t>
      </w:r>
      <w:r>
        <w:rPr>
          <w:sz w:val="24"/>
          <w:szCs w:val="24"/>
        </w:rPr>
        <w:t xml:space="preserve"> Vol. 1 (1)</w:t>
      </w:r>
    </w:p>
    <w:p w:rsidR="005D7695" w:rsidRDefault="005D7695" w:rsidP="005D7695">
      <w:pPr>
        <w:pStyle w:val="NoSpacing"/>
        <w:rPr>
          <w:rFonts w:cs="Arial"/>
          <w:spacing w:val="5"/>
          <w:sz w:val="24"/>
          <w:szCs w:val="24"/>
          <w:shd w:val="clear" w:color="auto" w:fill="FFFFFF"/>
        </w:rPr>
      </w:pPr>
    </w:p>
    <w:p w:rsidR="005D7695" w:rsidRDefault="005D7695" w:rsidP="005D7695">
      <w:pPr>
        <w:pStyle w:val="NoSpacing"/>
        <w:rPr>
          <w:rFonts w:cs="Arial"/>
          <w:spacing w:val="5"/>
          <w:sz w:val="24"/>
          <w:szCs w:val="24"/>
          <w:shd w:val="clear" w:color="auto" w:fill="FFFFFF"/>
        </w:rPr>
      </w:pPr>
      <w:r>
        <w:rPr>
          <w:rFonts w:cs="Arial"/>
          <w:spacing w:val="5"/>
          <w:sz w:val="24"/>
          <w:szCs w:val="24"/>
          <w:shd w:val="clear" w:color="auto" w:fill="FFFFFF"/>
        </w:rPr>
        <w:t xml:space="preserve">University of Birmingham (2018) </w:t>
      </w:r>
      <w:r>
        <w:rPr>
          <w:rFonts w:cs="Arial"/>
          <w:i/>
          <w:spacing w:val="5"/>
          <w:sz w:val="24"/>
          <w:szCs w:val="24"/>
          <w:shd w:val="clear" w:color="auto" w:fill="FFFFFF"/>
        </w:rPr>
        <w:t>Growth of Online Degree Programmes and How they Will Change Learning</w:t>
      </w:r>
      <w:r>
        <w:rPr>
          <w:rFonts w:cs="Arial"/>
          <w:spacing w:val="5"/>
          <w:sz w:val="24"/>
          <w:szCs w:val="24"/>
          <w:shd w:val="clear" w:color="auto" w:fill="FFFFFF"/>
        </w:rPr>
        <w:t xml:space="preserve"> [online] Available at: https://hub.birmingham.ac.uk/news/online-degree-programmes-growth-impact-on-education (accessed 1/05/2018)</w:t>
      </w:r>
    </w:p>
    <w:p w:rsidR="005D7695" w:rsidRDefault="005D7695" w:rsidP="005D7695">
      <w:pPr>
        <w:pStyle w:val="NoSpacing"/>
        <w:rPr>
          <w:rStyle w:val="normaltextrun"/>
        </w:rPr>
      </w:pPr>
    </w:p>
    <w:p w:rsidR="005D7695" w:rsidRDefault="005D7695" w:rsidP="005D7695">
      <w:pPr>
        <w:pStyle w:val="NoSpacing"/>
        <w:rPr>
          <w:rStyle w:val="normaltextrun"/>
          <w:rFonts w:cs="Arial"/>
          <w:sz w:val="24"/>
          <w:szCs w:val="24"/>
          <w:shd w:val="clear" w:color="auto" w:fill="FFFFFF"/>
        </w:rPr>
      </w:pPr>
      <w:proofErr w:type="spellStart"/>
      <w:r>
        <w:rPr>
          <w:rStyle w:val="normaltextrun"/>
          <w:rFonts w:cs="Arial"/>
          <w:sz w:val="24"/>
          <w:szCs w:val="24"/>
          <w:shd w:val="clear" w:color="auto" w:fill="FFFFFF"/>
        </w:rPr>
        <w:t>Wlodkowski</w:t>
      </w:r>
      <w:proofErr w:type="spellEnd"/>
      <w:r>
        <w:rPr>
          <w:rStyle w:val="normaltextrun"/>
          <w:rFonts w:cs="Arial"/>
          <w:sz w:val="24"/>
          <w:szCs w:val="24"/>
          <w:shd w:val="clear" w:color="auto" w:fill="FFFFFF"/>
        </w:rPr>
        <w:t xml:space="preserve">, R. J. and Ginsberg, M. B.  (2017) </w:t>
      </w:r>
      <w:r>
        <w:rPr>
          <w:rStyle w:val="normaltextrun"/>
          <w:rFonts w:cs="Arial"/>
          <w:i/>
          <w:sz w:val="24"/>
          <w:szCs w:val="24"/>
          <w:shd w:val="clear" w:color="auto" w:fill="FFFFFF"/>
        </w:rPr>
        <w:t xml:space="preserve">Enhancing Adult Motivation to Learn: A Comprehensive Guide for </w:t>
      </w:r>
      <w:proofErr w:type="gramStart"/>
      <w:r>
        <w:rPr>
          <w:rStyle w:val="normaltextrun"/>
          <w:rFonts w:cs="Arial"/>
          <w:i/>
          <w:sz w:val="24"/>
          <w:szCs w:val="24"/>
          <w:shd w:val="clear" w:color="auto" w:fill="FFFFFF"/>
        </w:rPr>
        <w:t>Teaching</w:t>
      </w:r>
      <w:proofErr w:type="gramEnd"/>
      <w:r>
        <w:rPr>
          <w:rStyle w:val="normaltextrun"/>
          <w:rFonts w:cs="Arial"/>
          <w:i/>
          <w:sz w:val="24"/>
          <w:szCs w:val="24"/>
          <w:shd w:val="clear" w:color="auto" w:fill="FFFFFF"/>
        </w:rPr>
        <w:t xml:space="preserve"> all Adults</w:t>
      </w:r>
      <w:r>
        <w:rPr>
          <w:rStyle w:val="normaltextrun"/>
          <w:rFonts w:cs="Arial"/>
          <w:sz w:val="24"/>
          <w:szCs w:val="24"/>
          <w:shd w:val="clear" w:color="auto" w:fill="FFFFFF"/>
        </w:rPr>
        <w:t>. 4</w:t>
      </w:r>
      <w:r>
        <w:rPr>
          <w:rStyle w:val="normaltextrun"/>
          <w:rFonts w:cs="Arial"/>
          <w:sz w:val="24"/>
          <w:szCs w:val="24"/>
          <w:shd w:val="clear" w:color="auto" w:fill="FFFFFF"/>
          <w:vertAlign w:val="superscript"/>
        </w:rPr>
        <w:t>th</w:t>
      </w:r>
      <w:r>
        <w:rPr>
          <w:rStyle w:val="normaltextrun"/>
          <w:rFonts w:cs="Arial"/>
          <w:sz w:val="24"/>
          <w:szCs w:val="24"/>
          <w:shd w:val="clear" w:color="auto" w:fill="FFFFFF"/>
        </w:rPr>
        <w:t xml:space="preserve"> Edition. San Francisco, CA: Wiley</w:t>
      </w:r>
    </w:p>
    <w:p w:rsidR="005D7695" w:rsidRDefault="005D7695" w:rsidP="005D7695">
      <w:pPr>
        <w:pStyle w:val="NoSpacing"/>
      </w:pPr>
    </w:p>
    <w:p w:rsidR="005D7695" w:rsidRPr="00044C46" w:rsidRDefault="005D7695" w:rsidP="00044C46">
      <w:pPr>
        <w:pStyle w:val="NoSpacing"/>
        <w:rPr>
          <w:rStyle w:val="normaltextrun"/>
          <w:sz w:val="24"/>
          <w:szCs w:val="24"/>
        </w:rPr>
      </w:pPr>
      <w:r>
        <w:rPr>
          <w:sz w:val="24"/>
          <w:szCs w:val="24"/>
        </w:rPr>
        <w:t xml:space="preserve">Woodside, A., Villiers, R. and Marshall, R. (2016) Incompetency and Competency Training: Improving Executive Skills in </w:t>
      </w:r>
      <w:proofErr w:type="spellStart"/>
      <w:r>
        <w:rPr>
          <w:sz w:val="24"/>
          <w:szCs w:val="24"/>
        </w:rPr>
        <w:t>Sensemaking</w:t>
      </w:r>
      <w:proofErr w:type="spellEnd"/>
      <w:r>
        <w:rPr>
          <w:sz w:val="24"/>
          <w:szCs w:val="24"/>
        </w:rPr>
        <w:t>, Framing Issues and Making Choices. New York: Springer</w:t>
      </w:r>
      <w:bookmarkStart w:id="0" w:name="_GoBack"/>
      <w:bookmarkEnd w:id="0"/>
    </w:p>
    <w:sectPr w:rsidR="005D7695" w:rsidRPr="00044C46">
      <w:headerReference w:type="default" r:id="rId4"/>
      <w:footerReference w:type="default" r:id="rI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57615173"/>
      <w:docPartObj>
        <w:docPartGallery w:val="Page Numbers (Bottom of Page)"/>
        <w:docPartUnique/>
      </w:docPartObj>
    </w:sdtPr>
    <w:sdtEndPr>
      <w:rPr>
        <w:noProof/>
      </w:rPr>
    </w:sdtEndPr>
    <w:sdtContent>
      <w:p w:rsidR="00E56F67" w:rsidRDefault="00044C46">
        <w:pPr>
          <w:pStyle w:val="Footer"/>
          <w:jc w:val="right"/>
        </w:pPr>
        <w:r>
          <w:fldChar w:fldCharType="begin"/>
        </w:r>
        <w:r>
          <w:instrText xml:space="preserve"> PAGE   \* MERGEFORMAT </w:instrText>
        </w:r>
        <w:r>
          <w:fldChar w:fldCharType="separate"/>
        </w:r>
        <w:r>
          <w:rPr>
            <w:noProof/>
          </w:rPr>
          <w:t>23</w:t>
        </w:r>
        <w:r>
          <w:rPr>
            <w:noProof/>
          </w:rPr>
          <w:fldChar w:fldCharType="end"/>
        </w:r>
      </w:p>
    </w:sdtContent>
  </w:sdt>
  <w:p w:rsidR="00E56F67" w:rsidRDefault="00044C46">
    <w:pPr>
      <w:pStyle w:val="Footer"/>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56F67" w:rsidRDefault="00044C46" w:rsidP="00E60153">
    <w:pPr>
      <w:pStyle w:val="Header"/>
      <w:jc w:val="right"/>
    </w:pPr>
    <w:r>
      <w:t>1703598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7695"/>
    <w:rsid w:val="00044C46"/>
    <w:rsid w:val="00314897"/>
    <w:rsid w:val="004D76FF"/>
    <w:rsid w:val="005D7695"/>
    <w:rsid w:val="00990147"/>
    <w:rsid w:val="00E24C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6AB9EEF-3162-405F-BAC6-E615D16BB9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aliases w:val="DOUBLE Essay"/>
    <w:qFormat/>
    <w:rsid w:val="005D7695"/>
    <w:pPr>
      <w:spacing w:before="120" w:after="280" w:line="48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769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D7695"/>
  </w:style>
  <w:style w:type="paragraph" w:styleId="Footer">
    <w:name w:val="footer"/>
    <w:basedOn w:val="Normal"/>
    <w:link w:val="FooterChar"/>
    <w:uiPriority w:val="99"/>
    <w:unhideWhenUsed/>
    <w:rsid w:val="005D769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D7695"/>
  </w:style>
  <w:style w:type="character" w:customStyle="1" w:styleId="normaltextrun">
    <w:name w:val="normaltextrun"/>
    <w:basedOn w:val="DefaultParagraphFont"/>
    <w:rsid w:val="005D7695"/>
  </w:style>
  <w:style w:type="paragraph" w:styleId="NoSpacing">
    <w:name w:val="No Spacing"/>
    <w:uiPriority w:val="1"/>
    <w:qFormat/>
    <w:rsid w:val="005D7695"/>
    <w:pPr>
      <w:spacing w:after="0" w:line="240" w:lineRule="auto"/>
    </w:pPr>
  </w:style>
  <w:style w:type="character" w:customStyle="1" w:styleId="nlmarticle-title">
    <w:name w:val="nlm_article-title"/>
    <w:basedOn w:val="DefaultParagraphFont"/>
    <w:rsid w:val="005D76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24</Pages>
  <Words>6524</Words>
  <Characters>37192</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Davies</dc:creator>
  <cp:keywords/>
  <dc:description/>
  <cp:lastModifiedBy>Gemma Davies</cp:lastModifiedBy>
  <cp:revision>2</cp:revision>
  <dcterms:created xsi:type="dcterms:W3CDTF">2018-05-31T15:16:00Z</dcterms:created>
  <dcterms:modified xsi:type="dcterms:W3CDTF">2018-05-31T15:23:00Z</dcterms:modified>
</cp:coreProperties>
</file>