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785F" w:rsidRPr="00A563FD" w:rsidRDefault="0099785F" w:rsidP="00A563FD">
      <w:pPr>
        <w:spacing w:line="360" w:lineRule="auto"/>
        <w:rPr>
          <w:rFonts w:cstheme="minorHAnsi"/>
          <w:sz w:val="24"/>
          <w:szCs w:val="24"/>
        </w:rPr>
      </w:pPr>
      <w:r w:rsidRPr="00A563FD">
        <w:rPr>
          <w:rFonts w:cstheme="minorHAnsi"/>
          <w:sz w:val="24"/>
          <w:szCs w:val="24"/>
        </w:rPr>
        <w:t>H</w:t>
      </w:r>
      <w:r w:rsidR="00E67D32">
        <w:rPr>
          <w:rFonts w:cstheme="minorHAnsi"/>
          <w:sz w:val="24"/>
          <w:szCs w:val="24"/>
        </w:rPr>
        <w:t>ow Herodotus’ presentation of Spartan kings serves as a comparative to the Persian kings.</w:t>
      </w:r>
    </w:p>
    <w:p w:rsidR="0099785F" w:rsidRPr="00A563FD" w:rsidRDefault="0099785F" w:rsidP="00A563FD">
      <w:pPr>
        <w:spacing w:line="360" w:lineRule="auto"/>
        <w:rPr>
          <w:rFonts w:cstheme="minorHAnsi"/>
          <w:sz w:val="24"/>
          <w:szCs w:val="24"/>
        </w:rPr>
      </w:pPr>
    </w:p>
    <w:p w:rsidR="00BA4ED3" w:rsidRPr="00A563FD" w:rsidRDefault="00DD34FC" w:rsidP="00A563FD">
      <w:pPr>
        <w:spacing w:line="360" w:lineRule="auto"/>
        <w:rPr>
          <w:rFonts w:cstheme="minorHAnsi"/>
          <w:sz w:val="24"/>
          <w:szCs w:val="24"/>
        </w:rPr>
      </w:pPr>
      <w:r w:rsidRPr="00A563FD">
        <w:rPr>
          <w:rFonts w:cstheme="minorHAnsi"/>
          <w:sz w:val="24"/>
          <w:szCs w:val="24"/>
        </w:rPr>
        <w:t>Herodotus’ focus on Sparta and Persia is</w:t>
      </w:r>
      <w:r w:rsidR="00D47572" w:rsidRPr="00A563FD">
        <w:rPr>
          <w:rFonts w:cstheme="minorHAnsi"/>
          <w:sz w:val="24"/>
          <w:szCs w:val="24"/>
        </w:rPr>
        <w:t xml:space="preserve"> prominent </w:t>
      </w:r>
      <w:r w:rsidRPr="00A563FD">
        <w:rPr>
          <w:rFonts w:cstheme="minorHAnsi"/>
          <w:sz w:val="24"/>
          <w:szCs w:val="24"/>
        </w:rPr>
        <w:t>in the Histories.</w:t>
      </w:r>
      <w:r w:rsidR="00D47572" w:rsidRPr="00A563FD">
        <w:rPr>
          <w:rStyle w:val="FootnoteReference"/>
          <w:rFonts w:cstheme="minorHAnsi"/>
          <w:sz w:val="24"/>
          <w:szCs w:val="24"/>
        </w:rPr>
        <w:footnoteReference w:id="1"/>
      </w:r>
      <w:r w:rsidR="00D47572" w:rsidRPr="00A563FD">
        <w:rPr>
          <w:rFonts w:cstheme="minorHAnsi"/>
          <w:sz w:val="24"/>
          <w:szCs w:val="24"/>
        </w:rPr>
        <w:t xml:space="preserve"> </w:t>
      </w:r>
      <w:r w:rsidR="00274F6F" w:rsidRPr="00A563FD">
        <w:rPr>
          <w:rFonts w:cstheme="minorHAnsi"/>
          <w:sz w:val="24"/>
          <w:szCs w:val="24"/>
        </w:rPr>
        <w:t>The Persians had ambitions to conquer Hellas.</w:t>
      </w:r>
      <w:r w:rsidR="00274F6F" w:rsidRPr="00A563FD">
        <w:rPr>
          <w:rStyle w:val="FootnoteReference"/>
          <w:rFonts w:cstheme="minorHAnsi"/>
          <w:sz w:val="24"/>
          <w:szCs w:val="24"/>
        </w:rPr>
        <w:footnoteReference w:id="2"/>
      </w:r>
      <w:r w:rsidR="00274F6F" w:rsidRPr="00A563FD">
        <w:rPr>
          <w:rFonts w:cstheme="minorHAnsi"/>
          <w:sz w:val="24"/>
          <w:szCs w:val="24"/>
        </w:rPr>
        <w:t xml:space="preserve"> </w:t>
      </w:r>
      <w:r w:rsidR="00A615CC" w:rsidRPr="00A563FD">
        <w:rPr>
          <w:rFonts w:cstheme="minorHAnsi"/>
          <w:sz w:val="24"/>
          <w:szCs w:val="24"/>
        </w:rPr>
        <w:t>Sparta stood up to counter Persian aggression, and became a leader of the Greeks.</w:t>
      </w:r>
      <w:r w:rsidR="00A615CC" w:rsidRPr="00A563FD">
        <w:rPr>
          <w:rStyle w:val="FootnoteReference"/>
          <w:rFonts w:cstheme="minorHAnsi"/>
          <w:sz w:val="24"/>
          <w:szCs w:val="24"/>
        </w:rPr>
        <w:footnoteReference w:id="3"/>
      </w:r>
      <w:r w:rsidR="00FD7742" w:rsidRPr="00A563FD">
        <w:rPr>
          <w:rFonts w:cstheme="minorHAnsi"/>
          <w:sz w:val="24"/>
          <w:szCs w:val="24"/>
        </w:rPr>
        <w:t xml:space="preserve"> Herodotus therefore was able to use these two kingships to demonstrate different characteristics of either side. </w:t>
      </w:r>
      <w:r w:rsidR="00C9260A" w:rsidRPr="00A563FD">
        <w:rPr>
          <w:rFonts w:cstheme="minorHAnsi"/>
          <w:sz w:val="24"/>
          <w:szCs w:val="24"/>
        </w:rPr>
        <w:t xml:space="preserve">This topic is important because it serves as a comparable feature for the leaders of the two sides of the Persian wars. </w:t>
      </w:r>
      <w:r w:rsidR="00274F6F" w:rsidRPr="00A563FD">
        <w:rPr>
          <w:rFonts w:cstheme="minorHAnsi"/>
          <w:sz w:val="24"/>
          <w:szCs w:val="24"/>
        </w:rPr>
        <w:t>This essay finds that</w:t>
      </w:r>
      <w:r w:rsidR="00D47572" w:rsidRPr="00A563FD">
        <w:rPr>
          <w:rFonts w:cstheme="minorHAnsi"/>
          <w:sz w:val="24"/>
          <w:szCs w:val="24"/>
        </w:rPr>
        <w:t xml:space="preserve"> Cleomenes and Leonidas perceptibly allow Herodotus to present the Persian kings Darius and Xerxes in a different, more negative light</w:t>
      </w:r>
      <w:r w:rsidR="00C9260A" w:rsidRPr="00A563FD">
        <w:rPr>
          <w:rFonts w:cstheme="minorHAnsi"/>
          <w:sz w:val="24"/>
          <w:szCs w:val="24"/>
        </w:rPr>
        <w:t xml:space="preserve"> even when Herodotus clearly dislikes one of these Spartan kings: Cleomenes</w:t>
      </w:r>
      <w:r w:rsidR="00D47572" w:rsidRPr="00A563FD">
        <w:rPr>
          <w:rFonts w:cstheme="minorHAnsi"/>
          <w:sz w:val="24"/>
          <w:szCs w:val="24"/>
        </w:rPr>
        <w:t>.</w:t>
      </w:r>
      <w:r w:rsidR="00D47572" w:rsidRPr="00A563FD">
        <w:rPr>
          <w:rStyle w:val="FootnoteReference"/>
          <w:rFonts w:cstheme="minorHAnsi"/>
          <w:sz w:val="24"/>
          <w:szCs w:val="24"/>
        </w:rPr>
        <w:footnoteReference w:id="4"/>
      </w:r>
      <w:r w:rsidR="00274F6F" w:rsidRPr="00A563FD">
        <w:rPr>
          <w:rFonts w:cstheme="minorHAnsi"/>
          <w:sz w:val="24"/>
          <w:szCs w:val="24"/>
        </w:rPr>
        <w:t xml:space="preserve"> This essay therefore looks at ideas of kingship for Herodotus, ideas about Sparta and Persia, and dangers involved with the Spartan mirage.</w:t>
      </w:r>
      <w:r w:rsidR="00274F6F" w:rsidRPr="00A563FD">
        <w:rPr>
          <w:rStyle w:val="FootnoteReference"/>
          <w:rFonts w:cstheme="minorHAnsi"/>
          <w:sz w:val="24"/>
          <w:szCs w:val="24"/>
        </w:rPr>
        <w:footnoteReference w:id="5"/>
      </w:r>
      <w:r w:rsidR="00274F6F" w:rsidRPr="00A563FD">
        <w:rPr>
          <w:rFonts w:cstheme="minorHAnsi"/>
          <w:sz w:val="24"/>
          <w:szCs w:val="24"/>
        </w:rPr>
        <w:t xml:space="preserve"> </w:t>
      </w:r>
      <w:r w:rsidR="00D47572" w:rsidRPr="00A563FD">
        <w:rPr>
          <w:rFonts w:cstheme="minorHAnsi"/>
          <w:sz w:val="24"/>
          <w:szCs w:val="24"/>
        </w:rPr>
        <w:t>Next, the</w:t>
      </w:r>
      <w:r w:rsidR="00FD7742" w:rsidRPr="00A563FD">
        <w:rPr>
          <w:rFonts w:cstheme="minorHAnsi"/>
          <w:sz w:val="24"/>
          <w:szCs w:val="24"/>
        </w:rPr>
        <w:t xml:space="preserve"> focus</w:t>
      </w:r>
      <w:r w:rsidR="00D47572" w:rsidRPr="00A563FD">
        <w:rPr>
          <w:rFonts w:cstheme="minorHAnsi"/>
          <w:sz w:val="24"/>
          <w:szCs w:val="24"/>
        </w:rPr>
        <w:t xml:space="preserve"> is upon</w:t>
      </w:r>
      <w:r w:rsidR="00FD7742" w:rsidRPr="00A563FD">
        <w:rPr>
          <w:rFonts w:cstheme="minorHAnsi"/>
          <w:sz w:val="24"/>
          <w:szCs w:val="24"/>
        </w:rPr>
        <w:t xml:space="preserve"> the main deeds of the kings Darius and Cleomenes, how the personalities of the two reflect upon each other in Herodotus, and how Herodotus was attempting to characterise the Persian kings through the Spartan kings. The comparison between Darius and Cleomenes is less direct</w:t>
      </w:r>
      <w:r w:rsidR="00D47572" w:rsidRPr="00A563FD">
        <w:rPr>
          <w:rFonts w:cstheme="minorHAnsi"/>
          <w:sz w:val="24"/>
          <w:szCs w:val="24"/>
        </w:rPr>
        <w:t xml:space="preserve"> and more tentative</w:t>
      </w:r>
      <w:r w:rsidR="00FD7742" w:rsidRPr="00A563FD">
        <w:rPr>
          <w:rFonts w:cstheme="minorHAnsi"/>
          <w:sz w:val="24"/>
          <w:szCs w:val="24"/>
        </w:rPr>
        <w:t>, with Darius being the first to attempt to invade Greece, and Cleomenes opposing Persian power.</w:t>
      </w:r>
      <w:r w:rsidR="00FD7742" w:rsidRPr="00A563FD">
        <w:rPr>
          <w:rStyle w:val="FootnoteReference"/>
          <w:rFonts w:cstheme="minorHAnsi"/>
          <w:sz w:val="24"/>
          <w:szCs w:val="24"/>
        </w:rPr>
        <w:footnoteReference w:id="6"/>
      </w:r>
      <w:r w:rsidR="00D47572" w:rsidRPr="00A563FD">
        <w:rPr>
          <w:rFonts w:cstheme="minorHAnsi"/>
          <w:sz w:val="24"/>
          <w:szCs w:val="24"/>
        </w:rPr>
        <w:t xml:space="preserve"> </w:t>
      </w:r>
      <w:r w:rsidR="00274F6F" w:rsidRPr="00A563FD">
        <w:rPr>
          <w:rFonts w:cstheme="minorHAnsi"/>
          <w:sz w:val="24"/>
          <w:szCs w:val="24"/>
        </w:rPr>
        <w:t>Next, this essay discusses the differences between Xerxes and Leonida</w:t>
      </w:r>
      <w:r w:rsidR="00E35263" w:rsidRPr="00A563FD">
        <w:rPr>
          <w:rFonts w:cstheme="minorHAnsi"/>
          <w:sz w:val="24"/>
          <w:szCs w:val="24"/>
        </w:rPr>
        <w:t xml:space="preserve">s—primarily during the battle of Thermopylae—who were </w:t>
      </w:r>
      <w:r w:rsidR="00274F6F" w:rsidRPr="00A563FD">
        <w:rPr>
          <w:rFonts w:cstheme="minorHAnsi"/>
          <w:sz w:val="24"/>
          <w:szCs w:val="24"/>
        </w:rPr>
        <w:t>two characters set up by Herodotus as rivals, idealising the Spartan, and villainising the Persian.</w:t>
      </w:r>
      <w:r w:rsidR="00D47572" w:rsidRPr="00A563FD">
        <w:rPr>
          <w:rStyle w:val="FootnoteReference"/>
          <w:rFonts w:cstheme="minorHAnsi"/>
          <w:sz w:val="24"/>
          <w:szCs w:val="24"/>
        </w:rPr>
        <w:footnoteReference w:id="7"/>
      </w:r>
      <w:r w:rsidR="00274F6F" w:rsidRPr="00A563FD">
        <w:rPr>
          <w:rFonts w:cstheme="minorHAnsi"/>
          <w:sz w:val="24"/>
          <w:szCs w:val="24"/>
        </w:rPr>
        <w:t xml:space="preserve"> Leonidas’ character strengthens the negative shadows cast on Xerxes by Herodotus.</w:t>
      </w:r>
      <w:r w:rsidR="00274F6F" w:rsidRPr="00A563FD">
        <w:rPr>
          <w:rStyle w:val="FootnoteReference"/>
          <w:rFonts w:cstheme="minorHAnsi"/>
          <w:sz w:val="24"/>
          <w:szCs w:val="24"/>
        </w:rPr>
        <w:footnoteReference w:id="8"/>
      </w:r>
    </w:p>
    <w:p w:rsidR="00DD34FC" w:rsidRPr="00A563FD" w:rsidRDefault="00DD34FC" w:rsidP="00A563FD">
      <w:pPr>
        <w:spacing w:line="360" w:lineRule="auto"/>
        <w:rPr>
          <w:rFonts w:cstheme="minorHAnsi"/>
          <w:sz w:val="24"/>
          <w:szCs w:val="24"/>
        </w:rPr>
      </w:pPr>
      <w:r w:rsidRPr="00A563FD">
        <w:rPr>
          <w:rFonts w:cstheme="minorHAnsi"/>
          <w:sz w:val="24"/>
          <w:szCs w:val="24"/>
        </w:rPr>
        <w:t>Herodotus’ fascination with the wars of the Greeks and Persians cannot be overstated.</w:t>
      </w:r>
      <w:r w:rsidRPr="00A563FD">
        <w:rPr>
          <w:rStyle w:val="FootnoteReference"/>
          <w:rFonts w:cstheme="minorHAnsi"/>
          <w:sz w:val="24"/>
          <w:szCs w:val="24"/>
        </w:rPr>
        <w:footnoteReference w:id="9"/>
      </w:r>
      <w:r w:rsidRPr="00A563FD">
        <w:rPr>
          <w:rFonts w:cstheme="minorHAnsi"/>
          <w:sz w:val="24"/>
          <w:szCs w:val="24"/>
        </w:rPr>
        <w:t xml:space="preserve"> Holland believes this to be due to Herodotus believing that the Persians considered the Europeans ‘irreconcilably alien’.</w:t>
      </w:r>
      <w:r w:rsidRPr="00A563FD">
        <w:rPr>
          <w:rStyle w:val="FootnoteReference"/>
          <w:rFonts w:cstheme="minorHAnsi"/>
          <w:sz w:val="24"/>
          <w:szCs w:val="24"/>
        </w:rPr>
        <w:footnoteReference w:id="10"/>
      </w:r>
      <w:r w:rsidRPr="00A563FD">
        <w:rPr>
          <w:rFonts w:cstheme="minorHAnsi"/>
          <w:sz w:val="24"/>
          <w:szCs w:val="24"/>
        </w:rPr>
        <w:t xml:space="preserve"> This seems unlikely given that the Persians held the Ionian coastline and therefore many of them must have had at least minimal contact with the </w:t>
      </w:r>
      <w:r w:rsidRPr="00A563FD">
        <w:rPr>
          <w:rFonts w:cstheme="minorHAnsi"/>
          <w:sz w:val="24"/>
          <w:szCs w:val="24"/>
        </w:rPr>
        <w:lastRenderedPageBreak/>
        <w:t>people of Hellas.</w:t>
      </w:r>
      <w:r w:rsidRPr="00A563FD">
        <w:rPr>
          <w:rStyle w:val="FootnoteReference"/>
          <w:rFonts w:cstheme="minorHAnsi"/>
          <w:sz w:val="24"/>
          <w:szCs w:val="24"/>
        </w:rPr>
        <w:footnoteReference w:id="11"/>
      </w:r>
      <w:r w:rsidRPr="00A563FD">
        <w:rPr>
          <w:rFonts w:cstheme="minorHAnsi"/>
          <w:sz w:val="24"/>
          <w:szCs w:val="24"/>
        </w:rPr>
        <w:t xml:space="preserve"> Herodotus does seem to reinforce this idea</w:t>
      </w:r>
      <w:r w:rsidR="00484419" w:rsidRPr="00A563FD">
        <w:rPr>
          <w:rFonts w:cstheme="minorHAnsi"/>
          <w:sz w:val="24"/>
          <w:szCs w:val="24"/>
        </w:rPr>
        <w:t>,</w:t>
      </w:r>
      <w:r w:rsidRPr="00A563FD">
        <w:rPr>
          <w:rFonts w:cstheme="minorHAnsi"/>
          <w:sz w:val="24"/>
          <w:szCs w:val="24"/>
        </w:rPr>
        <w:t xml:space="preserve"> as Xerxes</w:t>
      </w:r>
      <w:r w:rsidR="00484419" w:rsidRPr="00A563FD">
        <w:rPr>
          <w:rFonts w:cstheme="minorHAnsi"/>
          <w:sz w:val="24"/>
          <w:szCs w:val="24"/>
        </w:rPr>
        <w:t xml:space="preserve"> </w:t>
      </w:r>
      <w:r w:rsidRPr="00A563FD">
        <w:rPr>
          <w:rFonts w:cstheme="minorHAnsi"/>
          <w:sz w:val="24"/>
          <w:szCs w:val="24"/>
        </w:rPr>
        <w:t>knows little about the Spartans, one of the major poleis of the Greeks.</w:t>
      </w:r>
      <w:r w:rsidRPr="00A563FD">
        <w:rPr>
          <w:rStyle w:val="FootnoteReference"/>
          <w:rFonts w:cstheme="minorHAnsi"/>
          <w:sz w:val="24"/>
          <w:szCs w:val="24"/>
        </w:rPr>
        <w:footnoteReference w:id="12"/>
      </w:r>
      <w:r w:rsidRPr="00A563FD">
        <w:rPr>
          <w:rFonts w:cstheme="minorHAnsi"/>
          <w:sz w:val="24"/>
          <w:szCs w:val="24"/>
        </w:rPr>
        <w:t xml:space="preserve"> </w:t>
      </w:r>
      <w:r w:rsidR="003B53B7" w:rsidRPr="00A563FD">
        <w:rPr>
          <w:rFonts w:cstheme="minorHAnsi"/>
          <w:sz w:val="24"/>
          <w:szCs w:val="24"/>
        </w:rPr>
        <w:t>However, is could also be said that Herodotus knows little of the Persian Empire, and assesses them rather poorly, with the description of Median king showing not the goodness of the king, but the submissive nature of the people.</w:t>
      </w:r>
      <w:r w:rsidR="003B53B7" w:rsidRPr="00A563FD">
        <w:rPr>
          <w:rStyle w:val="FootnoteReference"/>
          <w:rFonts w:cstheme="minorHAnsi"/>
          <w:sz w:val="24"/>
          <w:szCs w:val="24"/>
        </w:rPr>
        <w:footnoteReference w:id="13"/>
      </w:r>
      <w:r w:rsidR="00484419" w:rsidRPr="00A563FD">
        <w:rPr>
          <w:rFonts w:cstheme="minorHAnsi"/>
          <w:sz w:val="24"/>
          <w:szCs w:val="24"/>
        </w:rPr>
        <w:t xml:space="preserve"> </w:t>
      </w:r>
    </w:p>
    <w:p w:rsidR="00C30B49" w:rsidRPr="00A563FD" w:rsidRDefault="00C30B49" w:rsidP="00A563FD">
      <w:pPr>
        <w:spacing w:line="360" w:lineRule="auto"/>
        <w:rPr>
          <w:rFonts w:cstheme="minorHAnsi"/>
          <w:sz w:val="24"/>
          <w:szCs w:val="24"/>
        </w:rPr>
      </w:pPr>
      <w:r w:rsidRPr="00A563FD">
        <w:rPr>
          <w:rFonts w:cstheme="minorHAnsi"/>
          <w:sz w:val="24"/>
          <w:szCs w:val="24"/>
        </w:rPr>
        <w:t>In terms of kingship, Herodotus helpfully gives a dialogue between three characters discussing the merits and drawbacks of the three main government types in the ancient world.</w:t>
      </w:r>
      <w:r w:rsidRPr="00A563FD">
        <w:rPr>
          <w:rStyle w:val="FootnoteReference"/>
          <w:rFonts w:cstheme="minorHAnsi"/>
          <w:sz w:val="24"/>
          <w:szCs w:val="24"/>
        </w:rPr>
        <w:footnoteReference w:id="14"/>
      </w:r>
      <w:r w:rsidRPr="00A563FD">
        <w:rPr>
          <w:rFonts w:cstheme="minorHAnsi"/>
          <w:sz w:val="24"/>
          <w:szCs w:val="24"/>
        </w:rPr>
        <w:t xml:space="preserve"> The Persian king Darius took the throne based on treachery and deceit.</w:t>
      </w:r>
      <w:r w:rsidRPr="00A563FD">
        <w:rPr>
          <w:rStyle w:val="FootnoteReference"/>
          <w:rFonts w:cstheme="minorHAnsi"/>
          <w:sz w:val="24"/>
          <w:szCs w:val="24"/>
        </w:rPr>
        <w:footnoteReference w:id="15"/>
      </w:r>
      <w:r w:rsidRPr="00A563FD">
        <w:rPr>
          <w:rFonts w:cstheme="minorHAnsi"/>
          <w:sz w:val="24"/>
          <w:szCs w:val="24"/>
        </w:rPr>
        <w:t xml:space="preserve"> However, this also was followed by what Herodotus tells us was seen as a positive sign from the Gods, and perhaps this trickery </w:t>
      </w:r>
      <w:r w:rsidR="00E67D32">
        <w:rPr>
          <w:rFonts w:cstheme="minorHAnsi"/>
          <w:sz w:val="24"/>
          <w:szCs w:val="24"/>
        </w:rPr>
        <w:t>concerning the horse could be</w:t>
      </w:r>
      <w:r w:rsidRPr="00A563FD">
        <w:rPr>
          <w:rFonts w:cstheme="minorHAnsi"/>
          <w:sz w:val="24"/>
          <w:szCs w:val="24"/>
        </w:rPr>
        <w:t xml:space="preserve"> perceived as cunning</w:t>
      </w:r>
      <w:r w:rsidR="00E67D32">
        <w:rPr>
          <w:rFonts w:cstheme="minorHAnsi"/>
          <w:sz w:val="24"/>
          <w:szCs w:val="24"/>
        </w:rPr>
        <w:t xml:space="preserve"> in the ancient world</w:t>
      </w:r>
      <w:r w:rsidRPr="00A563FD">
        <w:rPr>
          <w:rFonts w:cstheme="minorHAnsi"/>
          <w:sz w:val="24"/>
          <w:szCs w:val="24"/>
        </w:rPr>
        <w:t>.</w:t>
      </w:r>
      <w:r w:rsidRPr="00A563FD">
        <w:rPr>
          <w:rStyle w:val="FootnoteReference"/>
          <w:rFonts w:cstheme="minorHAnsi"/>
          <w:sz w:val="24"/>
          <w:szCs w:val="24"/>
        </w:rPr>
        <w:footnoteReference w:id="16"/>
      </w:r>
      <w:r w:rsidRPr="00A563FD">
        <w:rPr>
          <w:rFonts w:cstheme="minorHAnsi"/>
          <w:sz w:val="24"/>
          <w:szCs w:val="24"/>
        </w:rPr>
        <w:t xml:space="preserve"> </w:t>
      </w:r>
      <w:r w:rsidR="00E67D32">
        <w:rPr>
          <w:rFonts w:cstheme="minorHAnsi"/>
          <w:sz w:val="24"/>
          <w:szCs w:val="24"/>
        </w:rPr>
        <w:t>Concerning the leadership of the Spartans</w:t>
      </w:r>
      <w:r w:rsidRPr="00A563FD">
        <w:rPr>
          <w:rFonts w:cstheme="minorHAnsi"/>
          <w:sz w:val="24"/>
          <w:szCs w:val="24"/>
        </w:rPr>
        <w:t>, Sparta’s constitution was mixed, and while their kings had extreme power, there were also elements of oligarchy and democracy in their political system</w:t>
      </w:r>
      <w:r w:rsidR="00E67D32">
        <w:rPr>
          <w:rFonts w:cstheme="minorHAnsi"/>
          <w:sz w:val="24"/>
          <w:szCs w:val="24"/>
        </w:rPr>
        <w:t xml:space="preserve"> to check that power</w:t>
      </w:r>
      <w:r w:rsidRPr="00A563FD">
        <w:rPr>
          <w:rFonts w:cstheme="minorHAnsi"/>
          <w:sz w:val="24"/>
          <w:szCs w:val="24"/>
        </w:rPr>
        <w:t>.</w:t>
      </w:r>
      <w:r w:rsidRPr="00A563FD">
        <w:rPr>
          <w:rStyle w:val="FootnoteReference"/>
          <w:rFonts w:cstheme="minorHAnsi"/>
          <w:sz w:val="24"/>
          <w:szCs w:val="24"/>
        </w:rPr>
        <w:footnoteReference w:id="17"/>
      </w:r>
      <w:r w:rsidRPr="00A563FD">
        <w:rPr>
          <w:rFonts w:cstheme="minorHAnsi"/>
          <w:sz w:val="24"/>
          <w:szCs w:val="24"/>
        </w:rPr>
        <w:t xml:space="preserve"> As suggested by Roy, Herodotus while demonstrably knowing these systems, may favour a mixed constitution like Sparta’s, as he in the debate does not seem to have a particular bias and may support impure, non-traditional constitutions, which seems reasonable based on the text.</w:t>
      </w:r>
      <w:r w:rsidRPr="00A563FD">
        <w:rPr>
          <w:rStyle w:val="FootnoteReference"/>
          <w:rFonts w:cstheme="minorHAnsi"/>
          <w:sz w:val="24"/>
          <w:szCs w:val="24"/>
        </w:rPr>
        <w:footnoteReference w:id="18"/>
      </w:r>
    </w:p>
    <w:p w:rsidR="00484419" w:rsidRPr="00A563FD" w:rsidRDefault="00BC6330" w:rsidP="00A563FD">
      <w:pPr>
        <w:spacing w:line="360" w:lineRule="auto"/>
        <w:rPr>
          <w:rFonts w:cstheme="minorHAnsi"/>
          <w:sz w:val="24"/>
          <w:szCs w:val="24"/>
        </w:rPr>
      </w:pPr>
      <w:r w:rsidRPr="00A563FD">
        <w:rPr>
          <w:rFonts w:cstheme="minorHAnsi"/>
          <w:sz w:val="24"/>
          <w:szCs w:val="24"/>
        </w:rPr>
        <w:t xml:space="preserve">Unfortunately, </w:t>
      </w:r>
      <w:r w:rsidR="00E67D32">
        <w:rPr>
          <w:rFonts w:cstheme="minorHAnsi"/>
          <w:sz w:val="24"/>
          <w:szCs w:val="24"/>
        </w:rPr>
        <w:t xml:space="preserve">Herodotus’ reception in </w:t>
      </w:r>
      <w:r w:rsidRPr="00A563FD">
        <w:rPr>
          <w:rFonts w:cstheme="minorHAnsi"/>
          <w:sz w:val="24"/>
          <w:szCs w:val="24"/>
        </w:rPr>
        <w:t>some modern historiography has been obscured</w:t>
      </w:r>
      <w:r w:rsidR="00E67D32">
        <w:rPr>
          <w:rFonts w:cstheme="minorHAnsi"/>
          <w:sz w:val="24"/>
          <w:szCs w:val="24"/>
        </w:rPr>
        <w:t>, in particular</w:t>
      </w:r>
      <w:r w:rsidRPr="00A563FD">
        <w:rPr>
          <w:rFonts w:cstheme="minorHAnsi"/>
          <w:sz w:val="24"/>
          <w:szCs w:val="24"/>
        </w:rPr>
        <w:t xml:space="preserve"> by </w:t>
      </w:r>
      <w:proofErr w:type="spellStart"/>
      <w:r w:rsidRPr="00A563FD">
        <w:rPr>
          <w:rFonts w:cstheme="minorHAnsi"/>
          <w:sz w:val="24"/>
          <w:szCs w:val="24"/>
        </w:rPr>
        <w:t>Vacano’s</w:t>
      </w:r>
      <w:proofErr w:type="spellEnd"/>
      <w:r w:rsidRPr="00A563FD">
        <w:rPr>
          <w:rFonts w:cstheme="minorHAnsi"/>
          <w:sz w:val="24"/>
          <w:szCs w:val="24"/>
        </w:rPr>
        <w:t xml:space="preserve"> influence on the Spartan mirage, </w:t>
      </w:r>
      <w:r w:rsidR="00E67D32">
        <w:rPr>
          <w:rFonts w:cstheme="minorHAnsi"/>
          <w:sz w:val="24"/>
          <w:szCs w:val="24"/>
        </w:rPr>
        <w:t>who omits</w:t>
      </w:r>
      <w:r w:rsidRPr="00A563FD">
        <w:rPr>
          <w:rFonts w:cstheme="minorHAnsi"/>
          <w:sz w:val="24"/>
          <w:szCs w:val="24"/>
        </w:rPr>
        <w:t xml:space="preserve"> several elements from translation that did not appeal to the idealised Spartan view.</w:t>
      </w:r>
      <w:r w:rsidRPr="00A563FD">
        <w:rPr>
          <w:rStyle w:val="FootnoteReference"/>
          <w:rFonts w:cstheme="minorHAnsi"/>
          <w:sz w:val="24"/>
          <w:szCs w:val="24"/>
        </w:rPr>
        <w:footnoteReference w:id="19"/>
      </w:r>
      <w:r w:rsidRPr="00A563FD">
        <w:rPr>
          <w:rFonts w:cstheme="minorHAnsi"/>
          <w:sz w:val="24"/>
          <w:szCs w:val="24"/>
        </w:rPr>
        <w:t xml:space="preserve"> This kind of influence can obscure Herodotus’ descriptions of Spartan kings. However, this alteration does at least show elements where Herodotus did not himself idealise the Spartans, which lends believability to his other accounts on Sparta, and has also been identified and expunged from modern scholarship.</w:t>
      </w:r>
      <w:r w:rsidRPr="00A563FD">
        <w:rPr>
          <w:rStyle w:val="FootnoteReference"/>
          <w:rFonts w:cstheme="minorHAnsi"/>
          <w:sz w:val="24"/>
          <w:szCs w:val="24"/>
        </w:rPr>
        <w:footnoteReference w:id="20"/>
      </w:r>
      <w:r w:rsidRPr="00A563FD">
        <w:rPr>
          <w:rFonts w:cstheme="minorHAnsi"/>
          <w:sz w:val="24"/>
          <w:szCs w:val="24"/>
        </w:rPr>
        <w:t xml:space="preserve"> Herodotus states Croesus refers to Sparta as ‘</w:t>
      </w:r>
      <w:hyperlink r:id="rId7" w:tgtFrame="morph" w:history="1">
        <w:r w:rsidRPr="00A563FD">
          <w:rPr>
            <w:rFonts w:cstheme="minorHAnsi"/>
            <w:i/>
            <w:sz w:val="24"/>
            <w:szCs w:val="24"/>
          </w:rPr>
          <w:t>π</w:t>
        </w:r>
        <w:proofErr w:type="spellStart"/>
        <w:r w:rsidRPr="00A563FD">
          <w:rPr>
            <w:rFonts w:cstheme="minorHAnsi"/>
            <w:i/>
            <w:sz w:val="24"/>
            <w:szCs w:val="24"/>
          </w:rPr>
          <w:t>ροεστάν</w:t>
        </w:r>
        <w:proofErr w:type="spellEnd"/>
        <w:r w:rsidRPr="00A563FD">
          <w:rPr>
            <w:rFonts w:cstheme="minorHAnsi"/>
            <w:i/>
            <w:sz w:val="24"/>
            <w:szCs w:val="24"/>
          </w:rPr>
          <w:t>αι</w:t>
        </w:r>
      </w:hyperlink>
      <w:r w:rsidRPr="00A563FD">
        <w:rPr>
          <w:rFonts w:cstheme="minorHAnsi"/>
          <w:i/>
          <w:sz w:val="24"/>
          <w:szCs w:val="24"/>
        </w:rPr>
        <w:t> </w:t>
      </w:r>
      <w:hyperlink r:id="rId8" w:tgtFrame="morph" w:history="1">
        <w:r w:rsidRPr="00A563FD">
          <w:rPr>
            <w:rFonts w:cstheme="minorHAnsi"/>
            <w:i/>
            <w:sz w:val="24"/>
            <w:szCs w:val="24"/>
          </w:rPr>
          <w:t>τῆς</w:t>
        </w:r>
      </w:hyperlink>
      <w:r w:rsidRPr="00A563FD">
        <w:rPr>
          <w:rFonts w:cstheme="minorHAnsi"/>
          <w:i/>
          <w:sz w:val="24"/>
          <w:szCs w:val="24"/>
        </w:rPr>
        <w:t> </w:t>
      </w:r>
      <w:hyperlink r:id="rId9" w:tgtFrame="morph" w:history="1">
        <w:r w:rsidRPr="00A563FD">
          <w:rPr>
            <w:rFonts w:cstheme="minorHAnsi"/>
            <w:i/>
            <w:sz w:val="24"/>
            <w:szCs w:val="24"/>
          </w:rPr>
          <w:t>Ἑλλάδος</w:t>
        </w:r>
      </w:hyperlink>
      <w:r w:rsidRPr="00A563FD">
        <w:rPr>
          <w:rFonts w:cstheme="minorHAnsi"/>
          <w:i/>
          <w:sz w:val="24"/>
          <w:szCs w:val="24"/>
        </w:rPr>
        <w:t>’</w:t>
      </w:r>
      <w:r w:rsidRPr="00A563FD">
        <w:rPr>
          <w:rFonts w:cstheme="minorHAnsi"/>
          <w:sz w:val="24"/>
          <w:szCs w:val="24"/>
        </w:rPr>
        <w:t xml:space="preserve"> in book 1, stating from the beginning Sparta’s importance in the </w:t>
      </w:r>
      <w:r w:rsidRPr="00A563FD">
        <w:rPr>
          <w:rFonts w:cstheme="minorHAnsi"/>
          <w:sz w:val="24"/>
          <w:szCs w:val="24"/>
        </w:rPr>
        <w:lastRenderedPageBreak/>
        <w:t>narrative.</w:t>
      </w:r>
      <w:r w:rsidRPr="00A563FD">
        <w:rPr>
          <w:rStyle w:val="FootnoteReference"/>
          <w:rFonts w:cstheme="minorHAnsi"/>
          <w:sz w:val="24"/>
          <w:szCs w:val="24"/>
        </w:rPr>
        <w:footnoteReference w:id="21"/>
      </w:r>
      <w:r w:rsidRPr="00A563FD">
        <w:rPr>
          <w:rFonts w:cstheme="minorHAnsi"/>
          <w:sz w:val="24"/>
          <w:szCs w:val="24"/>
        </w:rPr>
        <w:t xml:space="preserve"> Herodotus also focuses on the Persians and their kings, like Croesus</w:t>
      </w:r>
      <w:r w:rsidR="00111E2A" w:rsidRPr="00A563FD">
        <w:rPr>
          <w:rFonts w:cstheme="minorHAnsi"/>
          <w:sz w:val="24"/>
          <w:szCs w:val="24"/>
        </w:rPr>
        <w:t>, Darius, and Xerxes</w:t>
      </w:r>
      <w:r w:rsidRPr="00A563FD">
        <w:rPr>
          <w:rFonts w:cstheme="minorHAnsi"/>
          <w:sz w:val="24"/>
          <w:szCs w:val="24"/>
        </w:rPr>
        <w:t>.</w:t>
      </w:r>
      <w:r w:rsidRPr="00A563FD">
        <w:rPr>
          <w:rStyle w:val="FootnoteReference"/>
          <w:rFonts w:cstheme="minorHAnsi"/>
          <w:sz w:val="24"/>
          <w:szCs w:val="24"/>
        </w:rPr>
        <w:footnoteReference w:id="22"/>
      </w:r>
      <w:r w:rsidR="00111E2A" w:rsidRPr="00A563FD">
        <w:rPr>
          <w:rFonts w:cstheme="minorHAnsi"/>
          <w:sz w:val="24"/>
          <w:szCs w:val="24"/>
        </w:rPr>
        <w:t xml:space="preserve"> Due to these two peoples leading the fight at Thermopylae, Herodotus was able to compare and contrast their leaders, characterising them in specific ways.</w:t>
      </w:r>
      <w:r w:rsidR="00111E2A" w:rsidRPr="00A563FD">
        <w:rPr>
          <w:rStyle w:val="FootnoteReference"/>
          <w:rFonts w:cstheme="minorHAnsi"/>
          <w:sz w:val="24"/>
          <w:szCs w:val="24"/>
        </w:rPr>
        <w:footnoteReference w:id="23"/>
      </w:r>
      <w:r w:rsidR="00111E2A" w:rsidRPr="00A563FD">
        <w:rPr>
          <w:rFonts w:cstheme="minorHAnsi"/>
          <w:sz w:val="24"/>
          <w:szCs w:val="24"/>
        </w:rPr>
        <w:t xml:space="preserve"> For Herodotus, the events of the Persian Wars were directly influenced by the Gods, and therefore his characters were often influenced by such.</w:t>
      </w:r>
      <w:r w:rsidR="00111E2A" w:rsidRPr="00A563FD">
        <w:rPr>
          <w:rStyle w:val="FootnoteReference"/>
          <w:rFonts w:cstheme="minorHAnsi"/>
          <w:sz w:val="24"/>
          <w:szCs w:val="24"/>
        </w:rPr>
        <w:footnoteReference w:id="24"/>
      </w:r>
      <w:r w:rsidR="001916E0" w:rsidRPr="00A563FD">
        <w:rPr>
          <w:rFonts w:cstheme="minorHAnsi"/>
          <w:sz w:val="24"/>
          <w:szCs w:val="24"/>
        </w:rPr>
        <w:t xml:space="preserve"> </w:t>
      </w:r>
    </w:p>
    <w:p w:rsidR="00BC6330" w:rsidRPr="00A563FD" w:rsidRDefault="001916E0" w:rsidP="00A563FD">
      <w:pPr>
        <w:spacing w:line="360" w:lineRule="auto"/>
        <w:rPr>
          <w:rFonts w:cstheme="minorHAnsi"/>
          <w:sz w:val="24"/>
          <w:szCs w:val="24"/>
        </w:rPr>
      </w:pPr>
      <w:r w:rsidRPr="00A563FD">
        <w:rPr>
          <w:rFonts w:cstheme="minorHAnsi"/>
          <w:sz w:val="24"/>
          <w:szCs w:val="24"/>
        </w:rPr>
        <w:t>The study of Persia has been divided into different methodologies due to Herodotus’ works, and opinions on whether or not they should be relied upon considering that Herodotus saw the Persians as ‘Other’.</w:t>
      </w:r>
      <w:r w:rsidRPr="00A563FD">
        <w:rPr>
          <w:rStyle w:val="FootnoteReference"/>
          <w:rFonts w:cstheme="minorHAnsi"/>
          <w:sz w:val="24"/>
          <w:szCs w:val="24"/>
        </w:rPr>
        <w:footnoteReference w:id="25"/>
      </w:r>
      <w:r w:rsidRPr="00A563FD">
        <w:rPr>
          <w:rFonts w:cstheme="minorHAnsi"/>
          <w:sz w:val="24"/>
          <w:szCs w:val="24"/>
        </w:rPr>
        <w:t xml:space="preserve"> It must always be remembered that not only did Herodotus set out to record the great deeds of </w:t>
      </w:r>
      <w:r w:rsidRPr="00A563FD">
        <w:rPr>
          <w:rFonts w:cstheme="minorHAnsi"/>
          <w:i/>
          <w:sz w:val="24"/>
          <w:szCs w:val="24"/>
        </w:rPr>
        <w:t>‘</w:t>
      </w:r>
      <w:proofErr w:type="spellStart"/>
      <w:r w:rsidRPr="00A563FD">
        <w:rPr>
          <w:rFonts w:cstheme="minorHAnsi"/>
          <w:i/>
          <w:sz w:val="24"/>
          <w:szCs w:val="24"/>
        </w:rPr>
        <w:fldChar w:fldCharType="begin"/>
      </w:r>
      <w:r w:rsidRPr="00A563FD">
        <w:rPr>
          <w:rFonts w:cstheme="minorHAnsi"/>
          <w:i/>
          <w:sz w:val="24"/>
          <w:szCs w:val="24"/>
        </w:rPr>
        <w:instrText xml:space="preserve"> HYPERLINK "http://www.perseus.tufts.edu/hopper/morph?l=ta%5C&amp;la=greek&amp;can=ta%5C1&amp;prior=qwmasta/" \t "morph" </w:instrText>
      </w:r>
      <w:r w:rsidRPr="00A563FD">
        <w:rPr>
          <w:rFonts w:cstheme="minorHAnsi"/>
          <w:i/>
          <w:sz w:val="24"/>
          <w:szCs w:val="24"/>
        </w:rPr>
        <w:fldChar w:fldCharType="separate"/>
      </w:r>
      <w:r w:rsidRPr="00A563FD">
        <w:rPr>
          <w:rFonts w:cstheme="minorHAnsi"/>
          <w:i/>
          <w:sz w:val="24"/>
          <w:szCs w:val="24"/>
        </w:rPr>
        <w:t>τὰ</w:t>
      </w:r>
      <w:proofErr w:type="spellEnd"/>
      <w:r w:rsidRPr="00A563FD">
        <w:rPr>
          <w:rFonts w:cstheme="minorHAnsi"/>
          <w:i/>
          <w:sz w:val="24"/>
          <w:szCs w:val="24"/>
        </w:rPr>
        <w:fldChar w:fldCharType="end"/>
      </w:r>
      <w:r w:rsidRPr="00A563FD">
        <w:rPr>
          <w:rFonts w:cstheme="minorHAnsi"/>
          <w:i/>
          <w:sz w:val="24"/>
          <w:szCs w:val="24"/>
        </w:rPr>
        <w:t> </w:t>
      </w:r>
      <w:proofErr w:type="spellStart"/>
      <w:r w:rsidRPr="00A563FD">
        <w:rPr>
          <w:rFonts w:cstheme="minorHAnsi"/>
          <w:i/>
          <w:sz w:val="24"/>
          <w:szCs w:val="24"/>
        </w:rPr>
        <w:fldChar w:fldCharType="begin"/>
      </w:r>
      <w:r w:rsidRPr="00A563FD">
        <w:rPr>
          <w:rFonts w:cstheme="minorHAnsi"/>
          <w:i/>
          <w:sz w:val="24"/>
          <w:szCs w:val="24"/>
        </w:rPr>
        <w:instrText xml:space="preserve"> HYPERLINK "http://www.perseus.tufts.edu/hopper/morph?l=me%5Cn&amp;la=greek&amp;can=me%5Cn0&amp;prior=ta\\" \t "morph" </w:instrText>
      </w:r>
      <w:r w:rsidRPr="00A563FD">
        <w:rPr>
          <w:rFonts w:cstheme="minorHAnsi"/>
          <w:i/>
          <w:sz w:val="24"/>
          <w:szCs w:val="24"/>
        </w:rPr>
        <w:fldChar w:fldCharType="separate"/>
      </w:r>
      <w:r w:rsidRPr="00A563FD">
        <w:rPr>
          <w:rFonts w:cstheme="minorHAnsi"/>
          <w:i/>
          <w:sz w:val="24"/>
          <w:szCs w:val="24"/>
        </w:rPr>
        <w:t>μὲν</w:t>
      </w:r>
      <w:r w:rsidRPr="00A563FD">
        <w:rPr>
          <w:rFonts w:cstheme="minorHAnsi"/>
          <w:i/>
          <w:sz w:val="24"/>
          <w:szCs w:val="24"/>
        </w:rPr>
        <w:fldChar w:fldCharType="end"/>
      </w:r>
      <w:hyperlink r:id="rId10" w:tgtFrame="morph" w:history="1">
        <w:r w:rsidRPr="00A563FD">
          <w:rPr>
            <w:rFonts w:cstheme="minorHAnsi"/>
            <w:i/>
            <w:sz w:val="24"/>
            <w:szCs w:val="24"/>
          </w:rPr>
          <w:t>Ἕλλησι</w:t>
        </w:r>
        <w:proofErr w:type="spellEnd"/>
      </w:hyperlink>
      <w:r w:rsidRPr="00A563FD">
        <w:rPr>
          <w:rFonts w:cstheme="minorHAnsi"/>
          <w:i/>
          <w:sz w:val="24"/>
          <w:szCs w:val="24"/>
        </w:rPr>
        <w:t> </w:t>
      </w:r>
      <w:proofErr w:type="spellStart"/>
      <w:r w:rsidRPr="00A563FD">
        <w:rPr>
          <w:rFonts w:cstheme="minorHAnsi"/>
          <w:i/>
          <w:sz w:val="24"/>
          <w:szCs w:val="24"/>
        </w:rPr>
        <w:fldChar w:fldCharType="begin"/>
      </w:r>
      <w:r w:rsidRPr="00A563FD">
        <w:rPr>
          <w:rFonts w:cstheme="minorHAnsi"/>
          <w:i/>
          <w:sz w:val="24"/>
          <w:szCs w:val="24"/>
        </w:rPr>
        <w:instrText xml:space="preserve"> HYPERLINK "http://www.perseus.tufts.edu/hopper/morph?l=ta%5C&amp;la=greek&amp;can=ta%5C2&amp;prior=*(/ellhsi" \t "morph" </w:instrText>
      </w:r>
      <w:r w:rsidRPr="00A563FD">
        <w:rPr>
          <w:rFonts w:cstheme="minorHAnsi"/>
          <w:i/>
          <w:sz w:val="24"/>
          <w:szCs w:val="24"/>
        </w:rPr>
        <w:fldChar w:fldCharType="separate"/>
      </w:r>
      <w:r w:rsidRPr="00A563FD">
        <w:rPr>
          <w:rFonts w:cstheme="minorHAnsi"/>
          <w:i/>
          <w:sz w:val="24"/>
          <w:szCs w:val="24"/>
        </w:rPr>
        <w:t>τὰ</w:t>
      </w:r>
      <w:proofErr w:type="spellEnd"/>
      <w:r w:rsidRPr="00A563FD">
        <w:rPr>
          <w:rFonts w:cstheme="minorHAnsi"/>
          <w:i/>
          <w:sz w:val="24"/>
          <w:szCs w:val="24"/>
        </w:rPr>
        <w:fldChar w:fldCharType="end"/>
      </w:r>
      <w:r w:rsidRPr="00A563FD">
        <w:rPr>
          <w:rFonts w:cstheme="minorHAnsi"/>
          <w:i/>
          <w:sz w:val="24"/>
          <w:szCs w:val="24"/>
        </w:rPr>
        <w:t> </w:t>
      </w:r>
      <w:proofErr w:type="spellStart"/>
      <w:r w:rsidRPr="00A563FD">
        <w:rPr>
          <w:rFonts w:cstheme="minorHAnsi"/>
          <w:i/>
          <w:sz w:val="24"/>
          <w:szCs w:val="24"/>
        </w:rPr>
        <w:fldChar w:fldCharType="begin"/>
      </w:r>
      <w:r w:rsidRPr="00A563FD">
        <w:rPr>
          <w:rFonts w:cstheme="minorHAnsi"/>
          <w:i/>
          <w:sz w:val="24"/>
          <w:szCs w:val="24"/>
        </w:rPr>
        <w:instrText xml:space="preserve"> HYPERLINK "http://www.perseus.tufts.edu/hopper/morph?l=de%5C&amp;la=greek&amp;can=de%5C0&amp;prior=ta\\" \t "morph" </w:instrText>
      </w:r>
      <w:r w:rsidRPr="00A563FD">
        <w:rPr>
          <w:rFonts w:cstheme="minorHAnsi"/>
          <w:i/>
          <w:sz w:val="24"/>
          <w:szCs w:val="24"/>
        </w:rPr>
        <w:fldChar w:fldCharType="separate"/>
      </w:r>
      <w:r w:rsidRPr="00A563FD">
        <w:rPr>
          <w:rFonts w:cstheme="minorHAnsi"/>
          <w:i/>
          <w:sz w:val="24"/>
          <w:szCs w:val="24"/>
        </w:rPr>
        <w:t>δὲ</w:t>
      </w:r>
      <w:proofErr w:type="spellEnd"/>
      <w:r w:rsidRPr="00A563FD">
        <w:rPr>
          <w:rFonts w:cstheme="minorHAnsi"/>
          <w:i/>
          <w:sz w:val="24"/>
          <w:szCs w:val="24"/>
        </w:rPr>
        <w:fldChar w:fldCharType="end"/>
      </w:r>
      <w:r w:rsidRPr="00A563FD">
        <w:rPr>
          <w:rFonts w:cstheme="minorHAnsi"/>
          <w:i/>
          <w:sz w:val="24"/>
          <w:szCs w:val="24"/>
        </w:rPr>
        <w:t> </w:t>
      </w:r>
      <w:hyperlink r:id="rId11" w:tgtFrame="morph" w:history="1">
        <w:r w:rsidRPr="00A563FD">
          <w:rPr>
            <w:rFonts w:cstheme="minorHAnsi"/>
            <w:i/>
            <w:sz w:val="24"/>
            <w:szCs w:val="24"/>
          </w:rPr>
          <w:t>βαρβ</w:t>
        </w:r>
        <w:proofErr w:type="spellStart"/>
        <w:r w:rsidRPr="00A563FD">
          <w:rPr>
            <w:rFonts w:cstheme="minorHAnsi"/>
            <w:i/>
            <w:sz w:val="24"/>
            <w:szCs w:val="24"/>
          </w:rPr>
          <w:t>άροισι</w:t>
        </w:r>
        <w:proofErr w:type="spellEnd"/>
      </w:hyperlink>
      <w:r w:rsidRPr="00A563FD">
        <w:rPr>
          <w:rFonts w:cstheme="minorHAnsi"/>
          <w:sz w:val="24"/>
          <w:szCs w:val="24"/>
        </w:rPr>
        <w:t>’, but also that the accuracy of this has been debated since ancient times.</w:t>
      </w:r>
      <w:r w:rsidRPr="00A563FD">
        <w:rPr>
          <w:rStyle w:val="FootnoteReference"/>
          <w:rFonts w:cstheme="minorHAnsi"/>
          <w:sz w:val="24"/>
          <w:szCs w:val="24"/>
        </w:rPr>
        <w:footnoteReference w:id="26"/>
      </w:r>
      <w:r w:rsidR="00C30B49" w:rsidRPr="00A563FD">
        <w:rPr>
          <w:rFonts w:cstheme="minorHAnsi"/>
          <w:sz w:val="24"/>
          <w:szCs w:val="24"/>
        </w:rPr>
        <w:t xml:space="preserve"> </w:t>
      </w:r>
      <w:r w:rsidR="00484419" w:rsidRPr="00A563FD">
        <w:rPr>
          <w:rFonts w:cstheme="minorHAnsi"/>
          <w:sz w:val="24"/>
          <w:szCs w:val="24"/>
        </w:rPr>
        <w:t>Also, t</w:t>
      </w:r>
      <w:r w:rsidR="00C30B49" w:rsidRPr="00A563FD">
        <w:rPr>
          <w:rFonts w:cstheme="minorHAnsi"/>
          <w:sz w:val="24"/>
          <w:szCs w:val="24"/>
        </w:rPr>
        <w:t>he spartan mirage remains heavily influential</w:t>
      </w:r>
      <w:r w:rsidR="00484419" w:rsidRPr="00A563FD">
        <w:rPr>
          <w:rFonts w:cstheme="minorHAnsi"/>
          <w:sz w:val="24"/>
          <w:szCs w:val="24"/>
        </w:rPr>
        <w:t>.</w:t>
      </w:r>
      <w:r w:rsidR="00484419" w:rsidRPr="00A563FD">
        <w:rPr>
          <w:rStyle w:val="FootnoteReference"/>
          <w:rFonts w:cstheme="minorHAnsi"/>
          <w:sz w:val="24"/>
          <w:szCs w:val="24"/>
        </w:rPr>
        <w:footnoteReference w:id="27"/>
      </w:r>
      <w:r w:rsidR="00484419" w:rsidRPr="00A563FD">
        <w:rPr>
          <w:rFonts w:cstheme="minorHAnsi"/>
          <w:sz w:val="24"/>
          <w:szCs w:val="24"/>
        </w:rPr>
        <w:t xml:space="preserve"> Forrest accurately—but also vaguely and without depth—states  that romanticism is rife around Sparta, especially when the evidence notes several contradictory accounts.</w:t>
      </w:r>
      <w:r w:rsidR="00484419" w:rsidRPr="00A563FD">
        <w:rPr>
          <w:rStyle w:val="FootnoteReference"/>
          <w:rFonts w:cstheme="minorHAnsi"/>
          <w:sz w:val="24"/>
          <w:szCs w:val="24"/>
        </w:rPr>
        <w:footnoteReference w:id="28"/>
      </w:r>
      <w:r w:rsidR="00484419" w:rsidRPr="00A563FD">
        <w:rPr>
          <w:rFonts w:cstheme="minorHAnsi"/>
          <w:sz w:val="24"/>
          <w:szCs w:val="24"/>
        </w:rPr>
        <w:t xml:space="preserve"> Sparta</w:t>
      </w:r>
      <w:r w:rsidR="00C30B49" w:rsidRPr="00A563FD">
        <w:rPr>
          <w:rFonts w:cstheme="minorHAnsi"/>
          <w:sz w:val="24"/>
          <w:szCs w:val="24"/>
        </w:rPr>
        <w:t xml:space="preserve"> </w:t>
      </w:r>
      <w:r w:rsidR="00484419" w:rsidRPr="00A563FD">
        <w:rPr>
          <w:rFonts w:cstheme="minorHAnsi"/>
          <w:sz w:val="24"/>
          <w:szCs w:val="24"/>
        </w:rPr>
        <w:t>is</w:t>
      </w:r>
      <w:r w:rsidR="00C30B49" w:rsidRPr="00A563FD">
        <w:rPr>
          <w:rFonts w:cstheme="minorHAnsi"/>
          <w:sz w:val="24"/>
          <w:szCs w:val="24"/>
        </w:rPr>
        <w:t xml:space="preserve"> notably surrounded by opinions and distortions, such as </w:t>
      </w:r>
      <w:r w:rsidR="00484419" w:rsidRPr="00A563FD">
        <w:rPr>
          <w:rFonts w:cstheme="minorHAnsi"/>
          <w:sz w:val="24"/>
          <w:szCs w:val="24"/>
        </w:rPr>
        <w:t>H</w:t>
      </w:r>
      <w:r w:rsidR="00C30B49" w:rsidRPr="00A563FD">
        <w:rPr>
          <w:rFonts w:cstheme="minorHAnsi"/>
          <w:sz w:val="24"/>
          <w:szCs w:val="24"/>
        </w:rPr>
        <w:t>erodotus</w:t>
      </w:r>
      <w:r w:rsidR="00484419" w:rsidRPr="00A563FD">
        <w:rPr>
          <w:rFonts w:cstheme="minorHAnsi"/>
          <w:sz w:val="24"/>
          <w:szCs w:val="24"/>
        </w:rPr>
        <w:t>’</w:t>
      </w:r>
      <w:r w:rsidR="00C30B49" w:rsidRPr="00A563FD">
        <w:rPr>
          <w:rFonts w:cstheme="minorHAnsi"/>
          <w:sz w:val="24"/>
          <w:szCs w:val="24"/>
        </w:rPr>
        <w:t xml:space="preserve"> </w:t>
      </w:r>
      <w:r w:rsidR="00484419" w:rsidRPr="00A563FD">
        <w:rPr>
          <w:rFonts w:cstheme="minorHAnsi"/>
          <w:sz w:val="24"/>
          <w:szCs w:val="24"/>
        </w:rPr>
        <w:t>dislike for Cleomenes, who unfortunately is our main source for him, forever distorting modern perceptions.</w:t>
      </w:r>
      <w:r w:rsidR="00484419" w:rsidRPr="00A563FD">
        <w:rPr>
          <w:rStyle w:val="FootnoteReference"/>
          <w:rFonts w:cstheme="minorHAnsi"/>
          <w:sz w:val="24"/>
          <w:szCs w:val="24"/>
        </w:rPr>
        <w:footnoteReference w:id="29"/>
      </w:r>
      <w:r w:rsidR="00C30B49" w:rsidRPr="00A563FD">
        <w:rPr>
          <w:rFonts w:cstheme="minorHAnsi"/>
          <w:sz w:val="24"/>
          <w:szCs w:val="24"/>
        </w:rPr>
        <w:t xml:space="preserve"> </w:t>
      </w:r>
    </w:p>
    <w:p w:rsidR="00111E2A" w:rsidRPr="00A563FD" w:rsidRDefault="00111E2A" w:rsidP="00A563FD">
      <w:pPr>
        <w:spacing w:line="360" w:lineRule="auto"/>
        <w:rPr>
          <w:rFonts w:cstheme="minorHAnsi"/>
          <w:sz w:val="24"/>
          <w:szCs w:val="24"/>
        </w:rPr>
      </w:pPr>
      <w:r w:rsidRPr="00A563FD">
        <w:rPr>
          <w:rFonts w:cstheme="minorHAnsi"/>
          <w:sz w:val="24"/>
          <w:szCs w:val="24"/>
        </w:rPr>
        <w:t xml:space="preserve">The Persian kings and the Spartan kings for Herodotus were very important figures, and in </w:t>
      </w:r>
      <w:r w:rsidRPr="00A563FD">
        <w:rPr>
          <w:rFonts w:cstheme="minorHAnsi"/>
          <w:i/>
          <w:sz w:val="24"/>
          <w:szCs w:val="24"/>
        </w:rPr>
        <w:t xml:space="preserve">The </w:t>
      </w:r>
      <w:proofErr w:type="gramStart"/>
      <w:r w:rsidRPr="00A563FD">
        <w:rPr>
          <w:rFonts w:cstheme="minorHAnsi"/>
          <w:i/>
          <w:sz w:val="24"/>
          <w:szCs w:val="24"/>
        </w:rPr>
        <w:t>Histories</w:t>
      </w:r>
      <w:proofErr w:type="gramEnd"/>
      <w:r w:rsidRPr="00A563FD">
        <w:rPr>
          <w:rFonts w:cstheme="minorHAnsi"/>
          <w:i/>
          <w:sz w:val="24"/>
          <w:szCs w:val="24"/>
        </w:rPr>
        <w:t xml:space="preserve"> </w:t>
      </w:r>
      <w:r w:rsidRPr="00A563FD">
        <w:rPr>
          <w:rFonts w:cstheme="minorHAnsi"/>
          <w:sz w:val="24"/>
          <w:szCs w:val="24"/>
        </w:rPr>
        <w:t>Herodotus uses these figures to exemplify the differences between the Greeks and the Persians.</w:t>
      </w:r>
      <w:r w:rsidRPr="00A563FD">
        <w:rPr>
          <w:rStyle w:val="FootnoteReference"/>
          <w:rFonts w:cstheme="minorHAnsi"/>
          <w:sz w:val="24"/>
          <w:szCs w:val="24"/>
        </w:rPr>
        <w:footnoteReference w:id="30"/>
      </w:r>
      <w:r w:rsidRPr="00A563FD">
        <w:rPr>
          <w:rFonts w:cstheme="minorHAnsi"/>
          <w:sz w:val="24"/>
          <w:szCs w:val="24"/>
        </w:rPr>
        <w:t xml:space="preserve"> </w:t>
      </w:r>
      <w:r w:rsidR="00FF41D5" w:rsidRPr="00A563FD">
        <w:rPr>
          <w:rFonts w:cstheme="minorHAnsi"/>
          <w:sz w:val="24"/>
          <w:szCs w:val="24"/>
        </w:rPr>
        <w:t xml:space="preserve">Before Xerxes’ invasion, Darius and Cleomenes were kings in Persia and Sparta. Hartog wrongly states with no evidence that Darius is somehow ‘the forebear of </w:t>
      </w:r>
      <w:proofErr w:type="spellStart"/>
      <w:r w:rsidR="00FF41D5" w:rsidRPr="00A563FD">
        <w:rPr>
          <w:rFonts w:cstheme="minorHAnsi"/>
          <w:sz w:val="24"/>
          <w:szCs w:val="24"/>
        </w:rPr>
        <w:t>Napolean</w:t>
      </w:r>
      <w:proofErr w:type="spellEnd"/>
      <w:r w:rsidR="00FF41D5" w:rsidRPr="00A563FD">
        <w:rPr>
          <w:rFonts w:cstheme="minorHAnsi"/>
          <w:sz w:val="24"/>
          <w:szCs w:val="24"/>
        </w:rPr>
        <w:t>’, which is a comparison which cannot be drawn due to the time difference and the fact that these figures were entirely separate individuals.</w:t>
      </w:r>
      <w:r w:rsidR="00FF41D5" w:rsidRPr="00A563FD">
        <w:rPr>
          <w:rStyle w:val="FootnoteReference"/>
          <w:rFonts w:cstheme="minorHAnsi"/>
          <w:sz w:val="24"/>
          <w:szCs w:val="24"/>
        </w:rPr>
        <w:footnoteReference w:id="31"/>
      </w:r>
      <w:r w:rsidR="00FF41D5" w:rsidRPr="00A563FD">
        <w:rPr>
          <w:rFonts w:cstheme="minorHAnsi"/>
          <w:sz w:val="24"/>
          <w:szCs w:val="24"/>
        </w:rPr>
        <w:t xml:space="preserve"> Although, Hartog correctly assesses that Darius’ campaigns were less grand than that of his successor, as the Scythian expedition is a failure with a smaller force.</w:t>
      </w:r>
      <w:r w:rsidR="00FF41D5" w:rsidRPr="00A563FD">
        <w:rPr>
          <w:rStyle w:val="FootnoteReference"/>
          <w:rFonts w:cstheme="minorHAnsi"/>
          <w:sz w:val="24"/>
          <w:szCs w:val="24"/>
        </w:rPr>
        <w:footnoteReference w:id="32"/>
      </w:r>
      <w:r w:rsidR="00FF41D5" w:rsidRPr="00A563FD">
        <w:rPr>
          <w:rFonts w:cstheme="minorHAnsi"/>
          <w:sz w:val="24"/>
          <w:szCs w:val="24"/>
        </w:rPr>
        <w:t xml:space="preserve"> However, Herodotus includes this narrative of </w:t>
      </w:r>
      <w:r w:rsidR="00FF41D5" w:rsidRPr="00A563FD">
        <w:rPr>
          <w:rFonts w:cstheme="minorHAnsi"/>
          <w:sz w:val="24"/>
          <w:szCs w:val="24"/>
        </w:rPr>
        <w:lastRenderedPageBreak/>
        <w:t>the Scythian expedition as a foreshadowing to Xerxes expedition, as Darius is the first Persian king to enter Europe, and is also pushed back.</w:t>
      </w:r>
      <w:r w:rsidR="00FF41D5" w:rsidRPr="00A563FD">
        <w:rPr>
          <w:rStyle w:val="FootnoteReference"/>
          <w:rFonts w:cstheme="minorHAnsi"/>
          <w:sz w:val="24"/>
          <w:szCs w:val="24"/>
        </w:rPr>
        <w:footnoteReference w:id="33"/>
      </w:r>
    </w:p>
    <w:p w:rsidR="00FF41D5" w:rsidRPr="00A563FD" w:rsidRDefault="00FF41D5" w:rsidP="00A563FD">
      <w:pPr>
        <w:spacing w:line="360" w:lineRule="auto"/>
        <w:rPr>
          <w:rFonts w:cstheme="minorHAnsi"/>
          <w:sz w:val="24"/>
          <w:szCs w:val="24"/>
        </w:rPr>
      </w:pPr>
      <w:r w:rsidRPr="00A563FD">
        <w:rPr>
          <w:rFonts w:cstheme="minorHAnsi"/>
          <w:sz w:val="24"/>
          <w:szCs w:val="24"/>
        </w:rPr>
        <w:t xml:space="preserve">One of Darius’ major acts that Herodotus portrays, is Darius being part of a conspiracy assassinating the </w:t>
      </w:r>
      <w:r w:rsidR="00727820" w:rsidRPr="00A563FD">
        <w:rPr>
          <w:rFonts w:cstheme="minorHAnsi"/>
          <w:sz w:val="24"/>
          <w:szCs w:val="24"/>
        </w:rPr>
        <w:t>Magi</w:t>
      </w:r>
      <w:r w:rsidRPr="00A563FD">
        <w:rPr>
          <w:rFonts w:cstheme="minorHAnsi"/>
          <w:sz w:val="24"/>
          <w:szCs w:val="24"/>
        </w:rPr>
        <w:t>.</w:t>
      </w:r>
      <w:r w:rsidRPr="00A563FD">
        <w:rPr>
          <w:rStyle w:val="FootnoteReference"/>
          <w:rFonts w:cstheme="minorHAnsi"/>
          <w:sz w:val="24"/>
          <w:szCs w:val="24"/>
        </w:rPr>
        <w:footnoteReference w:id="34"/>
      </w:r>
      <w:r w:rsidRPr="00A563FD">
        <w:rPr>
          <w:rFonts w:cstheme="minorHAnsi"/>
          <w:sz w:val="24"/>
          <w:szCs w:val="24"/>
        </w:rPr>
        <w:t xml:space="preserve"> Not only </w:t>
      </w:r>
      <w:r w:rsidR="00727820" w:rsidRPr="00A563FD">
        <w:rPr>
          <w:rFonts w:cstheme="minorHAnsi"/>
          <w:sz w:val="24"/>
          <w:szCs w:val="24"/>
        </w:rPr>
        <w:t>is Darius portrayed as devious, but also afraid,</w:t>
      </w:r>
      <w:r w:rsidR="00A615CC" w:rsidRPr="00A563FD">
        <w:rPr>
          <w:rFonts w:cstheme="minorHAnsi"/>
          <w:sz w:val="24"/>
          <w:szCs w:val="24"/>
        </w:rPr>
        <w:t xml:space="preserve"> </w:t>
      </w:r>
      <w:r w:rsidR="00727820" w:rsidRPr="00A563FD">
        <w:rPr>
          <w:rFonts w:cstheme="minorHAnsi"/>
          <w:sz w:val="24"/>
          <w:szCs w:val="24"/>
        </w:rPr>
        <w:t>incompetent, and sacrilegious.</w:t>
      </w:r>
      <w:r w:rsidR="00727820" w:rsidRPr="00A563FD">
        <w:rPr>
          <w:rStyle w:val="FootnoteReference"/>
          <w:rFonts w:cstheme="minorHAnsi"/>
          <w:sz w:val="24"/>
          <w:szCs w:val="24"/>
        </w:rPr>
        <w:footnoteReference w:id="35"/>
      </w:r>
      <w:r w:rsidR="00727820" w:rsidRPr="00A563FD">
        <w:rPr>
          <w:rFonts w:cstheme="minorHAnsi"/>
          <w:sz w:val="24"/>
          <w:szCs w:val="24"/>
        </w:rPr>
        <w:t xml:space="preserve"> Herodotus is trying to show the Persian kings as not infallible, and seems to disapprove of them, with this act of treachery being so heavily focused upon.</w:t>
      </w:r>
      <w:r w:rsidR="00727820" w:rsidRPr="00A563FD">
        <w:rPr>
          <w:rStyle w:val="FootnoteReference"/>
          <w:rFonts w:cstheme="minorHAnsi"/>
          <w:sz w:val="24"/>
          <w:szCs w:val="24"/>
        </w:rPr>
        <w:footnoteReference w:id="36"/>
      </w:r>
      <w:r w:rsidR="00727820" w:rsidRPr="00A563FD">
        <w:rPr>
          <w:rFonts w:cstheme="minorHAnsi"/>
          <w:sz w:val="24"/>
          <w:szCs w:val="24"/>
        </w:rPr>
        <w:t xml:space="preserve"> Also, later on Darius simply twists his foot dismounting a horse, which makes his character appear </w:t>
      </w:r>
      <w:r w:rsidR="00E67D32">
        <w:rPr>
          <w:rFonts w:cstheme="minorHAnsi"/>
          <w:sz w:val="24"/>
          <w:szCs w:val="24"/>
        </w:rPr>
        <w:t xml:space="preserve">physically </w:t>
      </w:r>
      <w:r w:rsidR="00727820" w:rsidRPr="00A563FD">
        <w:rPr>
          <w:rFonts w:cstheme="minorHAnsi"/>
          <w:sz w:val="24"/>
          <w:szCs w:val="24"/>
        </w:rPr>
        <w:t>weak, combined with his later failures in Scythia</w:t>
      </w:r>
      <w:r w:rsidR="00E67D32">
        <w:rPr>
          <w:rFonts w:cstheme="minorHAnsi"/>
          <w:sz w:val="24"/>
          <w:szCs w:val="24"/>
        </w:rPr>
        <w:t>, making him seem overall weak</w:t>
      </w:r>
      <w:r w:rsidR="00727820" w:rsidRPr="00A563FD">
        <w:rPr>
          <w:rFonts w:cstheme="minorHAnsi"/>
          <w:sz w:val="24"/>
          <w:szCs w:val="24"/>
        </w:rPr>
        <w:t>.</w:t>
      </w:r>
      <w:r w:rsidR="00727820" w:rsidRPr="00A563FD">
        <w:rPr>
          <w:rStyle w:val="FootnoteReference"/>
          <w:rFonts w:cstheme="minorHAnsi"/>
          <w:sz w:val="24"/>
          <w:szCs w:val="24"/>
        </w:rPr>
        <w:footnoteReference w:id="37"/>
      </w:r>
      <w:r w:rsidR="00727820" w:rsidRPr="00A563FD">
        <w:rPr>
          <w:rFonts w:cstheme="minorHAnsi"/>
          <w:sz w:val="24"/>
          <w:szCs w:val="24"/>
        </w:rPr>
        <w:t xml:space="preserve"> The invasion of Scythia is due to vengeance, like Xerxes’ invasion, which emphasises a petty nature.</w:t>
      </w:r>
      <w:r w:rsidR="00727820" w:rsidRPr="00A563FD">
        <w:rPr>
          <w:rStyle w:val="FootnoteReference"/>
          <w:rFonts w:cstheme="minorHAnsi"/>
          <w:sz w:val="24"/>
          <w:szCs w:val="24"/>
        </w:rPr>
        <w:footnoteReference w:id="38"/>
      </w:r>
    </w:p>
    <w:p w:rsidR="00C85E4D" w:rsidRPr="00A563FD" w:rsidRDefault="00C85E4D" w:rsidP="00A563FD">
      <w:pPr>
        <w:spacing w:line="360" w:lineRule="auto"/>
        <w:rPr>
          <w:rFonts w:cstheme="minorHAnsi"/>
          <w:sz w:val="24"/>
          <w:szCs w:val="24"/>
        </w:rPr>
      </w:pPr>
      <w:r w:rsidRPr="00A563FD">
        <w:rPr>
          <w:rFonts w:cstheme="minorHAnsi"/>
          <w:sz w:val="24"/>
          <w:szCs w:val="24"/>
        </w:rPr>
        <w:t>It can be argued that Darius was shrewd and intelligent, taking careful steps to ensure his power in multiple facets which he pursued with ruthless vigour.</w:t>
      </w:r>
      <w:r w:rsidRPr="00A563FD">
        <w:rPr>
          <w:rStyle w:val="FootnoteReference"/>
          <w:rFonts w:cstheme="minorHAnsi"/>
          <w:sz w:val="24"/>
          <w:szCs w:val="24"/>
        </w:rPr>
        <w:footnoteReference w:id="39"/>
      </w:r>
      <w:r w:rsidR="008B7856" w:rsidRPr="00A563FD">
        <w:rPr>
          <w:rFonts w:cstheme="minorHAnsi"/>
          <w:sz w:val="24"/>
          <w:szCs w:val="24"/>
        </w:rPr>
        <w:t xml:space="preserve"> This fits with what Herodotus was attempting to portray in comparison to Cleomenes, but Cleomenes does seem to appear significantly less competent, as when Herodotus tells us that he became king, he states that he was ‘</w:t>
      </w:r>
      <w:proofErr w:type="spellStart"/>
      <w:r w:rsidR="008B7856" w:rsidRPr="00A563FD">
        <w:rPr>
          <w:rFonts w:cstheme="minorHAnsi"/>
          <w:i/>
          <w:sz w:val="24"/>
          <w:szCs w:val="24"/>
        </w:rPr>
        <w:fldChar w:fldCharType="begin"/>
      </w:r>
      <w:r w:rsidR="008B7856" w:rsidRPr="00A563FD">
        <w:rPr>
          <w:rFonts w:cstheme="minorHAnsi"/>
          <w:i/>
          <w:sz w:val="24"/>
          <w:szCs w:val="24"/>
        </w:rPr>
        <w:instrText xml:space="preserve"> HYPERLINK "http://www.perseus.tufts.edu/hopper/morph?l=ou%29&amp;la=greek&amp;can=ou%290&amp;prior=te" \t "morph" </w:instrText>
      </w:r>
      <w:r w:rsidR="008B7856" w:rsidRPr="00A563FD">
        <w:rPr>
          <w:rFonts w:cstheme="minorHAnsi"/>
          <w:i/>
          <w:sz w:val="24"/>
          <w:szCs w:val="24"/>
        </w:rPr>
        <w:fldChar w:fldCharType="separate"/>
      </w:r>
      <w:r w:rsidR="008B7856" w:rsidRPr="00A563FD">
        <w:rPr>
          <w:rFonts w:cstheme="minorHAnsi"/>
          <w:i/>
          <w:sz w:val="24"/>
          <w:szCs w:val="24"/>
        </w:rPr>
        <w:t>οὐ</w:t>
      </w:r>
      <w:proofErr w:type="spellEnd"/>
      <w:r w:rsidR="008B7856" w:rsidRPr="00A563FD">
        <w:rPr>
          <w:rFonts w:cstheme="minorHAnsi"/>
          <w:i/>
          <w:sz w:val="24"/>
          <w:szCs w:val="24"/>
        </w:rPr>
        <w:fldChar w:fldCharType="end"/>
      </w:r>
      <w:r w:rsidR="008B7856" w:rsidRPr="00A563FD">
        <w:rPr>
          <w:rFonts w:cstheme="minorHAnsi"/>
          <w:i/>
          <w:sz w:val="24"/>
          <w:szCs w:val="24"/>
        </w:rPr>
        <w:t> </w:t>
      </w:r>
      <w:proofErr w:type="spellStart"/>
      <w:r w:rsidR="008B7856" w:rsidRPr="00A563FD">
        <w:rPr>
          <w:rFonts w:cstheme="minorHAnsi"/>
          <w:i/>
          <w:sz w:val="24"/>
          <w:szCs w:val="24"/>
        </w:rPr>
        <w:fldChar w:fldCharType="begin"/>
      </w:r>
      <w:r w:rsidR="008B7856" w:rsidRPr="00A563FD">
        <w:rPr>
          <w:rFonts w:cstheme="minorHAnsi"/>
          <w:i/>
          <w:sz w:val="24"/>
          <w:szCs w:val="24"/>
        </w:rPr>
        <w:instrText xml:space="preserve"> HYPERLINK "http://www.perseus.tufts.edu/hopper/morph?l=frenh%2Frhs&amp;la=greek&amp;can=frenh%2Frhs0&amp;prior=ou)" \t "morph" </w:instrText>
      </w:r>
      <w:r w:rsidR="008B7856" w:rsidRPr="00A563FD">
        <w:rPr>
          <w:rFonts w:cstheme="minorHAnsi"/>
          <w:i/>
          <w:sz w:val="24"/>
          <w:szCs w:val="24"/>
        </w:rPr>
        <w:fldChar w:fldCharType="separate"/>
      </w:r>
      <w:r w:rsidR="008B7856" w:rsidRPr="00A563FD">
        <w:rPr>
          <w:rFonts w:cstheme="minorHAnsi"/>
          <w:i/>
          <w:sz w:val="24"/>
          <w:szCs w:val="24"/>
        </w:rPr>
        <w:t>φρενήρης</w:t>
      </w:r>
      <w:proofErr w:type="spellEnd"/>
      <w:r w:rsidR="008B7856" w:rsidRPr="00A563FD">
        <w:rPr>
          <w:rFonts w:cstheme="minorHAnsi"/>
          <w:i/>
          <w:sz w:val="24"/>
          <w:szCs w:val="24"/>
        </w:rPr>
        <w:fldChar w:fldCharType="end"/>
      </w:r>
      <w:r w:rsidR="008B7856" w:rsidRPr="00A563FD">
        <w:rPr>
          <w:rFonts w:cstheme="minorHAnsi"/>
          <w:i/>
          <w:sz w:val="24"/>
          <w:szCs w:val="24"/>
        </w:rPr>
        <w:t> </w:t>
      </w:r>
      <w:proofErr w:type="spellStart"/>
      <w:r w:rsidR="008B7856" w:rsidRPr="00A563FD">
        <w:rPr>
          <w:rFonts w:cstheme="minorHAnsi"/>
          <w:i/>
          <w:sz w:val="24"/>
          <w:szCs w:val="24"/>
        </w:rPr>
        <w:fldChar w:fldCharType="begin"/>
      </w:r>
      <w:r w:rsidR="008B7856" w:rsidRPr="00A563FD">
        <w:rPr>
          <w:rFonts w:cstheme="minorHAnsi"/>
          <w:i/>
          <w:sz w:val="24"/>
          <w:szCs w:val="24"/>
        </w:rPr>
        <w:instrText xml:space="preserve"> HYPERLINK "http://www.perseus.tufts.edu/hopper/morph?l=a%29kromanh%2Fs&amp;la=greek&amp;can=a%29kromanh%2Fs0&amp;prior=frenh/rhs" \t "morph" </w:instrText>
      </w:r>
      <w:r w:rsidR="008B7856" w:rsidRPr="00A563FD">
        <w:rPr>
          <w:rFonts w:cstheme="minorHAnsi"/>
          <w:i/>
          <w:sz w:val="24"/>
          <w:szCs w:val="24"/>
        </w:rPr>
        <w:fldChar w:fldCharType="separate"/>
      </w:r>
      <w:r w:rsidR="008B7856" w:rsidRPr="00A563FD">
        <w:rPr>
          <w:rFonts w:cstheme="minorHAnsi"/>
          <w:i/>
          <w:sz w:val="24"/>
          <w:szCs w:val="24"/>
        </w:rPr>
        <w:t>ἀκρομ</w:t>
      </w:r>
      <w:proofErr w:type="spellEnd"/>
      <w:r w:rsidR="008B7856" w:rsidRPr="00A563FD">
        <w:rPr>
          <w:rFonts w:cstheme="minorHAnsi"/>
          <w:i/>
          <w:sz w:val="24"/>
          <w:szCs w:val="24"/>
        </w:rPr>
        <w:t>ανής</w:t>
      </w:r>
      <w:r w:rsidR="008B7856" w:rsidRPr="00A563FD">
        <w:rPr>
          <w:rFonts w:cstheme="minorHAnsi"/>
          <w:i/>
          <w:sz w:val="24"/>
          <w:szCs w:val="24"/>
        </w:rPr>
        <w:fldChar w:fldCharType="end"/>
      </w:r>
      <w:r w:rsidR="008B7856" w:rsidRPr="00A563FD">
        <w:rPr>
          <w:rFonts w:cstheme="minorHAnsi"/>
          <w:sz w:val="24"/>
          <w:szCs w:val="24"/>
        </w:rPr>
        <w:t>’, which is strongly different to Darius’ wits.</w:t>
      </w:r>
      <w:r w:rsidR="008B7856" w:rsidRPr="00A563FD">
        <w:rPr>
          <w:rStyle w:val="FootnoteReference"/>
          <w:rFonts w:cstheme="minorHAnsi"/>
          <w:sz w:val="24"/>
          <w:szCs w:val="24"/>
        </w:rPr>
        <w:footnoteReference w:id="40"/>
      </w:r>
      <w:r w:rsidR="00FF519E" w:rsidRPr="00A563FD">
        <w:rPr>
          <w:rFonts w:cstheme="minorHAnsi"/>
          <w:sz w:val="24"/>
          <w:szCs w:val="24"/>
        </w:rPr>
        <w:t xml:space="preserve"> Cartledge correctly identifies that Herodotus’ main dispositions to Cleomenes may be biases in his sources, who see him as a paradigm for mad godlessness, as Herodotus would certainly have agreed with the sources’ pro-religious arguments.</w:t>
      </w:r>
      <w:r w:rsidR="00E252AB" w:rsidRPr="00A563FD">
        <w:rPr>
          <w:rStyle w:val="FootnoteReference"/>
          <w:rFonts w:cstheme="minorHAnsi"/>
          <w:sz w:val="24"/>
          <w:szCs w:val="24"/>
        </w:rPr>
        <w:footnoteReference w:id="41"/>
      </w:r>
      <w:r w:rsidR="00FF519E" w:rsidRPr="00A563FD">
        <w:rPr>
          <w:rFonts w:cstheme="minorHAnsi"/>
          <w:sz w:val="24"/>
          <w:szCs w:val="24"/>
        </w:rPr>
        <w:t xml:space="preserve"> </w:t>
      </w:r>
    </w:p>
    <w:p w:rsidR="00901E9E" w:rsidRPr="00A563FD" w:rsidRDefault="00AC0284" w:rsidP="00A563FD">
      <w:pPr>
        <w:spacing w:line="360" w:lineRule="auto"/>
        <w:rPr>
          <w:rFonts w:cstheme="minorHAnsi"/>
          <w:sz w:val="24"/>
          <w:szCs w:val="24"/>
        </w:rPr>
      </w:pPr>
      <w:r w:rsidRPr="00A563FD">
        <w:rPr>
          <w:rFonts w:cstheme="minorHAnsi"/>
          <w:sz w:val="24"/>
          <w:szCs w:val="24"/>
        </w:rPr>
        <w:t>Cleomenes however, may share in and reinforce an aspect of Darius’ character, which may be a literary device for Herodotus to show this element more noticeably.</w:t>
      </w:r>
      <w:r w:rsidRPr="00A563FD">
        <w:rPr>
          <w:rStyle w:val="FootnoteReference"/>
          <w:rFonts w:cstheme="minorHAnsi"/>
          <w:sz w:val="24"/>
          <w:szCs w:val="24"/>
        </w:rPr>
        <w:footnoteReference w:id="42"/>
      </w:r>
      <w:r w:rsidRPr="00A563FD">
        <w:rPr>
          <w:rFonts w:cstheme="minorHAnsi"/>
          <w:sz w:val="24"/>
          <w:szCs w:val="24"/>
        </w:rPr>
        <w:t xml:space="preserve"> Herodotus mentions the lust for gold in Darius, which can be seen as he ruthlessly takes power, and is referred to as a </w:t>
      </w:r>
      <w:r w:rsidR="009B4611" w:rsidRPr="00A563FD">
        <w:rPr>
          <w:rFonts w:cstheme="minorHAnsi"/>
          <w:sz w:val="24"/>
          <w:szCs w:val="24"/>
        </w:rPr>
        <w:t>‘</w:t>
      </w:r>
      <w:proofErr w:type="spellStart"/>
      <w:r w:rsidR="009B4611" w:rsidRPr="00A563FD">
        <w:rPr>
          <w:rFonts w:cstheme="minorHAnsi"/>
          <w:i/>
          <w:sz w:val="24"/>
          <w:szCs w:val="24"/>
        </w:rPr>
        <w:fldChar w:fldCharType="begin"/>
      </w:r>
      <w:r w:rsidR="009B4611" w:rsidRPr="00A563FD">
        <w:rPr>
          <w:rFonts w:cstheme="minorHAnsi"/>
          <w:i/>
          <w:sz w:val="24"/>
          <w:szCs w:val="24"/>
        </w:rPr>
        <w:instrText xml:space="preserve"> HYPERLINK "http://www.perseus.tufts.edu/hopper/morph?l=ka%2Fphlos&amp;la=greek&amp;can=ka%2Fphlos0&amp;prior=h)=n" \t "morph" </w:instrText>
      </w:r>
      <w:r w:rsidR="009B4611" w:rsidRPr="00A563FD">
        <w:rPr>
          <w:rFonts w:cstheme="minorHAnsi"/>
          <w:i/>
          <w:sz w:val="24"/>
          <w:szCs w:val="24"/>
        </w:rPr>
        <w:fldChar w:fldCharType="separate"/>
      </w:r>
      <w:r w:rsidR="009B4611" w:rsidRPr="00A563FD">
        <w:rPr>
          <w:rFonts w:cstheme="minorHAnsi"/>
          <w:i/>
          <w:sz w:val="24"/>
          <w:szCs w:val="24"/>
        </w:rPr>
        <w:t>κά</w:t>
      </w:r>
      <w:proofErr w:type="spellEnd"/>
      <w:r w:rsidR="009B4611" w:rsidRPr="00A563FD">
        <w:rPr>
          <w:rFonts w:cstheme="minorHAnsi"/>
          <w:i/>
          <w:sz w:val="24"/>
          <w:szCs w:val="24"/>
        </w:rPr>
        <w:t>πηλος</w:t>
      </w:r>
      <w:r w:rsidR="009B4611" w:rsidRPr="00A563FD">
        <w:rPr>
          <w:rFonts w:cstheme="minorHAnsi"/>
          <w:i/>
          <w:sz w:val="24"/>
          <w:szCs w:val="24"/>
        </w:rPr>
        <w:fldChar w:fldCharType="end"/>
      </w:r>
      <w:r w:rsidR="009B4611" w:rsidRPr="00A563FD">
        <w:rPr>
          <w:rFonts w:cstheme="minorHAnsi"/>
          <w:i/>
          <w:sz w:val="24"/>
          <w:szCs w:val="24"/>
        </w:rPr>
        <w:t>’</w:t>
      </w:r>
      <w:r w:rsidRPr="00A563FD">
        <w:rPr>
          <w:rFonts w:cstheme="minorHAnsi"/>
          <w:sz w:val="24"/>
          <w:szCs w:val="24"/>
        </w:rPr>
        <w:t>.</w:t>
      </w:r>
      <w:r w:rsidRPr="00A563FD">
        <w:rPr>
          <w:rStyle w:val="FootnoteReference"/>
          <w:rFonts w:cstheme="minorHAnsi"/>
          <w:sz w:val="24"/>
          <w:szCs w:val="24"/>
        </w:rPr>
        <w:footnoteReference w:id="43"/>
      </w:r>
      <w:r w:rsidR="009B4611" w:rsidRPr="00A563FD">
        <w:rPr>
          <w:rFonts w:cstheme="minorHAnsi"/>
          <w:sz w:val="24"/>
          <w:szCs w:val="24"/>
        </w:rPr>
        <w:t xml:space="preserve"> Rawlinson’s translation of this term as</w:t>
      </w:r>
      <w:r w:rsidR="0009096E" w:rsidRPr="00A563FD">
        <w:rPr>
          <w:rFonts w:cstheme="minorHAnsi"/>
          <w:sz w:val="24"/>
          <w:szCs w:val="24"/>
        </w:rPr>
        <w:t>:</w:t>
      </w:r>
      <w:r w:rsidR="009B4611" w:rsidRPr="00A563FD">
        <w:rPr>
          <w:rFonts w:cstheme="minorHAnsi"/>
          <w:sz w:val="24"/>
          <w:szCs w:val="24"/>
        </w:rPr>
        <w:t xml:space="preserve"> ‘huckster’, seems more prudent, as Godley’s translation: ‘Merchant’, is far more acceptable and kind than the </w:t>
      </w:r>
      <w:r w:rsidR="009B4611" w:rsidRPr="00A563FD">
        <w:rPr>
          <w:rFonts w:cstheme="minorHAnsi"/>
          <w:sz w:val="24"/>
          <w:szCs w:val="24"/>
        </w:rPr>
        <w:lastRenderedPageBreak/>
        <w:t>original Greek implies.</w:t>
      </w:r>
      <w:r w:rsidR="009B4611" w:rsidRPr="00A563FD">
        <w:rPr>
          <w:rStyle w:val="FootnoteReference"/>
          <w:rFonts w:cstheme="minorHAnsi"/>
          <w:sz w:val="24"/>
          <w:szCs w:val="24"/>
        </w:rPr>
        <w:footnoteReference w:id="44"/>
      </w:r>
      <w:r w:rsidR="0009096E" w:rsidRPr="00A563FD">
        <w:rPr>
          <w:rFonts w:cstheme="minorHAnsi"/>
          <w:sz w:val="24"/>
          <w:szCs w:val="24"/>
        </w:rPr>
        <w:t xml:space="preserve"> Cleomenes also, is subtly implied to be susceptible to corruption when offered golden cups, and when </w:t>
      </w:r>
      <w:r w:rsidR="00A162C7" w:rsidRPr="00A563FD">
        <w:rPr>
          <w:rFonts w:cstheme="minorHAnsi"/>
          <w:sz w:val="24"/>
          <w:szCs w:val="24"/>
        </w:rPr>
        <w:t>he’s warned that</w:t>
      </w:r>
      <w:r w:rsidR="0009096E" w:rsidRPr="00A563FD">
        <w:rPr>
          <w:rFonts w:cstheme="minorHAnsi"/>
          <w:sz w:val="24"/>
          <w:szCs w:val="24"/>
        </w:rPr>
        <w:t xml:space="preserve"> he may be successfully bribed.</w:t>
      </w:r>
      <w:r w:rsidR="0009096E" w:rsidRPr="00A563FD">
        <w:rPr>
          <w:rStyle w:val="FootnoteReference"/>
          <w:rFonts w:cstheme="minorHAnsi"/>
          <w:sz w:val="24"/>
          <w:szCs w:val="24"/>
        </w:rPr>
        <w:footnoteReference w:id="45"/>
      </w:r>
      <w:r w:rsidR="0009096E" w:rsidRPr="00A563FD">
        <w:rPr>
          <w:rFonts w:cstheme="minorHAnsi"/>
          <w:sz w:val="24"/>
          <w:szCs w:val="24"/>
        </w:rPr>
        <w:t xml:space="preserve"> </w:t>
      </w:r>
    </w:p>
    <w:p w:rsidR="00AC0284" w:rsidRPr="00A563FD" w:rsidRDefault="0009096E" w:rsidP="00A563FD">
      <w:pPr>
        <w:spacing w:line="360" w:lineRule="auto"/>
        <w:rPr>
          <w:rFonts w:cstheme="minorHAnsi"/>
          <w:sz w:val="24"/>
          <w:szCs w:val="24"/>
        </w:rPr>
      </w:pPr>
      <w:r w:rsidRPr="00A563FD">
        <w:rPr>
          <w:rFonts w:cstheme="minorHAnsi"/>
          <w:sz w:val="24"/>
          <w:szCs w:val="24"/>
        </w:rPr>
        <w:t>Although it must be noted, that in the case of the extremely valuable cups, Cleomenes resists multiple times the offer to take some, and sends him away.</w:t>
      </w:r>
      <w:r w:rsidRPr="00A563FD">
        <w:rPr>
          <w:rStyle w:val="FootnoteReference"/>
          <w:rFonts w:cstheme="minorHAnsi"/>
          <w:sz w:val="24"/>
          <w:szCs w:val="24"/>
        </w:rPr>
        <w:footnoteReference w:id="46"/>
      </w:r>
      <w:r w:rsidRPr="00A563FD">
        <w:rPr>
          <w:rFonts w:cstheme="minorHAnsi"/>
          <w:sz w:val="24"/>
          <w:szCs w:val="24"/>
        </w:rPr>
        <w:t xml:space="preserve"> It is here that </w:t>
      </w:r>
      <w:r w:rsidR="00901E9E" w:rsidRPr="00A563FD">
        <w:rPr>
          <w:rFonts w:cstheme="minorHAnsi"/>
          <w:sz w:val="24"/>
          <w:szCs w:val="24"/>
        </w:rPr>
        <w:t>the great difference between Darius and Cleomenes can be seen.</w:t>
      </w:r>
      <w:r w:rsidR="00901E9E" w:rsidRPr="00A563FD">
        <w:rPr>
          <w:rStyle w:val="FootnoteReference"/>
          <w:rFonts w:cstheme="minorHAnsi"/>
          <w:sz w:val="24"/>
          <w:szCs w:val="24"/>
        </w:rPr>
        <w:footnoteReference w:id="47"/>
      </w:r>
      <w:r w:rsidR="00901E9E" w:rsidRPr="00A563FD">
        <w:rPr>
          <w:rFonts w:cstheme="minorHAnsi"/>
          <w:sz w:val="24"/>
          <w:szCs w:val="24"/>
        </w:rPr>
        <w:t xml:space="preserve"> While Cleomenes bends the laws of his lands by negating fixed tributes with gifts, Cleomenes, while tempted, obeys the laws of the Spartans.</w:t>
      </w:r>
      <w:r w:rsidR="00901E9E" w:rsidRPr="00A563FD">
        <w:rPr>
          <w:rStyle w:val="FootnoteReference"/>
          <w:rFonts w:cstheme="minorHAnsi"/>
          <w:sz w:val="24"/>
          <w:szCs w:val="24"/>
        </w:rPr>
        <w:footnoteReference w:id="48"/>
      </w:r>
      <w:r w:rsidR="00901E9E" w:rsidRPr="00A563FD">
        <w:rPr>
          <w:rFonts w:cstheme="minorHAnsi"/>
          <w:sz w:val="24"/>
          <w:szCs w:val="24"/>
        </w:rPr>
        <w:t xml:space="preserve"> This incredible devotion to law is a feature of Herodotus’ Sparta and has contributed greatly to their image throughout history.</w:t>
      </w:r>
      <w:r w:rsidR="00901E9E" w:rsidRPr="00A563FD">
        <w:rPr>
          <w:rStyle w:val="FootnoteReference"/>
          <w:rFonts w:cstheme="minorHAnsi"/>
          <w:sz w:val="24"/>
          <w:szCs w:val="24"/>
        </w:rPr>
        <w:footnoteReference w:id="49"/>
      </w:r>
      <w:r w:rsidR="00D90D09" w:rsidRPr="00A563FD">
        <w:rPr>
          <w:rFonts w:cstheme="minorHAnsi"/>
          <w:sz w:val="24"/>
          <w:szCs w:val="24"/>
        </w:rPr>
        <w:t xml:space="preserve"> </w:t>
      </w:r>
      <w:proofErr w:type="spellStart"/>
      <w:r w:rsidR="00A162C7" w:rsidRPr="00A563FD">
        <w:rPr>
          <w:rFonts w:cstheme="minorHAnsi"/>
          <w:sz w:val="24"/>
          <w:szCs w:val="24"/>
        </w:rPr>
        <w:t>Demaratus</w:t>
      </w:r>
      <w:proofErr w:type="spellEnd"/>
      <w:r w:rsidR="00A162C7" w:rsidRPr="00A563FD">
        <w:rPr>
          <w:rFonts w:cstheme="minorHAnsi"/>
          <w:sz w:val="24"/>
          <w:szCs w:val="24"/>
        </w:rPr>
        <w:t>’ explanation: ‘</w:t>
      </w:r>
      <w:hyperlink r:id="rId12" w:tgtFrame="morph" w:history="1">
        <w:r w:rsidR="00A162C7" w:rsidRPr="00A563FD">
          <w:rPr>
            <w:rFonts w:cstheme="minorHAnsi"/>
            <w:i/>
            <w:sz w:val="24"/>
            <w:szCs w:val="24"/>
          </w:rPr>
          <w:t>ἔπ</w:t>
        </w:r>
        <w:proofErr w:type="spellStart"/>
        <w:r w:rsidR="00A162C7" w:rsidRPr="00A563FD">
          <w:rPr>
            <w:rFonts w:cstheme="minorHAnsi"/>
            <w:i/>
            <w:sz w:val="24"/>
            <w:szCs w:val="24"/>
          </w:rPr>
          <w:t>εστι</w:t>
        </w:r>
        <w:proofErr w:type="spellEnd"/>
      </w:hyperlink>
      <w:r w:rsidR="00A162C7" w:rsidRPr="00A563FD">
        <w:rPr>
          <w:rFonts w:cstheme="minorHAnsi"/>
          <w:i/>
          <w:sz w:val="24"/>
          <w:szCs w:val="24"/>
        </w:rPr>
        <w:t> </w:t>
      </w:r>
      <w:proofErr w:type="spellStart"/>
      <w:r w:rsidR="00A162C7" w:rsidRPr="00A563FD">
        <w:rPr>
          <w:rFonts w:cstheme="minorHAnsi"/>
          <w:i/>
          <w:sz w:val="24"/>
          <w:szCs w:val="24"/>
        </w:rPr>
        <w:fldChar w:fldCharType="begin"/>
      </w:r>
      <w:r w:rsidR="00A162C7" w:rsidRPr="00A563FD">
        <w:rPr>
          <w:rFonts w:cstheme="minorHAnsi"/>
          <w:i/>
          <w:sz w:val="24"/>
          <w:szCs w:val="24"/>
        </w:rPr>
        <w:instrText xml:space="preserve"> HYPERLINK "http://www.perseus.tufts.edu/hopper/morph?l=ga%2Fr&amp;la=greek&amp;can=ga%2Fr0&amp;prior=e)/pesti" \t "morph" </w:instrText>
      </w:r>
      <w:r w:rsidR="00A162C7" w:rsidRPr="00A563FD">
        <w:rPr>
          <w:rFonts w:cstheme="minorHAnsi"/>
          <w:i/>
          <w:sz w:val="24"/>
          <w:szCs w:val="24"/>
        </w:rPr>
        <w:fldChar w:fldCharType="separate"/>
      </w:r>
      <w:r w:rsidR="00A162C7" w:rsidRPr="00A563FD">
        <w:rPr>
          <w:rFonts w:cstheme="minorHAnsi"/>
          <w:i/>
          <w:sz w:val="24"/>
          <w:szCs w:val="24"/>
        </w:rPr>
        <w:t>γάρ</w:t>
      </w:r>
      <w:proofErr w:type="spellEnd"/>
      <w:r w:rsidR="00A162C7" w:rsidRPr="00A563FD">
        <w:rPr>
          <w:rFonts w:cstheme="minorHAnsi"/>
          <w:i/>
          <w:sz w:val="24"/>
          <w:szCs w:val="24"/>
        </w:rPr>
        <w:fldChar w:fldCharType="end"/>
      </w:r>
      <w:r w:rsidR="00A162C7" w:rsidRPr="00A563FD">
        <w:rPr>
          <w:rFonts w:cstheme="minorHAnsi"/>
          <w:i/>
          <w:sz w:val="24"/>
          <w:szCs w:val="24"/>
        </w:rPr>
        <w:t> </w:t>
      </w:r>
      <w:proofErr w:type="spellStart"/>
      <w:r w:rsidR="00A162C7" w:rsidRPr="00A563FD">
        <w:rPr>
          <w:rFonts w:cstheme="minorHAnsi"/>
          <w:i/>
          <w:sz w:val="24"/>
          <w:szCs w:val="24"/>
        </w:rPr>
        <w:fldChar w:fldCharType="begin"/>
      </w:r>
      <w:r w:rsidR="00A162C7" w:rsidRPr="00A563FD">
        <w:rPr>
          <w:rFonts w:cstheme="minorHAnsi"/>
          <w:i/>
          <w:sz w:val="24"/>
          <w:szCs w:val="24"/>
        </w:rPr>
        <w:instrText xml:space="preserve"> HYPERLINK "http://www.perseus.tufts.edu/hopper/morph?l=sfi&amp;la=greek&amp;can=sfi0&amp;prior=ga/r" \t "morph" </w:instrText>
      </w:r>
      <w:r w:rsidR="00A162C7" w:rsidRPr="00A563FD">
        <w:rPr>
          <w:rFonts w:cstheme="minorHAnsi"/>
          <w:i/>
          <w:sz w:val="24"/>
          <w:szCs w:val="24"/>
        </w:rPr>
        <w:fldChar w:fldCharType="separate"/>
      </w:r>
      <w:r w:rsidR="00A162C7" w:rsidRPr="00A563FD">
        <w:rPr>
          <w:rFonts w:cstheme="minorHAnsi"/>
          <w:i/>
          <w:sz w:val="24"/>
          <w:szCs w:val="24"/>
        </w:rPr>
        <w:t>σφι</w:t>
      </w:r>
      <w:proofErr w:type="spellEnd"/>
      <w:r w:rsidR="00A162C7" w:rsidRPr="00A563FD">
        <w:rPr>
          <w:rFonts w:cstheme="minorHAnsi"/>
          <w:i/>
          <w:sz w:val="24"/>
          <w:szCs w:val="24"/>
        </w:rPr>
        <w:fldChar w:fldCharType="end"/>
      </w:r>
      <w:r w:rsidR="00A162C7" w:rsidRPr="00A563FD">
        <w:rPr>
          <w:rFonts w:cstheme="minorHAnsi"/>
          <w:i/>
          <w:sz w:val="24"/>
          <w:szCs w:val="24"/>
        </w:rPr>
        <w:t> </w:t>
      </w:r>
      <w:proofErr w:type="spellStart"/>
      <w:r w:rsidR="00A162C7" w:rsidRPr="00A563FD">
        <w:rPr>
          <w:rFonts w:cstheme="minorHAnsi"/>
          <w:i/>
          <w:sz w:val="24"/>
          <w:szCs w:val="24"/>
        </w:rPr>
        <w:fldChar w:fldCharType="begin"/>
      </w:r>
      <w:r w:rsidR="00A162C7" w:rsidRPr="00A563FD">
        <w:rPr>
          <w:rFonts w:cstheme="minorHAnsi"/>
          <w:i/>
          <w:sz w:val="24"/>
          <w:szCs w:val="24"/>
        </w:rPr>
        <w:instrText xml:space="preserve"> HYPERLINK "http://www.perseus.tufts.edu/hopper/morph?l=despo%2Fths&amp;la=greek&amp;can=despo%2Fths0&amp;prior=sfi" \t "morph" </w:instrText>
      </w:r>
      <w:r w:rsidR="00A162C7" w:rsidRPr="00A563FD">
        <w:rPr>
          <w:rFonts w:cstheme="minorHAnsi"/>
          <w:i/>
          <w:sz w:val="24"/>
          <w:szCs w:val="24"/>
        </w:rPr>
        <w:fldChar w:fldCharType="separate"/>
      </w:r>
      <w:r w:rsidR="00A162C7" w:rsidRPr="00A563FD">
        <w:rPr>
          <w:rFonts w:cstheme="minorHAnsi"/>
          <w:i/>
          <w:sz w:val="24"/>
          <w:szCs w:val="24"/>
        </w:rPr>
        <w:t>δεσ</w:t>
      </w:r>
      <w:proofErr w:type="spellEnd"/>
      <w:r w:rsidR="00A162C7" w:rsidRPr="00A563FD">
        <w:rPr>
          <w:rFonts w:cstheme="minorHAnsi"/>
          <w:i/>
          <w:sz w:val="24"/>
          <w:szCs w:val="24"/>
        </w:rPr>
        <w:t>πότης</w:t>
      </w:r>
      <w:r w:rsidR="00A162C7" w:rsidRPr="00A563FD">
        <w:rPr>
          <w:rFonts w:cstheme="minorHAnsi"/>
          <w:i/>
          <w:sz w:val="24"/>
          <w:szCs w:val="24"/>
        </w:rPr>
        <w:fldChar w:fldCharType="end"/>
      </w:r>
      <w:r w:rsidR="00A162C7" w:rsidRPr="00A563FD">
        <w:rPr>
          <w:rFonts w:cstheme="minorHAnsi"/>
          <w:i/>
          <w:sz w:val="24"/>
          <w:szCs w:val="24"/>
        </w:rPr>
        <w:t> </w:t>
      </w:r>
      <w:hyperlink r:id="rId13" w:tgtFrame="morph" w:history="1">
        <w:r w:rsidR="00A162C7" w:rsidRPr="00A563FD">
          <w:rPr>
            <w:rFonts w:cstheme="minorHAnsi"/>
            <w:i/>
            <w:sz w:val="24"/>
            <w:szCs w:val="24"/>
          </w:rPr>
          <w:t>νόμος</w:t>
        </w:r>
      </w:hyperlink>
      <w:r w:rsidR="00A162C7" w:rsidRPr="00A563FD">
        <w:rPr>
          <w:rFonts w:cstheme="minorHAnsi"/>
          <w:i/>
          <w:sz w:val="24"/>
          <w:szCs w:val="24"/>
        </w:rPr>
        <w:t>’</w:t>
      </w:r>
      <w:r w:rsidR="00A162C7" w:rsidRPr="00A563FD">
        <w:rPr>
          <w:rFonts w:cstheme="minorHAnsi"/>
          <w:sz w:val="24"/>
          <w:szCs w:val="24"/>
        </w:rPr>
        <w:t xml:space="preserve"> </w:t>
      </w:r>
      <w:proofErr w:type="spellStart"/>
      <w:r w:rsidR="00A162C7" w:rsidRPr="00A563FD">
        <w:rPr>
          <w:rFonts w:cstheme="minorHAnsi"/>
          <w:sz w:val="24"/>
          <w:szCs w:val="24"/>
        </w:rPr>
        <w:t>exempflies</w:t>
      </w:r>
      <w:proofErr w:type="spellEnd"/>
      <w:r w:rsidR="00A162C7" w:rsidRPr="00A563FD">
        <w:rPr>
          <w:rFonts w:cstheme="minorHAnsi"/>
          <w:sz w:val="24"/>
          <w:szCs w:val="24"/>
        </w:rPr>
        <w:t xml:space="preserve"> the difference Herodotus—even with a character such as Cleomenes—wishes to make with Darius and Cleomenes.</w:t>
      </w:r>
      <w:r w:rsidR="00A162C7" w:rsidRPr="00A563FD">
        <w:rPr>
          <w:rStyle w:val="FootnoteReference"/>
          <w:rFonts w:cstheme="minorHAnsi"/>
          <w:sz w:val="24"/>
          <w:szCs w:val="24"/>
        </w:rPr>
        <w:footnoteReference w:id="50"/>
      </w:r>
      <w:r w:rsidR="00A162C7" w:rsidRPr="00A563FD">
        <w:rPr>
          <w:rFonts w:cstheme="minorHAnsi"/>
          <w:sz w:val="24"/>
          <w:szCs w:val="24"/>
        </w:rPr>
        <w:t xml:space="preserve">  </w:t>
      </w:r>
      <w:r w:rsidR="00D05707" w:rsidRPr="00A563FD">
        <w:rPr>
          <w:rFonts w:cstheme="minorHAnsi"/>
          <w:sz w:val="24"/>
          <w:szCs w:val="24"/>
        </w:rPr>
        <w:t xml:space="preserve">Ducat believes </w:t>
      </w:r>
      <w:r w:rsidR="00FB2512" w:rsidRPr="00A563FD">
        <w:rPr>
          <w:rFonts w:cstheme="minorHAnsi"/>
          <w:sz w:val="24"/>
          <w:szCs w:val="24"/>
        </w:rPr>
        <w:t xml:space="preserve">Herodotus’ opinions on this obedience to law and customs is clear with </w:t>
      </w:r>
      <w:proofErr w:type="spellStart"/>
      <w:r w:rsidR="00725113" w:rsidRPr="00A563FD">
        <w:rPr>
          <w:rFonts w:cstheme="minorHAnsi"/>
          <w:sz w:val="24"/>
          <w:szCs w:val="24"/>
        </w:rPr>
        <w:t>Amomphareto</w:t>
      </w:r>
      <w:r w:rsidR="00D05707" w:rsidRPr="00A563FD">
        <w:rPr>
          <w:rFonts w:cstheme="minorHAnsi"/>
          <w:sz w:val="24"/>
          <w:szCs w:val="24"/>
        </w:rPr>
        <w:t>s</w:t>
      </w:r>
      <w:proofErr w:type="spellEnd"/>
      <w:r w:rsidR="00D05707" w:rsidRPr="00A563FD">
        <w:rPr>
          <w:rFonts w:cstheme="minorHAnsi"/>
          <w:sz w:val="24"/>
          <w:szCs w:val="24"/>
        </w:rPr>
        <w:t xml:space="preserve"> and </w:t>
      </w:r>
      <w:proofErr w:type="spellStart"/>
      <w:r w:rsidR="00FB2512" w:rsidRPr="00A563FD">
        <w:rPr>
          <w:rFonts w:cstheme="minorHAnsi"/>
          <w:sz w:val="24"/>
          <w:szCs w:val="24"/>
        </w:rPr>
        <w:t>Aristodemos</w:t>
      </w:r>
      <w:proofErr w:type="spellEnd"/>
      <w:r w:rsidR="00FB2512" w:rsidRPr="00A563FD">
        <w:rPr>
          <w:rFonts w:cstheme="minorHAnsi"/>
          <w:sz w:val="24"/>
          <w:szCs w:val="24"/>
        </w:rPr>
        <w:t xml:space="preserve">, </w:t>
      </w:r>
      <w:r w:rsidR="00D05707" w:rsidRPr="00A563FD">
        <w:rPr>
          <w:rFonts w:cstheme="minorHAnsi"/>
          <w:sz w:val="24"/>
          <w:szCs w:val="24"/>
        </w:rPr>
        <w:t>where he disapproves of the Spartan customs in these cases, which is in accordance with the text.</w:t>
      </w:r>
      <w:r w:rsidR="00D05707" w:rsidRPr="00A563FD">
        <w:rPr>
          <w:rStyle w:val="FootnoteReference"/>
          <w:rFonts w:cstheme="minorHAnsi"/>
          <w:sz w:val="24"/>
          <w:szCs w:val="24"/>
        </w:rPr>
        <w:footnoteReference w:id="51"/>
      </w:r>
      <w:r w:rsidR="00D05707" w:rsidRPr="00A563FD">
        <w:rPr>
          <w:rFonts w:cstheme="minorHAnsi"/>
          <w:sz w:val="24"/>
          <w:szCs w:val="24"/>
        </w:rPr>
        <w:t xml:space="preserve"> </w:t>
      </w:r>
      <w:proofErr w:type="spellStart"/>
      <w:r w:rsidR="00D05707" w:rsidRPr="00A563FD">
        <w:rPr>
          <w:rFonts w:cstheme="minorHAnsi"/>
          <w:sz w:val="24"/>
          <w:szCs w:val="24"/>
        </w:rPr>
        <w:t>Demaratus</w:t>
      </w:r>
      <w:proofErr w:type="spellEnd"/>
      <w:r w:rsidR="00D05707" w:rsidRPr="00A563FD">
        <w:rPr>
          <w:rFonts w:cstheme="minorHAnsi"/>
          <w:sz w:val="24"/>
          <w:szCs w:val="24"/>
        </w:rPr>
        <w:t xml:space="preserve"> being the one who explains this to Xerxes is a clearly deliberate tool used by Herodotus, highlighting the irony of the exiled Spartan king in the Persian court talking about Spartans being fiercely obedient to law, yet fighting against them.</w:t>
      </w:r>
      <w:r w:rsidR="00D05707" w:rsidRPr="00A563FD">
        <w:rPr>
          <w:rStyle w:val="FootnoteReference"/>
          <w:rFonts w:cstheme="minorHAnsi"/>
          <w:sz w:val="24"/>
          <w:szCs w:val="24"/>
        </w:rPr>
        <w:footnoteReference w:id="52"/>
      </w:r>
      <w:r w:rsidR="00D05707" w:rsidRPr="00A563FD">
        <w:rPr>
          <w:rFonts w:cstheme="minorHAnsi"/>
          <w:sz w:val="24"/>
          <w:szCs w:val="24"/>
        </w:rPr>
        <w:t xml:space="preserve"> Nevertheless, </w:t>
      </w:r>
      <w:proofErr w:type="spellStart"/>
      <w:r w:rsidR="00D90D09" w:rsidRPr="00A563FD">
        <w:rPr>
          <w:rFonts w:cstheme="minorHAnsi"/>
          <w:sz w:val="24"/>
          <w:szCs w:val="24"/>
        </w:rPr>
        <w:t>Demaratus</w:t>
      </w:r>
      <w:proofErr w:type="spellEnd"/>
      <w:r w:rsidR="00D05707" w:rsidRPr="00A563FD">
        <w:rPr>
          <w:rFonts w:cstheme="minorHAnsi"/>
          <w:sz w:val="24"/>
          <w:szCs w:val="24"/>
        </w:rPr>
        <w:t xml:space="preserve"> Nobly</w:t>
      </w:r>
      <w:r w:rsidR="00D90D09" w:rsidRPr="00A563FD">
        <w:rPr>
          <w:rFonts w:cstheme="minorHAnsi"/>
          <w:sz w:val="24"/>
          <w:szCs w:val="24"/>
        </w:rPr>
        <w:t xml:space="preserve"> explains this dedication</w:t>
      </w:r>
      <w:r w:rsidR="00D05707" w:rsidRPr="00A563FD">
        <w:rPr>
          <w:rFonts w:cstheme="minorHAnsi"/>
          <w:sz w:val="24"/>
          <w:szCs w:val="24"/>
        </w:rPr>
        <w:t>—</w:t>
      </w:r>
      <w:r w:rsidR="00D90D09" w:rsidRPr="00A563FD">
        <w:rPr>
          <w:rFonts w:cstheme="minorHAnsi"/>
          <w:sz w:val="24"/>
          <w:szCs w:val="24"/>
        </w:rPr>
        <w:t>which Darius lacks</w:t>
      </w:r>
      <w:r w:rsidR="00D05707" w:rsidRPr="00A563FD">
        <w:rPr>
          <w:rFonts w:cstheme="minorHAnsi"/>
          <w:sz w:val="24"/>
          <w:szCs w:val="24"/>
        </w:rPr>
        <w:t>—</w:t>
      </w:r>
      <w:r w:rsidR="00D90D09" w:rsidRPr="00A563FD">
        <w:rPr>
          <w:rFonts w:cstheme="minorHAnsi"/>
          <w:sz w:val="24"/>
          <w:szCs w:val="24"/>
        </w:rPr>
        <w:t>to Xerxes, who—in contrast to Leonidas—did not understand the Spartan ways.</w:t>
      </w:r>
      <w:r w:rsidR="00D90D09" w:rsidRPr="00A563FD">
        <w:rPr>
          <w:rStyle w:val="FootnoteReference"/>
          <w:rFonts w:cstheme="minorHAnsi"/>
          <w:sz w:val="24"/>
          <w:szCs w:val="24"/>
        </w:rPr>
        <w:footnoteReference w:id="53"/>
      </w:r>
      <w:r w:rsidR="00D90D09" w:rsidRPr="00A563FD">
        <w:rPr>
          <w:rFonts w:cstheme="minorHAnsi"/>
          <w:sz w:val="24"/>
          <w:szCs w:val="24"/>
        </w:rPr>
        <w:t xml:space="preserve"> </w:t>
      </w:r>
    </w:p>
    <w:p w:rsidR="007F02BB" w:rsidRPr="00A563FD" w:rsidRDefault="00460F61" w:rsidP="00A563FD">
      <w:pPr>
        <w:spacing w:line="360" w:lineRule="auto"/>
        <w:rPr>
          <w:rFonts w:cstheme="minorHAnsi"/>
          <w:sz w:val="24"/>
          <w:szCs w:val="24"/>
        </w:rPr>
      </w:pPr>
      <w:r w:rsidRPr="00A563FD">
        <w:rPr>
          <w:rFonts w:cstheme="minorHAnsi"/>
          <w:sz w:val="24"/>
          <w:szCs w:val="24"/>
        </w:rPr>
        <w:t>Xerxes’ decision to invade Greece is wrought with negative character traits.</w:t>
      </w:r>
      <w:r w:rsidRPr="00A563FD">
        <w:rPr>
          <w:rStyle w:val="FootnoteReference"/>
          <w:rFonts w:cstheme="minorHAnsi"/>
          <w:sz w:val="24"/>
          <w:szCs w:val="24"/>
        </w:rPr>
        <w:footnoteReference w:id="54"/>
      </w:r>
      <w:r w:rsidRPr="00A563FD">
        <w:rPr>
          <w:rFonts w:cstheme="minorHAnsi"/>
          <w:sz w:val="24"/>
          <w:szCs w:val="24"/>
        </w:rPr>
        <w:t xml:space="preserve"> </w:t>
      </w:r>
      <w:r w:rsidR="00D05707" w:rsidRPr="00A563FD">
        <w:rPr>
          <w:rFonts w:cstheme="minorHAnsi"/>
          <w:sz w:val="24"/>
          <w:szCs w:val="24"/>
        </w:rPr>
        <w:t xml:space="preserve">Utilising his infectiously readable style, Herodotus seems to set out to make Xerxes the antagonist of book 7, </w:t>
      </w:r>
      <w:r w:rsidR="007F02BB" w:rsidRPr="00A563FD">
        <w:rPr>
          <w:rFonts w:cstheme="minorHAnsi"/>
          <w:sz w:val="24"/>
          <w:szCs w:val="24"/>
        </w:rPr>
        <w:t xml:space="preserve">and </w:t>
      </w:r>
      <w:proofErr w:type="gramStart"/>
      <w:r w:rsidR="007F02BB" w:rsidRPr="00A563FD">
        <w:rPr>
          <w:rFonts w:cstheme="minorHAnsi"/>
          <w:sz w:val="24"/>
          <w:szCs w:val="24"/>
        </w:rPr>
        <w:t>in order to</w:t>
      </w:r>
      <w:proofErr w:type="gramEnd"/>
      <w:r w:rsidR="007F02BB" w:rsidRPr="00A563FD">
        <w:rPr>
          <w:rFonts w:cstheme="minorHAnsi"/>
          <w:sz w:val="24"/>
          <w:szCs w:val="24"/>
        </w:rPr>
        <w:t xml:space="preserve"> aid this character, Herodotus requires a hero to oppose him.</w:t>
      </w:r>
      <w:r w:rsidR="007F02BB" w:rsidRPr="00A563FD">
        <w:rPr>
          <w:rStyle w:val="FootnoteReference"/>
          <w:rFonts w:cstheme="minorHAnsi"/>
          <w:sz w:val="24"/>
          <w:szCs w:val="24"/>
        </w:rPr>
        <w:footnoteReference w:id="55"/>
      </w:r>
      <w:r w:rsidR="007F02BB" w:rsidRPr="00A563FD">
        <w:rPr>
          <w:rFonts w:cstheme="minorHAnsi"/>
          <w:sz w:val="24"/>
          <w:szCs w:val="24"/>
        </w:rPr>
        <w:t xml:space="preserve"> </w:t>
      </w:r>
      <w:r w:rsidR="00D05707" w:rsidRPr="00A563FD">
        <w:rPr>
          <w:rFonts w:cstheme="minorHAnsi"/>
          <w:sz w:val="24"/>
          <w:szCs w:val="24"/>
        </w:rPr>
        <w:t xml:space="preserve"> </w:t>
      </w:r>
      <w:r w:rsidR="007F02BB" w:rsidRPr="00A563FD">
        <w:rPr>
          <w:rFonts w:cstheme="minorHAnsi"/>
          <w:sz w:val="24"/>
          <w:szCs w:val="24"/>
        </w:rPr>
        <w:t>This hero was found in Leonidas, who seems to have been widely renowned as such in the ancient world.</w:t>
      </w:r>
      <w:r w:rsidR="007F02BB" w:rsidRPr="00A563FD">
        <w:rPr>
          <w:rStyle w:val="FootnoteReference"/>
          <w:rFonts w:cstheme="minorHAnsi"/>
          <w:sz w:val="24"/>
          <w:szCs w:val="24"/>
        </w:rPr>
        <w:footnoteReference w:id="56"/>
      </w:r>
      <w:r w:rsidR="00C30B49" w:rsidRPr="00A563FD">
        <w:rPr>
          <w:rFonts w:cstheme="minorHAnsi"/>
          <w:sz w:val="24"/>
          <w:szCs w:val="24"/>
        </w:rPr>
        <w:t xml:space="preserve"> </w:t>
      </w:r>
    </w:p>
    <w:p w:rsidR="00111E2A" w:rsidRPr="00A563FD" w:rsidRDefault="00460F61" w:rsidP="00A563FD">
      <w:pPr>
        <w:spacing w:line="360" w:lineRule="auto"/>
        <w:rPr>
          <w:rFonts w:cstheme="minorHAnsi"/>
          <w:sz w:val="24"/>
          <w:szCs w:val="24"/>
        </w:rPr>
      </w:pPr>
      <w:r w:rsidRPr="00A563FD">
        <w:rPr>
          <w:rFonts w:cstheme="minorHAnsi"/>
          <w:sz w:val="24"/>
          <w:szCs w:val="24"/>
        </w:rPr>
        <w:lastRenderedPageBreak/>
        <w:t xml:space="preserve">Xerxes’ is easily persuaded by greedy </w:t>
      </w:r>
      <w:proofErr w:type="spellStart"/>
      <w:r w:rsidRPr="00A563FD">
        <w:rPr>
          <w:rFonts w:cstheme="minorHAnsi"/>
          <w:sz w:val="24"/>
          <w:szCs w:val="24"/>
        </w:rPr>
        <w:t>Mardonius</w:t>
      </w:r>
      <w:proofErr w:type="spellEnd"/>
      <w:r w:rsidRPr="00A563FD">
        <w:rPr>
          <w:rFonts w:cstheme="minorHAnsi"/>
          <w:sz w:val="24"/>
          <w:szCs w:val="24"/>
        </w:rPr>
        <w:t>, which makes him seem weak.</w:t>
      </w:r>
      <w:r w:rsidRPr="00A563FD">
        <w:rPr>
          <w:rStyle w:val="FootnoteReference"/>
          <w:rFonts w:cstheme="minorHAnsi"/>
          <w:sz w:val="24"/>
          <w:szCs w:val="24"/>
        </w:rPr>
        <w:footnoteReference w:id="57"/>
      </w:r>
      <w:r w:rsidRPr="00A563FD">
        <w:rPr>
          <w:rFonts w:cstheme="minorHAnsi"/>
          <w:sz w:val="24"/>
          <w:szCs w:val="24"/>
        </w:rPr>
        <w:t xml:space="preserve"> Also, the Persian king changes his mind multiple times, and seems manic, even at one point having someone else sit on his throne, which Herodotus mentions to signify Xerxes’ powerless and unthinking nature.</w:t>
      </w:r>
      <w:r w:rsidRPr="00A563FD">
        <w:rPr>
          <w:rStyle w:val="FootnoteReference"/>
          <w:rFonts w:cstheme="minorHAnsi"/>
          <w:sz w:val="24"/>
          <w:szCs w:val="24"/>
        </w:rPr>
        <w:footnoteReference w:id="58"/>
      </w:r>
      <w:r w:rsidRPr="00A563FD">
        <w:rPr>
          <w:rFonts w:cstheme="minorHAnsi"/>
          <w:sz w:val="24"/>
          <w:szCs w:val="24"/>
        </w:rPr>
        <w:t xml:space="preserve"> This is in stark contrast to Leonidas, who is introduced as ‘</w:t>
      </w:r>
      <w:hyperlink r:id="rId14" w:tgtFrame="morph" w:history="1">
        <w:r w:rsidRPr="00A563FD">
          <w:rPr>
            <w:rFonts w:cstheme="minorHAnsi"/>
            <w:sz w:val="24"/>
            <w:szCs w:val="24"/>
          </w:rPr>
          <w:t>ὁ</w:t>
        </w:r>
      </w:hyperlink>
      <w:r w:rsidRPr="00A563FD">
        <w:rPr>
          <w:rFonts w:cstheme="minorHAnsi"/>
          <w:sz w:val="24"/>
          <w:szCs w:val="24"/>
        </w:rPr>
        <w:t> </w:t>
      </w:r>
      <w:proofErr w:type="spellStart"/>
      <w:r w:rsidRPr="00A563FD">
        <w:rPr>
          <w:rFonts w:cstheme="minorHAnsi"/>
          <w:sz w:val="24"/>
          <w:szCs w:val="24"/>
        </w:rPr>
        <w:fldChar w:fldCharType="begin"/>
      </w:r>
      <w:r w:rsidRPr="00A563FD">
        <w:rPr>
          <w:rFonts w:cstheme="minorHAnsi"/>
          <w:sz w:val="24"/>
          <w:szCs w:val="24"/>
        </w:rPr>
        <w:instrText xml:space="preserve"> HYPERLINK "http://www.perseus.tufts.edu/hopper/morph?l=de%5C&amp;la=greek&amp;can=de%5C0&amp;prior=o(" \t "morph" </w:instrText>
      </w:r>
      <w:r w:rsidRPr="00A563FD">
        <w:rPr>
          <w:rFonts w:cstheme="minorHAnsi"/>
          <w:sz w:val="24"/>
          <w:szCs w:val="24"/>
        </w:rPr>
        <w:fldChar w:fldCharType="separate"/>
      </w:r>
      <w:r w:rsidRPr="00A563FD">
        <w:rPr>
          <w:rFonts w:cstheme="minorHAnsi"/>
          <w:sz w:val="24"/>
          <w:szCs w:val="24"/>
        </w:rPr>
        <w:t>δὲ</w:t>
      </w:r>
      <w:r w:rsidRPr="00A563FD">
        <w:rPr>
          <w:rFonts w:cstheme="minorHAnsi"/>
          <w:sz w:val="24"/>
          <w:szCs w:val="24"/>
        </w:rPr>
        <w:fldChar w:fldCharType="end"/>
      </w:r>
      <w:hyperlink r:id="rId15" w:tgtFrame="morph" w:history="1">
        <w:r w:rsidRPr="00A563FD">
          <w:rPr>
            <w:rFonts w:cstheme="minorHAnsi"/>
            <w:sz w:val="24"/>
            <w:szCs w:val="24"/>
          </w:rPr>
          <w:t>θωμ</w:t>
        </w:r>
        <w:proofErr w:type="spellEnd"/>
        <w:r w:rsidRPr="00A563FD">
          <w:rPr>
            <w:rFonts w:cstheme="minorHAnsi"/>
            <w:sz w:val="24"/>
            <w:szCs w:val="24"/>
          </w:rPr>
          <w:t>αζόμενος</w:t>
        </w:r>
      </w:hyperlink>
      <w:r w:rsidRPr="00A563FD">
        <w:rPr>
          <w:rFonts w:cstheme="minorHAnsi"/>
          <w:sz w:val="24"/>
          <w:szCs w:val="24"/>
        </w:rPr>
        <w:t> </w:t>
      </w:r>
      <w:hyperlink r:id="rId16" w:tgtFrame="morph" w:history="1">
        <w:r w:rsidRPr="00A563FD">
          <w:rPr>
            <w:rFonts w:cstheme="minorHAnsi"/>
            <w:sz w:val="24"/>
            <w:szCs w:val="24"/>
          </w:rPr>
          <w:t>μάλιστα</w:t>
        </w:r>
      </w:hyperlink>
      <w:r w:rsidRPr="00A563FD">
        <w:rPr>
          <w:rFonts w:cstheme="minorHAnsi"/>
          <w:sz w:val="24"/>
          <w:szCs w:val="24"/>
        </w:rPr>
        <w:t> </w:t>
      </w:r>
      <w:hyperlink r:id="rId17" w:tgtFrame="morph" w:history="1">
        <w:r w:rsidRPr="00A563FD">
          <w:rPr>
            <w:rFonts w:cstheme="minorHAnsi"/>
            <w:sz w:val="24"/>
            <w:szCs w:val="24"/>
          </w:rPr>
          <w:t>καὶ</w:t>
        </w:r>
      </w:hyperlink>
      <w:r w:rsidRPr="00A563FD">
        <w:rPr>
          <w:rFonts w:cstheme="minorHAnsi"/>
          <w:sz w:val="24"/>
          <w:szCs w:val="24"/>
        </w:rPr>
        <w:t> </w:t>
      </w:r>
      <w:hyperlink r:id="rId18" w:tgtFrame="morph" w:history="1">
        <w:r w:rsidRPr="00A563FD">
          <w:rPr>
            <w:rFonts w:cstheme="minorHAnsi"/>
            <w:sz w:val="24"/>
            <w:szCs w:val="24"/>
          </w:rPr>
          <w:t>παντὸς</w:t>
        </w:r>
      </w:hyperlink>
      <w:r w:rsidRPr="00A563FD">
        <w:rPr>
          <w:rFonts w:cstheme="minorHAnsi"/>
          <w:sz w:val="24"/>
          <w:szCs w:val="24"/>
        </w:rPr>
        <w:t> </w:t>
      </w:r>
      <w:hyperlink r:id="rId19" w:tgtFrame="morph" w:history="1">
        <w:r w:rsidRPr="00A563FD">
          <w:rPr>
            <w:rFonts w:cstheme="minorHAnsi"/>
            <w:sz w:val="24"/>
            <w:szCs w:val="24"/>
          </w:rPr>
          <w:t>τοῦ</w:t>
        </w:r>
      </w:hyperlink>
      <w:r w:rsidRPr="00A563FD">
        <w:rPr>
          <w:rFonts w:cstheme="minorHAnsi"/>
          <w:sz w:val="24"/>
          <w:szCs w:val="24"/>
        </w:rPr>
        <w:t> </w:t>
      </w:r>
      <w:hyperlink r:id="rId20" w:tgtFrame="morph" w:history="1">
        <w:r w:rsidRPr="00A563FD">
          <w:rPr>
            <w:rFonts w:cstheme="minorHAnsi"/>
            <w:sz w:val="24"/>
            <w:szCs w:val="24"/>
          </w:rPr>
          <w:t>στρατεύματος</w:t>
        </w:r>
      </w:hyperlink>
      <w:r w:rsidRPr="00A563FD">
        <w:rPr>
          <w:rFonts w:cstheme="minorHAnsi"/>
          <w:sz w:val="24"/>
          <w:szCs w:val="24"/>
        </w:rPr>
        <w:t> </w:t>
      </w:r>
      <w:hyperlink r:id="rId21" w:tgtFrame="morph" w:history="1">
        <w:r w:rsidRPr="00A563FD">
          <w:rPr>
            <w:rFonts w:cstheme="minorHAnsi"/>
            <w:sz w:val="24"/>
            <w:szCs w:val="24"/>
          </w:rPr>
          <w:t>ἡγεόμενος</w:t>
        </w:r>
      </w:hyperlink>
      <w:r w:rsidRPr="00A563FD">
        <w:rPr>
          <w:rFonts w:cstheme="minorHAnsi"/>
          <w:sz w:val="24"/>
          <w:szCs w:val="24"/>
        </w:rPr>
        <w:t xml:space="preserve"> </w:t>
      </w:r>
      <w:hyperlink r:id="rId22" w:tgtFrame="morph" w:history="1">
        <w:r w:rsidRPr="00A563FD">
          <w:rPr>
            <w:rFonts w:cstheme="minorHAnsi"/>
            <w:sz w:val="24"/>
            <w:szCs w:val="24"/>
          </w:rPr>
          <w:t>Λα</w:t>
        </w:r>
        <w:proofErr w:type="spellStart"/>
        <w:r w:rsidRPr="00A563FD">
          <w:rPr>
            <w:rFonts w:cstheme="minorHAnsi"/>
            <w:sz w:val="24"/>
            <w:szCs w:val="24"/>
          </w:rPr>
          <w:t>κεδ</w:t>
        </w:r>
        <w:proofErr w:type="spellEnd"/>
        <w:r w:rsidRPr="00A563FD">
          <w:rPr>
            <w:rFonts w:cstheme="minorHAnsi"/>
            <w:sz w:val="24"/>
            <w:szCs w:val="24"/>
          </w:rPr>
          <w:t>αιμόνιος</w:t>
        </w:r>
      </w:hyperlink>
      <w:r w:rsidRPr="00A563FD">
        <w:rPr>
          <w:rFonts w:cstheme="minorHAnsi"/>
          <w:sz w:val="24"/>
          <w:szCs w:val="24"/>
        </w:rPr>
        <w:t> </w:t>
      </w:r>
      <w:hyperlink r:id="rId23" w:tgtFrame="morph" w:history="1">
        <w:r w:rsidRPr="00A563FD">
          <w:rPr>
            <w:rFonts w:cstheme="minorHAnsi"/>
            <w:sz w:val="24"/>
            <w:szCs w:val="24"/>
          </w:rPr>
          <w:t>ἦν</w:t>
        </w:r>
      </w:hyperlink>
      <w:r w:rsidRPr="00A563FD">
        <w:rPr>
          <w:rFonts w:cstheme="minorHAnsi"/>
          <w:sz w:val="24"/>
          <w:szCs w:val="24"/>
        </w:rPr>
        <w:t xml:space="preserve"> </w:t>
      </w:r>
      <w:hyperlink r:id="rId24" w:tgtFrame="morph" w:history="1">
        <w:proofErr w:type="spellStart"/>
        <w:r w:rsidRPr="00A563FD">
          <w:rPr>
            <w:rFonts w:cstheme="minorHAnsi"/>
            <w:sz w:val="24"/>
            <w:szCs w:val="24"/>
          </w:rPr>
          <w:t>Λεωνίδης</w:t>
        </w:r>
        <w:proofErr w:type="spellEnd"/>
      </w:hyperlink>
      <w:r w:rsidRPr="00A563FD">
        <w:rPr>
          <w:rFonts w:cstheme="minorHAnsi"/>
          <w:sz w:val="24"/>
          <w:szCs w:val="24"/>
        </w:rPr>
        <w:t>’, highlighting his prowess and respect.</w:t>
      </w:r>
      <w:r w:rsidRPr="00A563FD">
        <w:rPr>
          <w:rStyle w:val="FootnoteReference"/>
          <w:rFonts w:cstheme="minorHAnsi"/>
          <w:sz w:val="24"/>
          <w:szCs w:val="24"/>
        </w:rPr>
        <w:footnoteReference w:id="59"/>
      </w:r>
    </w:p>
    <w:p w:rsidR="007F02BB" w:rsidRPr="00A563FD" w:rsidRDefault="00895379" w:rsidP="00A563FD">
      <w:pPr>
        <w:spacing w:line="360" w:lineRule="auto"/>
        <w:rPr>
          <w:rFonts w:cstheme="minorHAnsi"/>
          <w:sz w:val="24"/>
          <w:szCs w:val="24"/>
        </w:rPr>
      </w:pPr>
      <w:r w:rsidRPr="00A563FD">
        <w:rPr>
          <w:rFonts w:cstheme="minorHAnsi"/>
          <w:sz w:val="24"/>
          <w:szCs w:val="24"/>
        </w:rPr>
        <w:t>The divine influence on both of these characters is also very different.</w:t>
      </w:r>
      <w:r w:rsidRPr="00A563FD">
        <w:rPr>
          <w:rStyle w:val="FootnoteReference"/>
          <w:rFonts w:cstheme="minorHAnsi"/>
          <w:sz w:val="24"/>
          <w:szCs w:val="24"/>
        </w:rPr>
        <w:footnoteReference w:id="60"/>
      </w:r>
      <w:r w:rsidRPr="00A563FD">
        <w:rPr>
          <w:rFonts w:cstheme="minorHAnsi"/>
          <w:sz w:val="24"/>
          <w:szCs w:val="24"/>
        </w:rPr>
        <w:t xml:space="preserve"> Xerxes had a vision, and was told to continue the expedition, which he did not immediately heed, and appears indecisive and unknowledgeable.</w:t>
      </w:r>
      <w:r w:rsidRPr="00A563FD">
        <w:rPr>
          <w:rStyle w:val="FootnoteReference"/>
          <w:rFonts w:cstheme="minorHAnsi"/>
          <w:sz w:val="24"/>
          <w:szCs w:val="24"/>
        </w:rPr>
        <w:footnoteReference w:id="61"/>
      </w:r>
      <w:r w:rsidRPr="00A563FD">
        <w:rPr>
          <w:rFonts w:cstheme="minorHAnsi"/>
          <w:sz w:val="24"/>
          <w:szCs w:val="24"/>
        </w:rPr>
        <w:t xml:space="preserve"> While Leonidas remains at Thermopylae to die, heeding without hesitation an oracle that told him his sacrifice would save his city, making a noble stand to win glory and honour.</w:t>
      </w:r>
      <w:r w:rsidRPr="00A563FD">
        <w:rPr>
          <w:rStyle w:val="FootnoteReference"/>
          <w:rFonts w:cstheme="minorHAnsi"/>
          <w:sz w:val="24"/>
          <w:szCs w:val="24"/>
        </w:rPr>
        <w:footnoteReference w:id="62"/>
      </w:r>
      <w:r w:rsidRPr="00A563FD">
        <w:rPr>
          <w:rFonts w:cstheme="minorHAnsi"/>
          <w:sz w:val="24"/>
          <w:szCs w:val="24"/>
        </w:rPr>
        <w:t xml:space="preserve"> This not only shows Leonidas’ great heroism, but also Xerxes great weakness, appearing as inferior to Leonidas towards the divine.</w:t>
      </w:r>
      <w:r w:rsidRPr="00A563FD">
        <w:rPr>
          <w:rStyle w:val="FootnoteReference"/>
          <w:rFonts w:cstheme="minorHAnsi"/>
          <w:sz w:val="24"/>
          <w:szCs w:val="24"/>
        </w:rPr>
        <w:footnoteReference w:id="63"/>
      </w:r>
      <w:r w:rsidRPr="00A563FD">
        <w:rPr>
          <w:rFonts w:cstheme="minorHAnsi"/>
          <w:sz w:val="24"/>
          <w:szCs w:val="24"/>
        </w:rPr>
        <w:t xml:space="preserve"> Xerxes’ lack of understanding is reinforced with Herodotus’ disapproving comments concerning Xerxes’ inability to interpret the obvious—at least to Herodotus—signs before the battle.</w:t>
      </w:r>
      <w:r w:rsidRPr="00A563FD">
        <w:rPr>
          <w:rStyle w:val="FootnoteReference"/>
          <w:rFonts w:cstheme="minorHAnsi"/>
          <w:sz w:val="24"/>
          <w:szCs w:val="24"/>
        </w:rPr>
        <w:footnoteReference w:id="64"/>
      </w:r>
      <w:r w:rsidRPr="00A563FD">
        <w:rPr>
          <w:rFonts w:cstheme="minorHAnsi"/>
          <w:sz w:val="24"/>
          <w:szCs w:val="24"/>
        </w:rPr>
        <w:t xml:space="preserve"> However, Xerxes did not have the hindsight that Herodotus had, and Herodotus seems to be unduly characterising Xerxes as clueless here</w:t>
      </w:r>
      <w:r w:rsidR="00525128" w:rsidRPr="00A563FD">
        <w:rPr>
          <w:rFonts w:cstheme="minorHAnsi"/>
          <w:sz w:val="24"/>
          <w:szCs w:val="24"/>
        </w:rPr>
        <w:t xml:space="preserve"> simply to fit his narrative.</w:t>
      </w:r>
      <w:r w:rsidR="00525128" w:rsidRPr="00A563FD">
        <w:rPr>
          <w:rStyle w:val="FootnoteReference"/>
          <w:rFonts w:cstheme="minorHAnsi"/>
          <w:sz w:val="24"/>
          <w:szCs w:val="24"/>
        </w:rPr>
        <w:footnoteReference w:id="65"/>
      </w:r>
      <w:r w:rsidR="00525128" w:rsidRPr="00A563FD">
        <w:rPr>
          <w:rFonts w:cstheme="minorHAnsi"/>
          <w:sz w:val="24"/>
          <w:szCs w:val="24"/>
        </w:rPr>
        <w:t xml:space="preserve"> Xerxes is indeed seen to be shrewd with his wise induction in Thessaly, although Herodotus slyly implies Xerxes is overconfident concerning the submission of the whole region.</w:t>
      </w:r>
      <w:r w:rsidR="00525128" w:rsidRPr="00A563FD">
        <w:rPr>
          <w:rStyle w:val="FootnoteReference"/>
          <w:rFonts w:cstheme="minorHAnsi"/>
          <w:sz w:val="24"/>
          <w:szCs w:val="24"/>
        </w:rPr>
        <w:footnoteReference w:id="66"/>
      </w:r>
      <w:r w:rsidR="00525128" w:rsidRPr="00A563FD">
        <w:rPr>
          <w:rFonts w:cstheme="minorHAnsi"/>
          <w:sz w:val="24"/>
          <w:szCs w:val="24"/>
        </w:rPr>
        <w:t xml:space="preserve"> Leonidas however is seen to be wise and not over-confident, realising his dire situation and eventually allowing the other Greeks to preserve their strength.</w:t>
      </w:r>
      <w:r w:rsidR="00525128" w:rsidRPr="00A563FD">
        <w:rPr>
          <w:rStyle w:val="FootnoteReference"/>
          <w:rFonts w:cstheme="minorHAnsi"/>
          <w:sz w:val="24"/>
          <w:szCs w:val="24"/>
        </w:rPr>
        <w:footnoteReference w:id="67"/>
      </w:r>
      <w:r w:rsidR="00525128" w:rsidRPr="00A563FD">
        <w:rPr>
          <w:rFonts w:cstheme="minorHAnsi"/>
          <w:sz w:val="24"/>
          <w:szCs w:val="24"/>
        </w:rPr>
        <w:t xml:space="preserve"> </w:t>
      </w:r>
      <w:r w:rsidR="000324F5">
        <w:rPr>
          <w:rFonts w:cstheme="minorHAnsi"/>
          <w:sz w:val="24"/>
          <w:szCs w:val="24"/>
        </w:rPr>
        <w:t>This notion of Xerxes’ over-confidence is reflected in Bridges work, who initially describes Xerxes as ‘</w:t>
      </w:r>
      <w:proofErr w:type="spellStart"/>
      <w:r w:rsidR="000324F5">
        <w:rPr>
          <w:rFonts w:cstheme="minorHAnsi"/>
          <w:sz w:val="24"/>
          <w:szCs w:val="24"/>
        </w:rPr>
        <w:t>arggogant</w:t>
      </w:r>
      <w:proofErr w:type="spellEnd"/>
      <w:r w:rsidR="000324F5">
        <w:rPr>
          <w:rFonts w:cstheme="minorHAnsi"/>
          <w:sz w:val="24"/>
          <w:szCs w:val="24"/>
        </w:rPr>
        <w:t>’.</w:t>
      </w:r>
      <w:r w:rsidR="000324F5">
        <w:rPr>
          <w:rStyle w:val="FootnoteReference"/>
          <w:rFonts w:cstheme="minorHAnsi"/>
          <w:sz w:val="24"/>
          <w:szCs w:val="24"/>
        </w:rPr>
        <w:footnoteReference w:id="68"/>
      </w:r>
      <w:bookmarkStart w:id="0" w:name="_GoBack"/>
      <w:bookmarkEnd w:id="0"/>
    </w:p>
    <w:p w:rsidR="000324F5" w:rsidRDefault="00525128" w:rsidP="00A563FD">
      <w:pPr>
        <w:spacing w:line="360" w:lineRule="auto"/>
        <w:rPr>
          <w:rFonts w:cstheme="minorHAnsi"/>
          <w:sz w:val="24"/>
          <w:szCs w:val="24"/>
        </w:rPr>
      </w:pPr>
      <w:r w:rsidRPr="00A563FD">
        <w:rPr>
          <w:rFonts w:cstheme="minorHAnsi"/>
          <w:sz w:val="24"/>
          <w:szCs w:val="24"/>
        </w:rPr>
        <w:t>During the description of the battle, it would not be clear Xerxes’ weakness if it wasn’t for Leonidas’ strength.</w:t>
      </w:r>
      <w:r w:rsidRPr="00A563FD">
        <w:rPr>
          <w:rStyle w:val="FootnoteReference"/>
          <w:rFonts w:cstheme="minorHAnsi"/>
          <w:sz w:val="24"/>
          <w:szCs w:val="24"/>
        </w:rPr>
        <w:footnoteReference w:id="69"/>
      </w:r>
      <w:r w:rsidR="003B53B7" w:rsidRPr="00A563FD">
        <w:rPr>
          <w:rFonts w:cstheme="minorHAnsi"/>
          <w:sz w:val="24"/>
          <w:szCs w:val="24"/>
        </w:rPr>
        <w:t xml:space="preserve"> This is where Herodotus truly shows Xerxes overconfidence, which has </w:t>
      </w:r>
      <w:r w:rsidR="003B53B7" w:rsidRPr="00A563FD">
        <w:rPr>
          <w:rFonts w:cstheme="minorHAnsi"/>
          <w:sz w:val="24"/>
          <w:szCs w:val="24"/>
        </w:rPr>
        <w:lastRenderedPageBreak/>
        <w:t xml:space="preserve">remained a theme of his character into modern times, </w:t>
      </w:r>
      <w:r w:rsidR="004C6A71" w:rsidRPr="00A563FD">
        <w:rPr>
          <w:rFonts w:cstheme="minorHAnsi"/>
          <w:sz w:val="24"/>
          <w:szCs w:val="24"/>
        </w:rPr>
        <w:t xml:space="preserve">with it featuring in Cibber’s play </w:t>
      </w:r>
      <w:r w:rsidR="004C6A71" w:rsidRPr="00A563FD">
        <w:rPr>
          <w:rFonts w:cstheme="minorHAnsi"/>
          <w:i/>
          <w:sz w:val="24"/>
          <w:szCs w:val="24"/>
        </w:rPr>
        <w:t>Xerxes: A Tragedy</w:t>
      </w:r>
      <w:r w:rsidR="004C6A71" w:rsidRPr="00A563FD">
        <w:rPr>
          <w:rFonts w:cstheme="minorHAnsi"/>
          <w:sz w:val="24"/>
          <w:szCs w:val="24"/>
        </w:rPr>
        <w:t>.</w:t>
      </w:r>
      <w:r w:rsidR="004C6A71" w:rsidRPr="00A563FD">
        <w:rPr>
          <w:rStyle w:val="FootnoteReference"/>
          <w:rFonts w:cstheme="minorHAnsi"/>
          <w:sz w:val="24"/>
          <w:szCs w:val="24"/>
        </w:rPr>
        <w:footnoteReference w:id="70"/>
      </w:r>
      <w:r w:rsidR="004C6A71" w:rsidRPr="00A563FD">
        <w:rPr>
          <w:rFonts w:cstheme="minorHAnsi"/>
          <w:sz w:val="24"/>
          <w:szCs w:val="24"/>
        </w:rPr>
        <w:t xml:space="preserve"> </w:t>
      </w:r>
      <w:r w:rsidR="00892313" w:rsidRPr="00A563FD">
        <w:rPr>
          <w:rFonts w:cstheme="minorHAnsi"/>
          <w:sz w:val="24"/>
          <w:szCs w:val="24"/>
        </w:rPr>
        <w:t>The fact that Xerxes wins the engagement by outflanking the Greeks is a fact that Herodotus couldn’t affect.</w:t>
      </w:r>
      <w:r w:rsidR="00892313" w:rsidRPr="00A563FD">
        <w:rPr>
          <w:rStyle w:val="FootnoteReference"/>
          <w:rFonts w:cstheme="minorHAnsi"/>
          <w:sz w:val="24"/>
          <w:szCs w:val="24"/>
        </w:rPr>
        <w:footnoteReference w:id="71"/>
      </w:r>
      <w:r w:rsidR="00892313" w:rsidRPr="00A563FD">
        <w:rPr>
          <w:rFonts w:cstheme="minorHAnsi"/>
          <w:sz w:val="24"/>
          <w:szCs w:val="24"/>
        </w:rPr>
        <w:t xml:space="preserve"> However, Herodotus does everything in his power to keep the focus upon the bravery of the Greeks, immediately describing the notable Greeks </w:t>
      </w:r>
      <w:r w:rsidR="00A87FF5" w:rsidRPr="00A563FD">
        <w:rPr>
          <w:rFonts w:cstheme="minorHAnsi"/>
          <w:sz w:val="24"/>
          <w:szCs w:val="24"/>
        </w:rPr>
        <w:t>m</w:t>
      </w:r>
      <w:r w:rsidR="00892313" w:rsidRPr="00A563FD">
        <w:rPr>
          <w:rFonts w:cstheme="minorHAnsi"/>
          <w:sz w:val="24"/>
          <w:szCs w:val="24"/>
        </w:rPr>
        <w:t xml:space="preserve">onuments erected by the </w:t>
      </w:r>
      <w:r w:rsidR="00A87FF5" w:rsidRPr="00A563FD">
        <w:rPr>
          <w:rFonts w:cstheme="minorHAnsi"/>
          <w:sz w:val="24"/>
          <w:szCs w:val="24"/>
        </w:rPr>
        <w:t>Greeks, and the emphasised the important—note that they are not described as brave—Persians who died, almost as if for Herodotus, this was a Greek victory.</w:t>
      </w:r>
      <w:r w:rsidR="00A87FF5" w:rsidRPr="00A563FD">
        <w:rPr>
          <w:rStyle w:val="FootnoteReference"/>
          <w:rFonts w:cstheme="minorHAnsi"/>
          <w:sz w:val="24"/>
          <w:szCs w:val="24"/>
        </w:rPr>
        <w:footnoteReference w:id="72"/>
      </w:r>
      <w:r w:rsidR="00A87FF5" w:rsidRPr="00A563FD">
        <w:rPr>
          <w:rFonts w:cstheme="minorHAnsi"/>
          <w:sz w:val="24"/>
          <w:szCs w:val="24"/>
        </w:rPr>
        <w:t xml:space="preserve"> Even after Leonidas is slain, his body inspires </w:t>
      </w:r>
      <w:proofErr w:type="spellStart"/>
      <w:r w:rsidR="00A87FF5" w:rsidRPr="00A563FD">
        <w:rPr>
          <w:rFonts w:cstheme="minorHAnsi"/>
          <w:sz w:val="24"/>
          <w:szCs w:val="24"/>
        </w:rPr>
        <w:t>valiance</w:t>
      </w:r>
      <w:proofErr w:type="spellEnd"/>
      <w:r w:rsidR="00A87FF5" w:rsidRPr="00A563FD">
        <w:rPr>
          <w:rFonts w:cstheme="minorHAnsi"/>
          <w:sz w:val="24"/>
          <w:szCs w:val="24"/>
        </w:rPr>
        <w:t>, and</w:t>
      </w:r>
      <w:r w:rsidR="00A615CC" w:rsidRPr="00A563FD">
        <w:rPr>
          <w:rFonts w:cstheme="minorHAnsi"/>
          <w:sz w:val="24"/>
          <w:szCs w:val="24"/>
        </w:rPr>
        <w:t xml:space="preserve"> serves to make Xerxes look cruel and vengeful, with the disrespect payed to his body under Xerxes’ orders.</w:t>
      </w:r>
      <w:r w:rsidR="00A87FF5" w:rsidRPr="00A563FD">
        <w:rPr>
          <w:rStyle w:val="FootnoteReference"/>
          <w:rFonts w:cstheme="minorHAnsi"/>
          <w:sz w:val="24"/>
          <w:szCs w:val="24"/>
        </w:rPr>
        <w:footnoteReference w:id="73"/>
      </w:r>
      <w:r w:rsidR="00A87FF5" w:rsidRPr="00A563FD">
        <w:rPr>
          <w:rFonts w:cstheme="minorHAnsi"/>
          <w:sz w:val="24"/>
          <w:szCs w:val="24"/>
        </w:rPr>
        <w:t xml:space="preserve"> </w:t>
      </w:r>
    </w:p>
    <w:p w:rsidR="00895379" w:rsidRPr="00A563FD" w:rsidRDefault="00A87FF5" w:rsidP="00A563FD">
      <w:pPr>
        <w:spacing w:line="360" w:lineRule="auto"/>
        <w:rPr>
          <w:rFonts w:cstheme="minorHAnsi"/>
          <w:sz w:val="24"/>
          <w:szCs w:val="24"/>
        </w:rPr>
      </w:pPr>
      <w:r w:rsidRPr="00A563FD">
        <w:rPr>
          <w:rFonts w:cstheme="minorHAnsi"/>
          <w:sz w:val="24"/>
          <w:szCs w:val="24"/>
        </w:rPr>
        <w:t>Xerxes seems afraid and nervous of the Lacedaemonians after this, which serves to make him seem the loser of the battle even more.</w:t>
      </w:r>
      <w:r w:rsidRPr="00A563FD">
        <w:rPr>
          <w:rStyle w:val="FootnoteReference"/>
          <w:rFonts w:cstheme="minorHAnsi"/>
          <w:sz w:val="24"/>
          <w:szCs w:val="24"/>
        </w:rPr>
        <w:footnoteReference w:id="74"/>
      </w:r>
      <w:r w:rsidR="00944CEF" w:rsidRPr="00A563FD">
        <w:rPr>
          <w:rFonts w:cstheme="minorHAnsi"/>
          <w:sz w:val="24"/>
          <w:szCs w:val="24"/>
        </w:rPr>
        <w:t xml:space="preserve"> However, it is obvious that Herodotus places the success of the Persian king upon Greek defection and negligence.</w:t>
      </w:r>
      <w:r w:rsidR="00944CEF" w:rsidRPr="00A563FD">
        <w:rPr>
          <w:rStyle w:val="FootnoteReference"/>
          <w:rFonts w:cstheme="minorHAnsi"/>
          <w:sz w:val="24"/>
          <w:szCs w:val="24"/>
        </w:rPr>
        <w:footnoteReference w:id="75"/>
      </w:r>
      <w:r w:rsidR="00944CEF" w:rsidRPr="00A563FD">
        <w:rPr>
          <w:rFonts w:cstheme="minorHAnsi"/>
          <w:sz w:val="24"/>
          <w:szCs w:val="24"/>
        </w:rPr>
        <w:t xml:space="preserve"> Forrest,</w:t>
      </w:r>
      <w:r w:rsidR="00E35263" w:rsidRPr="00A563FD">
        <w:rPr>
          <w:rFonts w:cstheme="minorHAnsi"/>
          <w:sz w:val="24"/>
          <w:szCs w:val="24"/>
        </w:rPr>
        <w:t xml:space="preserve"> </w:t>
      </w:r>
      <w:r w:rsidR="00944CEF" w:rsidRPr="00A563FD">
        <w:rPr>
          <w:rFonts w:cstheme="minorHAnsi"/>
          <w:sz w:val="24"/>
          <w:szCs w:val="24"/>
        </w:rPr>
        <w:t xml:space="preserve">seems to imply that Leonidas may </w:t>
      </w:r>
      <w:r w:rsidR="00E35263" w:rsidRPr="00A563FD">
        <w:rPr>
          <w:rFonts w:cstheme="minorHAnsi"/>
          <w:sz w:val="24"/>
          <w:szCs w:val="24"/>
        </w:rPr>
        <w:t>be perceived as</w:t>
      </w:r>
      <w:r w:rsidR="00944CEF" w:rsidRPr="00A563FD">
        <w:rPr>
          <w:rFonts w:cstheme="minorHAnsi"/>
          <w:sz w:val="24"/>
          <w:szCs w:val="24"/>
        </w:rPr>
        <w:t xml:space="preserve"> </w:t>
      </w:r>
      <w:r w:rsidR="000324F5" w:rsidRPr="00A563FD">
        <w:rPr>
          <w:rFonts w:cstheme="minorHAnsi"/>
          <w:sz w:val="24"/>
          <w:szCs w:val="24"/>
        </w:rPr>
        <w:t>megalomaniacal</w:t>
      </w:r>
      <w:r w:rsidR="00E35263" w:rsidRPr="00A563FD">
        <w:rPr>
          <w:rFonts w:cstheme="minorHAnsi"/>
          <w:sz w:val="24"/>
          <w:szCs w:val="24"/>
        </w:rPr>
        <w:t>, which if true would make Herodotus’ attempts to make Xerxes look worse in comparison to Leonidas a less viable idea.</w:t>
      </w:r>
      <w:r w:rsidR="00E35263" w:rsidRPr="00A563FD">
        <w:rPr>
          <w:rStyle w:val="FootnoteReference"/>
          <w:rFonts w:cstheme="minorHAnsi"/>
          <w:sz w:val="24"/>
          <w:szCs w:val="24"/>
        </w:rPr>
        <w:footnoteReference w:id="76"/>
      </w:r>
      <w:r w:rsidR="00944CEF" w:rsidRPr="00A563FD">
        <w:rPr>
          <w:rFonts w:cstheme="minorHAnsi"/>
          <w:sz w:val="24"/>
          <w:szCs w:val="24"/>
        </w:rPr>
        <w:t xml:space="preserve"> </w:t>
      </w:r>
      <w:r w:rsidR="00E35263" w:rsidRPr="00A563FD">
        <w:rPr>
          <w:rFonts w:cstheme="minorHAnsi"/>
          <w:sz w:val="24"/>
          <w:szCs w:val="24"/>
        </w:rPr>
        <w:t xml:space="preserve">However, Forrest </w:t>
      </w:r>
      <w:r w:rsidR="00944CEF" w:rsidRPr="00A563FD">
        <w:rPr>
          <w:rFonts w:cstheme="minorHAnsi"/>
          <w:sz w:val="24"/>
          <w:szCs w:val="24"/>
        </w:rPr>
        <w:t>does not seem to take into important the greatly important oracle that Leonidas received, which is given as his motives for self-sacrifice, disproving Forrest’s attempt to find fault in Leonidas’ portrayal</w:t>
      </w:r>
      <w:r w:rsidR="00E35263" w:rsidRPr="00A563FD">
        <w:rPr>
          <w:rFonts w:cstheme="minorHAnsi"/>
          <w:sz w:val="24"/>
          <w:szCs w:val="24"/>
        </w:rPr>
        <w:t>, and supporting the idea that Herodotus wanted this drastic comparison between the kings</w:t>
      </w:r>
      <w:r w:rsidR="00944CEF" w:rsidRPr="00A563FD">
        <w:rPr>
          <w:rFonts w:cstheme="minorHAnsi"/>
          <w:sz w:val="24"/>
          <w:szCs w:val="24"/>
        </w:rPr>
        <w:t>.</w:t>
      </w:r>
      <w:r w:rsidR="00944CEF" w:rsidRPr="00A563FD">
        <w:rPr>
          <w:rStyle w:val="FootnoteReference"/>
          <w:rFonts w:cstheme="minorHAnsi"/>
          <w:sz w:val="24"/>
          <w:szCs w:val="24"/>
        </w:rPr>
        <w:footnoteReference w:id="77"/>
      </w:r>
      <w:r w:rsidR="000324F5">
        <w:rPr>
          <w:rFonts w:cstheme="minorHAnsi"/>
          <w:sz w:val="24"/>
          <w:szCs w:val="24"/>
        </w:rPr>
        <w:t xml:space="preserve"> </w:t>
      </w:r>
      <w:r w:rsidR="000324F5">
        <w:rPr>
          <w:rFonts w:cstheme="minorHAnsi"/>
          <w:sz w:val="24"/>
          <w:szCs w:val="24"/>
        </w:rPr>
        <w:t xml:space="preserve">Bridges, drawing upon Herodotus’ </w:t>
      </w:r>
      <w:r w:rsidR="000324F5">
        <w:rPr>
          <w:rFonts w:cstheme="minorHAnsi"/>
          <w:sz w:val="24"/>
          <w:szCs w:val="24"/>
        </w:rPr>
        <w:t>account,</w:t>
      </w:r>
      <w:r w:rsidR="000324F5">
        <w:rPr>
          <w:rFonts w:cstheme="minorHAnsi"/>
          <w:sz w:val="24"/>
          <w:szCs w:val="24"/>
        </w:rPr>
        <w:t xml:space="preserve"> heavily states that Thermopylae was a ‘stand for freedom’, which shows just how important Herodotus’ framing of the story is, made so much more impactful with the two kings that Herodotus characterised fighting.</w:t>
      </w:r>
      <w:r w:rsidR="000324F5">
        <w:rPr>
          <w:rStyle w:val="FootnoteReference"/>
          <w:rFonts w:cstheme="minorHAnsi"/>
          <w:sz w:val="24"/>
          <w:szCs w:val="24"/>
        </w:rPr>
        <w:footnoteReference w:id="78"/>
      </w:r>
    </w:p>
    <w:p w:rsidR="0099785F" w:rsidRPr="00A563FD" w:rsidRDefault="00E35263" w:rsidP="00A563FD">
      <w:pPr>
        <w:spacing w:line="360" w:lineRule="auto"/>
        <w:rPr>
          <w:rFonts w:cstheme="minorHAnsi"/>
          <w:sz w:val="24"/>
          <w:szCs w:val="24"/>
        </w:rPr>
      </w:pPr>
      <w:r w:rsidRPr="00A563FD">
        <w:rPr>
          <w:rFonts w:cstheme="minorHAnsi"/>
          <w:sz w:val="24"/>
          <w:szCs w:val="24"/>
        </w:rPr>
        <w:t>To conclude, Herodotus uses the kings Darius and Cleomenes to foreshadow Darius’ invasion, using the character of Cleomenes to reflect and contrast to aspects of Darius’ character.</w:t>
      </w:r>
      <w:r w:rsidR="00877415" w:rsidRPr="00A563FD">
        <w:rPr>
          <w:rStyle w:val="FootnoteReference"/>
          <w:rFonts w:cstheme="minorHAnsi"/>
          <w:sz w:val="24"/>
          <w:szCs w:val="24"/>
        </w:rPr>
        <w:footnoteReference w:id="79"/>
      </w:r>
      <w:r w:rsidRPr="00A563FD">
        <w:rPr>
          <w:rFonts w:cstheme="minorHAnsi"/>
          <w:sz w:val="24"/>
          <w:szCs w:val="24"/>
        </w:rPr>
        <w:t xml:space="preserve"> Whereas Herodotus’ description of Leonidas’ character is a direct and critical attack on Xerxes’ character</w:t>
      </w:r>
      <w:r w:rsidR="00877415" w:rsidRPr="00A563FD">
        <w:rPr>
          <w:rFonts w:cstheme="minorHAnsi"/>
          <w:sz w:val="24"/>
          <w:szCs w:val="24"/>
        </w:rPr>
        <w:t>.</w:t>
      </w:r>
      <w:r w:rsidR="00877415" w:rsidRPr="00A563FD">
        <w:rPr>
          <w:rStyle w:val="FootnoteReference"/>
          <w:rFonts w:cstheme="minorHAnsi"/>
          <w:sz w:val="24"/>
          <w:szCs w:val="24"/>
        </w:rPr>
        <w:footnoteReference w:id="80"/>
      </w:r>
      <w:r w:rsidR="00877415" w:rsidRPr="00A563FD">
        <w:rPr>
          <w:rFonts w:cstheme="minorHAnsi"/>
          <w:sz w:val="24"/>
          <w:szCs w:val="24"/>
        </w:rPr>
        <w:t xml:space="preserve"> </w:t>
      </w:r>
      <w:r w:rsidR="002E4FAD" w:rsidRPr="00A563FD">
        <w:rPr>
          <w:rFonts w:cstheme="minorHAnsi"/>
          <w:sz w:val="24"/>
          <w:szCs w:val="24"/>
        </w:rPr>
        <w:t xml:space="preserve">Herodotus is known for his archetypal storytelling, and his </w:t>
      </w:r>
      <w:r w:rsidR="002E4FAD" w:rsidRPr="00A563FD">
        <w:rPr>
          <w:rFonts w:cstheme="minorHAnsi"/>
          <w:sz w:val="24"/>
          <w:szCs w:val="24"/>
        </w:rPr>
        <w:lastRenderedPageBreak/>
        <w:t xml:space="preserve">desires to tell a characterized, engaging story, </w:t>
      </w:r>
      <w:r w:rsidR="00A563FD" w:rsidRPr="00A563FD">
        <w:rPr>
          <w:rFonts w:cstheme="minorHAnsi"/>
          <w:sz w:val="24"/>
          <w:szCs w:val="24"/>
        </w:rPr>
        <w:t>so it is clear that these characters, while perhaps not necessarily accurate, contribute to the narrative Herodotus desires.</w:t>
      </w:r>
      <w:r w:rsidR="00A563FD" w:rsidRPr="00A563FD">
        <w:rPr>
          <w:rStyle w:val="FootnoteReference"/>
          <w:rFonts w:cstheme="minorHAnsi"/>
          <w:sz w:val="24"/>
          <w:szCs w:val="24"/>
        </w:rPr>
        <w:footnoteReference w:id="81"/>
      </w:r>
      <w:r w:rsidR="00A563FD" w:rsidRPr="00A563FD">
        <w:rPr>
          <w:rFonts w:cstheme="minorHAnsi"/>
          <w:sz w:val="24"/>
          <w:szCs w:val="24"/>
        </w:rPr>
        <w:t xml:space="preserve"> </w:t>
      </w:r>
      <w:r w:rsidR="00877415" w:rsidRPr="00A563FD">
        <w:rPr>
          <w:rFonts w:cstheme="minorHAnsi"/>
          <w:sz w:val="24"/>
          <w:szCs w:val="24"/>
        </w:rPr>
        <w:t>These two comparisons are very separate, and achieve very different aims. Therefore, Herodotus contributes to the idea of Spartan supremacy that is a fundamental element of the Spartan mirage</w:t>
      </w:r>
      <w:r w:rsidR="00A563FD" w:rsidRPr="00A563FD">
        <w:rPr>
          <w:rFonts w:cstheme="minorHAnsi"/>
          <w:sz w:val="24"/>
          <w:szCs w:val="24"/>
        </w:rPr>
        <w:t>,</w:t>
      </w:r>
      <w:r w:rsidR="00877415" w:rsidRPr="00A563FD">
        <w:rPr>
          <w:rFonts w:cstheme="minorHAnsi"/>
          <w:sz w:val="24"/>
          <w:szCs w:val="24"/>
        </w:rPr>
        <w:t xml:space="preserve"> which has captured the attention of history far more than Cleomenes’ dealings.</w:t>
      </w:r>
      <w:r w:rsidR="002E4FAD" w:rsidRPr="00A563FD">
        <w:rPr>
          <w:rStyle w:val="FootnoteReference"/>
          <w:rFonts w:cstheme="minorHAnsi"/>
          <w:sz w:val="24"/>
          <w:szCs w:val="24"/>
        </w:rPr>
        <w:footnoteReference w:id="82"/>
      </w:r>
      <w:r w:rsidR="000324F5">
        <w:rPr>
          <w:rFonts w:cstheme="minorHAnsi"/>
          <w:sz w:val="24"/>
          <w:szCs w:val="24"/>
        </w:rPr>
        <w:t xml:space="preserve"> </w:t>
      </w:r>
      <w:r w:rsidR="00877415" w:rsidRPr="00A563FD">
        <w:rPr>
          <w:rFonts w:cstheme="minorHAnsi"/>
          <w:sz w:val="24"/>
          <w:szCs w:val="24"/>
        </w:rPr>
        <w:t xml:space="preserve">For Herodotus, </w:t>
      </w:r>
      <w:r w:rsidR="00877415" w:rsidRPr="00A563FD">
        <w:rPr>
          <w:rFonts w:cstheme="minorHAnsi"/>
          <w:sz w:val="24"/>
          <w:szCs w:val="24"/>
        </w:rPr>
        <w:t>Xerxes is overshadowed by Leonidas</w:t>
      </w:r>
      <w:r w:rsidR="00877415" w:rsidRPr="00A563FD">
        <w:rPr>
          <w:rFonts w:cstheme="minorHAnsi"/>
          <w:sz w:val="24"/>
          <w:szCs w:val="24"/>
        </w:rPr>
        <w:t xml:space="preserve"> in his successful villainization of Xerxes; The victory at Thermopylae belonged not to the victorious Xerxes, but to the valiant Leonidas. </w:t>
      </w: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rPr>
      </w:pPr>
    </w:p>
    <w:p w:rsidR="002E4FAD" w:rsidRPr="00A563FD" w:rsidRDefault="002E4FAD" w:rsidP="00A563FD">
      <w:pPr>
        <w:spacing w:line="360" w:lineRule="auto"/>
        <w:rPr>
          <w:rFonts w:cstheme="minorHAnsi"/>
          <w:sz w:val="24"/>
          <w:szCs w:val="24"/>
        </w:rPr>
      </w:pPr>
    </w:p>
    <w:p w:rsidR="002E4FAD" w:rsidRPr="00A563FD" w:rsidRDefault="002E4FAD"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u w:val="single"/>
        </w:rPr>
      </w:pPr>
      <w:r w:rsidRPr="00A563FD">
        <w:rPr>
          <w:rFonts w:cstheme="minorHAnsi"/>
          <w:sz w:val="24"/>
          <w:szCs w:val="24"/>
          <w:u w:val="single"/>
        </w:rPr>
        <w:lastRenderedPageBreak/>
        <w:t>Ancient sources</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Aristotle, </w:t>
      </w:r>
      <w:r w:rsidRPr="00A563FD">
        <w:rPr>
          <w:rFonts w:cstheme="minorHAnsi"/>
          <w:i/>
          <w:sz w:val="24"/>
          <w:szCs w:val="24"/>
        </w:rPr>
        <w:t xml:space="preserve">Politics. </w:t>
      </w:r>
      <w:r w:rsidRPr="00A563FD">
        <w:rPr>
          <w:rFonts w:cstheme="minorHAnsi"/>
          <w:sz w:val="24"/>
          <w:szCs w:val="24"/>
        </w:rPr>
        <w:t>H. Rackham (trans.). London: William Heinemann.</w:t>
      </w:r>
    </w:p>
    <w:p w:rsidR="00BC3CDC" w:rsidRPr="00A563FD" w:rsidRDefault="00BC3CDC" w:rsidP="00A563FD">
      <w:pPr>
        <w:spacing w:line="360" w:lineRule="auto"/>
        <w:rPr>
          <w:rFonts w:cstheme="minorHAnsi"/>
          <w:sz w:val="24"/>
          <w:szCs w:val="24"/>
        </w:rPr>
      </w:pPr>
      <w:r w:rsidRPr="00A563FD">
        <w:rPr>
          <w:rFonts w:cstheme="minorHAnsi"/>
          <w:sz w:val="24"/>
          <w:szCs w:val="24"/>
        </w:rPr>
        <w:t xml:space="preserve">Cicero, </w:t>
      </w:r>
      <w:r w:rsidRPr="00A563FD">
        <w:rPr>
          <w:rFonts w:cstheme="minorHAnsi"/>
          <w:i/>
          <w:sz w:val="24"/>
          <w:szCs w:val="24"/>
        </w:rPr>
        <w:t xml:space="preserve">De </w:t>
      </w:r>
      <w:proofErr w:type="spellStart"/>
      <w:r w:rsidRPr="00A563FD">
        <w:rPr>
          <w:rFonts w:cstheme="minorHAnsi"/>
          <w:i/>
          <w:sz w:val="24"/>
          <w:szCs w:val="24"/>
        </w:rPr>
        <w:t>Legibus</w:t>
      </w:r>
      <w:proofErr w:type="spellEnd"/>
      <w:r w:rsidRPr="00A563FD">
        <w:rPr>
          <w:rFonts w:cstheme="minorHAnsi"/>
          <w:i/>
          <w:sz w:val="24"/>
          <w:szCs w:val="24"/>
        </w:rPr>
        <w:t xml:space="preserve">. </w:t>
      </w:r>
      <w:r w:rsidRPr="00A563FD">
        <w:rPr>
          <w:rFonts w:cstheme="minorHAnsi"/>
          <w:sz w:val="24"/>
          <w:szCs w:val="24"/>
        </w:rPr>
        <w:t xml:space="preserve">G. de </w:t>
      </w:r>
      <w:proofErr w:type="spellStart"/>
      <w:r w:rsidRPr="00A563FD">
        <w:rPr>
          <w:rFonts w:cstheme="minorHAnsi"/>
          <w:sz w:val="24"/>
          <w:szCs w:val="24"/>
        </w:rPr>
        <w:t>Plinval</w:t>
      </w:r>
      <w:proofErr w:type="spellEnd"/>
      <w:r w:rsidRPr="00A563FD">
        <w:rPr>
          <w:rFonts w:cstheme="minorHAnsi"/>
          <w:sz w:val="24"/>
          <w:szCs w:val="24"/>
        </w:rPr>
        <w:t xml:space="preserve"> (trans.). 1959. Paris: Belles </w:t>
      </w:r>
      <w:proofErr w:type="spellStart"/>
      <w:r w:rsidRPr="00A563FD">
        <w:rPr>
          <w:rFonts w:cstheme="minorHAnsi"/>
          <w:sz w:val="24"/>
          <w:szCs w:val="24"/>
        </w:rPr>
        <w:t>Lettres</w:t>
      </w:r>
      <w:proofErr w:type="spellEnd"/>
      <w:r w:rsidRPr="00A563FD">
        <w:rPr>
          <w:rFonts w:cstheme="minorHAnsi"/>
          <w:sz w:val="24"/>
          <w:szCs w:val="24"/>
        </w:rPr>
        <w:t xml:space="preserve">. </w:t>
      </w:r>
    </w:p>
    <w:p w:rsidR="004B23BE" w:rsidRPr="00A563FD" w:rsidRDefault="004B23BE" w:rsidP="00A563FD">
      <w:pPr>
        <w:spacing w:line="360" w:lineRule="auto"/>
        <w:rPr>
          <w:rFonts w:cstheme="minorHAnsi"/>
          <w:sz w:val="24"/>
          <w:szCs w:val="24"/>
        </w:rPr>
      </w:pPr>
      <w:proofErr w:type="spellStart"/>
      <w:r w:rsidRPr="00A563FD">
        <w:rPr>
          <w:rFonts w:cstheme="minorHAnsi"/>
          <w:sz w:val="24"/>
          <w:szCs w:val="24"/>
        </w:rPr>
        <w:t>Ctesias</w:t>
      </w:r>
      <w:proofErr w:type="spellEnd"/>
      <w:r w:rsidR="009D5F3F" w:rsidRPr="00A563FD">
        <w:rPr>
          <w:rFonts w:cstheme="minorHAnsi"/>
          <w:sz w:val="24"/>
          <w:szCs w:val="24"/>
        </w:rPr>
        <w:t xml:space="preserve">, </w:t>
      </w:r>
      <w:proofErr w:type="spellStart"/>
      <w:r w:rsidR="009D5F3F" w:rsidRPr="00A563FD">
        <w:rPr>
          <w:rFonts w:cstheme="minorHAnsi"/>
          <w:i/>
          <w:sz w:val="24"/>
          <w:szCs w:val="24"/>
        </w:rPr>
        <w:t>Persica</w:t>
      </w:r>
      <w:proofErr w:type="spellEnd"/>
      <w:r w:rsidR="009D5F3F" w:rsidRPr="00A563FD">
        <w:rPr>
          <w:rFonts w:cstheme="minorHAnsi"/>
          <w:i/>
          <w:sz w:val="24"/>
          <w:szCs w:val="24"/>
        </w:rPr>
        <w:t xml:space="preserve">. </w:t>
      </w:r>
      <w:r w:rsidR="009D5F3F" w:rsidRPr="00A563FD">
        <w:rPr>
          <w:rFonts w:cstheme="minorHAnsi"/>
          <w:sz w:val="24"/>
          <w:szCs w:val="24"/>
        </w:rPr>
        <w:t>J. Gilmore (trans.). 1888. London: MacMillan and Co.</w:t>
      </w:r>
    </w:p>
    <w:p w:rsidR="00477409" w:rsidRPr="00A563FD" w:rsidRDefault="00477409" w:rsidP="00A563FD">
      <w:pPr>
        <w:spacing w:line="360" w:lineRule="auto"/>
        <w:rPr>
          <w:rFonts w:cstheme="minorHAnsi"/>
          <w:sz w:val="24"/>
          <w:szCs w:val="24"/>
        </w:rPr>
      </w:pPr>
      <w:r w:rsidRPr="00A563FD">
        <w:rPr>
          <w:rFonts w:cstheme="minorHAnsi"/>
          <w:sz w:val="24"/>
          <w:szCs w:val="24"/>
        </w:rPr>
        <w:t xml:space="preserve">Diodorus, Libraries. C.H. </w:t>
      </w:r>
      <w:proofErr w:type="spellStart"/>
      <w:r w:rsidRPr="00A563FD">
        <w:rPr>
          <w:rFonts w:cstheme="minorHAnsi"/>
          <w:sz w:val="24"/>
          <w:szCs w:val="24"/>
        </w:rPr>
        <w:t>Oldfather</w:t>
      </w:r>
      <w:proofErr w:type="spellEnd"/>
      <w:r w:rsidRPr="00A563FD">
        <w:rPr>
          <w:rFonts w:cstheme="minorHAnsi"/>
          <w:sz w:val="24"/>
          <w:szCs w:val="24"/>
        </w:rPr>
        <w:t xml:space="preserve"> (trans.). 1989. London William Heinemann.  </w:t>
      </w:r>
    </w:p>
    <w:p w:rsidR="00FA49FD" w:rsidRPr="00A563FD" w:rsidRDefault="00477409" w:rsidP="00A563FD">
      <w:pPr>
        <w:spacing w:line="360" w:lineRule="auto"/>
        <w:rPr>
          <w:rFonts w:cstheme="minorHAnsi"/>
          <w:sz w:val="24"/>
          <w:szCs w:val="24"/>
        </w:rPr>
      </w:pPr>
      <w:r w:rsidRPr="00A563FD">
        <w:rPr>
          <w:rFonts w:cstheme="minorHAnsi"/>
          <w:sz w:val="24"/>
          <w:szCs w:val="24"/>
        </w:rPr>
        <w:t xml:space="preserve">Herodotus, </w:t>
      </w:r>
      <w:r w:rsidRPr="00A563FD">
        <w:rPr>
          <w:rFonts w:cstheme="minorHAnsi"/>
          <w:i/>
          <w:sz w:val="24"/>
          <w:szCs w:val="24"/>
        </w:rPr>
        <w:t xml:space="preserve">Histories. </w:t>
      </w:r>
      <w:r w:rsidRPr="00A563FD">
        <w:rPr>
          <w:rFonts w:cstheme="minorHAnsi"/>
          <w:sz w:val="24"/>
          <w:szCs w:val="24"/>
        </w:rPr>
        <w:t>G. Rawlinson (trans.). 1992. London: Everyman.</w:t>
      </w:r>
    </w:p>
    <w:p w:rsidR="00477409" w:rsidRPr="00A563FD" w:rsidRDefault="00477409" w:rsidP="00A563FD">
      <w:pPr>
        <w:spacing w:line="360" w:lineRule="auto"/>
        <w:rPr>
          <w:rFonts w:cstheme="minorHAnsi"/>
          <w:sz w:val="24"/>
          <w:szCs w:val="24"/>
        </w:rPr>
      </w:pPr>
      <w:r w:rsidRPr="00A563FD">
        <w:rPr>
          <w:rFonts w:cstheme="minorHAnsi"/>
          <w:sz w:val="24"/>
          <w:szCs w:val="24"/>
        </w:rPr>
        <w:t xml:space="preserve">Herodotus, </w:t>
      </w:r>
      <w:r w:rsidRPr="00A563FD">
        <w:rPr>
          <w:rFonts w:cstheme="minorHAnsi"/>
          <w:i/>
          <w:sz w:val="24"/>
          <w:szCs w:val="24"/>
        </w:rPr>
        <w:t xml:space="preserve">Histories. </w:t>
      </w:r>
      <w:r w:rsidRPr="00A563FD">
        <w:rPr>
          <w:rFonts w:cstheme="minorHAnsi"/>
          <w:sz w:val="24"/>
          <w:szCs w:val="24"/>
        </w:rPr>
        <w:t>A.D. Godley (trans.). 1920. Cambridge: Harvard University Press.</w:t>
      </w:r>
    </w:p>
    <w:p w:rsidR="003956D9" w:rsidRPr="00A563FD" w:rsidRDefault="003956D9" w:rsidP="00A563FD">
      <w:pPr>
        <w:spacing w:line="360" w:lineRule="auto"/>
        <w:rPr>
          <w:rFonts w:cstheme="minorHAnsi"/>
          <w:sz w:val="24"/>
          <w:szCs w:val="24"/>
        </w:rPr>
      </w:pPr>
      <w:proofErr w:type="spellStart"/>
      <w:r w:rsidRPr="00A563FD">
        <w:rPr>
          <w:rFonts w:cstheme="minorHAnsi"/>
          <w:sz w:val="24"/>
          <w:szCs w:val="24"/>
        </w:rPr>
        <w:t>Photius</w:t>
      </w:r>
      <w:proofErr w:type="spellEnd"/>
      <w:r w:rsidRPr="00A563FD">
        <w:rPr>
          <w:rFonts w:cstheme="minorHAnsi"/>
          <w:sz w:val="24"/>
          <w:szCs w:val="24"/>
        </w:rPr>
        <w:t xml:space="preserve">, </w:t>
      </w:r>
      <w:r w:rsidRPr="00A563FD">
        <w:rPr>
          <w:rFonts w:cstheme="minorHAnsi"/>
          <w:i/>
          <w:sz w:val="24"/>
          <w:szCs w:val="24"/>
        </w:rPr>
        <w:t xml:space="preserve">Bibliotheca. </w:t>
      </w:r>
      <w:r w:rsidRPr="00A563FD">
        <w:rPr>
          <w:rFonts w:cstheme="minorHAnsi"/>
          <w:sz w:val="24"/>
          <w:szCs w:val="24"/>
        </w:rPr>
        <w:t xml:space="preserve">N.G. Wilson (trans.). 1994. London: Bloomsbury. </w:t>
      </w:r>
    </w:p>
    <w:p w:rsidR="00526DC1" w:rsidRPr="00A563FD" w:rsidRDefault="00526DC1" w:rsidP="00A563FD">
      <w:pPr>
        <w:spacing w:line="360" w:lineRule="auto"/>
        <w:rPr>
          <w:rFonts w:cstheme="minorHAnsi"/>
          <w:sz w:val="24"/>
          <w:szCs w:val="24"/>
        </w:rPr>
      </w:pPr>
      <w:r w:rsidRPr="00A563FD">
        <w:rPr>
          <w:rFonts w:cstheme="minorHAnsi"/>
          <w:sz w:val="24"/>
          <w:szCs w:val="24"/>
        </w:rPr>
        <w:t xml:space="preserve">Plutarch, </w:t>
      </w:r>
      <w:proofErr w:type="spellStart"/>
      <w:r w:rsidRPr="00A563FD">
        <w:rPr>
          <w:rFonts w:cstheme="minorHAnsi"/>
          <w:i/>
          <w:sz w:val="24"/>
          <w:szCs w:val="24"/>
        </w:rPr>
        <w:t>Lacaenarum</w:t>
      </w:r>
      <w:proofErr w:type="spellEnd"/>
      <w:r w:rsidRPr="00A563FD">
        <w:rPr>
          <w:rFonts w:cstheme="minorHAnsi"/>
          <w:i/>
          <w:sz w:val="24"/>
          <w:szCs w:val="24"/>
        </w:rPr>
        <w:t xml:space="preserve"> </w:t>
      </w:r>
      <w:proofErr w:type="spellStart"/>
      <w:r w:rsidRPr="00A563FD">
        <w:rPr>
          <w:rFonts w:cstheme="minorHAnsi"/>
          <w:i/>
          <w:sz w:val="24"/>
          <w:szCs w:val="24"/>
        </w:rPr>
        <w:t>Apophthegmata</w:t>
      </w:r>
      <w:proofErr w:type="spellEnd"/>
      <w:r w:rsidRPr="00A563FD">
        <w:rPr>
          <w:rFonts w:cstheme="minorHAnsi"/>
          <w:i/>
          <w:sz w:val="24"/>
          <w:szCs w:val="24"/>
        </w:rPr>
        <w:t xml:space="preserve">. </w:t>
      </w:r>
      <w:r w:rsidRPr="00A563FD">
        <w:rPr>
          <w:rFonts w:cstheme="minorHAnsi"/>
          <w:sz w:val="24"/>
          <w:szCs w:val="24"/>
        </w:rPr>
        <w:t>F.C. Babbitt (trans.). 1931. London: William Heinemann Ltd.</w:t>
      </w:r>
    </w:p>
    <w:p w:rsidR="00526DC1" w:rsidRPr="00A563FD" w:rsidRDefault="00526DC1" w:rsidP="00A563FD">
      <w:pPr>
        <w:spacing w:line="360" w:lineRule="auto"/>
        <w:rPr>
          <w:rFonts w:cstheme="minorHAnsi"/>
          <w:sz w:val="24"/>
          <w:szCs w:val="24"/>
        </w:rPr>
      </w:pPr>
      <w:r w:rsidRPr="00A563FD">
        <w:rPr>
          <w:rFonts w:cstheme="minorHAnsi"/>
          <w:sz w:val="24"/>
          <w:szCs w:val="24"/>
        </w:rPr>
        <w:t xml:space="preserve">Plutarch, </w:t>
      </w:r>
      <w:r w:rsidRPr="00A563FD">
        <w:rPr>
          <w:rFonts w:cstheme="minorHAnsi"/>
          <w:i/>
          <w:sz w:val="24"/>
          <w:szCs w:val="24"/>
        </w:rPr>
        <w:t xml:space="preserve">Lycurgus. </w:t>
      </w:r>
      <w:r w:rsidRPr="00A563FD">
        <w:rPr>
          <w:rFonts w:cstheme="minorHAnsi"/>
          <w:sz w:val="24"/>
          <w:szCs w:val="24"/>
        </w:rPr>
        <w:t xml:space="preserve">B. Perrin (trans.). 1914. London: William Heinemann Ltd. </w:t>
      </w:r>
    </w:p>
    <w:p w:rsidR="00526DC1" w:rsidRPr="00A563FD" w:rsidRDefault="00526DC1" w:rsidP="00A563FD">
      <w:pPr>
        <w:spacing w:line="360" w:lineRule="auto"/>
        <w:rPr>
          <w:rFonts w:cstheme="minorHAnsi"/>
          <w:sz w:val="24"/>
          <w:szCs w:val="24"/>
        </w:rPr>
      </w:pPr>
      <w:r w:rsidRPr="00A563FD">
        <w:rPr>
          <w:rFonts w:cstheme="minorHAnsi"/>
          <w:sz w:val="24"/>
          <w:szCs w:val="24"/>
        </w:rPr>
        <w:t xml:space="preserve">Plutarch, </w:t>
      </w:r>
      <w:proofErr w:type="spellStart"/>
      <w:r w:rsidRPr="00A563FD">
        <w:rPr>
          <w:rFonts w:cstheme="minorHAnsi"/>
          <w:i/>
          <w:sz w:val="24"/>
          <w:szCs w:val="24"/>
        </w:rPr>
        <w:t>Instituta</w:t>
      </w:r>
      <w:proofErr w:type="spellEnd"/>
      <w:r w:rsidRPr="00A563FD">
        <w:rPr>
          <w:rFonts w:cstheme="minorHAnsi"/>
          <w:i/>
          <w:sz w:val="24"/>
          <w:szCs w:val="24"/>
        </w:rPr>
        <w:t xml:space="preserve"> Laconica. </w:t>
      </w:r>
      <w:r w:rsidRPr="00A563FD">
        <w:rPr>
          <w:rFonts w:cstheme="minorHAnsi"/>
          <w:sz w:val="24"/>
          <w:szCs w:val="24"/>
        </w:rPr>
        <w:t>F.C. Babbitt (trans.). 1931. London: William Heinemann Ltd.</w:t>
      </w:r>
    </w:p>
    <w:p w:rsidR="00477409" w:rsidRPr="00A563FD" w:rsidRDefault="00477409" w:rsidP="00A563FD">
      <w:pPr>
        <w:spacing w:line="360" w:lineRule="auto"/>
        <w:rPr>
          <w:rFonts w:cstheme="minorHAnsi"/>
          <w:sz w:val="24"/>
          <w:szCs w:val="24"/>
        </w:rPr>
      </w:pPr>
      <w:r w:rsidRPr="00A563FD">
        <w:rPr>
          <w:rFonts w:cstheme="minorHAnsi"/>
          <w:sz w:val="24"/>
          <w:szCs w:val="24"/>
        </w:rPr>
        <w:t xml:space="preserve">Thucydides, </w:t>
      </w:r>
      <w:r w:rsidRPr="00A563FD">
        <w:rPr>
          <w:rFonts w:cstheme="minorHAnsi"/>
          <w:i/>
          <w:sz w:val="24"/>
          <w:szCs w:val="24"/>
        </w:rPr>
        <w:t xml:space="preserve">History of the Peloponnesian War. </w:t>
      </w:r>
      <w:r w:rsidRPr="00A563FD">
        <w:rPr>
          <w:rFonts w:cstheme="minorHAnsi"/>
          <w:sz w:val="24"/>
          <w:szCs w:val="24"/>
        </w:rPr>
        <w:t xml:space="preserve">J.M. Dent (trans.). 1910. New York: E.P. Dutton. </w:t>
      </w:r>
    </w:p>
    <w:p w:rsidR="00477409" w:rsidRPr="00A563FD" w:rsidRDefault="00477409" w:rsidP="00A563FD">
      <w:pPr>
        <w:spacing w:line="360" w:lineRule="auto"/>
        <w:rPr>
          <w:rFonts w:cstheme="minorHAnsi"/>
          <w:sz w:val="24"/>
          <w:szCs w:val="24"/>
        </w:rPr>
      </w:pPr>
    </w:p>
    <w:p w:rsidR="00477409" w:rsidRPr="00A563FD" w:rsidRDefault="00477409" w:rsidP="00A563FD">
      <w:pPr>
        <w:spacing w:line="360" w:lineRule="auto"/>
        <w:rPr>
          <w:rFonts w:cstheme="minorHAnsi"/>
          <w:sz w:val="24"/>
          <w:szCs w:val="24"/>
        </w:rPr>
      </w:pPr>
    </w:p>
    <w:p w:rsidR="0099785F" w:rsidRPr="00A563FD" w:rsidRDefault="0099785F" w:rsidP="00A563FD">
      <w:pPr>
        <w:spacing w:line="360" w:lineRule="auto"/>
        <w:rPr>
          <w:rFonts w:cstheme="minorHAnsi"/>
          <w:sz w:val="24"/>
          <w:szCs w:val="24"/>
          <w:u w:val="single"/>
        </w:rPr>
      </w:pPr>
      <w:r w:rsidRPr="00A563FD">
        <w:rPr>
          <w:rFonts w:cstheme="minorHAnsi"/>
          <w:sz w:val="24"/>
          <w:szCs w:val="24"/>
          <w:u w:val="single"/>
        </w:rPr>
        <w:t>Modern scholarship</w:t>
      </w:r>
    </w:p>
    <w:p w:rsidR="00A563FD" w:rsidRPr="00A563FD" w:rsidRDefault="00A563FD" w:rsidP="00A563FD">
      <w:pPr>
        <w:spacing w:line="360" w:lineRule="auto"/>
        <w:rPr>
          <w:rFonts w:cstheme="minorHAnsi"/>
          <w:sz w:val="24"/>
          <w:szCs w:val="24"/>
          <w:u w:val="single"/>
        </w:rPr>
      </w:pPr>
    </w:p>
    <w:p w:rsidR="00A563FD" w:rsidRPr="00A563FD" w:rsidRDefault="00A563FD" w:rsidP="00A563FD">
      <w:pPr>
        <w:spacing w:line="360" w:lineRule="auto"/>
        <w:rPr>
          <w:rFonts w:cstheme="minorHAnsi"/>
          <w:sz w:val="24"/>
          <w:szCs w:val="24"/>
        </w:rPr>
      </w:pPr>
      <w:proofErr w:type="spellStart"/>
      <w:r w:rsidRPr="00A563FD">
        <w:rPr>
          <w:rFonts w:cstheme="minorHAnsi"/>
          <w:sz w:val="24"/>
          <w:szCs w:val="24"/>
        </w:rPr>
        <w:t>Blösel</w:t>
      </w:r>
      <w:proofErr w:type="spellEnd"/>
      <w:r w:rsidRPr="00A563FD">
        <w:rPr>
          <w:rFonts w:cstheme="minorHAnsi"/>
          <w:sz w:val="24"/>
          <w:szCs w:val="24"/>
        </w:rPr>
        <w:t>, W. 2018. ‘</w:t>
      </w:r>
      <w:proofErr w:type="spellStart"/>
      <w:r w:rsidRPr="00A563FD">
        <w:rPr>
          <w:rFonts w:cstheme="minorHAnsi"/>
          <w:sz w:val="24"/>
          <w:szCs w:val="24"/>
        </w:rPr>
        <w:t>Herodotusʼ</w:t>
      </w:r>
      <w:proofErr w:type="spellEnd"/>
      <w:r w:rsidRPr="00A563FD">
        <w:rPr>
          <w:rFonts w:cstheme="minorHAnsi"/>
          <w:sz w:val="24"/>
          <w:szCs w:val="24"/>
        </w:rPr>
        <w:t xml:space="preserve"> Allusions to the Sparta of His Day’, in T. Harrison, &amp; E. Irwin (eds.), </w:t>
      </w:r>
      <w:r w:rsidRPr="00A563FD">
        <w:rPr>
          <w:rFonts w:cstheme="minorHAnsi"/>
          <w:i/>
          <w:sz w:val="24"/>
          <w:szCs w:val="24"/>
        </w:rPr>
        <w:t>Interpreting Herodotus</w:t>
      </w:r>
      <w:r w:rsidRPr="00A563FD">
        <w:rPr>
          <w:rFonts w:cstheme="minorHAnsi"/>
          <w:sz w:val="24"/>
          <w:szCs w:val="24"/>
        </w:rPr>
        <w:t>. Oxford: Oxford University Press. 243-264.</w:t>
      </w:r>
    </w:p>
    <w:p w:rsidR="002E4FAD" w:rsidRPr="00A563FD" w:rsidRDefault="002E4FAD" w:rsidP="00A563FD">
      <w:pPr>
        <w:spacing w:line="360" w:lineRule="auto"/>
        <w:rPr>
          <w:rFonts w:cstheme="minorHAnsi"/>
          <w:sz w:val="24"/>
          <w:szCs w:val="24"/>
        </w:rPr>
      </w:pPr>
      <w:proofErr w:type="spellStart"/>
      <w:r w:rsidRPr="00A563FD">
        <w:rPr>
          <w:rFonts w:cstheme="minorHAnsi"/>
          <w:sz w:val="24"/>
          <w:szCs w:val="24"/>
        </w:rPr>
        <w:t>Briant</w:t>
      </w:r>
      <w:proofErr w:type="spellEnd"/>
      <w:r w:rsidRPr="00A563FD">
        <w:rPr>
          <w:rFonts w:cstheme="minorHAnsi"/>
          <w:sz w:val="24"/>
          <w:szCs w:val="24"/>
        </w:rPr>
        <w:t xml:space="preserve">, P. 1996. </w:t>
      </w:r>
      <w:r w:rsidRPr="00A563FD">
        <w:rPr>
          <w:rFonts w:cstheme="minorHAnsi"/>
          <w:i/>
          <w:sz w:val="24"/>
          <w:szCs w:val="24"/>
        </w:rPr>
        <w:t xml:space="preserve">From Cyrus to Alexander. </w:t>
      </w:r>
      <w:r w:rsidRPr="00A563FD">
        <w:rPr>
          <w:rFonts w:cstheme="minorHAnsi"/>
          <w:sz w:val="24"/>
          <w:szCs w:val="24"/>
        </w:rPr>
        <w:t xml:space="preserve">P.T. Daniels (trans.). 2002. Winona Lake: </w:t>
      </w:r>
      <w:proofErr w:type="spellStart"/>
      <w:r w:rsidRPr="00A563FD">
        <w:rPr>
          <w:rFonts w:cstheme="minorHAnsi"/>
          <w:sz w:val="24"/>
          <w:szCs w:val="24"/>
        </w:rPr>
        <w:t>Eisenbrauns</w:t>
      </w:r>
      <w:proofErr w:type="spellEnd"/>
      <w:r w:rsidRPr="00A563FD">
        <w:rPr>
          <w:rFonts w:cstheme="minorHAnsi"/>
          <w:sz w:val="24"/>
          <w:szCs w:val="24"/>
        </w:rPr>
        <w:t>.</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Bridges, E. 2015. </w:t>
      </w:r>
      <w:r w:rsidRPr="00A563FD">
        <w:rPr>
          <w:rFonts w:cstheme="minorHAnsi"/>
          <w:i/>
          <w:sz w:val="24"/>
          <w:szCs w:val="24"/>
        </w:rPr>
        <w:t xml:space="preserve">Imagining Xerxes: Ancient perspectives on a Persian King. </w:t>
      </w:r>
      <w:r w:rsidRPr="00A563FD">
        <w:rPr>
          <w:rFonts w:cstheme="minorHAnsi"/>
          <w:sz w:val="24"/>
          <w:szCs w:val="24"/>
        </w:rPr>
        <w:t>London: Bloomsbury.</w:t>
      </w:r>
    </w:p>
    <w:p w:rsidR="00E252AB" w:rsidRPr="00A563FD" w:rsidRDefault="00E252AB" w:rsidP="00A563FD">
      <w:pPr>
        <w:spacing w:line="360" w:lineRule="auto"/>
        <w:rPr>
          <w:rFonts w:cstheme="minorHAnsi"/>
          <w:sz w:val="24"/>
          <w:szCs w:val="24"/>
        </w:rPr>
      </w:pPr>
      <w:r w:rsidRPr="00A563FD">
        <w:rPr>
          <w:rFonts w:cstheme="minorHAnsi"/>
          <w:sz w:val="24"/>
          <w:szCs w:val="24"/>
        </w:rPr>
        <w:t xml:space="preserve">Cartledge, P. 2001. </w:t>
      </w:r>
      <w:r w:rsidRPr="00A563FD">
        <w:rPr>
          <w:rFonts w:cstheme="minorHAnsi"/>
          <w:i/>
          <w:sz w:val="24"/>
          <w:szCs w:val="24"/>
        </w:rPr>
        <w:t xml:space="preserve">Spartan Reflections. </w:t>
      </w:r>
      <w:r w:rsidRPr="00A563FD">
        <w:rPr>
          <w:rFonts w:cstheme="minorHAnsi"/>
          <w:sz w:val="24"/>
          <w:szCs w:val="24"/>
        </w:rPr>
        <w:t xml:space="preserve">London: Duckworth. </w:t>
      </w:r>
    </w:p>
    <w:p w:rsidR="00A615CC" w:rsidRPr="00A563FD" w:rsidRDefault="00A615CC" w:rsidP="00A563FD">
      <w:pPr>
        <w:spacing w:line="360" w:lineRule="auto"/>
        <w:rPr>
          <w:rFonts w:cstheme="minorHAnsi"/>
          <w:sz w:val="24"/>
          <w:szCs w:val="24"/>
        </w:rPr>
      </w:pPr>
      <w:r w:rsidRPr="00A563FD">
        <w:rPr>
          <w:rFonts w:cstheme="minorHAnsi"/>
          <w:sz w:val="24"/>
          <w:szCs w:val="24"/>
        </w:rPr>
        <w:lastRenderedPageBreak/>
        <w:t xml:space="preserve">Cartledge, P. 2002. </w:t>
      </w:r>
      <w:r w:rsidRPr="00A563FD">
        <w:rPr>
          <w:rFonts w:cstheme="minorHAnsi"/>
          <w:i/>
          <w:sz w:val="24"/>
          <w:szCs w:val="24"/>
        </w:rPr>
        <w:t xml:space="preserve">Sparta and </w:t>
      </w:r>
      <w:proofErr w:type="spellStart"/>
      <w:r w:rsidRPr="00A563FD">
        <w:rPr>
          <w:rFonts w:cstheme="minorHAnsi"/>
          <w:i/>
          <w:sz w:val="24"/>
          <w:szCs w:val="24"/>
        </w:rPr>
        <w:t>Lakonia</w:t>
      </w:r>
      <w:proofErr w:type="spellEnd"/>
      <w:r w:rsidRPr="00A563FD">
        <w:rPr>
          <w:rFonts w:cstheme="minorHAnsi"/>
          <w:i/>
          <w:sz w:val="24"/>
          <w:szCs w:val="24"/>
        </w:rPr>
        <w:t xml:space="preserve">: A Regional History 1300 to 362 BC. </w:t>
      </w:r>
      <w:r w:rsidRPr="00A563FD">
        <w:rPr>
          <w:rFonts w:cstheme="minorHAnsi"/>
          <w:sz w:val="24"/>
          <w:szCs w:val="24"/>
        </w:rPr>
        <w:t>London: Routledge.</w:t>
      </w:r>
    </w:p>
    <w:p w:rsidR="00526DC1" w:rsidRPr="00A563FD" w:rsidRDefault="00526DC1" w:rsidP="00A563FD">
      <w:pPr>
        <w:spacing w:line="360" w:lineRule="auto"/>
        <w:rPr>
          <w:rFonts w:cstheme="minorHAnsi"/>
          <w:sz w:val="24"/>
          <w:szCs w:val="24"/>
        </w:rPr>
      </w:pPr>
      <w:proofErr w:type="spellStart"/>
      <w:r w:rsidRPr="00A563FD">
        <w:rPr>
          <w:rFonts w:cstheme="minorHAnsi"/>
          <w:sz w:val="24"/>
          <w:szCs w:val="24"/>
        </w:rPr>
        <w:t>Chrimes</w:t>
      </w:r>
      <w:proofErr w:type="spellEnd"/>
      <w:r w:rsidRPr="00A563FD">
        <w:rPr>
          <w:rFonts w:cstheme="minorHAnsi"/>
          <w:sz w:val="24"/>
          <w:szCs w:val="24"/>
        </w:rPr>
        <w:t xml:space="preserve">, K.M.T. 1999. </w:t>
      </w:r>
      <w:r w:rsidRPr="00A563FD">
        <w:rPr>
          <w:rFonts w:cstheme="minorHAnsi"/>
          <w:i/>
          <w:sz w:val="24"/>
          <w:szCs w:val="24"/>
        </w:rPr>
        <w:t>Ancient Sparta: A Re-examination of the Evidence.</w:t>
      </w:r>
      <w:r w:rsidRPr="00A563FD">
        <w:rPr>
          <w:rFonts w:cstheme="minorHAnsi"/>
          <w:sz w:val="24"/>
          <w:szCs w:val="24"/>
        </w:rPr>
        <w:t xml:space="preserve"> Manchester: Manchester University Press.</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Croix, G.E.M. De </w:t>
      </w:r>
      <w:proofErr w:type="spellStart"/>
      <w:r w:rsidRPr="00A563FD">
        <w:rPr>
          <w:rFonts w:cstheme="minorHAnsi"/>
          <w:sz w:val="24"/>
          <w:szCs w:val="24"/>
        </w:rPr>
        <w:t>Ste.</w:t>
      </w:r>
      <w:proofErr w:type="spellEnd"/>
      <w:r w:rsidRPr="00A563FD">
        <w:rPr>
          <w:rFonts w:cstheme="minorHAnsi"/>
          <w:sz w:val="24"/>
          <w:szCs w:val="24"/>
        </w:rPr>
        <w:t xml:space="preserve"> 2004. ‘Herodotus and King Cleomenes I of Sparta’, in G.E.M. De </w:t>
      </w:r>
      <w:proofErr w:type="spellStart"/>
      <w:r w:rsidRPr="00A563FD">
        <w:rPr>
          <w:rFonts w:cstheme="minorHAnsi"/>
          <w:sz w:val="24"/>
          <w:szCs w:val="24"/>
        </w:rPr>
        <w:t>Ste.</w:t>
      </w:r>
      <w:proofErr w:type="spellEnd"/>
      <w:r w:rsidRPr="00A563FD">
        <w:rPr>
          <w:rFonts w:cstheme="minorHAnsi"/>
          <w:sz w:val="24"/>
          <w:szCs w:val="24"/>
        </w:rPr>
        <w:t xml:space="preserve"> Croix (ed.), </w:t>
      </w:r>
      <w:r w:rsidRPr="00A563FD">
        <w:rPr>
          <w:rFonts w:cstheme="minorHAnsi"/>
          <w:i/>
          <w:sz w:val="24"/>
          <w:szCs w:val="24"/>
        </w:rPr>
        <w:t>Athenian Democratic Origins and Other Essays</w:t>
      </w:r>
      <w:r w:rsidRPr="00A563FD">
        <w:rPr>
          <w:rFonts w:cstheme="minorHAnsi"/>
          <w:sz w:val="24"/>
          <w:szCs w:val="24"/>
        </w:rPr>
        <w:t>. Oxford: Oxford University Press, 2004. 421-440.</w:t>
      </w:r>
    </w:p>
    <w:p w:rsidR="0086395E" w:rsidRPr="00A563FD" w:rsidRDefault="0086395E" w:rsidP="00A563FD">
      <w:pPr>
        <w:spacing w:line="360" w:lineRule="auto"/>
        <w:rPr>
          <w:rFonts w:cstheme="minorHAnsi"/>
          <w:sz w:val="24"/>
          <w:szCs w:val="24"/>
        </w:rPr>
      </w:pPr>
      <w:r w:rsidRPr="00A563FD">
        <w:rPr>
          <w:rFonts w:cstheme="minorHAnsi"/>
          <w:sz w:val="24"/>
          <w:szCs w:val="24"/>
        </w:rPr>
        <w:t xml:space="preserve">Ducat, J. 2006. ‘The Spartan ‘tremblers’’, in </w:t>
      </w:r>
      <w:r w:rsidR="00F75776" w:rsidRPr="00A563FD">
        <w:rPr>
          <w:rFonts w:cstheme="minorHAnsi"/>
          <w:sz w:val="24"/>
          <w:szCs w:val="24"/>
        </w:rPr>
        <w:t xml:space="preserve">S. Hodkinson, &amp; </w:t>
      </w:r>
      <w:r w:rsidRPr="00A563FD">
        <w:rPr>
          <w:rFonts w:cstheme="minorHAnsi"/>
          <w:sz w:val="24"/>
          <w:szCs w:val="24"/>
        </w:rPr>
        <w:t xml:space="preserve">A. Powell (eds.), </w:t>
      </w:r>
      <w:r w:rsidRPr="00A563FD">
        <w:rPr>
          <w:rFonts w:cstheme="minorHAnsi"/>
          <w:i/>
          <w:sz w:val="24"/>
          <w:szCs w:val="24"/>
        </w:rPr>
        <w:t xml:space="preserve">Sparta and War. </w:t>
      </w:r>
      <w:r w:rsidRPr="00A563FD">
        <w:rPr>
          <w:rFonts w:cstheme="minorHAnsi"/>
          <w:sz w:val="24"/>
          <w:szCs w:val="24"/>
        </w:rPr>
        <w:t>Swansea: The Classical Press of Wales. 1-56.</w:t>
      </w:r>
    </w:p>
    <w:p w:rsidR="0086395E" w:rsidRPr="00A563FD" w:rsidRDefault="0086395E" w:rsidP="00A563FD">
      <w:pPr>
        <w:spacing w:line="360" w:lineRule="auto"/>
        <w:rPr>
          <w:rFonts w:cstheme="minorHAnsi"/>
          <w:sz w:val="24"/>
          <w:szCs w:val="24"/>
        </w:rPr>
      </w:pPr>
      <w:r w:rsidRPr="00A563FD">
        <w:rPr>
          <w:rFonts w:cstheme="minorHAnsi"/>
          <w:sz w:val="24"/>
          <w:szCs w:val="24"/>
        </w:rPr>
        <w:t xml:space="preserve">Ducat, J. 2010. ‘The ghost of the </w:t>
      </w:r>
      <w:proofErr w:type="spellStart"/>
      <w:r w:rsidRPr="00A563FD">
        <w:rPr>
          <w:rFonts w:cstheme="minorHAnsi"/>
          <w:sz w:val="24"/>
          <w:szCs w:val="24"/>
        </w:rPr>
        <w:t>Lakedaimonian</w:t>
      </w:r>
      <w:proofErr w:type="spellEnd"/>
      <w:r w:rsidRPr="00A563FD">
        <w:rPr>
          <w:rFonts w:cstheme="minorHAnsi"/>
          <w:sz w:val="24"/>
          <w:szCs w:val="24"/>
        </w:rPr>
        <w:t xml:space="preserve"> state’, in</w:t>
      </w:r>
      <w:r w:rsidR="00F75776" w:rsidRPr="00A563FD">
        <w:rPr>
          <w:rFonts w:cstheme="minorHAnsi"/>
          <w:sz w:val="24"/>
          <w:szCs w:val="24"/>
        </w:rPr>
        <w:t xml:space="preserve"> S. Hodkinson, &amp;</w:t>
      </w:r>
      <w:r w:rsidRPr="00A563FD">
        <w:rPr>
          <w:rFonts w:cstheme="minorHAnsi"/>
          <w:sz w:val="24"/>
          <w:szCs w:val="24"/>
        </w:rPr>
        <w:t xml:space="preserve"> A. Powell (eds.), </w:t>
      </w:r>
      <w:r w:rsidRPr="00A563FD">
        <w:rPr>
          <w:rFonts w:cstheme="minorHAnsi"/>
          <w:i/>
          <w:sz w:val="24"/>
          <w:szCs w:val="24"/>
        </w:rPr>
        <w:t>Sparta: The Body Politic.</w:t>
      </w:r>
      <w:r w:rsidR="00B41E6D" w:rsidRPr="00A563FD">
        <w:rPr>
          <w:rFonts w:cstheme="minorHAnsi"/>
          <w:i/>
          <w:sz w:val="24"/>
          <w:szCs w:val="24"/>
        </w:rPr>
        <w:t xml:space="preserve"> Sparta and War. </w:t>
      </w:r>
      <w:r w:rsidR="00B41E6D" w:rsidRPr="00A563FD">
        <w:rPr>
          <w:rFonts w:cstheme="minorHAnsi"/>
          <w:sz w:val="24"/>
          <w:szCs w:val="24"/>
        </w:rPr>
        <w:t>Swansea: The Classical Press of Wales.</w:t>
      </w:r>
      <w:r w:rsidRPr="00A563FD">
        <w:rPr>
          <w:rFonts w:cstheme="minorHAnsi"/>
          <w:i/>
          <w:sz w:val="24"/>
          <w:szCs w:val="24"/>
        </w:rPr>
        <w:t xml:space="preserve"> </w:t>
      </w:r>
      <w:r w:rsidRPr="00A563FD">
        <w:rPr>
          <w:rFonts w:cstheme="minorHAnsi"/>
          <w:sz w:val="24"/>
          <w:szCs w:val="24"/>
        </w:rPr>
        <w:t>183-210.</w:t>
      </w:r>
    </w:p>
    <w:p w:rsidR="009D5F3F" w:rsidRPr="00A563FD" w:rsidRDefault="009D5F3F" w:rsidP="00A563FD">
      <w:pPr>
        <w:spacing w:line="360" w:lineRule="auto"/>
        <w:rPr>
          <w:rFonts w:cstheme="minorHAnsi"/>
          <w:sz w:val="24"/>
          <w:szCs w:val="24"/>
        </w:rPr>
      </w:pPr>
      <w:r w:rsidRPr="00A563FD">
        <w:rPr>
          <w:rFonts w:cstheme="minorHAnsi"/>
          <w:sz w:val="24"/>
          <w:szCs w:val="24"/>
        </w:rPr>
        <w:t xml:space="preserve">Flower, M.A. 1998. ‘Simonides, </w:t>
      </w:r>
      <w:proofErr w:type="spellStart"/>
      <w:r w:rsidRPr="00A563FD">
        <w:rPr>
          <w:rFonts w:cstheme="minorHAnsi"/>
          <w:sz w:val="24"/>
          <w:szCs w:val="24"/>
        </w:rPr>
        <w:t>Ephorus</w:t>
      </w:r>
      <w:proofErr w:type="spellEnd"/>
      <w:r w:rsidRPr="00A563FD">
        <w:rPr>
          <w:rFonts w:cstheme="minorHAnsi"/>
          <w:sz w:val="24"/>
          <w:szCs w:val="24"/>
        </w:rPr>
        <w:t xml:space="preserve">, and Herodotus on the Battle of Thermopylae’, </w:t>
      </w:r>
      <w:r w:rsidRPr="00A563FD">
        <w:rPr>
          <w:rFonts w:cstheme="minorHAnsi"/>
          <w:i/>
          <w:sz w:val="24"/>
          <w:szCs w:val="24"/>
        </w:rPr>
        <w:t xml:space="preserve">The Classical Quarterly. </w:t>
      </w:r>
      <w:r w:rsidRPr="00A563FD">
        <w:rPr>
          <w:rFonts w:cstheme="minorHAnsi"/>
          <w:sz w:val="24"/>
          <w:szCs w:val="24"/>
        </w:rPr>
        <w:t>48. 2, 365-379.</w:t>
      </w:r>
    </w:p>
    <w:p w:rsidR="00484419" w:rsidRPr="00A563FD" w:rsidRDefault="00484419" w:rsidP="00A563FD">
      <w:pPr>
        <w:spacing w:line="360" w:lineRule="auto"/>
        <w:rPr>
          <w:rFonts w:cstheme="minorHAnsi"/>
          <w:sz w:val="24"/>
          <w:szCs w:val="24"/>
        </w:rPr>
      </w:pPr>
      <w:r w:rsidRPr="00A563FD">
        <w:rPr>
          <w:rFonts w:cstheme="minorHAnsi"/>
          <w:sz w:val="24"/>
          <w:szCs w:val="24"/>
        </w:rPr>
        <w:t xml:space="preserve">Forrest, W.G. 2002. </w:t>
      </w:r>
      <w:r w:rsidRPr="00A563FD">
        <w:rPr>
          <w:rFonts w:cstheme="minorHAnsi"/>
          <w:i/>
          <w:sz w:val="24"/>
          <w:szCs w:val="24"/>
        </w:rPr>
        <w:t xml:space="preserve">A History of Sparta. </w:t>
      </w:r>
      <w:r w:rsidRPr="00A563FD">
        <w:rPr>
          <w:rFonts w:cstheme="minorHAnsi"/>
          <w:sz w:val="24"/>
          <w:szCs w:val="24"/>
        </w:rPr>
        <w:t>London: Bristol Classical Press.</w:t>
      </w:r>
    </w:p>
    <w:p w:rsidR="009D5F3F" w:rsidRPr="00A563FD" w:rsidRDefault="00F75776" w:rsidP="00A563FD">
      <w:pPr>
        <w:spacing w:line="360" w:lineRule="auto"/>
        <w:rPr>
          <w:rFonts w:cstheme="minorHAnsi"/>
          <w:sz w:val="24"/>
          <w:szCs w:val="24"/>
        </w:rPr>
      </w:pPr>
      <w:r w:rsidRPr="00A563FD">
        <w:rPr>
          <w:rFonts w:cstheme="minorHAnsi"/>
          <w:sz w:val="24"/>
          <w:szCs w:val="24"/>
        </w:rPr>
        <w:t xml:space="preserve">Fotheringham, L.S. 2012. ‘The positive Portrayal of Sparta in late-twentieth-century fiction’, in S. Hodkinson, &amp; I.M. Morris (eds.), </w:t>
      </w:r>
      <w:r w:rsidRPr="00A563FD">
        <w:rPr>
          <w:rFonts w:cstheme="minorHAnsi"/>
          <w:i/>
          <w:sz w:val="24"/>
          <w:szCs w:val="24"/>
        </w:rPr>
        <w:t>Sparta in Modern Thought: Politics, History and Culture.</w:t>
      </w:r>
      <w:r w:rsidRPr="00A563FD">
        <w:rPr>
          <w:rFonts w:cstheme="minorHAnsi"/>
          <w:sz w:val="24"/>
          <w:szCs w:val="24"/>
        </w:rPr>
        <w:t xml:space="preserve"> Swansea: The Classical Press of Wales. 393-428.</w:t>
      </w:r>
    </w:p>
    <w:p w:rsidR="002E4FAD" w:rsidRPr="00A563FD" w:rsidRDefault="002E4FAD" w:rsidP="00A563FD">
      <w:pPr>
        <w:spacing w:line="360" w:lineRule="auto"/>
        <w:rPr>
          <w:rFonts w:cstheme="minorHAnsi"/>
          <w:sz w:val="24"/>
          <w:szCs w:val="24"/>
        </w:rPr>
      </w:pPr>
      <w:proofErr w:type="spellStart"/>
      <w:r w:rsidRPr="00A563FD">
        <w:rPr>
          <w:rFonts w:cstheme="minorHAnsi"/>
          <w:sz w:val="24"/>
          <w:szCs w:val="24"/>
        </w:rPr>
        <w:t>Gammie</w:t>
      </w:r>
      <w:proofErr w:type="spellEnd"/>
      <w:r w:rsidRPr="00A563FD">
        <w:rPr>
          <w:rFonts w:cstheme="minorHAnsi"/>
          <w:sz w:val="24"/>
          <w:szCs w:val="24"/>
        </w:rPr>
        <w:t xml:space="preserve">, J.G. 1986. ‘Herodotus on kings and tyrants: objective historiography or conventional portraiture?’, </w:t>
      </w:r>
      <w:r w:rsidRPr="00A563FD">
        <w:rPr>
          <w:rFonts w:cstheme="minorHAnsi"/>
          <w:i/>
          <w:sz w:val="24"/>
          <w:szCs w:val="24"/>
        </w:rPr>
        <w:t xml:space="preserve">Journal of Near Eastern Studies. </w:t>
      </w:r>
      <w:r w:rsidRPr="00A563FD">
        <w:rPr>
          <w:rFonts w:cstheme="minorHAnsi"/>
          <w:sz w:val="24"/>
          <w:szCs w:val="24"/>
        </w:rPr>
        <w:t>45. 171-196.</w:t>
      </w:r>
    </w:p>
    <w:p w:rsidR="00F75776" w:rsidRPr="00A563FD" w:rsidRDefault="009D5F3F" w:rsidP="00A563FD">
      <w:pPr>
        <w:spacing w:line="360" w:lineRule="auto"/>
        <w:rPr>
          <w:rFonts w:cstheme="minorHAnsi"/>
          <w:i/>
          <w:sz w:val="24"/>
          <w:szCs w:val="24"/>
        </w:rPr>
      </w:pPr>
      <w:r w:rsidRPr="00A563FD">
        <w:rPr>
          <w:rFonts w:cstheme="minorHAnsi"/>
          <w:sz w:val="24"/>
          <w:szCs w:val="24"/>
        </w:rPr>
        <w:t>Hammond, N.G.L. 1996. ‘Sparta at Thermopylae’</w:t>
      </w:r>
      <w:r w:rsidRPr="00A563FD">
        <w:rPr>
          <w:rFonts w:cstheme="minorHAnsi"/>
          <w:i/>
          <w:sz w:val="24"/>
          <w:szCs w:val="24"/>
        </w:rPr>
        <w:t>,</w:t>
      </w:r>
      <w:r w:rsidRPr="00A563FD">
        <w:rPr>
          <w:rFonts w:cstheme="minorHAnsi"/>
          <w:sz w:val="24"/>
          <w:szCs w:val="24"/>
        </w:rPr>
        <w:t xml:space="preserve"> </w:t>
      </w:r>
      <w:r w:rsidRPr="00A563FD">
        <w:rPr>
          <w:rFonts w:cstheme="minorHAnsi"/>
          <w:i/>
          <w:sz w:val="24"/>
          <w:szCs w:val="24"/>
        </w:rPr>
        <w:t xml:space="preserve">Historia: </w:t>
      </w:r>
      <w:proofErr w:type="spellStart"/>
      <w:r w:rsidRPr="00A563FD">
        <w:rPr>
          <w:rFonts w:cstheme="minorHAnsi"/>
          <w:i/>
          <w:sz w:val="24"/>
          <w:szCs w:val="24"/>
        </w:rPr>
        <w:t>Zeitschrift</w:t>
      </w:r>
      <w:proofErr w:type="spellEnd"/>
      <w:r w:rsidRPr="00A563FD">
        <w:rPr>
          <w:rFonts w:cstheme="minorHAnsi"/>
          <w:i/>
          <w:sz w:val="24"/>
          <w:szCs w:val="24"/>
        </w:rPr>
        <w:t xml:space="preserve"> </w:t>
      </w:r>
      <w:proofErr w:type="spellStart"/>
      <w:r w:rsidRPr="00A563FD">
        <w:rPr>
          <w:rFonts w:cstheme="minorHAnsi"/>
          <w:i/>
          <w:sz w:val="24"/>
          <w:szCs w:val="24"/>
        </w:rPr>
        <w:t>für</w:t>
      </w:r>
      <w:proofErr w:type="spellEnd"/>
      <w:r w:rsidRPr="00A563FD">
        <w:rPr>
          <w:rFonts w:cstheme="minorHAnsi"/>
          <w:i/>
          <w:sz w:val="24"/>
          <w:szCs w:val="24"/>
        </w:rPr>
        <w:t xml:space="preserve"> Alte </w:t>
      </w:r>
      <w:proofErr w:type="spellStart"/>
      <w:r w:rsidRPr="00A563FD">
        <w:rPr>
          <w:rFonts w:cstheme="minorHAnsi"/>
          <w:i/>
          <w:sz w:val="24"/>
          <w:szCs w:val="24"/>
        </w:rPr>
        <w:t>Geschichte</w:t>
      </w:r>
      <w:proofErr w:type="spellEnd"/>
      <w:r w:rsidRPr="00A563FD">
        <w:rPr>
          <w:rFonts w:cstheme="minorHAnsi"/>
          <w:i/>
          <w:sz w:val="24"/>
          <w:szCs w:val="24"/>
        </w:rPr>
        <w:t xml:space="preserve">. </w:t>
      </w:r>
      <w:r w:rsidRPr="00A563FD">
        <w:rPr>
          <w:rFonts w:cstheme="minorHAnsi"/>
          <w:sz w:val="24"/>
          <w:szCs w:val="24"/>
        </w:rPr>
        <w:t>45. 1, 1-20.</w:t>
      </w:r>
      <w:r w:rsidR="00F75776" w:rsidRPr="00A563FD">
        <w:rPr>
          <w:rFonts w:cstheme="minorHAnsi"/>
          <w:i/>
          <w:sz w:val="24"/>
          <w:szCs w:val="24"/>
        </w:rPr>
        <w:t xml:space="preserve"> </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Harrison, T. 2018. ‘The Moral of History’, in T. Harrison and E. Irwin (eds.) </w:t>
      </w:r>
      <w:r w:rsidRPr="00A563FD">
        <w:rPr>
          <w:rFonts w:cstheme="minorHAnsi"/>
          <w:i/>
          <w:sz w:val="24"/>
          <w:szCs w:val="24"/>
        </w:rPr>
        <w:t xml:space="preserve">Interpreting Herodotus. </w:t>
      </w:r>
      <w:r w:rsidRPr="00A563FD">
        <w:rPr>
          <w:rFonts w:cstheme="minorHAnsi"/>
          <w:sz w:val="24"/>
          <w:szCs w:val="24"/>
        </w:rPr>
        <w:t>Oxford: Oxford University Press. 335-356.</w:t>
      </w:r>
    </w:p>
    <w:p w:rsidR="002E4FAD" w:rsidRPr="00A563FD" w:rsidRDefault="002E4FAD" w:rsidP="00A563FD">
      <w:pPr>
        <w:spacing w:line="360" w:lineRule="auto"/>
        <w:rPr>
          <w:rFonts w:cstheme="minorHAnsi"/>
          <w:sz w:val="24"/>
          <w:szCs w:val="24"/>
        </w:rPr>
      </w:pPr>
      <w:r w:rsidRPr="00A563FD">
        <w:rPr>
          <w:rFonts w:cstheme="minorHAnsi"/>
          <w:sz w:val="24"/>
          <w:szCs w:val="24"/>
        </w:rPr>
        <w:t xml:space="preserve">Hartog, F., &amp; Lloyd, J. 1988. </w:t>
      </w:r>
      <w:r w:rsidRPr="00A563FD">
        <w:rPr>
          <w:rFonts w:cstheme="minorHAnsi"/>
          <w:i/>
          <w:sz w:val="24"/>
          <w:szCs w:val="24"/>
        </w:rPr>
        <w:t xml:space="preserve">The mirror of Herodotus: the representation of the other in the writing of history. </w:t>
      </w:r>
      <w:r w:rsidRPr="00A563FD">
        <w:rPr>
          <w:rFonts w:cstheme="minorHAnsi"/>
          <w:sz w:val="24"/>
          <w:szCs w:val="24"/>
        </w:rPr>
        <w:t>Berkeley: University of California Press.</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Hignett, C. 1963. </w:t>
      </w:r>
      <w:r w:rsidRPr="00A563FD">
        <w:rPr>
          <w:rFonts w:cstheme="minorHAnsi"/>
          <w:i/>
          <w:sz w:val="24"/>
          <w:szCs w:val="24"/>
        </w:rPr>
        <w:t xml:space="preserve">Xerxes’ Invasion of Greece. </w:t>
      </w:r>
      <w:r w:rsidRPr="00A563FD">
        <w:rPr>
          <w:rFonts w:cstheme="minorHAnsi"/>
          <w:sz w:val="24"/>
          <w:szCs w:val="24"/>
        </w:rPr>
        <w:t xml:space="preserve">Oxford: Clarendon Press. </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Holland, T. 2005. </w:t>
      </w:r>
      <w:r w:rsidRPr="00A563FD">
        <w:rPr>
          <w:rFonts w:cstheme="minorHAnsi"/>
          <w:i/>
          <w:sz w:val="24"/>
          <w:szCs w:val="24"/>
        </w:rPr>
        <w:t xml:space="preserve">Persian Fire. </w:t>
      </w:r>
      <w:r w:rsidRPr="00A563FD">
        <w:rPr>
          <w:rFonts w:cstheme="minorHAnsi"/>
          <w:sz w:val="24"/>
          <w:szCs w:val="24"/>
        </w:rPr>
        <w:t>St Ives: Abacus.</w:t>
      </w:r>
    </w:p>
    <w:p w:rsidR="00A563FD" w:rsidRPr="00A563FD" w:rsidRDefault="00A563FD" w:rsidP="00A563FD">
      <w:pPr>
        <w:spacing w:line="360" w:lineRule="auto"/>
        <w:rPr>
          <w:rFonts w:cstheme="minorHAnsi"/>
          <w:sz w:val="24"/>
          <w:szCs w:val="24"/>
        </w:rPr>
      </w:pPr>
      <w:proofErr w:type="spellStart"/>
      <w:r w:rsidRPr="00A563FD">
        <w:rPr>
          <w:rFonts w:cstheme="minorHAnsi"/>
          <w:sz w:val="24"/>
          <w:szCs w:val="24"/>
        </w:rPr>
        <w:lastRenderedPageBreak/>
        <w:t>Kuhrt</w:t>
      </w:r>
      <w:proofErr w:type="spellEnd"/>
      <w:r w:rsidRPr="00A563FD">
        <w:rPr>
          <w:rFonts w:cstheme="minorHAnsi"/>
          <w:sz w:val="24"/>
          <w:szCs w:val="24"/>
        </w:rPr>
        <w:t xml:space="preserve">, A. 2010. </w:t>
      </w:r>
      <w:r w:rsidRPr="00A563FD">
        <w:rPr>
          <w:rFonts w:cstheme="minorHAnsi"/>
          <w:i/>
          <w:sz w:val="24"/>
          <w:szCs w:val="24"/>
        </w:rPr>
        <w:t xml:space="preserve">The Persian Empire. </w:t>
      </w:r>
      <w:r w:rsidRPr="00A563FD">
        <w:rPr>
          <w:rFonts w:cstheme="minorHAnsi"/>
          <w:sz w:val="24"/>
          <w:szCs w:val="24"/>
        </w:rPr>
        <w:t>London: Routledge.</w:t>
      </w:r>
    </w:p>
    <w:p w:rsidR="004C6A71" w:rsidRPr="00A563FD" w:rsidRDefault="004C6A71" w:rsidP="00A563FD">
      <w:pPr>
        <w:spacing w:line="360" w:lineRule="auto"/>
        <w:rPr>
          <w:rFonts w:cstheme="minorHAnsi"/>
          <w:sz w:val="24"/>
          <w:szCs w:val="24"/>
        </w:rPr>
      </w:pPr>
      <w:proofErr w:type="spellStart"/>
      <w:r w:rsidRPr="00A563FD">
        <w:rPr>
          <w:rFonts w:cstheme="minorHAnsi"/>
          <w:sz w:val="24"/>
          <w:szCs w:val="24"/>
        </w:rPr>
        <w:t>Loloi</w:t>
      </w:r>
      <w:proofErr w:type="spellEnd"/>
      <w:r w:rsidRPr="00A563FD">
        <w:rPr>
          <w:rFonts w:cstheme="minorHAnsi"/>
          <w:sz w:val="24"/>
          <w:szCs w:val="24"/>
        </w:rPr>
        <w:t xml:space="preserve">, </w:t>
      </w:r>
      <w:r w:rsidR="00C85E4D" w:rsidRPr="00A563FD">
        <w:rPr>
          <w:rFonts w:cstheme="minorHAnsi"/>
          <w:sz w:val="24"/>
          <w:szCs w:val="24"/>
        </w:rPr>
        <w:t xml:space="preserve">P. 2010. ‘Portraits of the Achaemenid Kings in English Drama: Sixteenth-Eighteenth Centuries’, in J. Curtis, &amp; St J. Simpson (eds.). </w:t>
      </w:r>
      <w:r w:rsidR="00C85E4D" w:rsidRPr="00A563FD">
        <w:rPr>
          <w:rFonts w:cstheme="minorHAnsi"/>
          <w:i/>
          <w:sz w:val="24"/>
          <w:szCs w:val="24"/>
        </w:rPr>
        <w:t xml:space="preserve">The world of Achaemenid Persia: History, Art, and Society in Iran and the Ancient Near East. </w:t>
      </w:r>
      <w:r w:rsidR="00C85E4D" w:rsidRPr="00A563FD">
        <w:rPr>
          <w:rFonts w:cstheme="minorHAnsi"/>
          <w:sz w:val="24"/>
          <w:szCs w:val="24"/>
        </w:rPr>
        <w:t>New York: I.B. Taurus &amp; Co.</w:t>
      </w:r>
    </w:p>
    <w:p w:rsidR="00633859" w:rsidRPr="00A563FD" w:rsidRDefault="00633859" w:rsidP="00A563FD">
      <w:pPr>
        <w:spacing w:line="360" w:lineRule="auto"/>
        <w:rPr>
          <w:rFonts w:cstheme="minorHAnsi"/>
          <w:sz w:val="24"/>
          <w:szCs w:val="24"/>
        </w:rPr>
      </w:pPr>
      <w:r w:rsidRPr="00A563FD">
        <w:rPr>
          <w:rFonts w:cstheme="minorHAnsi"/>
          <w:sz w:val="24"/>
          <w:szCs w:val="24"/>
        </w:rPr>
        <w:t xml:space="preserve">Matthew, C. 2015. ‘The Persian Wars (480-479 BCE) and the Defence of Thermopylae’, </w:t>
      </w:r>
      <w:r w:rsidRPr="00A563FD">
        <w:rPr>
          <w:rFonts w:cstheme="minorHAnsi"/>
          <w:i/>
          <w:sz w:val="24"/>
          <w:szCs w:val="24"/>
        </w:rPr>
        <w:t xml:space="preserve">Agora. </w:t>
      </w:r>
      <w:r w:rsidRPr="00A563FD">
        <w:rPr>
          <w:rFonts w:cstheme="minorHAnsi"/>
          <w:sz w:val="24"/>
          <w:szCs w:val="24"/>
        </w:rPr>
        <w:t>50. 3, 4-14.</w:t>
      </w:r>
    </w:p>
    <w:p w:rsidR="00526DC1" w:rsidRPr="00A563FD" w:rsidRDefault="00526DC1" w:rsidP="00A563FD">
      <w:pPr>
        <w:spacing w:line="360" w:lineRule="auto"/>
        <w:rPr>
          <w:rFonts w:cstheme="minorHAnsi"/>
          <w:sz w:val="24"/>
          <w:szCs w:val="24"/>
        </w:rPr>
      </w:pPr>
      <w:r w:rsidRPr="00A563FD">
        <w:rPr>
          <w:rFonts w:cstheme="minorHAnsi"/>
          <w:sz w:val="24"/>
          <w:szCs w:val="24"/>
        </w:rPr>
        <w:t xml:space="preserve">Montgomerie, R. 2009. ‘The </w:t>
      </w:r>
      <w:proofErr w:type="gramStart"/>
      <w:r w:rsidRPr="00A563FD">
        <w:rPr>
          <w:rFonts w:cstheme="minorHAnsi"/>
          <w:sz w:val="24"/>
          <w:szCs w:val="24"/>
        </w:rPr>
        <w:t>300 suicide</w:t>
      </w:r>
      <w:proofErr w:type="gramEnd"/>
      <w:r w:rsidRPr="00A563FD">
        <w:rPr>
          <w:rFonts w:cstheme="minorHAnsi"/>
          <w:sz w:val="24"/>
          <w:szCs w:val="24"/>
        </w:rPr>
        <w:t xml:space="preserve"> squad or advantage guard?’, </w:t>
      </w:r>
      <w:r w:rsidRPr="00A563FD">
        <w:rPr>
          <w:rFonts w:cstheme="minorHAnsi"/>
          <w:i/>
          <w:sz w:val="24"/>
          <w:szCs w:val="24"/>
        </w:rPr>
        <w:t xml:space="preserve">Sparta: Journal of Ancient </w:t>
      </w:r>
      <w:proofErr w:type="spellStart"/>
      <w:r w:rsidRPr="00A563FD">
        <w:rPr>
          <w:rFonts w:cstheme="minorHAnsi"/>
          <w:i/>
          <w:sz w:val="24"/>
          <w:szCs w:val="24"/>
        </w:rPr>
        <w:t>Spartian</w:t>
      </w:r>
      <w:proofErr w:type="spellEnd"/>
      <w:r w:rsidRPr="00A563FD">
        <w:rPr>
          <w:rFonts w:cstheme="minorHAnsi"/>
          <w:i/>
          <w:sz w:val="24"/>
          <w:szCs w:val="24"/>
        </w:rPr>
        <w:t xml:space="preserve"> &amp; Greek History. </w:t>
      </w:r>
      <w:r w:rsidRPr="00A563FD">
        <w:rPr>
          <w:rFonts w:cstheme="minorHAnsi"/>
          <w:sz w:val="24"/>
          <w:szCs w:val="24"/>
        </w:rPr>
        <w:t>5. 2, 27-34.</w:t>
      </w:r>
    </w:p>
    <w:p w:rsidR="00633859" w:rsidRPr="00A563FD" w:rsidRDefault="00633859" w:rsidP="00A563FD">
      <w:pPr>
        <w:spacing w:line="360" w:lineRule="auto"/>
        <w:rPr>
          <w:rFonts w:cstheme="minorHAnsi"/>
          <w:sz w:val="24"/>
          <w:szCs w:val="24"/>
        </w:rPr>
      </w:pPr>
      <w:r w:rsidRPr="00A563FD">
        <w:rPr>
          <w:rFonts w:cstheme="minorHAnsi"/>
          <w:sz w:val="24"/>
          <w:szCs w:val="24"/>
        </w:rPr>
        <w:t>Montgomerie, R. 2010. ‘Disinformation from Sparta: The Battle of Thermopylae 480 B.C.</w:t>
      </w:r>
      <w:r w:rsidR="00813420" w:rsidRPr="00A563FD">
        <w:rPr>
          <w:rFonts w:cstheme="minorHAnsi"/>
          <w:sz w:val="24"/>
          <w:szCs w:val="24"/>
        </w:rPr>
        <w:t xml:space="preserve">’, </w:t>
      </w:r>
      <w:r w:rsidR="00813420" w:rsidRPr="00A563FD">
        <w:rPr>
          <w:rFonts w:cstheme="minorHAnsi"/>
          <w:i/>
          <w:sz w:val="24"/>
          <w:szCs w:val="24"/>
        </w:rPr>
        <w:t xml:space="preserve">Sparta: Journal of Ancient </w:t>
      </w:r>
      <w:proofErr w:type="spellStart"/>
      <w:r w:rsidR="00813420" w:rsidRPr="00A563FD">
        <w:rPr>
          <w:rFonts w:cstheme="minorHAnsi"/>
          <w:i/>
          <w:sz w:val="24"/>
          <w:szCs w:val="24"/>
        </w:rPr>
        <w:t>Spartian</w:t>
      </w:r>
      <w:proofErr w:type="spellEnd"/>
      <w:r w:rsidR="00813420" w:rsidRPr="00A563FD">
        <w:rPr>
          <w:rFonts w:cstheme="minorHAnsi"/>
          <w:i/>
          <w:sz w:val="24"/>
          <w:szCs w:val="24"/>
        </w:rPr>
        <w:t xml:space="preserve"> &amp; Greek History. </w:t>
      </w:r>
      <w:r w:rsidR="00813420" w:rsidRPr="00A563FD">
        <w:rPr>
          <w:rFonts w:cstheme="minorHAnsi"/>
          <w:sz w:val="24"/>
          <w:szCs w:val="24"/>
        </w:rPr>
        <w:t>6. 2, 22-30.</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Munson, R.V. 2009. ‘Who Are Herodotus’ Persians?’, </w:t>
      </w:r>
      <w:r w:rsidRPr="00A563FD">
        <w:rPr>
          <w:rFonts w:cstheme="minorHAnsi"/>
          <w:i/>
          <w:sz w:val="24"/>
          <w:szCs w:val="24"/>
        </w:rPr>
        <w:t xml:space="preserve">Classical Association of the Atlantic States. </w:t>
      </w:r>
      <w:r w:rsidRPr="00A563FD">
        <w:rPr>
          <w:rFonts w:cstheme="minorHAnsi"/>
          <w:sz w:val="24"/>
          <w:szCs w:val="24"/>
        </w:rPr>
        <w:t>69. 1, 119-123.</w:t>
      </w:r>
    </w:p>
    <w:p w:rsidR="00BC24DA" w:rsidRPr="00A563FD" w:rsidRDefault="00BC24DA" w:rsidP="00A563FD">
      <w:pPr>
        <w:spacing w:line="360" w:lineRule="auto"/>
        <w:rPr>
          <w:rFonts w:cstheme="minorHAnsi"/>
          <w:sz w:val="24"/>
          <w:szCs w:val="24"/>
        </w:rPr>
      </w:pPr>
      <w:proofErr w:type="spellStart"/>
      <w:r w:rsidRPr="00A563FD">
        <w:rPr>
          <w:rFonts w:cstheme="minorHAnsi"/>
          <w:sz w:val="24"/>
          <w:szCs w:val="24"/>
        </w:rPr>
        <w:t>Pimpfe</w:t>
      </w:r>
      <w:proofErr w:type="spellEnd"/>
      <w:r w:rsidRPr="00A563FD">
        <w:rPr>
          <w:rFonts w:cstheme="minorHAnsi"/>
          <w:sz w:val="24"/>
          <w:szCs w:val="24"/>
        </w:rPr>
        <w:t>, 2012. ‘</w:t>
      </w:r>
      <w:proofErr w:type="spellStart"/>
      <w:r w:rsidRPr="00A563FD">
        <w:rPr>
          <w:rFonts w:cstheme="minorHAnsi"/>
          <w:i/>
          <w:sz w:val="24"/>
          <w:szCs w:val="24"/>
        </w:rPr>
        <w:t>Spartanische</w:t>
      </w:r>
      <w:proofErr w:type="spellEnd"/>
      <w:r w:rsidRPr="00A563FD">
        <w:rPr>
          <w:rFonts w:cstheme="minorHAnsi"/>
          <w:i/>
          <w:sz w:val="24"/>
          <w:szCs w:val="24"/>
        </w:rPr>
        <w:t xml:space="preserve"> </w:t>
      </w:r>
      <w:proofErr w:type="spellStart"/>
      <w:r w:rsidRPr="00A563FD">
        <w:rPr>
          <w:rFonts w:cstheme="minorHAnsi"/>
          <w:i/>
          <w:sz w:val="24"/>
          <w:szCs w:val="24"/>
        </w:rPr>
        <w:t>Pimpfe</w:t>
      </w:r>
      <w:proofErr w:type="spellEnd"/>
      <w:r w:rsidRPr="00A563FD">
        <w:rPr>
          <w:rFonts w:cstheme="minorHAnsi"/>
          <w:sz w:val="24"/>
          <w:szCs w:val="24"/>
        </w:rPr>
        <w:t xml:space="preserve">: The importance of Sparta in the educational ideology of the Adolf Hitler Schools’, in S. Hodkinson, &amp; I.M. Morris (eds.). </w:t>
      </w:r>
      <w:r w:rsidRPr="00A563FD">
        <w:rPr>
          <w:rFonts w:cstheme="minorHAnsi"/>
          <w:i/>
          <w:sz w:val="24"/>
          <w:szCs w:val="24"/>
        </w:rPr>
        <w:t>Sparta in Modern Thought</w:t>
      </w:r>
      <w:r w:rsidRPr="00A563FD">
        <w:rPr>
          <w:rFonts w:cstheme="minorHAnsi"/>
          <w:sz w:val="24"/>
          <w:szCs w:val="24"/>
        </w:rPr>
        <w:t>. Swansea: The Classical Press of Wales.</w:t>
      </w:r>
    </w:p>
    <w:p w:rsidR="0086395E" w:rsidRPr="00A563FD" w:rsidRDefault="00477409" w:rsidP="00A563FD">
      <w:pPr>
        <w:spacing w:line="360" w:lineRule="auto"/>
        <w:rPr>
          <w:rFonts w:cstheme="minorHAnsi"/>
          <w:sz w:val="24"/>
          <w:szCs w:val="24"/>
        </w:rPr>
      </w:pPr>
      <w:r w:rsidRPr="00A563FD">
        <w:rPr>
          <w:rFonts w:cstheme="minorHAnsi"/>
          <w:sz w:val="24"/>
          <w:szCs w:val="24"/>
        </w:rPr>
        <w:t xml:space="preserve">Powell, </w:t>
      </w:r>
      <w:r w:rsidR="0086395E" w:rsidRPr="00A563FD">
        <w:rPr>
          <w:rFonts w:cstheme="minorHAnsi"/>
          <w:sz w:val="24"/>
          <w:szCs w:val="24"/>
        </w:rPr>
        <w:t xml:space="preserve">A. </w:t>
      </w:r>
      <w:r w:rsidRPr="00A563FD">
        <w:rPr>
          <w:rFonts w:cstheme="minorHAnsi"/>
          <w:sz w:val="24"/>
          <w:szCs w:val="24"/>
        </w:rPr>
        <w:t>2010. ‘Divination, royalty and insecurity in Classical Sparta’, in</w:t>
      </w:r>
      <w:r w:rsidR="00F75776" w:rsidRPr="00A563FD">
        <w:rPr>
          <w:rFonts w:cstheme="minorHAnsi"/>
          <w:sz w:val="24"/>
          <w:szCs w:val="24"/>
        </w:rPr>
        <w:t xml:space="preserve"> S. Hodkinson, &amp;</w:t>
      </w:r>
      <w:r w:rsidRPr="00A563FD">
        <w:rPr>
          <w:rFonts w:cstheme="minorHAnsi"/>
          <w:sz w:val="24"/>
          <w:szCs w:val="24"/>
        </w:rPr>
        <w:t xml:space="preserve"> A. Powell</w:t>
      </w:r>
      <w:r w:rsidR="00F75776" w:rsidRPr="00A563FD">
        <w:rPr>
          <w:rFonts w:cstheme="minorHAnsi"/>
          <w:sz w:val="24"/>
          <w:szCs w:val="24"/>
        </w:rPr>
        <w:t xml:space="preserve"> </w:t>
      </w:r>
      <w:r w:rsidRPr="00A563FD">
        <w:rPr>
          <w:rFonts w:cstheme="minorHAnsi"/>
          <w:sz w:val="24"/>
          <w:szCs w:val="24"/>
        </w:rPr>
        <w:t xml:space="preserve">(eds.), </w:t>
      </w:r>
      <w:r w:rsidRPr="00A563FD">
        <w:rPr>
          <w:rFonts w:cstheme="minorHAnsi"/>
          <w:i/>
          <w:sz w:val="24"/>
          <w:szCs w:val="24"/>
        </w:rPr>
        <w:t xml:space="preserve">Sparta: The Body Politic. </w:t>
      </w:r>
      <w:r w:rsidR="00B41E6D" w:rsidRPr="00A563FD">
        <w:rPr>
          <w:rFonts w:cstheme="minorHAnsi"/>
          <w:i/>
          <w:sz w:val="24"/>
          <w:szCs w:val="24"/>
        </w:rPr>
        <w:t xml:space="preserve">Sparta and War. </w:t>
      </w:r>
      <w:r w:rsidR="00B41E6D" w:rsidRPr="00A563FD">
        <w:rPr>
          <w:rFonts w:cstheme="minorHAnsi"/>
          <w:sz w:val="24"/>
          <w:szCs w:val="24"/>
        </w:rPr>
        <w:t xml:space="preserve">Swansea: The Classical Press of Wales. </w:t>
      </w:r>
      <w:r w:rsidR="0086395E" w:rsidRPr="00A563FD">
        <w:rPr>
          <w:rFonts w:cstheme="minorHAnsi"/>
          <w:sz w:val="24"/>
          <w:szCs w:val="24"/>
        </w:rPr>
        <w:t>85-135.</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Provencal, V. 2015. </w:t>
      </w:r>
      <w:r w:rsidRPr="00A563FD">
        <w:rPr>
          <w:rFonts w:cstheme="minorHAnsi"/>
          <w:i/>
          <w:sz w:val="24"/>
          <w:szCs w:val="24"/>
        </w:rPr>
        <w:t xml:space="preserve">Sophist kings: Persians as other in Herodotus. </w:t>
      </w:r>
      <w:r w:rsidRPr="00A563FD">
        <w:rPr>
          <w:rFonts w:cstheme="minorHAnsi"/>
          <w:sz w:val="24"/>
          <w:szCs w:val="24"/>
        </w:rPr>
        <w:t>London: Bloomsbury Academic.</w:t>
      </w:r>
    </w:p>
    <w:p w:rsidR="0086395E" w:rsidRPr="00A563FD" w:rsidRDefault="0086395E" w:rsidP="00A563FD">
      <w:pPr>
        <w:spacing w:line="360" w:lineRule="auto"/>
        <w:rPr>
          <w:rFonts w:cstheme="minorHAnsi"/>
          <w:sz w:val="24"/>
          <w:szCs w:val="24"/>
        </w:rPr>
      </w:pPr>
      <w:r w:rsidRPr="00A563FD">
        <w:rPr>
          <w:rFonts w:cstheme="minorHAnsi"/>
          <w:sz w:val="24"/>
          <w:szCs w:val="24"/>
        </w:rPr>
        <w:t xml:space="preserve">Richer, N. 2010. ‘Elements of Spartan bestiary in the Archaic and Classical periods’, in </w:t>
      </w:r>
      <w:r w:rsidR="00F75776" w:rsidRPr="00A563FD">
        <w:rPr>
          <w:rFonts w:cstheme="minorHAnsi"/>
          <w:sz w:val="24"/>
          <w:szCs w:val="24"/>
        </w:rPr>
        <w:t xml:space="preserve">S. Hodkinson, &amp; </w:t>
      </w:r>
      <w:r w:rsidRPr="00A563FD">
        <w:rPr>
          <w:rFonts w:cstheme="minorHAnsi"/>
          <w:sz w:val="24"/>
          <w:szCs w:val="24"/>
        </w:rPr>
        <w:t xml:space="preserve">A. Powell (eds.), </w:t>
      </w:r>
      <w:r w:rsidRPr="00A563FD">
        <w:rPr>
          <w:rFonts w:cstheme="minorHAnsi"/>
          <w:i/>
          <w:sz w:val="24"/>
          <w:szCs w:val="24"/>
        </w:rPr>
        <w:t>Sparta: The Body Politic.</w:t>
      </w:r>
      <w:r w:rsidR="00B41E6D" w:rsidRPr="00A563FD">
        <w:rPr>
          <w:rFonts w:cstheme="minorHAnsi"/>
          <w:i/>
          <w:sz w:val="24"/>
          <w:szCs w:val="24"/>
        </w:rPr>
        <w:t xml:space="preserve"> Sparta and War. </w:t>
      </w:r>
      <w:r w:rsidR="00B41E6D" w:rsidRPr="00A563FD">
        <w:rPr>
          <w:rFonts w:cstheme="minorHAnsi"/>
          <w:sz w:val="24"/>
          <w:szCs w:val="24"/>
        </w:rPr>
        <w:t>Swansea: The Classical Press of Wales.</w:t>
      </w:r>
      <w:r w:rsidRPr="00A563FD">
        <w:rPr>
          <w:rFonts w:cstheme="minorHAnsi"/>
          <w:i/>
          <w:sz w:val="24"/>
          <w:szCs w:val="24"/>
        </w:rPr>
        <w:t xml:space="preserve"> </w:t>
      </w:r>
      <w:r w:rsidRPr="00A563FD">
        <w:rPr>
          <w:rFonts w:cstheme="minorHAnsi"/>
          <w:sz w:val="24"/>
          <w:szCs w:val="24"/>
        </w:rPr>
        <w:t>1-84.</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Roy, C.S. 2012. ‘the constitution debate: </w:t>
      </w:r>
      <w:proofErr w:type="spellStart"/>
      <w:r w:rsidRPr="00A563FD">
        <w:rPr>
          <w:rFonts w:cstheme="minorHAnsi"/>
          <w:sz w:val="24"/>
          <w:szCs w:val="24"/>
        </w:rPr>
        <w:t>herodotus’</w:t>
      </w:r>
      <w:proofErr w:type="spellEnd"/>
      <w:r w:rsidRPr="00A563FD">
        <w:rPr>
          <w:rFonts w:cstheme="minorHAnsi"/>
          <w:sz w:val="24"/>
          <w:szCs w:val="24"/>
        </w:rPr>
        <w:t xml:space="preserve"> exploration of good government’, </w:t>
      </w:r>
      <w:proofErr w:type="spellStart"/>
      <w:r w:rsidRPr="00A563FD">
        <w:rPr>
          <w:rFonts w:cstheme="minorHAnsi"/>
          <w:i/>
          <w:sz w:val="24"/>
          <w:szCs w:val="24"/>
        </w:rPr>
        <w:t>Histos</w:t>
      </w:r>
      <w:proofErr w:type="spellEnd"/>
      <w:r w:rsidRPr="00A563FD">
        <w:rPr>
          <w:rFonts w:cstheme="minorHAnsi"/>
          <w:i/>
          <w:sz w:val="24"/>
          <w:szCs w:val="24"/>
        </w:rPr>
        <w:t xml:space="preserve">. </w:t>
      </w:r>
      <w:r w:rsidRPr="00A563FD">
        <w:rPr>
          <w:rFonts w:cstheme="minorHAnsi"/>
          <w:sz w:val="24"/>
          <w:szCs w:val="24"/>
        </w:rPr>
        <w:t xml:space="preserve">6. 298-320. </w:t>
      </w:r>
    </w:p>
    <w:p w:rsidR="00A563FD" w:rsidRPr="00A563FD" w:rsidRDefault="00A563FD" w:rsidP="00A563FD">
      <w:pPr>
        <w:spacing w:line="360" w:lineRule="auto"/>
        <w:rPr>
          <w:rFonts w:cstheme="minorHAnsi"/>
          <w:sz w:val="24"/>
          <w:szCs w:val="24"/>
        </w:rPr>
      </w:pPr>
      <w:r w:rsidRPr="00A563FD">
        <w:rPr>
          <w:rFonts w:cstheme="minorHAnsi"/>
          <w:sz w:val="24"/>
          <w:szCs w:val="24"/>
        </w:rPr>
        <w:t xml:space="preserve">Thomas, K. 2003. ‘Persian Propaganda- A neglected factor in Xerxes’ invasion of Greece and Herodotus’, </w:t>
      </w:r>
      <w:proofErr w:type="spellStart"/>
      <w:r w:rsidRPr="00A563FD">
        <w:rPr>
          <w:rFonts w:cstheme="minorHAnsi"/>
          <w:i/>
          <w:sz w:val="24"/>
          <w:szCs w:val="24"/>
        </w:rPr>
        <w:t>Iranica</w:t>
      </w:r>
      <w:proofErr w:type="spellEnd"/>
      <w:r w:rsidRPr="00A563FD">
        <w:rPr>
          <w:rFonts w:cstheme="minorHAnsi"/>
          <w:i/>
          <w:sz w:val="24"/>
          <w:szCs w:val="24"/>
        </w:rPr>
        <w:t xml:space="preserve"> Antiqua. </w:t>
      </w:r>
      <w:r w:rsidRPr="00A563FD">
        <w:rPr>
          <w:rFonts w:cstheme="minorHAnsi"/>
          <w:sz w:val="24"/>
          <w:szCs w:val="24"/>
        </w:rPr>
        <w:t>38. 173-220.</w:t>
      </w:r>
    </w:p>
    <w:p w:rsidR="00A563FD" w:rsidRPr="00A563FD" w:rsidRDefault="00A563FD" w:rsidP="00A563FD">
      <w:pPr>
        <w:spacing w:line="360" w:lineRule="auto"/>
        <w:rPr>
          <w:rFonts w:cstheme="minorHAnsi"/>
          <w:sz w:val="24"/>
          <w:szCs w:val="24"/>
        </w:rPr>
      </w:pPr>
      <w:r w:rsidRPr="00A563FD">
        <w:rPr>
          <w:rFonts w:cstheme="minorHAnsi"/>
          <w:sz w:val="24"/>
          <w:szCs w:val="24"/>
        </w:rPr>
        <w:lastRenderedPageBreak/>
        <w:t xml:space="preserve">Turpin, W.N. 2014. ‘Croesus, Xerxes, and the Denial of Death (Herodotus 1.29-34; 7.44-53)’, </w:t>
      </w:r>
      <w:r w:rsidRPr="00A563FD">
        <w:rPr>
          <w:rFonts w:cstheme="minorHAnsi"/>
          <w:i/>
          <w:sz w:val="24"/>
          <w:szCs w:val="24"/>
        </w:rPr>
        <w:t>Classical World.</w:t>
      </w:r>
      <w:r w:rsidRPr="00A563FD">
        <w:rPr>
          <w:rFonts w:cstheme="minorHAnsi"/>
          <w:sz w:val="24"/>
          <w:szCs w:val="24"/>
        </w:rPr>
        <w:t xml:space="preserve"> 107. 4, 535-543. </w:t>
      </w:r>
    </w:p>
    <w:sectPr w:rsidR="00A563FD" w:rsidRPr="00A563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2B64" w:rsidRDefault="00C52B64" w:rsidP="00DD34FC">
      <w:pPr>
        <w:spacing w:after="0" w:line="240" w:lineRule="auto"/>
      </w:pPr>
      <w:r>
        <w:separator/>
      </w:r>
    </w:p>
  </w:endnote>
  <w:endnote w:type="continuationSeparator" w:id="0">
    <w:p w:rsidR="00C52B64" w:rsidRDefault="00C52B64" w:rsidP="00DD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2B64" w:rsidRDefault="00C52B64" w:rsidP="00DD34FC">
      <w:pPr>
        <w:spacing w:after="0" w:line="240" w:lineRule="auto"/>
      </w:pPr>
      <w:r>
        <w:separator/>
      </w:r>
    </w:p>
  </w:footnote>
  <w:footnote w:type="continuationSeparator" w:id="0">
    <w:p w:rsidR="00C52B64" w:rsidRDefault="00C52B64" w:rsidP="00DD34FC">
      <w:pPr>
        <w:spacing w:after="0" w:line="240" w:lineRule="auto"/>
      </w:pPr>
      <w:r>
        <w:continuationSeparator/>
      </w:r>
    </w:p>
  </w:footnote>
  <w:footnote w:id="1">
    <w:p w:rsidR="00484419" w:rsidRDefault="00484419">
      <w:pPr>
        <w:pStyle w:val="FootnoteText"/>
      </w:pPr>
      <w:r>
        <w:rPr>
          <w:rStyle w:val="FootnoteReference"/>
        </w:rPr>
        <w:footnoteRef/>
      </w:r>
      <w:r>
        <w:t xml:space="preserve"> </w:t>
      </w:r>
      <w:proofErr w:type="spellStart"/>
      <w:r>
        <w:t>Hdt</w:t>
      </w:r>
      <w:proofErr w:type="spellEnd"/>
      <w:r>
        <w:t>. 1.1</w:t>
      </w:r>
    </w:p>
  </w:footnote>
  <w:footnote w:id="2">
    <w:p w:rsidR="00484419" w:rsidRDefault="00484419">
      <w:pPr>
        <w:pStyle w:val="FootnoteText"/>
      </w:pPr>
      <w:r>
        <w:rPr>
          <w:rStyle w:val="FootnoteReference"/>
        </w:rPr>
        <w:footnoteRef/>
      </w:r>
      <w:r>
        <w:t xml:space="preserve"> </w:t>
      </w:r>
      <w:proofErr w:type="spellStart"/>
      <w:r>
        <w:t>Hdt</w:t>
      </w:r>
      <w:proofErr w:type="spellEnd"/>
      <w:r>
        <w:t>. 7.1-10</w:t>
      </w:r>
    </w:p>
  </w:footnote>
  <w:footnote w:id="3">
    <w:p w:rsidR="00484419" w:rsidRDefault="00484419">
      <w:pPr>
        <w:pStyle w:val="FootnoteText"/>
      </w:pPr>
      <w:r>
        <w:rPr>
          <w:rStyle w:val="FootnoteReference"/>
        </w:rPr>
        <w:footnoteRef/>
      </w:r>
      <w:r>
        <w:t xml:space="preserve"> Cartledge 2002: 125</w:t>
      </w:r>
    </w:p>
  </w:footnote>
  <w:footnote w:id="4">
    <w:p w:rsidR="00484419" w:rsidRDefault="00484419">
      <w:pPr>
        <w:pStyle w:val="FootnoteText"/>
      </w:pPr>
      <w:r>
        <w:rPr>
          <w:rStyle w:val="FootnoteReference"/>
        </w:rPr>
        <w:footnoteRef/>
      </w:r>
      <w:r>
        <w:t xml:space="preserve"> </w:t>
      </w:r>
      <w:proofErr w:type="spellStart"/>
      <w:r>
        <w:t>Hdt</w:t>
      </w:r>
      <w:proofErr w:type="spellEnd"/>
      <w:r>
        <w:t>. 3.78, 3.89, 3.148, 5.51, 7.102-103;</w:t>
      </w:r>
      <w:r w:rsidRPr="00C9260A">
        <w:t xml:space="preserve"> </w:t>
      </w:r>
      <w:r>
        <w:t>Cartledge 2002: 125</w:t>
      </w:r>
    </w:p>
  </w:footnote>
  <w:footnote w:id="5">
    <w:p w:rsidR="00484419" w:rsidRDefault="00484419">
      <w:pPr>
        <w:pStyle w:val="FootnoteText"/>
      </w:pPr>
      <w:r>
        <w:rPr>
          <w:rStyle w:val="FootnoteReference"/>
        </w:rPr>
        <w:footnoteRef/>
      </w:r>
      <w:r>
        <w:t xml:space="preserve"> </w:t>
      </w:r>
      <w:proofErr w:type="spellStart"/>
      <w:r>
        <w:t>Pimpfe</w:t>
      </w:r>
      <w:proofErr w:type="spellEnd"/>
      <w:r>
        <w:t>: 324</w:t>
      </w:r>
    </w:p>
  </w:footnote>
  <w:footnote w:id="6">
    <w:p w:rsidR="00484419" w:rsidRDefault="00484419">
      <w:pPr>
        <w:pStyle w:val="FootnoteText"/>
      </w:pPr>
      <w:r>
        <w:rPr>
          <w:rStyle w:val="FootnoteReference"/>
        </w:rPr>
        <w:footnoteRef/>
      </w:r>
      <w:r>
        <w:t xml:space="preserve"> </w:t>
      </w:r>
      <w:proofErr w:type="spellStart"/>
      <w:r>
        <w:t>Briant</w:t>
      </w:r>
      <w:proofErr w:type="spellEnd"/>
      <w:r>
        <w:t xml:space="preserve"> 1996: 160-161;</w:t>
      </w:r>
      <w:r w:rsidRPr="00274F6F">
        <w:t xml:space="preserve"> </w:t>
      </w:r>
      <w:r>
        <w:t>Cartledge 2002: 125</w:t>
      </w:r>
    </w:p>
  </w:footnote>
  <w:footnote w:id="7">
    <w:p w:rsidR="00484419" w:rsidRDefault="00484419">
      <w:pPr>
        <w:pStyle w:val="FootnoteText"/>
      </w:pPr>
      <w:r>
        <w:rPr>
          <w:rStyle w:val="FootnoteReference"/>
        </w:rPr>
        <w:footnoteRef/>
      </w:r>
      <w:proofErr w:type="spellStart"/>
      <w:r>
        <w:t>Hdt</w:t>
      </w:r>
      <w:proofErr w:type="spellEnd"/>
      <w:r>
        <w:t>.  7.212, 7.223</w:t>
      </w:r>
    </w:p>
  </w:footnote>
  <w:footnote w:id="8">
    <w:p w:rsidR="00484419" w:rsidRDefault="00484419">
      <w:pPr>
        <w:pStyle w:val="FootnoteText"/>
      </w:pPr>
      <w:r>
        <w:rPr>
          <w:rStyle w:val="FootnoteReference"/>
        </w:rPr>
        <w:footnoteRef/>
      </w:r>
      <w:r>
        <w:t xml:space="preserve"> </w:t>
      </w:r>
      <w:proofErr w:type="spellStart"/>
      <w:r>
        <w:t>Hdt</w:t>
      </w:r>
      <w:proofErr w:type="spellEnd"/>
      <w:r>
        <w:t>. 7.212, 7.223</w:t>
      </w:r>
    </w:p>
  </w:footnote>
  <w:footnote w:id="9">
    <w:p w:rsidR="00484419" w:rsidRDefault="00484419">
      <w:pPr>
        <w:pStyle w:val="FootnoteText"/>
      </w:pPr>
      <w:r>
        <w:rPr>
          <w:rStyle w:val="FootnoteReference"/>
        </w:rPr>
        <w:footnoteRef/>
      </w:r>
      <w:r>
        <w:t xml:space="preserve"> Holland 2005: xv</w:t>
      </w:r>
    </w:p>
  </w:footnote>
  <w:footnote w:id="10">
    <w:p w:rsidR="00484419" w:rsidRDefault="00484419">
      <w:pPr>
        <w:pStyle w:val="FootnoteText"/>
      </w:pPr>
      <w:r>
        <w:rPr>
          <w:rStyle w:val="FootnoteReference"/>
        </w:rPr>
        <w:footnoteRef/>
      </w:r>
      <w:r>
        <w:t xml:space="preserve"> </w:t>
      </w:r>
      <w:proofErr w:type="spellStart"/>
      <w:r>
        <w:t>Hdt</w:t>
      </w:r>
      <w:proofErr w:type="spellEnd"/>
      <w:r>
        <w:t>. 1.4; Holland 2005: xv</w:t>
      </w:r>
    </w:p>
  </w:footnote>
  <w:footnote w:id="11">
    <w:p w:rsidR="00484419" w:rsidRDefault="00484419">
      <w:pPr>
        <w:pStyle w:val="FootnoteText"/>
      </w:pPr>
      <w:r>
        <w:rPr>
          <w:rStyle w:val="FootnoteReference"/>
        </w:rPr>
        <w:footnoteRef/>
      </w:r>
      <w:r>
        <w:t xml:space="preserve"> </w:t>
      </w:r>
      <w:proofErr w:type="spellStart"/>
      <w:r>
        <w:t>Hdt</w:t>
      </w:r>
      <w:proofErr w:type="spellEnd"/>
      <w:r>
        <w:t>. 3.78, 3.89, 3.148, 5.51; Hartog 1988: 35</w:t>
      </w:r>
    </w:p>
  </w:footnote>
  <w:footnote w:id="12">
    <w:p w:rsidR="00484419" w:rsidRDefault="00484419">
      <w:pPr>
        <w:pStyle w:val="FootnoteText"/>
      </w:pPr>
      <w:r>
        <w:rPr>
          <w:rStyle w:val="FootnoteReference"/>
        </w:rPr>
        <w:footnoteRef/>
      </w:r>
      <w:r>
        <w:t xml:space="preserve"> </w:t>
      </w:r>
      <w:proofErr w:type="spellStart"/>
      <w:r>
        <w:t>Hdt</w:t>
      </w:r>
      <w:proofErr w:type="spellEnd"/>
      <w:r>
        <w:t>. 7.102-103</w:t>
      </w:r>
    </w:p>
  </w:footnote>
  <w:footnote w:id="13">
    <w:p w:rsidR="00484419" w:rsidRDefault="00484419">
      <w:pPr>
        <w:pStyle w:val="FootnoteText"/>
      </w:pPr>
      <w:r>
        <w:rPr>
          <w:rStyle w:val="FootnoteReference"/>
        </w:rPr>
        <w:footnoteRef/>
      </w:r>
      <w:r>
        <w:t xml:space="preserve"> </w:t>
      </w:r>
      <w:proofErr w:type="spellStart"/>
      <w:r>
        <w:t>Hdt</w:t>
      </w:r>
      <w:proofErr w:type="spellEnd"/>
      <w:r>
        <w:t>. 96-101</w:t>
      </w:r>
    </w:p>
  </w:footnote>
  <w:footnote w:id="14">
    <w:p w:rsidR="00484419" w:rsidRDefault="00484419" w:rsidP="00C30B49">
      <w:pPr>
        <w:pStyle w:val="FootnoteText"/>
      </w:pPr>
      <w:r>
        <w:rPr>
          <w:rStyle w:val="FootnoteReference"/>
        </w:rPr>
        <w:footnoteRef/>
      </w:r>
      <w:r>
        <w:t xml:space="preserve"> </w:t>
      </w:r>
      <w:proofErr w:type="spellStart"/>
      <w:r>
        <w:t>Hdt</w:t>
      </w:r>
      <w:proofErr w:type="spellEnd"/>
      <w:r>
        <w:t>. 3.80-83</w:t>
      </w:r>
    </w:p>
  </w:footnote>
  <w:footnote w:id="15">
    <w:p w:rsidR="00484419" w:rsidRDefault="00484419" w:rsidP="00C30B49">
      <w:pPr>
        <w:pStyle w:val="FootnoteText"/>
      </w:pPr>
      <w:r>
        <w:rPr>
          <w:rStyle w:val="FootnoteReference"/>
        </w:rPr>
        <w:footnoteRef/>
      </w:r>
      <w:r>
        <w:t xml:space="preserve"> </w:t>
      </w:r>
      <w:proofErr w:type="spellStart"/>
      <w:r>
        <w:t>Hdt</w:t>
      </w:r>
      <w:proofErr w:type="spellEnd"/>
      <w:r>
        <w:t>. 3.84-86</w:t>
      </w:r>
    </w:p>
  </w:footnote>
  <w:footnote w:id="16">
    <w:p w:rsidR="00484419" w:rsidRDefault="00484419" w:rsidP="00C30B49">
      <w:pPr>
        <w:pStyle w:val="FootnoteText"/>
      </w:pPr>
      <w:r>
        <w:rPr>
          <w:rStyle w:val="FootnoteReference"/>
        </w:rPr>
        <w:footnoteRef/>
      </w:r>
      <w:r>
        <w:t xml:space="preserve"> </w:t>
      </w:r>
      <w:proofErr w:type="spellStart"/>
      <w:r>
        <w:t>Hdt</w:t>
      </w:r>
      <w:proofErr w:type="spellEnd"/>
      <w:r>
        <w:t>. 3.86</w:t>
      </w:r>
    </w:p>
  </w:footnote>
  <w:footnote w:id="17">
    <w:p w:rsidR="00484419" w:rsidRDefault="00484419" w:rsidP="00C30B49">
      <w:pPr>
        <w:pStyle w:val="FootnoteText"/>
      </w:pPr>
      <w:r>
        <w:rPr>
          <w:rStyle w:val="FootnoteReference"/>
        </w:rPr>
        <w:footnoteRef/>
      </w:r>
      <w:r>
        <w:t xml:space="preserve"> Roy 2012: 298</w:t>
      </w:r>
    </w:p>
  </w:footnote>
  <w:footnote w:id="18">
    <w:p w:rsidR="00484419" w:rsidRDefault="00484419" w:rsidP="00C30B49">
      <w:pPr>
        <w:pStyle w:val="FootnoteText"/>
      </w:pPr>
      <w:r>
        <w:rPr>
          <w:rStyle w:val="FootnoteReference"/>
        </w:rPr>
        <w:footnoteRef/>
      </w:r>
      <w:r>
        <w:t xml:space="preserve"> </w:t>
      </w:r>
      <w:proofErr w:type="spellStart"/>
      <w:r>
        <w:t>Hdt</w:t>
      </w:r>
      <w:proofErr w:type="spellEnd"/>
      <w:r>
        <w:t>. 3.80-83; Roy 2012: 298</w:t>
      </w:r>
    </w:p>
  </w:footnote>
  <w:footnote w:id="19">
    <w:p w:rsidR="00484419" w:rsidRDefault="00484419" w:rsidP="00BC6330">
      <w:pPr>
        <w:pStyle w:val="FootnoteText"/>
      </w:pPr>
      <w:r>
        <w:rPr>
          <w:rStyle w:val="FootnoteReference"/>
        </w:rPr>
        <w:footnoteRef/>
      </w:r>
      <w:r>
        <w:t xml:space="preserve"> </w:t>
      </w:r>
      <w:proofErr w:type="spellStart"/>
      <w:r>
        <w:t>Pimpfe</w:t>
      </w:r>
      <w:proofErr w:type="spellEnd"/>
      <w:r>
        <w:t>: 324</w:t>
      </w:r>
    </w:p>
  </w:footnote>
  <w:footnote w:id="20">
    <w:p w:rsidR="00484419" w:rsidRDefault="00484419" w:rsidP="00BC6330">
      <w:pPr>
        <w:pStyle w:val="FootnoteText"/>
      </w:pPr>
      <w:r>
        <w:rPr>
          <w:rStyle w:val="FootnoteReference"/>
        </w:rPr>
        <w:footnoteRef/>
      </w:r>
      <w:r>
        <w:t xml:space="preserve"> </w:t>
      </w:r>
      <w:proofErr w:type="spellStart"/>
      <w:r>
        <w:t>Pimpfe</w:t>
      </w:r>
      <w:proofErr w:type="spellEnd"/>
      <w:r>
        <w:t>: 324</w:t>
      </w:r>
    </w:p>
  </w:footnote>
  <w:footnote w:id="21">
    <w:p w:rsidR="00484419" w:rsidRDefault="00484419" w:rsidP="00BC6330">
      <w:pPr>
        <w:pStyle w:val="FootnoteText"/>
      </w:pPr>
      <w:r>
        <w:rPr>
          <w:rStyle w:val="FootnoteReference"/>
        </w:rPr>
        <w:footnoteRef/>
      </w:r>
      <w:r>
        <w:t xml:space="preserve"> </w:t>
      </w:r>
      <w:proofErr w:type="spellStart"/>
      <w:r>
        <w:t>Hdt</w:t>
      </w:r>
      <w:proofErr w:type="spellEnd"/>
      <w:r>
        <w:t>. 1.69.2</w:t>
      </w:r>
    </w:p>
  </w:footnote>
  <w:footnote w:id="22">
    <w:p w:rsidR="00484419" w:rsidRDefault="00484419">
      <w:pPr>
        <w:pStyle w:val="FootnoteText"/>
      </w:pPr>
      <w:r>
        <w:rPr>
          <w:rStyle w:val="FootnoteReference"/>
        </w:rPr>
        <w:footnoteRef/>
      </w:r>
      <w:r>
        <w:t xml:space="preserve"> </w:t>
      </w:r>
      <w:proofErr w:type="spellStart"/>
      <w:r>
        <w:t>Hdt</w:t>
      </w:r>
      <w:proofErr w:type="spellEnd"/>
      <w:r>
        <w:t xml:space="preserve">. </w:t>
      </w:r>
      <w:r w:rsidR="00155BB1">
        <w:t>1.</w:t>
      </w:r>
      <w:r>
        <w:t>26-49</w:t>
      </w:r>
      <w:r w:rsidR="00155BB1">
        <w:t>, 3.</w:t>
      </w:r>
      <w:r>
        <w:t>70-90, 7.1-29</w:t>
      </w:r>
    </w:p>
  </w:footnote>
  <w:footnote w:id="23">
    <w:p w:rsidR="00484419" w:rsidRDefault="00484419">
      <w:pPr>
        <w:pStyle w:val="FootnoteText"/>
      </w:pPr>
      <w:r>
        <w:rPr>
          <w:rStyle w:val="FootnoteReference"/>
        </w:rPr>
        <w:footnoteRef/>
      </w:r>
      <w:r>
        <w:t xml:space="preserve"> </w:t>
      </w:r>
      <w:proofErr w:type="spellStart"/>
      <w:r>
        <w:t>Hdt</w:t>
      </w:r>
      <w:proofErr w:type="spellEnd"/>
      <w:r>
        <w:t>. 7.208</w:t>
      </w:r>
    </w:p>
  </w:footnote>
  <w:footnote w:id="24">
    <w:p w:rsidR="00484419" w:rsidRDefault="00484419">
      <w:pPr>
        <w:pStyle w:val="FootnoteText"/>
      </w:pPr>
      <w:r>
        <w:rPr>
          <w:rStyle w:val="FootnoteReference"/>
        </w:rPr>
        <w:footnoteRef/>
      </w:r>
      <w:r>
        <w:t xml:space="preserve"> Provencal 2015: 1</w:t>
      </w:r>
    </w:p>
  </w:footnote>
  <w:footnote w:id="25">
    <w:p w:rsidR="00484419" w:rsidRDefault="00484419" w:rsidP="001916E0">
      <w:pPr>
        <w:pStyle w:val="FootnoteText"/>
      </w:pPr>
      <w:r>
        <w:rPr>
          <w:rStyle w:val="FootnoteReference"/>
        </w:rPr>
        <w:footnoteRef/>
      </w:r>
      <w:r>
        <w:t xml:space="preserve"> </w:t>
      </w:r>
      <w:r w:rsidR="00A563FD">
        <w:t xml:space="preserve">Munson 2009: </w:t>
      </w:r>
      <w:r w:rsidR="00155BB1">
        <w:t xml:space="preserve">457; </w:t>
      </w:r>
      <w:r>
        <w:t>Provencal 2015: 2-4</w:t>
      </w:r>
    </w:p>
  </w:footnote>
  <w:footnote w:id="26">
    <w:p w:rsidR="00484419" w:rsidRDefault="00484419" w:rsidP="001916E0">
      <w:pPr>
        <w:pStyle w:val="FootnoteText"/>
      </w:pPr>
      <w:r>
        <w:rPr>
          <w:rStyle w:val="FootnoteReference"/>
        </w:rPr>
        <w:footnoteRef/>
      </w:r>
      <w:r>
        <w:t xml:space="preserve"> </w:t>
      </w:r>
      <w:proofErr w:type="spellStart"/>
      <w:r>
        <w:t>Cic</w:t>
      </w:r>
      <w:proofErr w:type="spellEnd"/>
      <w:r>
        <w:t xml:space="preserve">. </w:t>
      </w:r>
      <w:r w:rsidRPr="00155BB1">
        <w:rPr>
          <w:i/>
        </w:rPr>
        <w:t>Leg</w:t>
      </w:r>
      <w:r>
        <w:t>. 1.5; Phot. 72</w:t>
      </w:r>
    </w:p>
  </w:footnote>
  <w:footnote w:id="27">
    <w:p w:rsidR="00484419" w:rsidRDefault="00484419">
      <w:pPr>
        <w:pStyle w:val="FootnoteText"/>
      </w:pPr>
      <w:r>
        <w:rPr>
          <w:rStyle w:val="FootnoteReference"/>
        </w:rPr>
        <w:footnoteRef/>
      </w:r>
      <w:r>
        <w:t xml:space="preserve"> Cartledge 2001: 3</w:t>
      </w:r>
    </w:p>
  </w:footnote>
  <w:footnote w:id="28">
    <w:p w:rsidR="00484419" w:rsidRDefault="00484419">
      <w:pPr>
        <w:pStyle w:val="FootnoteText"/>
      </w:pPr>
      <w:r>
        <w:rPr>
          <w:rStyle w:val="FootnoteReference"/>
        </w:rPr>
        <w:footnoteRef/>
      </w:r>
      <w:r>
        <w:t xml:space="preserve"> Forrest 2002: 95-96</w:t>
      </w:r>
    </w:p>
  </w:footnote>
  <w:footnote w:id="29">
    <w:p w:rsidR="00484419" w:rsidRDefault="00484419">
      <w:pPr>
        <w:pStyle w:val="FootnoteText"/>
      </w:pPr>
      <w:r>
        <w:rPr>
          <w:rStyle w:val="FootnoteReference"/>
        </w:rPr>
        <w:footnoteRef/>
      </w:r>
      <w:r>
        <w:t xml:space="preserve"> Cartledge 2001: 3, 64-65</w:t>
      </w:r>
    </w:p>
  </w:footnote>
  <w:footnote w:id="30">
    <w:p w:rsidR="00484419" w:rsidRDefault="00484419" w:rsidP="00111E2A">
      <w:pPr>
        <w:pStyle w:val="FootnoteText"/>
      </w:pPr>
      <w:r>
        <w:rPr>
          <w:rStyle w:val="FootnoteReference"/>
        </w:rPr>
        <w:footnoteRef/>
      </w:r>
      <w:r>
        <w:t xml:space="preserve"> </w:t>
      </w:r>
      <w:proofErr w:type="spellStart"/>
      <w:r>
        <w:t>Hdt</w:t>
      </w:r>
      <w:proofErr w:type="spellEnd"/>
      <w:r>
        <w:t>. 3.78, 5.48-52</w:t>
      </w:r>
    </w:p>
  </w:footnote>
  <w:footnote w:id="31">
    <w:p w:rsidR="00484419" w:rsidRDefault="00484419">
      <w:pPr>
        <w:pStyle w:val="FootnoteText"/>
      </w:pPr>
      <w:r>
        <w:rPr>
          <w:rStyle w:val="FootnoteReference"/>
        </w:rPr>
        <w:footnoteRef/>
      </w:r>
      <w:r>
        <w:t xml:space="preserve"> Hartog 1988: 35</w:t>
      </w:r>
    </w:p>
  </w:footnote>
  <w:footnote w:id="32">
    <w:p w:rsidR="00484419" w:rsidRDefault="00484419">
      <w:pPr>
        <w:pStyle w:val="FootnoteText"/>
      </w:pPr>
      <w:r>
        <w:rPr>
          <w:rStyle w:val="FootnoteReference"/>
        </w:rPr>
        <w:footnoteRef/>
      </w:r>
      <w:r>
        <w:t xml:space="preserve"> Hartog 1988: 36</w:t>
      </w:r>
    </w:p>
  </w:footnote>
  <w:footnote w:id="33">
    <w:p w:rsidR="00484419" w:rsidRDefault="00484419">
      <w:pPr>
        <w:pStyle w:val="FootnoteText"/>
      </w:pPr>
      <w:r>
        <w:rPr>
          <w:rStyle w:val="FootnoteReference"/>
        </w:rPr>
        <w:footnoteRef/>
      </w:r>
      <w:r>
        <w:t xml:space="preserve"> Hdt. 2.110, 5.27; Hartog 1988: 36</w:t>
      </w:r>
    </w:p>
  </w:footnote>
  <w:footnote w:id="34">
    <w:p w:rsidR="00484419" w:rsidRDefault="00484419">
      <w:pPr>
        <w:pStyle w:val="FootnoteText"/>
      </w:pPr>
      <w:r>
        <w:rPr>
          <w:rStyle w:val="FootnoteReference"/>
        </w:rPr>
        <w:footnoteRef/>
      </w:r>
      <w:r>
        <w:t xml:space="preserve"> </w:t>
      </w:r>
      <w:proofErr w:type="spellStart"/>
      <w:r>
        <w:t>Hdt</w:t>
      </w:r>
      <w:proofErr w:type="spellEnd"/>
      <w:r>
        <w:t>. 3.78</w:t>
      </w:r>
    </w:p>
  </w:footnote>
  <w:footnote w:id="35">
    <w:p w:rsidR="00484419" w:rsidRDefault="00484419">
      <w:pPr>
        <w:pStyle w:val="FootnoteText"/>
      </w:pPr>
      <w:r>
        <w:rPr>
          <w:rStyle w:val="FootnoteReference"/>
        </w:rPr>
        <w:footnoteRef/>
      </w:r>
      <w:r>
        <w:t xml:space="preserve"> </w:t>
      </w:r>
      <w:proofErr w:type="spellStart"/>
      <w:r>
        <w:t>Hdt</w:t>
      </w:r>
      <w:proofErr w:type="spellEnd"/>
      <w:r>
        <w:t>. 3.78</w:t>
      </w:r>
    </w:p>
  </w:footnote>
  <w:footnote w:id="36">
    <w:p w:rsidR="00484419" w:rsidRDefault="00484419">
      <w:pPr>
        <w:pStyle w:val="FootnoteText"/>
      </w:pPr>
      <w:r>
        <w:rPr>
          <w:rStyle w:val="FootnoteReference"/>
        </w:rPr>
        <w:footnoteRef/>
      </w:r>
      <w:r>
        <w:t xml:space="preserve"> </w:t>
      </w:r>
      <w:proofErr w:type="spellStart"/>
      <w:r>
        <w:t>Hdt</w:t>
      </w:r>
      <w:proofErr w:type="spellEnd"/>
      <w:r>
        <w:t>. 3.78</w:t>
      </w:r>
    </w:p>
  </w:footnote>
  <w:footnote w:id="37">
    <w:p w:rsidR="00484419" w:rsidRDefault="00484419">
      <w:pPr>
        <w:pStyle w:val="FootnoteText"/>
      </w:pPr>
      <w:r>
        <w:rPr>
          <w:rStyle w:val="FootnoteReference"/>
        </w:rPr>
        <w:footnoteRef/>
      </w:r>
      <w:r>
        <w:t xml:space="preserve"> </w:t>
      </w:r>
      <w:proofErr w:type="spellStart"/>
      <w:r>
        <w:t>Hdt</w:t>
      </w:r>
      <w:proofErr w:type="spellEnd"/>
      <w:r>
        <w:t>. 3.129</w:t>
      </w:r>
    </w:p>
  </w:footnote>
  <w:footnote w:id="38">
    <w:p w:rsidR="00484419" w:rsidRDefault="00484419">
      <w:pPr>
        <w:pStyle w:val="FootnoteText"/>
      </w:pPr>
      <w:r>
        <w:rPr>
          <w:rStyle w:val="FootnoteReference"/>
        </w:rPr>
        <w:footnoteRef/>
      </w:r>
      <w:r>
        <w:t xml:space="preserve"> </w:t>
      </w:r>
      <w:proofErr w:type="spellStart"/>
      <w:r>
        <w:t>Hdt</w:t>
      </w:r>
      <w:proofErr w:type="spellEnd"/>
      <w:r>
        <w:t>. 4.4, 7.8</w:t>
      </w:r>
    </w:p>
  </w:footnote>
  <w:footnote w:id="39">
    <w:p w:rsidR="00484419" w:rsidRDefault="00484419">
      <w:pPr>
        <w:pStyle w:val="FootnoteText"/>
      </w:pPr>
      <w:r>
        <w:rPr>
          <w:rStyle w:val="FootnoteReference"/>
        </w:rPr>
        <w:footnoteRef/>
      </w:r>
      <w:r>
        <w:t xml:space="preserve"> </w:t>
      </w:r>
      <w:proofErr w:type="spellStart"/>
      <w:r>
        <w:t>Briant</w:t>
      </w:r>
      <w:proofErr w:type="spellEnd"/>
      <w:r>
        <w:t xml:space="preserve"> 1996: 131-133</w:t>
      </w:r>
    </w:p>
  </w:footnote>
  <w:footnote w:id="40">
    <w:p w:rsidR="00484419" w:rsidRDefault="00484419">
      <w:pPr>
        <w:pStyle w:val="FootnoteText"/>
      </w:pPr>
      <w:r>
        <w:rPr>
          <w:rStyle w:val="FootnoteReference"/>
        </w:rPr>
        <w:footnoteRef/>
      </w:r>
      <w:r>
        <w:t xml:space="preserve"> </w:t>
      </w:r>
      <w:proofErr w:type="spellStart"/>
      <w:r>
        <w:t>Hdt</w:t>
      </w:r>
      <w:proofErr w:type="spellEnd"/>
      <w:r>
        <w:t xml:space="preserve">. 5.42; </w:t>
      </w:r>
      <w:proofErr w:type="spellStart"/>
      <w:r>
        <w:t>Briant</w:t>
      </w:r>
      <w:proofErr w:type="spellEnd"/>
      <w:r>
        <w:t xml:space="preserve"> 1996: 131-133</w:t>
      </w:r>
    </w:p>
  </w:footnote>
  <w:footnote w:id="41">
    <w:p w:rsidR="00484419" w:rsidRDefault="00484419">
      <w:pPr>
        <w:pStyle w:val="FootnoteText"/>
      </w:pPr>
      <w:r>
        <w:rPr>
          <w:rStyle w:val="FootnoteReference"/>
        </w:rPr>
        <w:footnoteRef/>
      </w:r>
      <w:r>
        <w:t xml:space="preserve"> Cartledge 2001: 64-65; Cartledge 2002: 125</w:t>
      </w:r>
    </w:p>
  </w:footnote>
  <w:footnote w:id="42">
    <w:p w:rsidR="00484419" w:rsidRDefault="00484419">
      <w:pPr>
        <w:pStyle w:val="FootnoteText"/>
      </w:pPr>
      <w:r>
        <w:rPr>
          <w:rStyle w:val="FootnoteReference"/>
        </w:rPr>
        <w:footnoteRef/>
      </w:r>
      <w:r>
        <w:t xml:space="preserve"> </w:t>
      </w:r>
      <w:proofErr w:type="spellStart"/>
      <w:r>
        <w:t>Hdt</w:t>
      </w:r>
      <w:proofErr w:type="spellEnd"/>
      <w:r>
        <w:t>. 3.78, 3.89, 3.148, 5.51; Hartog 1988: 35</w:t>
      </w:r>
    </w:p>
  </w:footnote>
  <w:footnote w:id="43">
    <w:p w:rsidR="00484419" w:rsidRDefault="00484419">
      <w:pPr>
        <w:pStyle w:val="FootnoteText"/>
      </w:pPr>
      <w:r>
        <w:rPr>
          <w:rStyle w:val="FootnoteReference"/>
        </w:rPr>
        <w:footnoteRef/>
      </w:r>
      <w:r>
        <w:t xml:space="preserve"> </w:t>
      </w:r>
      <w:proofErr w:type="spellStart"/>
      <w:r>
        <w:t>Hdt</w:t>
      </w:r>
      <w:proofErr w:type="spellEnd"/>
      <w:r>
        <w:t>. 3.89, 5.51</w:t>
      </w:r>
    </w:p>
  </w:footnote>
  <w:footnote w:id="44">
    <w:p w:rsidR="00484419" w:rsidRDefault="00484419">
      <w:pPr>
        <w:pStyle w:val="FootnoteText"/>
      </w:pPr>
      <w:r>
        <w:rPr>
          <w:rStyle w:val="FootnoteReference"/>
        </w:rPr>
        <w:footnoteRef/>
      </w:r>
      <w:r>
        <w:t xml:space="preserve"> </w:t>
      </w:r>
      <w:proofErr w:type="spellStart"/>
      <w:r>
        <w:t>Hdt</w:t>
      </w:r>
      <w:proofErr w:type="spellEnd"/>
      <w:r>
        <w:t>. 3.89.3</w:t>
      </w:r>
    </w:p>
  </w:footnote>
  <w:footnote w:id="45">
    <w:p w:rsidR="00484419" w:rsidRDefault="00484419">
      <w:pPr>
        <w:pStyle w:val="FootnoteText"/>
      </w:pPr>
      <w:r>
        <w:rPr>
          <w:rStyle w:val="FootnoteReference"/>
        </w:rPr>
        <w:footnoteRef/>
      </w:r>
      <w:r>
        <w:t xml:space="preserve"> </w:t>
      </w:r>
      <w:proofErr w:type="spellStart"/>
      <w:r>
        <w:t>Hdt</w:t>
      </w:r>
      <w:proofErr w:type="spellEnd"/>
      <w:r>
        <w:t>. 3.148, 3.51</w:t>
      </w:r>
    </w:p>
  </w:footnote>
  <w:footnote w:id="46">
    <w:p w:rsidR="00484419" w:rsidRDefault="00484419">
      <w:pPr>
        <w:pStyle w:val="FootnoteText"/>
      </w:pPr>
      <w:r>
        <w:rPr>
          <w:rStyle w:val="FootnoteReference"/>
        </w:rPr>
        <w:footnoteRef/>
      </w:r>
      <w:r>
        <w:t xml:space="preserve"> </w:t>
      </w:r>
      <w:proofErr w:type="spellStart"/>
      <w:r>
        <w:t>Hdt</w:t>
      </w:r>
      <w:proofErr w:type="spellEnd"/>
      <w:r>
        <w:t>. 3.148</w:t>
      </w:r>
    </w:p>
  </w:footnote>
  <w:footnote w:id="47">
    <w:p w:rsidR="00484419" w:rsidRDefault="00484419">
      <w:pPr>
        <w:pStyle w:val="FootnoteText"/>
      </w:pPr>
      <w:r>
        <w:rPr>
          <w:rStyle w:val="FootnoteReference"/>
        </w:rPr>
        <w:footnoteRef/>
      </w:r>
      <w:r>
        <w:t xml:space="preserve"> </w:t>
      </w:r>
      <w:proofErr w:type="spellStart"/>
      <w:r>
        <w:t>Hdt</w:t>
      </w:r>
      <w:proofErr w:type="spellEnd"/>
      <w:r>
        <w:t>. 3.51, 3.78, 3.89, 3.148</w:t>
      </w:r>
    </w:p>
  </w:footnote>
  <w:footnote w:id="48">
    <w:p w:rsidR="00484419" w:rsidRDefault="00484419">
      <w:pPr>
        <w:pStyle w:val="FootnoteText"/>
      </w:pPr>
      <w:r>
        <w:rPr>
          <w:rStyle w:val="FootnoteReference"/>
        </w:rPr>
        <w:footnoteRef/>
      </w:r>
      <w:r>
        <w:t xml:space="preserve"> </w:t>
      </w:r>
      <w:proofErr w:type="spellStart"/>
      <w:r>
        <w:t>Hdt</w:t>
      </w:r>
      <w:proofErr w:type="spellEnd"/>
      <w:r>
        <w:t>. 3.51, 3.78, 3.89, 3.148</w:t>
      </w:r>
    </w:p>
  </w:footnote>
  <w:footnote w:id="49">
    <w:p w:rsidR="00484419" w:rsidRDefault="00484419">
      <w:pPr>
        <w:pStyle w:val="FootnoteText"/>
      </w:pPr>
      <w:r>
        <w:rPr>
          <w:rStyle w:val="FootnoteReference"/>
        </w:rPr>
        <w:footnoteRef/>
      </w:r>
      <w:r>
        <w:t xml:space="preserve"> Ducat 2006: 1-2</w:t>
      </w:r>
    </w:p>
  </w:footnote>
  <w:footnote w:id="50">
    <w:p w:rsidR="00484419" w:rsidRDefault="00484419" w:rsidP="00A162C7">
      <w:pPr>
        <w:pStyle w:val="FootnoteText"/>
      </w:pPr>
      <w:r>
        <w:rPr>
          <w:rStyle w:val="FootnoteReference"/>
        </w:rPr>
        <w:footnoteRef/>
      </w:r>
      <w:r>
        <w:t xml:space="preserve"> </w:t>
      </w:r>
      <w:proofErr w:type="spellStart"/>
      <w:r>
        <w:t>Hdt</w:t>
      </w:r>
      <w:proofErr w:type="spellEnd"/>
      <w:r>
        <w:t>. 7.104.4</w:t>
      </w:r>
    </w:p>
  </w:footnote>
  <w:footnote w:id="51">
    <w:p w:rsidR="00484419" w:rsidRDefault="00484419">
      <w:pPr>
        <w:pStyle w:val="FootnoteText"/>
      </w:pPr>
      <w:r>
        <w:rPr>
          <w:rStyle w:val="FootnoteReference"/>
        </w:rPr>
        <w:footnoteRef/>
      </w:r>
      <w:r>
        <w:t xml:space="preserve"> </w:t>
      </w:r>
      <w:proofErr w:type="spellStart"/>
      <w:r>
        <w:t>Hdt</w:t>
      </w:r>
      <w:proofErr w:type="spellEnd"/>
      <w:r>
        <w:t>. 7.229-231; Ducat 2006: 1-2, 37</w:t>
      </w:r>
    </w:p>
  </w:footnote>
  <w:footnote w:id="52">
    <w:p w:rsidR="00484419" w:rsidRDefault="00484419">
      <w:pPr>
        <w:pStyle w:val="FootnoteText"/>
      </w:pPr>
      <w:r>
        <w:rPr>
          <w:rStyle w:val="FootnoteReference"/>
        </w:rPr>
        <w:footnoteRef/>
      </w:r>
      <w:r>
        <w:t xml:space="preserve"> </w:t>
      </w:r>
      <w:proofErr w:type="spellStart"/>
      <w:r>
        <w:t>Hdt</w:t>
      </w:r>
      <w:proofErr w:type="spellEnd"/>
      <w:r>
        <w:t>. 7.104</w:t>
      </w:r>
    </w:p>
  </w:footnote>
  <w:footnote w:id="53">
    <w:p w:rsidR="00484419" w:rsidRDefault="00484419">
      <w:pPr>
        <w:pStyle w:val="FootnoteText"/>
      </w:pPr>
      <w:r>
        <w:rPr>
          <w:rStyle w:val="FootnoteReference"/>
        </w:rPr>
        <w:footnoteRef/>
      </w:r>
      <w:r>
        <w:t xml:space="preserve"> </w:t>
      </w:r>
      <w:proofErr w:type="spellStart"/>
      <w:r>
        <w:t>Hdt</w:t>
      </w:r>
      <w:proofErr w:type="spellEnd"/>
      <w:r>
        <w:t>. 3.51, 3.78, 3.89, 3.148, 7.104; Ducat 2006: 1-2</w:t>
      </w:r>
    </w:p>
  </w:footnote>
  <w:footnote w:id="54">
    <w:p w:rsidR="00484419" w:rsidRDefault="00484419">
      <w:pPr>
        <w:pStyle w:val="FootnoteText"/>
      </w:pPr>
      <w:r>
        <w:rPr>
          <w:rStyle w:val="FootnoteReference"/>
        </w:rPr>
        <w:footnoteRef/>
      </w:r>
      <w:r>
        <w:t xml:space="preserve"> </w:t>
      </w:r>
      <w:proofErr w:type="spellStart"/>
      <w:r>
        <w:t>Hdt</w:t>
      </w:r>
      <w:proofErr w:type="spellEnd"/>
      <w:r>
        <w:t>. 7.2-14</w:t>
      </w:r>
    </w:p>
  </w:footnote>
  <w:footnote w:id="55">
    <w:p w:rsidR="00484419" w:rsidRDefault="00484419">
      <w:pPr>
        <w:pStyle w:val="FootnoteText"/>
      </w:pPr>
      <w:r>
        <w:rPr>
          <w:rStyle w:val="FootnoteReference"/>
        </w:rPr>
        <w:footnoteRef/>
      </w:r>
      <w:r>
        <w:t xml:space="preserve"> </w:t>
      </w:r>
      <w:proofErr w:type="spellStart"/>
      <w:r>
        <w:t>Hdt</w:t>
      </w:r>
      <w:proofErr w:type="spellEnd"/>
      <w:r>
        <w:t xml:space="preserve">. 7.2-14; </w:t>
      </w:r>
      <w:proofErr w:type="spellStart"/>
      <w:r>
        <w:t>Plut</w:t>
      </w:r>
      <w:proofErr w:type="spellEnd"/>
      <w:r>
        <w:t xml:space="preserve">. </w:t>
      </w:r>
      <w:r>
        <w:rPr>
          <w:i/>
        </w:rPr>
        <w:t xml:space="preserve">Mal. </w:t>
      </w:r>
      <w:r w:rsidRPr="007030C2">
        <w:rPr>
          <w:i/>
        </w:rPr>
        <w:t>H</w:t>
      </w:r>
      <w:r>
        <w:rPr>
          <w:i/>
        </w:rPr>
        <w:t>er</w:t>
      </w:r>
      <w:r>
        <w:t>. 1</w:t>
      </w:r>
    </w:p>
  </w:footnote>
  <w:footnote w:id="56">
    <w:p w:rsidR="00484419" w:rsidRDefault="00484419">
      <w:pPr>
        <w:pStyle w:val="FootnoteText"/>
      </w:pPr>
      <w:r>
        <w:rPr>
          <w:rStyle w:val="FootnoteReference"/>
        </w:rPr>
        <w:footnoteRef/>
      </w:r>
      <w:r>
        <w:t xml:space="preserve"> Phot. 72; </w:t>
      </w:r>
      <w:proofErr w:type="spellStart"/>
      <w:r>
        <w:t>Diod</w:t>
      </w:r>
      <w:proofErr w:type="spellEnd"/>
      <w:r>
        <w:t xml:space="preserve">. 11.4; </w:t>
      </w:r>
      <w:proofErr w:type="spellStart"/>
      <w:r>
        <w:t>Hdt</w:t>
      </w:r>
      <w:proofErr w:type="spellEnd"/>
      <w:r>
        <w:t>. 7.224.1, 7.225.2</w:t>
      </w:r>
    </w:p>
  </w:footnote>
  <w:footnote w:id="57">
    <w:p w:rsidR="00484419" w:rsidRDefault="00484419">
      <w:pPr>
        <w:pStyle w:val="FootnoteText"/>
      </w:pPr>
      <w:r>
        <w:rPr>
          <w:rStyle w:val="FootnoteReference"/>
        </w:rPr>
        <w:footnoteRef/>
      </w:r>
      <w:r>
        <w:t xml:space="preserve"> </w:t>
      </w:r>
      <w:proofErr w:type="spellStart"/>
      <w:r>
        <w:t>Hdt</w:t>
      </w:r>
      <w:proofErr w:type="spellEnd"/>
      <w:r>
        <w:t>. 7.5</w:t>
      </w:r>
    </w:p>
  </w:footnote>
  <w:footnote w:id="58">
    <w:p w:rsidR="00484419" w:rsidRDefault="00484419">
      <w:pPr>
        <w:pStyle w:val="FootnoteText"/>
      </w:pPr>
      <w:r>
        <w:rPr>
          <w:rStyle w:val="FootnoteReference"/>
        </w:rPr>
        <w:footnoteRef/>
      </w:r>
      <w:r>
        <w:t xml:space="preserve"> </w:t>
      </w:r>
      <w:proofErr w:type="spellStart"/>
      <w:r>
        <w:t>Hdt</w:t>
      </w:r>
      <w:proofErr w:type="spellEnd"/>
      <w:r>
        <w:t>. 7.5</w:t>
      </w:r>
    </w:p>
  </w:footnote>
  <w:footnote w:id="59">
    <w:p w:rsidR="00484419" w:rsidRDefault="00484419">
      <w:pPr>
        <w:pStyle w:val="FootnoteText"/>
      </w:pPr>
      <w:r>
        <w:rPr>
          <w:rStyle w:val="FootnoteReference"/>
        </w:rPr>
        <w:footnoteRef/>
      </w:r>
      <w:r>
        <w:t xml:space="preserve"> </w:t>
      </w:r>
      <w:proofErr w:type="spellStart"/>
      <w:r>
        <w:t>Hdt</w:t>
      </w:r>
      <w:proofErr w:type="spellEnd"/>
      <w:r>
        <w:t>. 7.204</w:t>
      </w:r>
    </w:p>
  </w:footnote>
  <w:footnote w:id="60">
    <w:p w:rsidR="00484419" w:rsidRDefault="00484419">
      <w:pPr>
        <w:pStyle w:val="FootnoteText"/>
      </w:pPr>
      <w:r>
        <w:rPr>
          <w:rStyle w:val="FootnoteReference"/>
        </w:rPr>
        <w:footnoteRef/>
      </w:r>
      <w:r>
        <w:t xml:space="preserve"> </w:t>
      </w:r>
      <w:proofErr w:type="spellStart"/>
      <w:r w:rsidR="007E46A7">
        <w:t>Hdt</w:t>
      </w:r>
      <w:proofErr w:type="spellEnd"/>
      <w:r w:rsidR="007E46A7">
        <w:t xml:space="preserve">. </w:t>
      </w:r>
      <w:r>
        <w:t>7.12-14, 7.220</w:t>
      </w:r>
    </w:p>
  </w:footnote>
  <w:footnote w:id="61">
    <w:p w:rsidR="00484419" w:rsidRDefault="00484419">
      <w:pPr>
        <w:pStyle w:val="FootnoteText"/>
      </w:pPr>
      <w:r>
        <w:rPr>
          <w:rStyle w:val="FootnoteReference"/>
        </w:rPr>
        <w:footnoteRef/>
      </w:r>
      <w:r>
        <w:t xml:space="preserve"> </w:t>
      </w:r>
      <w:proofErr w:type="spellStart"/>
      <w:r>
        <w:t>Hdt</w:t>
      </w:r>
      <w:proofErr w:type="spellEnd"/>
      <w:r>
        <w:t>. 7.12-14</w:t>
      </w:r>
    </w:p>
  </w:footnote>
  <w:footnote w:id="62">
    <w:p w:rsidR="00484419" w:rsidRDefault="00484419">
      <w:pPr>
        <w:pStyle w:val="FootnoteText"/>
      </w:pPr>
      <w:r>
        <w:rPr>
          <w:rStyle w:val="FootnoteReference"/>
        </w:rPr>
        <w:footnoteRef/>
      </w:r>
      <w:r>
        <w:t xml:space="preserve"> </w:t>
      </w:r>
      <w:proofErr w:type="spellStart"/>
      <w:r>
        <w:t>Hdt</w:t>
      </w:r>
      <w:proofErr w:type="spellEnd"/>
      <w:r>
        <w:t>. 7.220</w:t>
      </w:r>
    </w:p>
  </w:footnote>
  <w:footnote w:id="63">
    <w:p w:rsidR="00484419" w:rsidRDefault="00484419">
      <w:pPr>
        <w:pStyle w:val="FootnoteText"/>
      </w:pPr>
      <w:r>
        <w:rPr>
          <w:rStyle w:val="FootnoteReference"/>
        </w:rPr>
        <w:footnoteRef/>
      </w:r>
      <w:r>
        <w:t xml:space="preserve"> </w:t>
      </w:r>
      <w:proofErr w:type="spellStart"/>
      <w:r>
        <w:t>Hdt</w:t>
      </w:r>
      <w:proofErr w:type="spellEnd"/>
      <w:r>
        <w:t>. 7.12-14, 7.220</w:t>
      </w:r>
    </w:p>
  </w:footnote>
  <w:footnote w:id="64">
    <w:p w:rsidR="00484419" w:rsidRDefault="00484419">
      <w:pPr>
        <w:pStyle w:val="FootnoteText"/>
      </w:pPr>
      <w:r>
        <w:rPr>
          <w:rStyle w:val="FootnoteReference"/>
        </w:rPr>
        <w:footnoteRef/>
      </w:r>
      <w:r>
        <w:t xml:space="preserve"> </w:t>
      </w:r>
      <w:proofErr w:type="spellStart"/>
      <w:r>
        <w:t>Hdt</w:t>
      </w:r>
      <w:proofErr w:type="spellEnd"/>
      <w:r>
        <w:t>. 7.57</w:t>
      </w:r>
    </w:p>
  </w:footnote>
  <w:footnote w:id="65">
    <w:p w:rsidR="00484419" w:rsidRDefault="00484419">
      <w:pPr>
        <w:pStyle w:val="FootnoteText"/>
      </w:pPr>
      <w:r>
        <w:rPr>
          <w:rStyle w:val="FootnoteReference"/>
        </w:rPr>
        <w:footnoteRef/>
      </w:r>
      <w:r>
        <w:t xml:space="preserve"> </w:t>
      </w:r>
      <w:proofErr w:type="spellStart"/>
      <w:r>
        <w:t>Hdt</w:t>
      </w:r>
      <w:proofErr w:type="spellEnd"/>
      <w:r>
        <w:t>. 5.57</w:t>
      </w:r>
    </w:p>
  </w:footnote>
  <w:footnote w:id="66">
    <w:p w:rsidR="00484419" w:rsidRDefault="00484419">
      <w:pPr>
        <w:pStyle w:val="FootnoteText"/>
      </w:pPr>
      <w:r>
        <w:rPr>
          <w:rStyle w:val="FootnoteReference"/>
        </w:rPr>
        <w:footnoteRef/>
      </w:r>
      <w:r>
        <w:t xml:space="preserve"> </w:t>
      </w:r>
      <w:proofErr w:type="spellStart"/>
      <w:r>
        <w:t>Hdt</w:t>
      </w:r>
      <w:proofErr w:type="spellEnd"/>
      <w:r>
        <w:t>. 7.129-130</w:t>
      </w:r>
    </w:p>
  </w:footnote>
  <w:footnote w:id="67">
    <w:p w:rsidR="00484419" w:rsidRDefault="00484419">
      <w:pPr>
        <w:pStyle w:val="FootnoteText"/>
      </w:pPr>
      <w:r>
        <w:rPr>
          <w:rStyle w:val="FootnoteReference"/>
        </w:rPr>
        <w:footnoteRef/>
      </w:r>
      <w:r>
        <w:t xml:space="preserve"> </w:t>
      </w:r>
      <w:proofErr w:type="spellStart"/>
      <w:r>
        <w:t>Hdt</w:t>
      </w:r>
      <w:proofErr w:type="spellEnd"/>
      <w:r>
        <w:t>. 7.207, 7.220</w:t>
      </w:r>
    </w:p>
  </w:footnote>
  <w:footnote w:id="68">
    <w:p w:rsidR="000324F5" w:rsidRDefault="000324F5">
      <w:pPr>
        <w:pStyle w:val="FootnoteText"/>
      </w:pPr>
      <w:r>
        <w:rPr>
          <w:rStyle w:val="FootnoteReference"/>
        </w:rPr>
        <w:footnoteRef/>
      </w:r>
      <w:r>
        <w:t xml:space="preserve"> Bridges 2015: 1</w:t>
      </w:r>
    </w:p>
  </w:footnote>
  <w:footnote w:id="69">
    <w:p w:rsidR="00484419" w:rsidRDefault="00484419">
      <w:pPr>
        <w:pStyle w:val="FootnoteText"/>
      </w:pPr>
      <w:r>
        <w:rPr>
          <w:rStyle w:val="FootnoteReference"/>
        </w:rPr>
        <w:footnoteRef/>
      </w:r>
      <w:r>
        <w:t xml:space="preserve"> </w:t>
      </w:r>
      <w:proofErr w:type="spellStart"/>
      <w:r>
        <w:t>Hdt</w:t>
      </w:r>
      <w:proofErr w:type="spellEnd"/>
      <w:r>
        <w:t>. 7.212, 7.223</w:t>
      </w:r>
    </w:p>
  </w:footnote>
  <w:footnote w:id="70">
    <w:p w:rsidR="00484419" w:rsidRDefault="00484419">
      <w:pPr>
        <w:pStyle w:val="FootnoteText"/>
      </w:pPr>
      <w:r>
        <w:rPr>
          <w:rStyle w:val="FootnoteReference"/>
        </w:rPr>
        <w:footnoteRef/>
      </w:r>
      <w:r>
        <w:t xml:space="preserve"> </w:t>
      </w:r>
      <w:proofErr w:type="spellStart"/>
      <w:r>
        <w:t>Hdt</w:t>
      </w:r>
      <w:proofErr w:type="spellEnd"/>
      <w:r>
        <w:t xml:space="preserve">. 7.212.1; </w:t>
      </w:r>
      <w:proofErr w:type="spellStart"/>
      <w:r>
        <w:t>Loloi</w:t>
      </w:r>
      <w:proofErr w:type="spellEnd"/>
      <w:r>
        <w:t xml:space="preserve"> 2010: 38-39</w:t>
      </w:r>
    </w:p>
  </w:footnote>
  <w:footnote w:id="71">
    <w:p w:rsidR="00484419" w:rsidRDefault="00484419">
      <w:pPr>
        <w:pStyle w:val="FootnoteText"/>
      </w:pPr>
      <w:r>
        <w:rPr>
          <w:rStyle w:val="FootnoteReference"/>
        </w:rPr>
        <w:footnoteRef/>
      </w:r>
      <w:r>
        <w:t xml:space="preserve"> </w:t>
      </w:r>
      <w:proofErr w:type="spellStart"/>
      <w:r>
        <w:t>Hdt</w:t>
      </w:r>
      <w:proofErr w:type="spellEnd"/>
      <w:r>
        <w:t>. 7.223</w:t>
      </w:r>
    </w:p>
  </w:footnote>
  <w:footnote w:id="72">
    <w:p w:rsidR="00484419" w:rsidRDefault="00484419">
      <w:pPr>
        <w:pStyle w:val="FootnoteText"/>
      </w:pPr>
      <w:r>
        <w:rPr>
          <w:rStyle w:val="FootnoteReference"/>
        </w:rPr>
        <w:footnoteRef/>
      </w:r>
      <w:r>
        <w:t xml:space="preserve"> </w:t>
      </w:r>
      <w:proofErr w:type="spellStart"/>
      <w:r>
        <w:t>Hdt</w:t>
      </w:r>
      <w:proofErr w:type="spellEnd"/>
      <w:r>
        <w:t>. 7.224-228</w:t>
      </w:r>
    </w:p>
  </w:footnote>
  <w:footnote w:id="73">
    <w:p w:rsidR="00484419" w:rsidRDefault="00484419">
      <w:pPr>
        <w:pStyle w:val="FootnoteText"/>
      </w:pPr>
      <w:r>
        <w:rPr>
          <w:rStyle w:val="FootnoteReference"/>
        </w:rPr>
        <w:footnoteRef/>
      </w:r>
      <w:r>
        <w:t xml:space="preserve"> </w:t>
      </w:r>
      <w:proofErr w:type="spellStart"/>
      <w:r>
        <w:t>Hdt</w:t>
      </w:r>
      <w:proofErr w:type="spellEnd"/>
      <w:r>
        <w:t>. 7.224; Holland 2005: 295</w:t>
      </w:r>
    </w:p>
  </w:footnote>
  <w:footnote w:id="74">
    <w:p w:rsidR="00484419" w:rsidRDefault="00484419">
      <w:pPr>
        <w:pStyle w:val="FootnoteText"/>
      </w:pPr>
      <w:r>
        <w:rPr>
          <w:rStyle w:val="FootnoteReference"/>
        </w:rPr>
        <w:footnoteRef/>
      </w:r>
      <w:r>
        <w:t xml:space="preserve"> </w:t>
      </w:r>
      <w:proofErr w:type="spellStart"/>
      <w:r>
        <w:t>Hdt</w:t>
      </w:r>
      <w:proofErr w:type="spellEnd"/>
      <w:r>
        <w:t>. 7.234-235</w:t>
      </w:r>
    </w:p>
  </w:footnote>
  <w:footnote w:id="75">
    <w:p w:rsidR="00944CEF" w:rsidRDefault="00944CEF">
      <w:pPr>
        <w:pStyle w:val="FootnoteText"/>
      </w:pPr>
      <w:r>
        <w:rPr>
          <w:rStyle w:val="FootnoteReference"/>
        </w:rPr>
        <w:footnoteRef/>
      </w:r>
      <w:r>
        <w:t xml:space="preserve"> Hdt. 7.130, 7.213-215, 7.101; Forrest 2002: 97 </w:t>
      </w:r>
    </w:p>
  </w:footnote>
  <w:footnote w:id="76">
    <w:p w:rsidR="00E35263" w:rsidRDefault="00E35263">
      <w:pPr>
        <w:pStyle w:val="FootnoteText"/>
      </w:pPr>
      <w:r>
        <w:rPr>
          <w:rStyle w:val="FootnoteReference"/>
        </w:rPr>
        <w:footnoteRef/>
      </w:r>
      <w:r>
        <w:t xml:space="preserve"> </w:t>
      </w:r>
      <w:proofErr w:type="spellStart"/>
      <w:r>
        <w:t>Hdt</w:t>
      </w:r>
      <w:proofErr w:type="spellEnd"/>
      <w:r>
        <w:t>. 7.220; Forrest 2002: 104</w:t>
      </w:r>
    </w:p>
  </w:footnote>
  <w:footnote w:id="77">
    <w:p w:rsidR="00944CEF" w:rsidRDefault="00944CEF">
      <w:pPr>
        <w:pStyle w:val="FootnoteText"/>
      </w:pPr>
      <w:r>
        <w:rPr>
          <w:rStyle w:val="FootnoteReference"/>
        </w:rPr>
        <w:footnoteRef/>
      </w:r>
      <w:r>
        <w:t xml:space="preserve"> </w:t>
      </w:r>
      <w:proofErr w:type="spellStart"/>
      <w:r w:rsidR="00E35263">
        <w:t>Hdt</w:t>
      </w:r>
      <w:proofErr w:type="spellEnd"/>
      <w:r w:rsidR="00E35263">
        <w:t>. 7.220</w:t>
      </w:r>
      <w:r w:rsidR="00E35263">
        <w:t xml:space="preserve">; </w:t>
      </w:r>
      <w:r>
        <w:t>Forrest 2002: 104</w:t>
      </w:r>
    </w:p>
  </w:footnote>
  <w:footnote w:id="78">
    <w:p w:rsidR="000324F5" w:rsidRDefault="000324F5">
      <w:pPr>
        <w:pStyle w:val="FootnoteText"/>
      </w:pPr>
      <w:r>
        <w:rPr>
          <w:rStyle w:val="FootnoteReference"/>
        </w:rPr>
        <w:footnoteRef/>
      </w:r>
      <w:r>
        <w:t xml:space="preserve"> Bridges 2015: 1 </w:t>
      </w:r>
    </w:p>
  </w:footnote>
  <w:footnote w:id="79">
    <w:p w:rsidR="00877415" w:rsidRDefault="00877415">
      <w:pPr>
        <w:pStyle w:val="FootnoteText"/>
      </w:pPr>
      <w:r>
        <w:rPr>
          <w:rStyle w:val="FootnoteReference"/>
        </w:rPr>
        <w:footnoteRef/>
      </w:r>
      <w:r>
        <w:t xml:space="preserve"> </w:t>
      </w:r>
      <w:proofErr w:type="spellStart"/>
      <w:r>
        <w:t>Hdt</w:t>
      </w:r>
      <w:proofErr w:type="spellEnd"/>
      <w:r>
        <w:t xml:space="preserve">. 3.78, 3.89, 3.148, </w:t>
      </w:r>
      <w:r>
        <w:t xml:space="preserve">5.42, </w:t>
      </w:r>
      <w:r>
        <w:t xml:space="preserve">5.51; </w:t>
      </w:r>
      <w:proofErr w:type="spellStart"/>
      <w:r>
        <w:t>Briant</w:t>
      </w:r>
      <w:proofErr w:type="spellEnd"/>
      <w:r>
        <w:t xml:space="preserve"> 1996: 131-133</w:t>
      </w:r>
      <w:r>
        <w:t>;</w:t>
      </w:r>
      <w:r w:rsidRPr="00877415">
        <w:t xml:space="preserve"> </w:t>
      </w:r>
      <w:r>
        <w:t>Hartog 1988: 35</w:t>
      </w:r>
    </w:p>
  </w:footnote>
  <w:footnote w:id="80">
    <w:p w:rsidR="00877415" w:rsidRDefault="00877415" w:rsidP="00877415">
      <w:pPr>
        <w:pStyle w:val="FootnoteText"/>
      </w:pPr>
      <w:r>
        <w:rPr>
          <w:rStyle w:val="FootnoteReference"/>
        </w:rPr>
        <w:footnoteRef/>
      </w:r>
      <w:r>
        <w:t xml:space="preserve"> </w:t>
      </w:r>
      <w:r>
        <w:t xml:space="preserve"> </w:t>
      </w:r>
      <w:proofErr w:type="spellStart"/>
      <w:r w:rsidR="002E4FAD">
        <w:t>Hdt</w:t>
      </w:r>
      <w:proofErr w:type="spellEnd"/>
      <w:r w:rsidR="002E4FAD">
        <w:t xml:space="preserve">. </w:t>
      </w:r>
      <w:r w:rsidR="002E4FAD">
        <w:t>7.12-14</w:t>
      </w:r>
      <w:r w:rsidR="002E4FAD">
        <w:t xml:space="preserve">, </w:t>
      </w:r>
      <w:r>
        <w:t>5.57</w:t>
      </w:r>
      <w:r>
        <w:t xml:space="preserve">, </w:t>
      </w:r>
      <w:r w:rsidR="002E4FAD">
        <w:t xml:space="preserve">7.57, </w:t>
      </w:r>
      <w:r>
        <w:t>7.</w:t>
      </w:r>
      <w:r>
        <w:t>129-130</w:t>
      </w:r>
      <w:r>
        <w:t xml:space="preserve">, </w:t>
      </w:r>
      <w:r>
        <w:t>7.207, 7.220</w:t>
      </w:r>
      <w:r>
        <w:t xml:space="preserve">, </w:t>
      </w:r>
      <w:r>
        <w:t>7.212, 7.223</w:t>
      </w:r>
    </w:p>
  </w:footnote>
  <w:footnote w:id="81">
    <w:p w:rsidR="00A563FD" w:rsidRDefault="00A563FD">
      <w:pPr>
        <w:pStyle w:val="FootnoteText"/>
      </w:pPr>
      <w:r>
        <w:rPr>
          <w:rStyle w:val="FootnoteReference"/>
        </w:rPr>
        <w:footnoteRef/>
      </w:r>
      <w:r>
        <w:t xml:space="preserve"> </w:t>
      </w:r>
      <w:r>
        <w:t>Harrison 2018: 337</w:t>
      </w:r>
    </w:p>
  </w:footnote>
  <w:footnote w:id="82">
    <w:p w:rsidR="002E4FAD" w:rsidRDefault="002E4FAD">
      <w:pPr>
        <w:pStyle w:val="FootnoteText"/>
      </w:pPr>
      <w:r>
        <w:rPr>
          <w:rStyle w:val="FootnoteReference"/>
        </w:rPr>
        <w:footnoteRef/>
      </w:r>
      <w:r>
        <w:t xml:space="preserve"> Cartledge 2001: 3-5; Matthew 2015: 6-13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409"/>
    <w:rsid w:val="00021FC8"/>
    <w:rsid w:val="00031333"/>
    <w:rsid w:val="000324F5"/>
    <w:rsid w:val="00036931"/>
    <w:rsid w:val="0009096E"/>
    <w:rsid w:val="000E3CB0"/>
    <w:rsid w:val="00111E2A"/>
    <w:rsid w:val="00155BB1"/>
    <w:rsid w:val="00171499"/>
    <w:rsid w:val="001916E0"/>
    <w:rsid w:val="0019491B"/>
    <w:rsid w:val="001C5E17"/>
    <w:rsid w:val="00214CCF"/>
    <w:rsid w:val="00233E23"/>
    <w:rsid w:val="00274F6F"/>
    <w:rsid w:val="002E4FAD"/>
    <w:rsid w:val="003956D9"/>
    <w:rsid w:val="003B53B7"/>
    <w:rsid w:val="003E5734"/>
    <w:rsid w:val="003F6692"/>
    <w:rsid w:val="004368D2"/>
    <w:rsid w:val="00460F61"/>
    <w:rsid w:val="00477409"/>
    <w:rsid w:val="00484419"/>
    <w:rsid w:val="004B23BE"/>
    <w:rsid w:val="004C6A71"/>
    <w:rsid w:val="00506DB2"/>
    <w:rsid w:val="00525128"/>
    <w:rsid w:val="00526DC1"/>
    <w:rsid w:val="00595F52"/>
    <w:rsid w:val="005F6AF4"/>
    <w:rsid w:val="00613F17"/>
    <w:rsid w:val="00633859"/>
    <w:rsid w:val="007030C2"/>
    <w:rsid w:val="00725113"/>
    <w:rsid w:val="00727820"/>
    <w:rsid w:val="007442AD"/>
    <w:rsid w:val="007B2E60"/>
    <w:rsid w:val="007E4570"/>
    <w:rsid w:val="007E46A7"/>
    <w:rsid w:val="007F02BB"/>
    <w:rsid w:val="007F5ABB"/>
    <w:rsid w:val="00813420"/>
    <w:rsid w:val="00846ABA"/>
    <w:rsid w:val="0086395E"/>
    <w:rsid w:val="00877415"/>
    <w:rsid w:val="00892313"/>
    <w:rsid w:val="00895379"/>
    <w:rsid w:val="00896029"/>
    <w:rsid w:val="008B7856"/>
    <w:rsid w:val="008D298E"/>
    <w:rsid w:val="008D7214"/>
    <w:rsid w:val="00901E9E"/>
    <w:rsid w:val="00944CEF"/>
    <w:rsid w:val="009538A8"/>
    <w:rsid w:val="0099785F"/>
    <w:rsid w:val="009B4611"/>
    <w:rsid w:val="009D5F3F"/>
    <w:rsid w:val="00A02E8F"/>
    <w:rsid w:val="00A162C7"/>
    <w:rsid w:val="00A364B0"/>
    <w:rsid w:val="00A563FD"/>
    <w:rsid w:val="00A615CC"/>
    <w:rsid w:val="00A87FF5"/>
    <w:rsid w:val="00AC0284"/>
    <w:rsid w:val="00B41D9C"/>
    <w:rsid w:val="00B41E6D"/>
    <w:rsid w:val="00B54163"/>
    <w:rsid w:val="00B663DD"/>
    <w:rsid w:val="00BA4ED3"/>
    <w:rsid w:val="00BC24DA"/>
    <w:rsid w:val="00BC3CDC"/>
    <w:rsid w:val="00BC6330"/>
    <w:rsid w:val="00BF416D"/>
    <w:rsid w:val="00C14BD7"/>
    <w:rsid w:val="00C30B49"/>
    <w:rsid w:val="00C52B64"/>
    <w:rsid w:val="00C85E4D"/>
    <w:rsid w:val="00C9260A"/>
    <w:rsid w:val="00D05707"/>
    <w:rsid w:val="00D47572"/>
    <w:rsid w:val="00D90D09"/>
    <w:rsid w:val="00DD34FC"/>
    <w:rsid w:val="00E252AB"/>
    <w:rsid w:val="00E35263"/>
    <w:rsid w:val="00E67D32"/>
    <w:rsid w:val="00EE00B0"/>
    <w:rsid w:val="00F544E8"/>
    <w:rsid w:val="00F75776"/>
    <w:rsid w:val="00F8693F"/>
    <w:rsid w:val="00FA49FD"/>
    <w:rsid w:val="00FB2512"/>
    <w:rsid w:val="00FB411E"/>
    <w:rsid w:val="00FD7742"/>
    <w:rsid w:val="00FF41D5"/>
    <w:rsid w:val="00FF5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73D63"/>
  <w15:chartTrackingRefBased/>
  <w15:docId w15:val="{F4B7262F-F10F-4799-88F3-06387D096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5F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DD34FC"/>
    <w:pPr>
      <w:spacing w:after="0" w:line="240" w:lineRule="auto"/>
    </w:pPr>
    <w:rPr>
      <w:sz w:val="20"/>
      <w:szCs w:val="20"/>
    </w:rPr>
  </w:style>
  <w:style w:type="character" w:customStyle="1" w:styleId="FootnoteTextChar">
    <w:name w:val="Footnote Text Char"/>
    <w:basedOn w:val="DefaultParagraphFont"/>
    <w:link w:val="FootnoteText"/>
    <w:uiPriority w:val="99"/>
    <w:rsid w:val="00DD34FC"/>
    <w:rPr>
      <w:sz w:val="20"/>
      <w:szCs w:val="20"/>
    </w:rPr>
  </w:style>
  <w:style w:type="character" w:styleId="FootnoteReference">
    <w:name w:val="footnote reference"/>
    <w:basedOn w:val="DefaultParagraphFont"/>
    <w:uiPriority w:val="99"/>
    <w:semiHidden/>
    <w:unhideWhenUsed/>
    <w:rsid w:val="00DD34FC"/>
    <w:rPr>
      <w:vertAlign w:val="superscript"/>
    </w:rPr>
  </w:style>
  <w:style w:type="character" w:styleId="Hyperlink">
    <w:name w:val="Hyperlink"/>
    <w:basedOn w:val="DefaultParagraphFont"/>
    <w:uiPriority w:val="99"/>
    <w:semiHidden/>
    <w:unhideWhenUsed/>
    <w:rsid w:val="001916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301089">
      <w:bodyDiv w:val="1"/>
      <w:marLeft w:val="0"/>
      <w:marRight w:val="0"/>
      <w:marTop w:val="0"/>
      <w:marBottom w:val="0"/>
      <w:divBdr>
        <w:top w:val="none" w:sz="0" w:space="0" w:color="auto"/>
        <w:left w:val="none" w:sz="0" w:space="0" w:color="auto"/>
        <w:bottom w:val="none" w:sz="0" w:space="0" w:color="auto"/>
        <w:right w:val="none" w:sz="0" w:space="0" w:color="auto"/>
      </w:divBdr>
    </w:div>
    <w:div w:id="963076116">
      <w:bodyDiv w:val="1"/>
      <w:marLeft w:val="0"/>
      <w:marRight w:val="0"/>
      <w:marTop w:val="0"/>
      <w:marBottom w:val="0"/>
      <w:divBdr>
        <w:top w:val="none" w:sz="0" w:space="0" w:color="auto"/>
        <w:left w:val="none" w:sz="0" w:space="0" w:color="auto"/>
        <w:bottom w:val="none" w:sz="0" w:space="0" w:color="auto"/>
        <w:right w:val="none" w:sz="0" w:space="0" w:color="auto"/>
      </w:divBdr>
    </w:div>
    <w:div w:id="1339305940">
      <w:bodyDiv w:val="1"/>
      <w:marLeft w:val="0"/>
      <w:marRight w:val="0"/>
      <w:marTop w:val="0"/>
      <w:marBottom w:val="0"/>
      <w:divBdr>
        <w:top w:val="none" w:sz="0" w:space="0" w:color="auto"/>
        <w:left w:val="none" w:sz="0" w:space="0" w:color="auto"/>
        <w:bottom w:val="none" w:sz="0" w:space="0" w:color="auto"/>
        <w:right w:val="none" w:sz="0" w:space="0" w:color="auto"/>
      </w:divBdr>
    </w:div>
    <w:div w:id="1627000914">
      <w:bodyDiv w:val="1"/>
      <w:marLeft w:val="0"/>
      <w:marRight w:val="0"/>
      <w:marTop w:val="0"/>
      <w:marBottom w:val="0"/>
      <w:divBdr>
        <w:top w:val="none" w:sz="0" w:space="0" w:color="auto"/>
        <w:left w:val="none" w:sz="0" w:space="0" w:color="auto"/>
        <w:bottom w:val="none" w:sz="0" w:space="0" w:color="auto"/>
        <w:right w:val="none" w:sz="0" w:space="0" w:color="auto"/>
      </w:divBdr>
    </w:div>
    <w:div w:id="1659964342">
      <w:bodyDiv w:val="1"/>
      <w:marLeft w:val="0"/>
      <w:marRight w:val="0"/>
      <w:marTop w:val="0"/>
      <w:marBottom w:val="0"/>
      <w:divBdr>
        <w:top w:val="none" w:sz="0" w:space="0" w:color="auto"/>
        <w:left w:val="none" w:sz="0" w:space="0" w:color="auto"/>
        <w:bottom w:val="none" w:sz="0" w:space="0" w:color="auto"/>
        <w:right w:val="none" w:sz="0" w:space="0" w:color="auto"/>
      </w:divBdr>
    </w:div>
    <w:div w:id="169294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morph?l=th%3Ds&amp;la=greek&amp;can=th%3Ds0&amp;prior=proesta/nai" TargetMode="External"/><Relationship Id="rId13" Type="http://schemas.openxmlformats.org/officeDocument/2006/relationships/hyperlink" Target="http://www.perseus.tufts.edu/hopper/morph?l=no%2Fmos&amp;la=greek&amp;can=no%2Fmos0&amp;prior=despo/ths" TargetMode="External"/><Relationship Id="rId18" Type="http://schemas.openxmlformats.org/officeDocument/2006/relationships/hyperlink" Target="http://www.perseus.tufts.edu/hopper/morph?l=panto%5Cs&amp;la=greek&amp;can=panto%5Cs0&amp;prior=kai\"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erseus.tufts.edu/hopper/morph?l=h%28geo%2Fmenos&amp;la=greek&amp;can=h%28geo%2Fmenos0&amp;prior=strateu/matos" TargetMode="External"/><Relationship Id="rId7" Type="http://schemas.openxmlformats.org/officeDocument/2006/relationships/hyperlink" Target="http://www.perseus.tufts.edu/hopper/morph?l=proesta%2Fnai&amp;la=greek&amp;can=proesta%2Fnai0&amp;prior=punqa/nomai" TargetMode="External"/><Relationship Id="rId12" Type="http://schemas.openxmlformats.org/officeDocument/2006/relationships/hyperlink" Target="http://www.perseus.tufts.edu/hopper/morph?l=e%29%2Fpesti&amp;la=greek&amp;can=e%29%2Fpesti0&amp;prior=ei)si/" TargetMode="External"/><Relationship Id="rId17" Type="http://schemas.openxmlformats.org/officeDocument/2006/relationships/hyperlink" Target="http://www.perseus.tufts.edu/hopper/morph?l=kai%5C&amp;la=greek&amp;can=kai%5C1&amp;prior=ma/lista"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erseus.tufts.edu/hopper/morph?l=ma%2Flista&amp;la=greek&amp;can=ma%2Flista0&amp;prior=qwmazo/menos" TargetMode="External"/><Relationship Id="rId20" Type="http://schemas.openxmlformats.org/officeDocument/2006/relationships/hyperlink" Target="http://www.perseus.tufts.edu/hopper/morph?l=strateu%2Fmatos&amp;la=greek&amp;can=strateu%2Fmatos0&amp;prior=to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erseus.tufts.edu/hopper/morph?l=barba%2Froisi&amp;la=greek&amp;can=barba%2Froisi0&amp;prior=de\" TargetMode="External"/><Relationship Id="rId24" Type="http://schemas.openxmlformats.org/officeDocument/2006/relationships/hyperlink" Target="http://www.perseus.tufts.edu/hopper/morph?l=*lewni%2Fdhs&amp;la=greek&amp;can=*lewni%2Fdhs0&amp;prior=h)=n" TargetMode="External"/><Relationship Id="rId5" Type="http://schemas.openxmlformats.org/officeDocument/2006/relationships/footnotes" Target="footnotes.xml"/><Relationship Id="rId15" Type="http://schemas.openxmlformats.org/officeDocument/2006/relationships/hyperlink" Target="http://www.perseus.tufts.edu/hopper/morph?l=qwmazo%2Fmenos&amp;la=greek&amp;can=qwmazo%2Fmenos0&amp;prior=de\" TargetMode="External"/><Relationship Id="rId23" Type="http://schemas.openxmlformats.org/officeDocument/2006/relationships/hyperlink" Target="http://www.perseus.tufts.edu/hopper/morph?l=h%29%3Dn&amp;la=greek&amp;can=h%29%3Dn0&amp;prior=*lakedaimo/nios" TargetMode="External"/><Relationship Id="rId10" Type="http://schemas.openxmlformats.org/officeDocument/2006/relationships/hyperlink" Target="http://www.perseus.tufts.edu/hopper/morph?l=*%28%2Fellhsi&amp;la=greek&amp;can=*%28%2Fellhsi0&amp;prior=me\n" TargetMode="External"/><Relationship Id="rId19" Type="http://schemas.openxmlformats.org/officeDocument/2006/relationships/hyperlink" Target="http://www.perseus.tufts.edu/hopper/morph?l=tou%3D&amp;la=greek&amp;can=tou%3D0&amp;prior=panto\s" TargetMode="External"/><Relationship Id="rId4" Type="http://schemas.openxmlformats.org/officeDocument/2006/relationships/webSettings" Target="webSettings.xml"/><Relationship Id="rId9" Type="http://schemas.openxmlformats.org/officeDocument/2006/relationships/hyperlink" Target="http://www.perseus.tufts.edu/hopper/morph?l=*%28ella%2Fdos&amp;la=greek&amp;can=*%28ella%2Fdos0&amp;prior=th=s" TargetMode="External"/><Relationship Id="rId14" Type="http://schemas.openxmlformats.org/officeDocument/2006/relationships/hyperlink" Target="http://www.perseus.tufts.edu/hopper/morph?l=o%28&amp;la=greek&amp;can=o%280&amp;prior=e(ka/stwn" TargetMode="External"/><Relationship Id="rId22" Type="http://schemas.openxmlformats.org/officeDocument/2006/relationships/hyperlink" Target="http://www.perseus.tufts.edu/hopper/morph?l=*lakedaimo%2Fnios&amp;la=greek&amp;can=*lakedaimo%2Fnios0&amp;prior=h(geo/me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DEB31-1A35-49FD-95DF-61844BCBC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12</Pages>
  <Words>3449</Words>
  <Characters>19664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19</cp:revision>
  <dcterms:created xsi:type="dcterms:W3CDTF">2019-03-07T23:24:00Z</dcterms:created>
  <dcterms:modified xsi:type="dcterms:W3CDTF">2019-03-08T16:27:00Z</dcterms:modified>
</cp:coreProperties>
</file>