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C19FC" w14:textId="77777777" w:rsidR="004D4E68" w:rsidRPr="00FA1AF6" w:rsidRDefault="004D4E68" w:rsidP="00FE69D0">
      <w:bookmarkStart w:id="0" w:name="_Hlk204267940"/>
      <w:bookmarkEnd w:id="0"/>
      <w:r w:rsidRPr="00FA1AF6">
        <w:rPr>
          <w:noProof/>
        </w:rPr>
        <w:drawing>
          <wp:inline distT="0" distB="0" distL="0" distR="0" wp14:anchorId="1C34E0BC" wp14:editId="339E5F78">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7D3105E2" w14:textId="77777777" w:rsidR="005508F2" w:rsidRDefault="005508F2" w:rsidP="00FE69D0">
      <w:pPr>
        <w:rPr>
          <w:b/>
          <w:bCs/>
        </w:rPr>
      </w:pPr>
    </w:p>
    <w:p w14:paraId="7230D8BF" w14:textId="77777777" w:rsidR="00AF772F" w:rsidRDefault="00AF772F" w:rsidP="00FE69D0">
      <w:pPr>
        <w:rPr>
          <w:b/>
          <w:bCs/>
        </w:rPr>
      </w:pPr>
    </w:p>
    <w:p w14:paraId="5D6DB216" w14:textId="62E7D059" w:rsidR="004D4E68" w:rsidRDefault="004D4E68" w:rsidP="00FE69D0">
      <w:pPr>
        <w:rPr>
          <w:b/>
          <w:bCs/>
        </w:rPr>
      </w:pPr>
      <w:r w:rsidRPr="00FA1AF6">
        <w:rPr>
          <w:b/>
          <w:bCs/>
        </w:rPr>
        <w:t>BA (Hons) Business Management</w:t>
      </w:r>
    </w:p>
    <w:p w14:paraId="5455D227" w14:textId="55A78155" w:rsidR="004D4E68" w:rsidRDefault="00963220" w:rsidP="00FE69D0">
      <w:pPr>
        <w:rPr>
          <w:b/>
          <w:bCs/>
        </w:rPr>
      </w:pPr>
      <w:r w:rsidRPr="00963220">
        <w:rPr>
          <w:b/>
          <w:bCs/>
        </w:rPr>
        <w:t>Project Management</w:t>
      </w:r>
      <w:r w:rsidR="004D4E68">
        <w:rPr>
          <w:b/>
          <w:bCs/>
        </w:rPr>
        <w:t xml:space="preserve"> </w:t>
      </w:r>
      <w:r w:rsidRPr="00963220">
        <w:rPr>
          <w:b/>
          <w:bCs/>
        </w:rPr>
        <w:t>LCBB6006</w:t>
      </w:r>
    </w:p>
    <w:p w14:paraId="0E871C34" w14:textId="77777777" w:rsidR="006728E6" w:rsidRDefault="006728E6" w:rsidP="00FE69D0">
      <w:pPr>
        <w:rPr>
          <w:b/>
          <w:bCs/>
          <w:sz w:val="40"/>
          <w:szCs w:val="40"/>
        </w:rPr>
      </w:pPr>
    </w:p>
    <w:p w14:paraId="081E6888" w14:textId="77777777" w:rsidR="006728E6" w:rsidRDefault="006728E6" w:rsidP="00FE69D0">
      <w:pPr>
        <w:rPr>
          <w:b/>
          <w:bCs/>
          <w:sz w:val="40"/>
          <w:szCs w:val="40"/>
        </w:rPr>
      </w:pPr>
    </w:p>
    <w:p w14:paraId="61CF35B2" w14:textId="43B7DD58" w:rsidR="004D4E68" w:rsidRPr="002E2127" w:rsidRDefault="002E2127" w:rsidP="002E2127">
      <w:pPr>
        <w:jc w:val="center"/>
        <w:rPr>
          <w:b/>
          <w:bCs/>
          <w:sz w:val="40"/>
          <w:szCs w:val="36"/>
        </w:rPr>
      </w:pPr>
      <w:r w:rsidRPr="002E2127">
        <w:rPr>
          <w:sz w:val="40"/>
          <w:szCs w:val="36"/>
        </w:rPr>
        <w:t>A Critical Evaluation of Contracting Methods in Project Management</w:t>
      </w:r>
    </w:p>
    <w:p w14:paraId="1ECD2B14" w14:textId="77777777" w:rsidR="006728E6" w:rsidRDefault="006728E6" w:rsidP="00FE69D0">
      <w:pPr>
        <w:rPr>
          <w:b/>
          <w:bCs/>
        </w:rPr>
      </w:pPr>
    </w:p>
    <w:p w14:paraId="73E0A25B" w14:textId="77777777" w:rsidR="00F87641" w:rsidRDefault="00F87641" w:rsidP="00FE69D0">
      <w:pPr>
        <w:rPr>
          <w:b/>
          <w:bCs/>
        </w:rPr>
      </w:pPr>
    </w:p>
    <w:p w14:paraId="172359C8" w14:textId="77777777" w:rsidR="00F87641" w:rsidRDefault="00F87641" w:rsidP="00FE69D0">
      <w:pPr>
        <w:rPr>
          <w:b/>
          <w:bCs/>
        </w:rPr>
      </w:pPr>
    </w:p>
    <w:p w14:paraId="7B9E4F5A" w14:textId="77777777" w:rsidR="00F87641" w:rsidRDefault="00F87641" w:rsidP="00FE69D0">
      <w:pPr>
        <w:rPr>
          <w:b/>
          <w:bCs/>
        </w:rPr>
      </w:pPr>
    </w:p>
    <w:p w14:paraId="44BB265F" w14:textId="77777777" w:rsidR="00F87641" w:rsidRDefault="00F87641" w:rsidP="00FE69D0">
      <w:pPr>
        <w:rPr>
          <w:b/>
          <w:bCs/>
        </w:rPr>
      </w:pPr>
    </w:p>
    <w:p w14:paraId="654BDC7B" w14:textId="1160C208" w:rsidR="004D4E68" w:rsidRDefault="004D4E68" w:rsidP="00FE69D0">
      <w:pPr>
        <w:rPr>
          <w:b/>
          <w:bCs/>
        </w:rPr>
      </w:pPr>
      <w:r w:rsidRPr="00FA1AF6">
        <w:rPr>
          <w:b/>
          <w:bCs/>
        </w:rPr>
        <w:t>Student Name:</w:t>
      </w:r>
      <w:r>
        <w:rPr>
          <w:b/>
          <w:bCs/>
        </w:rPr>
        <w:t xml:space="preserve"> </w:t>
      </w:r>
      <w:r>
        <w:t>Constantin Iftimie</w:t>
      </w:r>
    </w:p>
    <w:p w14:paraId="2A564D53" w14:textId="4800707E" w:rsidR="004D4E68" w:rsidRPr="00FA1AF6" w:rsidRDefault="004D4E68" w:rsidP="00FE69D0">
      <w:pPr>
        <w:rPr>
          <w:b/>
          <w:bCs/>
        </w:rPr>
      </w:pPr>
      <w:r w:rsidRPr="00FA1AF6">
        <w:rPr>
          <w:b/>
          <w:bCs/>
        </w:rPr>
        <w:t>Student Number:</w:t>
      </w:r>
      <w:r>
        <w:rPr>
          <w:b/>
          <w:bCs/>
        </w:rPr>
        <w:t xml:space="preserve"> </w:t>
      </w:r>
      <w:r>
        <w:t>2242919</w:t>
      </w:r>
    </w:p>
    <w:p w14:paraId="4BE13F8B" w14:textId="53E86578" w:rsidR="004D4E68" w:rsidRPr="00903F51" w:rsidRDefault="004D4E68" w:rsidP="00FE69D0">
      <w:r w:rsidRPr="00FA1AF6">
        <w:rPr>
          <w:b/>
          <w:bCs/>
        </w:rPr>
        <w:t xml:space="preserve">Lecturer Name: </w:t>
      </w:r>
      <w:r>
        <w:t>Dr</w:t>
      </w:r>
      <w:r w:rsidRPr="004F7760">
        <w:t xml:space="preserve"> Zainab Atta</w:t>
      </w:r>
    </w:p>
    <w:p w14:paraId="1B4FA1E6" w14:textId="77777777" w:rsidR="004D4E68" w:rsidRDefault="004D4E68" w:rsidP="00FE69D0">
      <w:pPr>
        <w:rPr>
          <w:b/>
          <w:bCs/>
        </w:rPr>
      </w:pPr>
    </w:p>
    <w:p w14:paraId="5902A555" w14:textId="77777777" w:rsidR="004D4E68" w:rsidRDefault="004D4E68" w:rsidP="00FE69D0">
      <w:pPr>
        <w:rPr>
          <w:b/>
          <w:bCs/>
        </w:rPr>
      </w:pPr>
    </w:p>
    <w:p w14:paraId="4745FBC7" w14:textId="77777777" w:rsidR="004D4E68" w:rsidRDefault="004D4E68" w:rsidP="00FE69D0">
      <w:pPr>
        <w:rPr>
          <w:b/>
          <w:bCs/>
        </w:rPr>
      </w:pPr>
    </w:p>
    <w:p w14:paraId="2DEB879A" w14:textId="64886486" w:rsidR="001F3245" w:rsidRDefault="004D4E68" w:rsidP="002E3D0A">
      <w:pPr>
        <w:jc w:val="center"/>
      </w:pPr>
      <w:r w:rsidRPr="00FA1AF6">
        <w:rPr>
          <w:b/>
          <w:bCs/>
        </w:rPr>
        <w:t>Session</w:t>
      </w:r>
      <w:r w:rsidRPr="00FA1AF6">
        <w:t xml:space="preserve">: </w:t>
      </w:r>
      <w:r w:rsidR="001F3245">
        <w:t>July 2026</w:t>
      </w:r>
      <w:r w:rsidRPr="00FA1AF6">
        <w:t xml:space="preserve"> T</w:t>
      </w:r>
      <w:r w:rsidR="001F3245">
        <w:t>erm 1</w:t>
      </w:r>
    </w:p>
    <w:p w14:paraId="2B37E09E" w14:textId="7FB35F78" w:rsidR="002E2127" w:rsidRDefault="002E2127" w:rsidP="002E2127">
      <w:r>
        <w:br w:type="page"/>
      </w:r>
    </w:p>
    <w:sdt>
      <w:sdtPr>
        <w:id w:val="163050015"/>
        <w:docPartObj>
          <w:docPartGallery w:val="Table of Contents"/>
          <w:docPartUnique/>
        </w:docPartObj>
      </w:sdtPr>
      <w:sdtEndPr>
        <w:rPr>
          <w:rFonts w:ascii="Arial" w:eastAsia="Times New Roman" w:hAnsi="Arial" w:cstheme="minorBidi"/>
          <w:b/>
          <w:bCs/>
          <w:noProof/>
          <w:color w:val="auto"/>
          <w:sz w:val="24"/>
          <w:szCs w:val="22"/>
        </w:rPr>
      </w:sdtEndPr>
      <w:sdtContent>
        <w:p w14:paraId="5B92E3FB" w14:textId="04094587" w:rsidR="001F2885" w:rsidRDefault="001F2885">
          <w:pPr>
            <w:pStyle w:val="TOCHeading"/>
          </w:pPr>
          <w:r>
            <w:t>Contents</w:t>
          </w:r>
        </w:p>
        <w:p w14:paraId="339612DE" w14:textId="5FF9EFC8" w:rsidR="007D587E" w:rsidRDefault="007D587E">
          <w:pPr>
            <w:pStyle w:val="TOC1"/>
            <w:tabs>
              <w:tab w:val="left" w:pos="480"/>
              <w:tab w:val="right" w:leader="dot" w:pos="9016"/>
            </w:tabs>
            <w:rPr>
              <w:rFonts w:asciiTheme="minorHAnsi" w:eastAsiaTheme="minorEastAsia" w:hAnsiTheme="minorHAnsi"/>
              <w:noProof/>
              <w:kern w:val="2"/>
              <w:szCs w:val="24"/>
              <w:lang w:val="en-GB" w:eastAsia="en-GB"/>
              <w14:ligatures w14:val="standardContextual"/>
            </w:rPr>
          </w:pPr>
          <w:r>
            <w:t>1. Introduction</w:t>
          </w:r>
          <w:r>
            <w:tab/>
            <w:t>3</w:t>
          </w:r>
          <w:r w:rsidR="001F2885">
            <w:fldChar w:fldCharType="begin"/>
          </w:r>
          <w:r w:rsidR="001F2885">
            <w:instrText xml:space="preserve"> TOC \o "1-3" \h \z \u </w:instrText>
          </w:r>
          <w:r w:rsidR="001F2885">
            <w:fldChar w:fldCharType="separate"/>
          </w:r>
          <w:hyperlink w:anchor="_Toc237715758" w:history="1"/>
        </w:p>
        <w:p w14:paraId="1F5EA019" w14:textId="681FDDD3" w:rsidR="007D587E" w:rsidRDefault="007D587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15759" w:history="1">
            <w:r w:rsidRPr="00A62319">
              <w:rPr>
                <w:rStyle w:val="Hyperlink"/>
                <w:noProof/>
              </w:rPr>
              <w:t>2. Critical Evaluation of Contracting Methods</w:t>
            </w:r>
            <w:r>
              <w:rPr>
                <w:noProof/>
                <w:webHidden/>
              </w:rPr>
              <w:tab/>
            </w:r>
            <w:r>
              <w:rPr>
                <w:noProof/>
                <w:webHidden/>
              </w:rPr>
              <w:fldChar w:fldCharType="begin"/>
            </w:r>
            <w:r>
              <w:rPr>
                <w:noProof/>
                <w:webHidden/>
              </w:rPr>
              <w:instrText xml:space="preserve"> PAGEREF _Toc237715759 \h </w:instrText>
            </w:r>
            <w:r>
              <w:rPr>
                <w:noProof/>
                <w:webHidden/>
              </w:rPr>
            </w:r>
            <w:r>
              <w:rPr>
                <w:noProof/>
                <w:webHidden/>
              </w:rPr>
              <w:fldChar w:fldCharType="separate"/>
            </w:r>
            <w:r>
              <w:rPr>
                <w:noProof/>
                <w:webHidden/>
              </w:rPr>
              <w:t>4</w:t>
            </w:r>
            <w:r>
              <w:rPr>
                <w:noProof/>
                <w:webHidden/>
              </w:rPr>
              <w:fldChar w:fldCharType="end"/>
            </w:r>
          </w:hyperlink>
        </w:p>
        <w:p w14:paraId="0C30A392" w14:textId="437D744F" w:rsidR="007D587E" w:rsidRDefault="007D587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15760" w:history="1">
            <w:r w:rsidRPr="00A62319">
              <w:rPr>
                <w:rStyle w:val="Hyperlink"/>
                <w:noProof/>
              </w:rPr>
              <w:t>2.1 Turnkey Contracting</w:t>
            </w:r>
            <w:r>
              <w:rPr>
                <w:noProof/>
                <w:webHidden/>
              </w:rPr>
              <w:tab/>
            </w:r>
            <w:r>
              <w:rPr>
                <w:noProof/>
                <w:webHidden/>
              </w:rPr>
              <w:fldChar w:fldCharType="begin"/>
            </w:r>
            <w:r>
              <w:rPr>
                <w:noProof/>
                <w:webHidden/>
              </w:rPr>
              <w:instrText xml:space="preserve"> PAGEREF _Toc237715760 \h </w:instrText>
            </w:r>
            <w:r>
              <w:rPr>
                <w:noProof/>
                <w:webHidden/>
              </w:rPr>
            </w:r>
            <w:r>
              <w:rPr>
                <w:noProof/>
                <w:webHidden/>
              </w:rPr>
              <w:fldChar w:fldCharType="separate"/>
            </w:r>
            <w:r>
              <w:rPr>
                <w:noProof/>
                <w:webHidden/>
              </w:rPr>
              <w:t>4</w:t>
            </w:r>
            <w:r>
              <w:rPr>
                <w:noProof/>
                <w:webHidden/>
              </w:rPr>
              <w:fldChar w:fldCharType="end"/>
            </w:r>
          </w:hyperlink>
        </w:p>
        <w:p w14:paraId="40FFCC44" w14:textId="45942159" w:rsidR="007D587E" w:rsidRDefault="007D587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15761" w:history="1">
            <w:r w:rsidRPr="00A62319">
              <w:rPr>
                <w:rStyle w:val="Hyperlink"/>
                <w:noProof/>
              </w:rPr>
              <w:t>2.2 Multicontracting</w:t>
            </w:r>
            <w:r>
              <w:rPr>
                <w:noProof/>
                <w:webHidden/>
              </w:rPr>
              <w:tab/>
            </w:r>
            <w:r>
              <w:rPr>
                <w:noProof/>
                <w:webHidden/>
              </w:rPr>
              <w:fldChar w:fldCharType="begin"/>
            </w:r>
            <w:r>
              <w:rPr>
                <w:noProof/>
                <w:webHidden/>
              </w:rPr>
              <w:instrText xml:space="preserve"> PAGEREF _Toc237715761 \h </w:instrText>
            </w:r>
            <w:r>
              <w:rPr>
                <w:noProof/>
                <w:webHidden/>
              </w:rPr>
            </w:r>
            <w:r>
              <w:rPr>
                <w:noProof/>
                <w:webHidden/>
              </w:rPr>
              <w:fldChar w:fldCharType="separate"/>
            </w:r>
            <w:r>
              <w:rPr>
                <w:noProof/>
                <w:webHidden/>
              </w:rPr>
              <w:t>5</w:t>
            </w:r>
            <w:r>
              <w:rPr>
                <w:noProof/>
                <w:webHidden/>
              </w:rPr>
              <w:fldChar w:fldCharType="end"/>
            </w:r>
          </w:hyperlink>
        </w:p>
        <w:p w14:paraId="304C1755" w14:textId="73142625" w:rsidR="007D587E" w:rsidRDefault="007D587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15762" w:history="1">
            <w:r w:rsidRPr="00A62319">
              <w:rPr>
                <w:rStyle w:val="Hyperlink"/>
                <w:noProof/>
              </w:rPr>
              <w:t>2.3 Do-It-Yourself Contracting</w:t>
            </w:r>
            <w:r>
              <w:rPr>
                <w:noProof/>
                <w:webHidden/>
              </w:rPr>
              <w:tab/>
            </w:r>
            <w:r>
              <w:rPr>
                <w:noProof/>
                <w:webHidden/>
              </w:rPr>
              <w:fldChar w:fldCharType="begin"/>
            </w:r>
            <w:r>
              <w:rPr>
                <w:noProof/>
                <w:webHidden/>
              </w:rPr>
              <w:instrText xml:space="preserve"> PAGEREF _Toc237715762 \h </w:instrText>
            </w:r>
            <w:r>
              <w:rPr>
                <w:noProof/>
                <w:webHidden/>
              </w:rPr>
            </w:r>
            <w:r>
              <w:rPr>
                <w:noProof/>
                <w:webHidden/>
              </w:rPr>
              <w:fldChar w:fldCharType="separate"/>
            </w:r>
            <w:r>
              <w:rPr>
                <w:noProof/>
                <w:webHidden/>
              </w:rPr>
              <w:t>6</w:t>
            </w:r>
            <w:r>
              <w:rPr>
                <w:noProof/>
                <w:webHidden/>
              </w:rPr>
              <w:fldChar w:fldCharType="end"/>
            </w:r>
          </w:hyperlink>
        </w:p>
        <w:p w14:paraId="7227EE6B" w14:textId="45C00822" w:rsidR="007D587E" w:rsidRDefault="007D587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15763" w:history="1">
            <w:r w:rsidRPr="00A62319">
              <w:rPr>
                <w:rStyle w:val="Hyperlink"/>
                <w:noProof/>
              </w:rPr>
              <w:t>2.4 Multicontracting Combined with DIY</w:t>
            </w:r>
            <w:r>
              <w:rPr>
                <w:noProof/>
                <w:webHidden/>
              </w:rPr>
              <w:tab/>
            </w:r>
            <w:r>
              <w:rPr>
                <w:noProof/>
                <w:webHidden/>
              </w:rPr>
              <w:fldChar w:fldCharType="begin"/>
            </w:r>
            <w:r>
              <w:rPr>
                <w:noProof/>
                <w:webHidden/>
              </w:rPr>
              <w:instrText xml:space="preserve"> PAGEREF _Toc237715763 \h </w:instrText>
            </w:r>
            <w:r>
              <w:rPr>
                <w:noProof/>
                <w:webHidden/>
              </w:rPr>
            </w:r>
            <w:r>
              <w:rPr>
                <w:noProof/>
                <w:webHidden/>
              </w:rPr>
              <w:fldChar w:fldCharType="separate"/>
            </w:r>
            <w:r>
              <w:rPr>
                <w:noProof/>
                <w:webHidden/>
              </w:rPr>
              <w:t>7</w:t>
            </w:r>
            <w:r>
              <w:rPr>
                <w:noProof/>
                <w:webHidden/>
              </w:rPr>
              <w:fldChar w:fldCharType="end"/>
            </w:r>
          </w:hyperlink>
        </w:p>
        <w:p w14:paraId="00F27736" w14:textId="1EEDDC0C" w:rsidR="007D587E" w:rsidRDefault="007D587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15764" w:history="1">
            <w:r w:rsidRPr="00A62319">
              <w:rPr>
                <w:rStyle w:val="Hyperlink"/>
                <w:noProof/>
              </w:rPr>
              <w:t>3. Conclusion</w:t>
            </w:r>
            <w:r>
              <w:rPr>
                <w:noProof/>
                <w:webHidden/>
              </w:rPr>
              <w:tab/>
            </w:r>
            <w:r>
              <w:rPr>
                <w:noProof/>
                <w:webHidden/>
              </w:rPr>
              <w:fldChar w:fldCharType="begin"/>
            </w:r>
            <w:r>
              <w:rPr>
                <w:noProof/>
                <w:webHidden/>
              </w:rPr>
              <w:instrText xml:space="preserve"> PAGEREF _Toc237715764 \h </w:instrText>
            </w:r>
            <w:r>
              <w:rPr>
                <w:noProof/>
                <w:webHidden/>
              </w:rPr>
            </w:r>
            <w:r>
              <w:rPr>
                <w:noProof/>
                <w:webHidden/>
              </w:rPr>
              <w:fldChar w:fldCharType="separate"/>
            </w:r>
            <w:r>
              <w:rPr>
                <w:noProof/>
                <w:webHidden/>
              </w:rPr>
              <w:t>8</w:t>
            </w:r>
            <w:r>
              <w:rPr>
                <w:noProof/>
                <w:webHidden/>
              </w:rPr>
              <w:fldChar w:fldCharType="end"/>
            </w:r>
          </w:hyperlink>
        </w:p>
        <w:p w14:paraId="70D3FB4D" w14:textId="2391C7B4" w:rsidR="007D587E" w:rsidRDefault="007D587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15765" w:history="1">
            <w:r w:rsidRPr="00A62319">
              <w:rPr>
                <w:rStyle w:val="Hyperlink"/>
                <w:noProof/>
              </w:rPr>
              <w:t>4. Reference List</w:t>
            </w:r>
            <w:r>
              <w:rPr>
                <w:noProof/>
                <w:webHidden/>
              </w:rPr>
              <w:tab/>
            </w:r>
            <w:r>
              <w:rPr>
                <w:noProof/>
                <w:webHidden/>
              </w:rPr>
              <w:fldChar w:fldCharType="begin"/>
            </w:r>
            <w:r>
              <w:rPr>
                <w:noProof/>
                <w:webHidden/>
              </w:rPr>
              <w:instrText xml:space="preserve"> PAGEREF _Toc237715765 \h </w:instrText>
            </w:r>
            <w:r>
              <w:rPr>
                <w:noProof/>
                <w:webHidden/>
              </w:rPr>
            </w:r>
            <w:r>
              <w:rPr>
                <w:noProof/>
                <w:webHidden/>
              </w:rPr>
              <w:fldChar w:fldCharType="separate"/>
            </w:r>
            <w:r>
              <w:rPr>
                <w:noProof/>
                <w:webHidden/>
              </w:rPr>
              <w:t>10</w:t>
            </w:r>
            <w:r>
              <w:rPr>
                <w:noProof/>
                <w:webHidden/>
              </w:rPr>
              <w:fldChar w:fldCharType="end"/>
            </w:r>
          </w:hyperlink>
        </w:p>
        <w:p w14:paraId="2D40FB23" w14:textId="0F5CAB05" w:rsidR="001F2885" w:rsidRDefault="001F2885">
          <w:r>
            <w:rPr>
              <w:b/>
              <w:bCs/>
              <w:noProof/>
            </w:rPr>
            <w:fldChar w:fldCharType="end"/>
          </w:r>
        </w:p>
      </w:sdtContent>
    </w:sdt>
    <w:p w14:paraId="79DF964D" w14:textId="77777777" w:rsidR="001F2885" w:rsidRDefault="001F2885">
      <w:pPr>
        <w:spacing w:after="0"/>
        <w:rPr>
          <w:rFonts w:eastAsiaTheme="majorEastAsia" w:cstheme="majorBidi"/>
          <w:b/>
          <w:bCs/>
          <w:szCs w:val="28"/>
          <w:lang w:val="en-GB"/>
        </w:rPr>
      </w:pPr>
      <w:r>
        <w:br w:type="page"/>
      </w:r>
    </w:p>
    <w:p w14:paraId="19B0D09D" w14:textId="3A37630C" w:rsidR="002E2127" w:rsidRPr="006432A2" w:rsidRDefault="002E2127" w:rsidP="002E2127">
      <w:pPr>
        <w:pStyle w:val="Heading1"/>
        <w:numPr>
          <w:ilvl w:val="0"/>
          <w:numId w:val="8"/>
        </w:numPr>
        <w:tabs>
          <w:tab w:val="num" w:pos="720"/>
        </w:tabs>
        <w:rPr>
          <w:lang w:val="en-US"/>
        </w:rPr>
      </w:pPr>
      <w:bookmarkStart w:id="1" w:name="_Toc237715758"/>
      <w:r w:rsidRPr="004A2E1D">
        <w:lastRenderedPageBreak/>
        <w:t>Introduction</w:t>
      </w:r>
      <w:bookmarkEnd w:id="1"/>
    </w:p>
    <w:p w14:paraId="2F3FC7E4" w14:textId="77777777" w:rsidR="002E2127" w:rsidRPr="00FC6608" w:rsidRDefault="002E2127" w:rsidP="002E2127">
      <w:pPr>
        <w:rPr>
          <w:lang w:val="en-GB"/>
        </w:rPr>
      </w:pPr>
      <w:r w:rsidRPr="00FC6608">
        <w:rPr>
          <w:lang w:val="en-GB"/>
        </w:rPr>
        <w:t xml:space="preserve">Organisations use projects to introduce defined changes within agreed limits of time, cost, quality and performance. The Association for Project Management (APM, 2025) defines project management as </w:t>
      </w:r>
      <w:r>
        <w:rPr>
          <w:lang w:val="en-GB"/>
        </w:rPr>
        <w:t>applying processes, methods, knowledge, skills,</w:t>
      </w:r>
      <w:r w:rsidRPr="00FC6608">
        <w:rPr>
          <w:lang w:val="en-GB"/>
        </w:rPr>
        <w:t xml:space="preserve"> and experience to achieve specific objectives. Yet an organisation rarely possesses every resource required for delivery. A project may demand specialist labour, technical knowledge</w:t>
      </w:r>
      <w:r>
        <w:rPr>
          <w:lang w:val="en-GB"/>
        </w:rPr>
        <w:t>, or temporary capacity that its existing workforce cannot provide efficiently</w:t>
      </w:r>
      <w:r w:rsidRPr="00FC6608">
        <w:rPr>
          <w:lang w:val="en-GB"/>
        </w:rPr>
        <w:t>.</w:t>
      </w:r>
    </w:p>
    <w:p w14:paraId="3CE439CA" w14:textId="77777777" w:rsidR="002E2127" w:rsidRPr="00FC6608" w:rsidRDefault="002E2127" w:rsidP="002E2127">
      <w:pPr>
        <w:rPr>
          <w:lang w:val="en-GB"/>
        </w:rPr>
      </w:pPr>
      <w:r w:rsidRPr="00FC6608">
        <w:rPr>
          <w:lang w:val="en-GB"/>
        </w:rPr>
        <w:t xml:space="preserve">The decision about who performs the work also determines how the project is governed. Contracts divide activities between the client and external providers and assign responsibility for cost, delay, quality and technical failure. Organisations may use contractors to </w:t>
      </w:r>
      <w:r>
        <w:rPr>
          <w:lang w:val="en-GB"/>
        </w:rPr>
        <w:t xml:space="preserve">gain expertise, overcome limited capacity, shorten delivery time, or avoid retaining resources </w:t>
      </w:r>
      <w:r w:rsidRPr="00FC6608">
        <w:rPr>
          <w:lang w:val="en-GB"/>
        </w:rPr>
        <w:t xml:space="preserve">needed only temporarily. These reasons do not make contracting out automatically advantageous. The client must still define its requirements, select competent providers and monitor their performance. The Cabinet Office (2026) identifies inappropriate or disproportionate risk allocation as a significant cause of contract underperformance and failure. Assigning responsibility to a contractor may </w:t>
      </w:r>
      <w:r>
        <w:rPr>
          <w:lang w:val="en-GB"/>
        </w:rPr>
        <w:t>shift contractual risk</w:t>
      </w:r>
      <w:r w:rsidRPr="00FC6608">
        <w:rPr>
          <w:lang w:val="en-GB"/>
        </w:rPr>
        <w:t xml:space="preserve">, but it does not remove the </w:t>
      </w:r>
      <w:r w:rsidRPr="004A4040">
        <w:rPr>
          <w:lang w:val="en-GB"/>
        </w:rPr>
        <w:t>client's financial or operational consequences</w:t>
      </w:r>
      <w:r w:rsidRPr="00FC6608">
        <w:rPr>
          <w:lang w:val="en-GB"/>
        </w:rPr>
        <w:t xml:space="preserve">. Excessive risk transfer may instead increase tender prices, encourage </w:t>
      </w:r>
      <w:r>
        <w:rPr>
          <w:lang w:val="en-GB"/>
        </w:rPr>
        <w:t xml:space="preserve">quality reductions, </w:t>
      </w:r>
      <w:r w:rsidRPr="00FC6608">
        <w:rPr>
          <w:lang w:val="en-GB"/>
        </w:rPr>
        <w:t>or lead to disputes.</w:t>
      </w:r>
    </w:p>
    <w:p w14:paraId="1A89CA8F" w14:textId="77777777" w:rsidR="002E2127" w:rsidRPr="00FC6608" w:rsidRDefault="002E2127" w:rsidP="002E2127">
      <w:pPr>
        <w:rPr>
          <w:lang w:val="en-GB"/>
        </w:rPr>
      </w:pPr>
      <w:r>
        <w:rPr>
          <w:lang w:val="en-GB"/>
        </w:rPr>
        <w:t>This essay compares four methods</w:t>
      </w:r>
      <w:r w:rsidRPr="00FC6608">
        <w:rPr>
          <w:lang w:val="en-GB"/>
        </w:rPr>
        <w:t xml:space="preserve">: turnkey, multicontracting, do-it-yourself (DIY), and multicontracting combined with DIY. They describe how project work is allocated and organised, not how contractors are paid; they must therefore be distinguished from pricing arrangements such as fixed-price and cost-reimbursable contracts. </w:t>
      </w:r>
      <w:r>
        <w:rPr>
          <w:lang w:val="en-GB"/>
        </w:rPr>
        <w:t>Building a three-bedroom house provides a common setting to assess their effects on cost, time, quality, control, coordination, accountability, and risk</w:t>
      </w:r>
      <w:r w:rsidRPr="00FC6608">
        <w:rPr>
          <w:lang w:val="en-GB"/>
        </w:rPr>
        <w:t>. A method is suitable only when its demands match the project’s complexity, the certainty of its scope and the client’s actual ability to manage the responsibilities retained.</w:t>
      </w:r>
    </w:p>
    <w:p w14:paraId="332C9110" w14:textId="77777777" w:rsidR="002E2127" w:rsidRDefault="002E2127" w:rsidP="002E2127">
      <w:pPr>
        <w:rPr>
          <w:b/>
          <w:bCs/>
          <w:lang w:val="en-GB"/>
        </w:rPr>
      </w:pPr>
    </w:p>
    <w:p w14:paraId="4FC5E6BB" w14:textId="77777777" w:rsidR="002E2127" w:rsidRDefault="002E2127" w:rsidP="002E2127">
      <w:pPr>
        <w:rPr>
          <w:b/>
          <w:bCs/>
          <w:lang w:val="en-GB"/>
        </w:rPr>
      </w:pPr>
    </w:p>
    <w:p w14:paraId="76317E8E" w14:textId="77777777" w:rsidR="002E2127" w:rsidRPr="004A2E1D" w:rsidRDefault="002E2127" w:rsidP="002E2127">
      <w:pPr>
        <w:pStyle w:val="Heading1"/>
      </w:pPr>
      <w:bookmarkStart w:id="2" w:name="_Toc237715759"/>
      <w:r>
        <w:lastRenderedPageBreak/>
        <w:t xml:space="preserve">2. </w:t>
      </w:r>
      <w:r w:rsidRPr="004A2E1D">
        <w:t>Critical Evaluation of Contracting Methods</w:t>
      </w:r>
      <w:bookmarkEnd w:id="2"/>
    </w:p>
    <w:p w14:paraId="63D0F9A1" w14:textId="77777777" w:rsidR="002E2127" w:rsidRPr="00FC6608" w:rsidRDefault="002E2127" w:rsidP="002E2127">
      <w:pPr>
        <w:pStyle w:val="Heading2"/>
      </w:pPr>
      <w:bookmarkStart w:id="3" w:name="_Toc237715760"/>
      <w:r w:rsidRPr="00FC6608">
        <w:t>2.1 Turnkey Contracting</w:t>
      </w:r>
      <w:bookmarkEnd w:id="3"/>
    </w:p>
    <w:p w14:paraId="630592FE" w14:textId="77777777" w:rsidR="002E2127" w:rsidRPr="006A7FAF" w:rsidRDefault="002E2127" w:rsidP="002E2127">
      <w:pPr>
        <w:rPr>
          <w:lang w:val="en-GB"/>
        </w:rPr>
      </w:pPr>
      <w:r w:rsidRPr="006A7FAF">
        <w:rPr>
          <w:lang w:val="en-GB"/>
        </w:rPr>
        <w:t>Under turnkey contracting, the client appoints one organisation to deliver a completed, usable asset. The contractor normally coordinates design, procurement, construction, specialist subcontractors, testing and handover. For the three-bedroom house, the homeowner would define the required rooms, performance standards and budget, while the contractor would translate that brief into the finished building. FIDIC (2017) places responsibility for both design and execution upon the engineering, procurement and construction contractor. Turnkey nevertheless describes how responsibility is allocated; it does not necessarily mean that payment will be based on a fixed price.</w:t>
      </w:r>
    </w:p>
    <w:p w14:paraId="67E4FDA0" w14:textId="77777777" w:rsidR="002E2127" w:rsidRPr="006A7FAF" w:rsidRDefault="002E2127" w:rsidP="002E2127">
      <w:pPr>
        <w:rPr>
          <w:lang w:val="en-GB"/>
        </w:rPr>
      </w:pPr>
      <w:r w:rsidRPr="006A7FAF">
        <w:rPr>
          <w:lang w:val="en-GB"/>
        </w:rPr>
        <w:t xml:space="preserve">Bringing these activities under one contractor can reduce the client’s administrative burden and avoid disputes between separately appointed designers and builders. It may also allow design and construction to overlap, shortening delivery time. Konchar and </w:t>
      </w:r>
      <w:proofErr w:type="spellStart"/>
      <w:r w:rsidRPr="006A7FAF">
        <w:rPr>
          <w:lang w:val="en-GB"/>
        </w:rPr>
        <w:t>Sanvido</w:t>
      </w:r>
      <w:proofErr w:type="spellEnd"/>
      <w:r w:rsidRPr="006A7FAF">
        <w:rPr>
          <w:lang w:val="en-GB"/>
        </w:rPr>
        <w:t xml:space="preserve"> (1998) found that design-and-build projects generally achieved better cost and schedule performance than fragmented delivery arrangements. Their findings support integration, but they do not prove that every turnkey project will perform better. Design-and-build is not identical to turnkey, and evidence from United States building projects cannot be applied uncritically to every sector or client.</w:t>
      </w:r>
    </w:p>
    <w:p w14:paraId="56E2DDC8" w14:textId="77777777" w:rsidR="002E2127" w:rsidRPr="006A7FAF" w:rsidRDefault="002E2127" w:rsidP="002E2127">
      <w:pPr>
        <w:rPr>
          <w:lang w:val="en-GB"/>
        </w:rPr>
      </w:pPr>
      <w:r w:rsidRPr="006A7FAF">
        <w:rPr>
          <w:lang w:val="en-GB"/>
        </w:rPr>
        <w:t>Greater integration also reduces the client’s direct influence over design and supplier selection. Changes requested after work begins may become expensive, while an unclear brief gives the contractor room to interpret requirements in ways that protect its own margin. The contractor may also charge a risk premium or reduce specifications to the minimum level permitted by the agreement. The Cabinet Office (2026) warns that disproportionate risk allocation can produce higher prices, underperformance or even contractor failure. A single contractual counterparty therefore provides clearer accountability but also creates dependency</w:t>
      </w:r>
      <w:r>
        <w:rPr>
          <w:lang w:val="en-GB"/>
        </w:rPr>
        <w:t>. If</w:t>
      </w:r>
      <w:r w:rsidRPr="006A7FAF">
        <w:rPr>
          <w:lang w:val="en-GB"/>
        </w:rPr>
        <w:t xml:space="preserve"> that contractor becomes insolvent or performs poorly, the client may still be left with an unfinished or defective house.</w:t>
      </w:r>
    </w:p>
    <w:p w14:paraId="586328C2" w14:textId="2511AC0F" w:rsidR="002E2127" w:rsidRPr="006A7FAF" w:rsidRDefault="002E2127" w:rsidP="002E2127">
      <w:pPr>
        <w:rPr>
          <w:lang w:val="en-GB"/>
        </w:rPr>
      </w:pPr>
      <w:r w:rsidRPr="006A7FAF">
        <w:rPr>
          <w:lang w:val="en-GB"/>
        </w:rPr>
        <w:t xml:space="preserve">FIDIC (2017) advises against </w:t>
      </w:r>
      <w:r>
        <w:rPr>
          <w:lang w:val="en-GB"/>
        </w:rPr>
        <w:t>turnkey when tenderers lack sufficient information to assess the requirements or when</w:t>
      </w:r>
      <w:r w:rsidRPr="006A7FAF">
        <w:rPr>
          <w:lang w:val="en-GB"/>
        </w:rPr>
        <w:t xml:space="preserve"> the client intends to supervise the work closely. Turnkey is therefore most suitable when the required outcome can be defined early, design changes are unlikely</w:t>
      </w:r>
      <w:r w:rsidR="005E1C2D">
        <w:rPr>
          <w:lang w:val="en-GB"/>
        </w:rPr>
        <w:t>,</w:t>
      </w:r>
      <w:r w:rsidRPr="006A7FAF">
        <w:rPr>
          <w:lang w:val="en-GB"/>
        </w:rPr>
        <w:t xml:space="preserve"> and the contractor has proven technical and financial </w:t>
      </w:r>
      <w:r w:rsidRPr="006A7FAF">
        <w:rPr>
          <w:lang w:val="en-GB"/>
        </w:rPr>
        <w:lastRenderedPageBreak/>
        <w:t>capacity. It is less convincing for heritage work, experimental designs or clients who expect continuing customisation. Even where it is suitable, independent inspection remains necessary because contractual risk transfer cannot substitute for effective client oversight.</w:t>
      </w:r>
    </w:p>
    <w:p w14:paraId="6F1F71EA" w14:textId="77777777" w:rsidR="002E2127" w:rsidRPr="006A7FAF" w:rsidRDefault="002E2127" w:rsidP="002E2127">
      <w:pPr>
        <w:pStyle w:val="Heading2"/>
      </w:pPr>
      <w:bookmarkStart w:id="4" w:name="_Toc237715761"/>
      <w:r w:rsidRPr="006A7FAF">
        <w:t>2.2 Multicontracting</w:t>
      </w:r>
      <w:bookmarkEnd w:id="4"/>
    </w:p>
    <w:p w14:paraId="24621D3D" w14:textId="6AADB550" w:rsidR="002E2127" w:rsidRPr="006A7FAF" w:rsidRDefault="002E2127" w:rsidP="002E2127">
      <w:pPr>
        <w:rPr>
          <w:lang w:val="en-GB"/>
        </w:rPr>
      </w:pPr>
      <w:r w:rsidRPr="006A7FAF">
        <w:rPr>
          <w:lang w:val="en-GB"/>
        </w:rPr>
        <w:t xml:space="preserve">Multicontracting divides the project into separate work packages, each governed by a direct agreement between the client and a specialist contractor. For the three-bedroom house, the homeowner might appoint different providers for architectural design, groundwork, brickwork, roofing, plumbing, electrical installation and finishing. This gives the client direct authority over supplier selection, specification and sequencing, but no contractor accepts responsibility for the completed </w:t>
      </w:r>
      <w:proofErr w:type="gramStart"/>
      <w:r w:rsidRPr="006A7FAF">
        <w:rPr>
          <w:lang w:val="en-GB"/>
        </w:rPr>
        <w:t>house as a whole</w:t>
      </w:r>
      <w:proofErr w:type="gramEnd"/>
      <w:r w:rsidRPr="006A7FAF">
        <w:rPr>
          <w:lang w:val="en-GB"/>
        </w:rPr>
        <w:t xml:space="preserve">. The client therefore takes on the integration role </w:t>
      </w:r>
      <w:r w:rsidR="005E1C2D">
        <w:rPr>
          <w:lang w:val="en-GB"/>
        </w:rPr>
        <w:t xml:space="preserve">the principal contractor performs </w:t>
      </w:r>
      <w:r w:rsidRPr="006A7FAF">
        <w:rPr>
          <w:lang w:val="en-GB"/>
        </w:rPr>
        <w:t>under turnkey delivery.</w:t>
      </w:r>
    </w:p>
    <w:p w14:paraId="6308711E" w14:textId="77777777" w:rsidR="002E2127" w:rsidRPr="006A7FAF" w:rsidRDefault="002E2127" w:rsidP="002E2127">
      <w:pPr>
        <w:rPr>
          <w:lang w:val="en-GB"/>
        </w:rPr>
      </w:pPr>
      <w:r w:rsidRPr="006A7FAF">
        <w:rPr>
          <w:lang w:val="en-GB"/>
        </w:rPr>
        <w:t>Direct appointment can improve access to specialist expertise and allow each package to be competitively tendered. It also enables the client to replace one poorly performing contractor without terminating the entire delivery arrangement. Rojas (2008) found that public projects using multiple prime contracts had approximately 5 per cent lower direct costs than comparable single-prime projects. However, this result came from public construction projects and measured direct costs; it cannot establish that multicontracting always produces a lower total cost. The comparison may exclude the client’s management time, professional advice, duplicated administration and the financial effects of coordination failures. Removing a main contractor’s margin may therefore reduce the visible contract price while relocating costs to the client.</w:t>
      </w:r>
    </w:p>
    <w:p w14:paraId="55E8826F" w14:textId="77777777" w:rsidR="002E2127" w:rsidRPr="006A7FAF" w:rsidRDefault="002E2127" w:rsidP="002E2127">
      <w:pPr>
        <w:rPr>
          <w:lang w:val="en-GB"/>
        </w:rPr>
      </w:pPr>
      <w:r w:rsidRPr="006A7FAF">
        <w:rPr>
          <w:lang w:val="en-GB"/>
        </w:rPr>
        <w:t xml:space="preserve">Every division between work packages also creates an interface that must be managed. If incorrect building work prevents the plumber from installing pipework, each contractor may deny responsibility for the resulting delay or defect. The client must identify the cause, resolve the disagreement and revise the programme. Research by </w:t>
      </w:r>
      <w:proofErr w:type="spellStart"/>
      <w:r w:rsidRPr="006A7FAF">
        <w:rPr>
          <w:lang w:val="en-GB"/>
        </w:rPr>
        <w:t>Alaloul</w:t>
      </w:r>
      <w:proofErr w:type="spellEnd"/>
      <w:r w:rsidRPr="006A7FAF">
        <w:rPr>
          <w:lang w:val="en-GB"/>
        </w:rPr>
        <w:t>, Liew and Zawawi (2016) ranked scheduling, quality-assurance planning and participation by all parties among the most influential coordination factors in building performance. Although their study was conducted in Malaysia and did not examine multicontracting alone, its findings illustrate why separating interdependent activities requires more than issuing individual contracts.</w:t>
      </w:r>
    </w:p>
    <w:p w14:paraId="53E0C3CD" w14:textId="320287CD" w:rsidR="002E2127" w:rsidRPr="006A7FAF" w:rsidRDefault="002E2127" w:rsidP="002E2127">
      <w:pPr>
        <w:rPr>
          <w:lang w:val="en-GB"/>
        </w:rPr>
      </w:pPr>
      <w:r w:rsidRPr="006A7FAF">
        <w:rPr>
          <w:lang w:val="en-GB"/>
        </w:rPr>
        <w:lastRenderedPageBreak/>
        <w:t xml:space="preserve">This method also increases the </w:t>
      </w:r>
      <w:r>
        <w:rPr>
          <w:lang w:val="en-GB"/>
        </w:rPr>
        <w:t>technical and regulatory knowledge required of</w:t>
      </w:r>
      <w:r w:rsidRPr="006A7FAF">
        <w:rPr>
          <w:lang w:val="en-GB"/>
        </w:rPr>
        <w:t xml:space="preserve"> the client. For domestic projects involving several contractors, </w:t>
      </w:r>
      <w:r>
        <w:rPr>
          <w:lang w:val="en-GB"/>
        </w:rPr>
        <w:t xml:space="preserve">the Construction (Design and Management) Regulations 2015 still require the client to assign responsibility for construction-phase coordination </w:t>
      </w:r>
      <w:r w:rsidRPr="006A7FAF">
        <w:rPr>
          <w:lang w:val="en-GB"/>
        </w:rPr>
        <w:t>(HSE, 2025). Multicontracting is therefore defensible when package boundaries are clear</w:t>
      </w:r>
      <w:r w:rsidR="005E1C2D">
        <w:rPr>
          <w:lang w:val="en-GB"/>
        </w:rPr>
        <w:t>,</w:t>
      </w:r>
      <w:r w:rsidRPr="006A7FAF">
        <w:rPr>
          <w:lang w:val="en-GB"/>
        </w:rPr>
        <w:t xml:space="preserve"> and the client has sufficient expertise, time and access to professional management support. It may suit an experienced property developer or technically competent homeowner. For an inexperienced client, the promised control may have little practical value because contractual authority cannot compensate for weak scheduling, technical understanding or interface management.</w:t>
      </w:r>
    </w:p>
    <w:p w14:paraId="70C46364" w14:textId="77777777" w:rsidR="002E2127" w:rsidRPr="00E62850" w:rsidRDefault="002E2127" w:rsidP="002E2127">
      <w:pPr>
        <w:pStyle w:val="Heading2"/>
      </w:pPr>
      <w:bookmarkStart w:id="5" w:name="_Toc237715762"/>
      <w:r w:rsidRPr="00E62850">
        <w:t>2.3 Do-It-Yourself Contracting</w:t>
      </w:r>
      <w:bookmarkEnd w:id="5"/>
    </w:p>
    <w:p w14:paraId="3925DDF4" w14:textId="4CC6F1A8" w:rsidR="002E2127" w:rsidRPr="00E62850" w:rsidRDefault="002E2127" w:rsidP="002E2127">
      <w:pPr>
        <w:rPr>
          <w:lang w:val="en-GB"/>
        </w:rPr>
      </w:pPr>
      <w:r w:rsidRPr="00E62850">
        <w:rPr>
          <w:lang w:val="en-GB"/>
        </w:rPr>
        <w:t xml:space="preserve">Under the do-it-yourself (DIY) method, the client performs most or all project activities using personal or internal resources rather than appointing external contractors. </w:t>
      </w:r>
      <w:r>
        <w:rPr>
          <w:lang w:val="en-GB"/>
        </w:rPr>
        <w:t>When constructing a three-bedroom house, this could include purchasing materials, organising the programme, and completing selected tasks such as decorating, flooring,</w:t>
      </w:r>
      <w:r w:rsidRPr="00E62850">
        <w:rPr>
          <w:lang w:val="en-GB"/>
        </w:rPr>
        <w:t xml:space="preserve"> or basic landscaping. DIY therefore gives the client direct control over </w:t>
      </w:r>
      <w:r w:rsidR="005E1C2D">
        <w:rPr>
          <w:lang w:val="en-GB"/>
        </w:rPr>
        <w:t>artistry</w:t>
      </w:r>
      <w:r w:rsidRPr="00E62850">
        <w:rPr>
          <w:lang w:val="en-GB"/>
        </w:rPr>
        <w:t>, materials</w:t>
      </w:r>
      <w:r>
        <w:rPr>
          <w:lang w:val="en-GB"/>
        </w:rPr>
        <w:t>, and timing, but it also concentrates responsibility for performance, safety, and compliance on</w:t>
      </w:r>
      <w:r w:rsidRPr="00E62850">
        <w:rPr>
          <w:lang w:val="en-GB"/>
        </w:rPr>
        <w:t xml:space="preserve"> the client.</w:t>
      </w:r>
    </w:p>
    <w:p w14:paraId="7CC09F65" w14:textId="77777777" w:rsidR="002E2127" w:rsidRPr="00E62850" w:rsidRDefault="002E2127" w:rsidP="002E2127">
      <w:pPr>
        <w:rPr>
          <w:lang w:val="en-GB"/>
        </w:rPr>
      </w:pPr>
      <w:r w:rsidRPr="00E62850">
        <w:rPr>
          <w:lang w:val="en-GB"/>
        </w:rPr>
        <w:t xml:space="preserve">The most apparent advantage is the potential saving in labour costs and contractor profit margins. Coase (1937) argued that </w:t>
      </w:r>
      <w:r>
        <w:rPr>
          <w:lang w:val="en-GB"/>
        </w:rPr>
        <w:t>firms may perform activities</w:t>
      </w:r>
      <w:r w:rsidRPr="00E62850">
        <w:rPr>
          <w:lang w:val="en-GB"/>
        </w:rPr>
        <w:t xml:space="preserve"> internally when the cost of arranging and monitoring external transactions exceeds the cost of internal production. This principle offers a theoretical justification for DIY, although its application to an individual homeowner is limited because Coase’s analysis primarily concerned firms. A homeowner undertaking a single project may lack the equipment, supplier relationships and repeated experience that make internal delivery economical. Apparent savings may be absorbed by tool purchases, material waste, slower progress, corrective work and income lost through time diverted from paid employment.</w:t>
      </w:r>
    </w:p>
    <w:p w14:paraId="04AFEA05" w14:textId="13A987B2" w:rsidR="002E2127" w:rsidRPr="00E62850" w:rsidRDefault="002E2127" w:rsidP="002E2127">
      <w:pPr>
        <w:rPr>
          <w:lang w:val="en-GB"/>
        </w:rPr>
      </w:pPr>
      <w:r w:rsidRPr="00E62850">
        <w:rPr>
          <w:lang w:val="en-GB"/>
        </w:rPr>
        <w:t xml:space="preserve">DIY can also provide flexibility because the client can alter the sequence or specification without negotiating contractual variations. However, frequent informal changes may weaken cost and schedule control. Moreover, direct control does not guarantee quality. Where the client lacks technical competence, the absence of an independent contractor may increase the probability of concealed defects and poor </w:t>
      </w:r>
      <w:r w:rsidR="005E1C2D">
        <w:rPr>
          <w:lang w:val="en-GB"/>
        </w:rPr>
        <w:lastRenderedPageBreak/>
        <w:t>artistry</w:t>
      </w:r>
      <w:r w:rsidRPr="00E62850">
        <w:rPr>
          <w:lang w:val="en-GB"/>
        </w:rPr>
        <w:t>. If such failures occur, the client cannot seek contractual remedies against another party and must bear the cost of correction.</w:t>
      </w:r>
    </w:p>
    <w:p w14:paraId="6BB16CE6" w14:textId="77777777" w:rsidR="002E2127" w:rsidRPr="00E62850" w:rsidRDefault="002E2127" w:rsidP="002E2127">
      <w:pPr>
        <w:rPr>
          <w:lang w:val="en-GB"/>
        </w:rPr>
      </w:pPr>
      <w:r w:rsidRPr="00E62850">
        <w:rPr>
          <w:lang w:val="en-GB"/>
        </w:rPr>
        <w:t xml:space="preserve">Legal and safety requirements impose further limits. In England and Wales, electrical installation work must comply with building regulations, while specified higher-risk work requires appropriate inspection, approval and certification (Planning Portal, no date). Similarly, anyone employed to work on domestic gas appliances must be competent and registered with the Gas Safe Register (HSE, 2024). These requirements do not prohibit </w:t>
      </w:r>
      <w:r>
        <w:rPr>
          <w:lang w:val="en-GB"/>
        </w:rPr>
        <w:t>all forms of DIY, but they show</w:t>
      </w:r>
      <w:r w:rsidRPr="00E62850">
        <w:rPr>
          <w:lang w:val="en-GB"/>
        </w:rPr>
        <w:t xml:space="preserve"> that personal ownership of a project does not remove statutory obligations.</w:t>
      </w:r>
    </w:p>
    <w:p w14:paraId="10AB9E68" w14:textId="77777777" w:rsidR="002E2127" w:rsidRPr="00E62850" w:rsidRDefault="002E2127" w:rsidP="002E2127">
      <w:pPr>
        <w:rPr>
          <w:lang w:val="en-GB"/>
        </w:rPr>
      </w:pPr>
      <w:r w:rsidRPr="00E62850">
        <w:rPr>
          <w:lang w:val="en-GB"/>
        </w:rPr>
        <w:t xml:space="preserve">DIY is therefore most suitable for small, low-risk and readily inspectable activities where the client has demonstrable competence, sufficient time and suitable equipment. It may be appropriate for decorating or landscaping but is far less defensible as the principal method for constructing an entire modern house. </w:t>
      </w:r>
      <w:r>
        <w:rPr>
          <w:lang w:val="en-GB"/>
        </w:rPr>
        <w:t>Choose the method</w:t>
      </w:r>
      <w:r w:rsidRPr="00E62850">
        <w:rPr>
          <w:lang w:val="en-GB"/>
        </w:rPr>
        <w:t xml:space="preserve"> because the required capability genuinely exists, not merely because external labour appears expensive.</w:t>
      </w:r>
    </w:p>
    <w:p w14:paraId="22E8B029" w14:textId="77777777" w:rsidR="002E2127" w:rsidRPr="006432A2" w:rsidRDefault="002E2127" w:rsidP="002E2127">
      <w:pPr>
        <w:pStyle w:val="Heading2"/>
      </w:pPr>
      <w:bookmarkStart w:id="6" w:name="_Toc237715763"/>
      <w:r w:rsidRPr="006432A2">
        <w:t>2.4 Multicontracting Combined with DIY</w:t>
      </w:r>
      <w:bookmarkEnd w:id="6"/>
    </w:p>
    <w:p w14:paraId="53BAC718" w14:textId="77777777" w:rsidR="002E2127" w:rsidRPr="006432A2" w:rsidRDefault="002E2127" w:rsidP="002E2127">
      <w:pPr>
        <w:rPr>
          <w:lang w:val="en-GB"/>
        </w:rPr>
      </w:pPr>
      <w:r w:rsidRPr="006432A2">
        <w:rPr>
          <w:lang w:val="en-GB"/>
        </w:rPr>
        <w:t xml:space="preserve">Multicontracting combined with DIY is a hybrid method in which the client appoints separate specialist contractors for selected work packages while completing other activities personally or through internal resources. For the three-bedroom house, </w:t>
      </w:r>
      <w:r>
        <w:rPr>
          <w:lang w:val="en-GB"/>
        </w:rPr>
        <w:t>qualified contractors could handle structural work, roofing, plumbing, electrical installation, and gas services, while the homeowner handles decorating, flooring,</w:t>
      </w:r>
      <w:r w:rsidRPr="006432A2">
        <w:rPr>
          <w:lang w:val="en-GB"/>
        </w:rPr>
        <w:t xml:space="preserve"> and landscaping. Responsibility is therefore divided according to the client’s judgement about competence, cost and risk.</w:t>
      </w:r>
    </w:p>
    <w:p w14:paraId="3F74D862" w14:textId="243AA0AC" w:rsidR="002E2127" w:rsidRPr="006432A2" w:rsidRDefault="002E2127" w:rsidP="002E2127">
      <w:pPr>
        <w:rPr>
          <w:lang w:val="en-GB"/>
        </w:rPr>
      </w:pPr>
      <w:r w:rsidRPr="006432A2">
        <w:rPr>
          <w:lang w:val="en-GB"/>
        </w:rPr>
        <w:t xml:space="preserve">The method can reduce expenditure where the client possesses relevant practical skills and limits DIY involvement to work that can be completed safely and to an acceptable standard. It also preserves direct choice over materials and specialist providers without requiring the client to perform technically demanding activities. Unlike full DIY, it </w:t>
      </w:r>
      <w:r>
        <w:rPr>
          <w:lang w:val="en-GB"/>
        </w:rPr>
        <w:t>lets competent professionals handle safety-critical work</w:t>
      </w:r>
      <w:r w:rsidRPr="006432A2">
        <w:rPr>
          <w:lang w:val="en-GB"/>
        </w:rPr>
        <w:t xml:space="preserve">. Compared with turnkey contracting, however, it allows greater influence over design and </w:t>
      </w:r>
      <w:r w:rsidR="005E1C2D">
        <w:rPr>
          <w:lang w:val="en-GB"/>
        </w:rPr>
        <w:t>artistry</w:t>
      </w:r>
      <w:r w:rsidRPr="006432A2">
        <w:rPr>
          <w:lang w:val="en-GB"/>
        </w:rPr>
        <w:t xml:space="preserve"> and may avoid paying a principal contractor to manage straightforward activities.</w:t>
      </w:r>
    </w:p>
    <w:p w14:paraId="009DFA54" w14:textId="77777777" w:rsidR="002E2127" w:rsidRPr="006432A2" w:rsidRDefault="002E2127" w:rsidP="002E2127">
      <w:pPr>
        <w:rPr>
          <w:lang w:val="en-GB"/>
        </w:rPr>
      </w:pPr>
      <w:r w:rsidRPr="006432A2">
        <w:rPr>
          <w:lang w:val="en-GB"/>
        </w:rPr>
        <w:t xml:space="preserve">These advantages depend upon accurate self-assessment. A client may underestimate the duration of DIY work or overestimate personal competence, </w:t>
      </w:r>
      <w:r w:rsidRPr="006432A2">
        <w:rPr>
          <w:lang w:val="en-GB"/>
        </w:rPr>
        <w:lastRenderedPageBreak/>
        <w:t xml:space="preserve">delaying contractors whose activities depend upon its completion. For example, late completion of internal preparation could prevent electricians, plumbers or decorators from beginning their packages. Contractors may then charge for disrupted schedules or prioritise other projects. Research by </w:t>
      </w:r>
      <w:proofErr w:type="spellStart"/>
      <w:r w:rsidRPr="006432A2">
        <w:rPr>
          <w:lang w:val="en-GB"/>
        </w:rPr>
        <w:t>Alaloul</w:t>
      </w:r>
      <w:proofErr w:type="spellEnd"/>
      <w:r w:rsidRPr="006432A2">
        <w:rPr>
          <w:lang w:val="en-GB"/>
        </w:rPr>
        <w:t>, Liew and Zawawi (2016) indicates that scheduling, communication and participation among project parties significantly affect building performance. In a hybrid arrangement, these responsibilities do not disappear; much of the coordination burden falls directly upon the client.</w:t>
      </w:r>
    </w:p>
    <w:p w14:paraId="47990A02" w14:textId="4B09845B" w:rsidR="002E2127" w:rsidRPr="006432A2" w:rsidRDefault="002E2127" w:rsidP="002E2127">
      <w:pPr>
        <w:rPr>
          <w:lang w:val="en-GB"/>
        </w:rPr>
      </w:pPr>
      <w:r w:rsidRPr="006432A2">
        <w:rPr>
          <w:lang w:val="en-GB"/>
        </w:rPr>
        <w:t xml:space="preserve">Responsibility for defects may also become difficult to establish. A contractor may argue that failure resulted from the client’s materials or </w:t>
      </w:r>
      <w:r w:rsidR="005E1C2D">
        <w:rPr>
          <w:lang w:val="en-GB"/>
        </w:rPr>
        <w:t>artistry</w:t>
      </w:r>
      <w:r w:rsidRPr="006432A2">
        <w:rPr>
          <w:lang w:val="en-GB"/>
        </w:rPr>
        <w:t xml:space="preserve">, while the client may attribute it to defective professional installation. Such interfaces can weaken accountability and complicate warranties. Furthermore, using several contractors does not remove regulatory obligations. Where a construction project involves more than one contractor, </w:t>
      </w:r>
      <w:r>
        <w:rPr>
          <w:lang w:val="en-GB"/>
        </w:rPr>
        <w:t>the client must make appropriate arrangements</w:t>
      </w:r>
      <w:r w:rsidRPr="006432A2">
        <w:rPr>
          <w:lang w:val="en-GB"/>
        </w:rPr>
        <w:t xml:space="preserve"> for principal designer and principal contractor responsibilities under the Construction (Design and Management) Regulations 2015 (HSE, 2025).</w:t>
      </w:r>
    </w:p>
    <w:p w14:paraId="5521CFFC" w14:textId="4727644F" w:rsidR="002E2127" w:rsidRPr="006432A2" w:rsidRDefault="002E2127" w:rsidP="002E2127">
      <w:pPr>
        <w:rPr>
          <w:lang w:val="en-GB"/>
        </w:rPr>
      </w:pPr>
      <w:r w:rsidRPr="006432A2">
        <w:rPr>
          <w:lang w:val="en-GB"/>
        </w:rPr>
        <w:t xml:space="preserve">This method is most suitable for self-build housing or small refurbishment projects where activities can be </w:t>
      </w:r>
      <w:r>
        <w:rPr>
          <w:lang w:val="en-GB"/>
        </w:rPr>
        <w:t>clearly separated</w:t>
      </w:r>
      <w:r w:rsidR="005E1C2D">
        <w:rPr>
          <w:lang w:val="en-GB"/>
        </w:rPr>
        <w:t>,</w:t>
      </w:r>
      <w:r>
        <w:rPr>
          <w:lang w:val="en-GB"/>
        </w:rPr>
        <w:t xml:space="preserve"> and the client has practical competence, sufficient time</w:t>
      </w:r>
      <w:r w:rsidRPr="006432A2">
        <w:rPr>
          <w:lang w:val="en-GB"/>
        </w:rPr>
        <w:t xml:space="preserve"> and strong organisational ability. It is less suitable for fast-track, technically integrated or safety-critical projects because delays in one retained activity can affect several contracted packages. Its effectiveness therefore rests not on the proportion of work retained, but on whether responsibilities and interfaces are allocated to parties genuinely capable of managing them.</w:t>
      </w:r>
    </w:p>
    <w:p w14:paraId="0D34D303" w14:textId="77777777" w:rsidR="002E2127" w:rsidRPr="006432A2" w:rsidRDefault="002E2127" w:rsidP="002E2127">
      <w:pPr>
        <w:pStyle w:val="Heading1"/>
      </w:pPr>
      <w:bookmarkStart w:id="7" w:name="_Toc237715764"/>
      <w:r>
        <w:t xml:space="preserve">3. </w:t>
      </w:r>
      <w:r w:rsidRPr="006432A2">
        <w:t>Conclusion</w:t>
      </w:r>
      <w:bookmarkEnd w:id="7"/>
    </w:p>
    <w:p w14:paraId="3E8FD31C" w14:textId="77777777" w:rsidR="002E2127" w:rsidRPr="006432A2" w:rsidRDefault="002E2127" w:rsidP="002E2127">
      <w:pPr>
        <w:rPr>
          <w:lang w:val="en-GB"/>
        </w:rPr>
      </w:pPr>
      <w:r w:rsidRPr="006432A2">
        <w:rPr>
          <w:lang w:val="en-GB"/>
        </w:rPr>
        <w:t xml:space="preserve">The four contracting methods differ </w:t>
      </w:r>
      <w:r>
        <w:rPr>
          <w:lang w:val="en-GB"/>
        </w:rPr>
        <w:t>mainly in where responsibility for delivery and coordination lies</w:t>
      </w:r>
      <w:r w:rsidRPr="006432A2">
        <w:rPr>
          <w:lang w:val="en-GB"/>
        </w:rPr>
        <w:t>. Turnkey contracting concentrates responsibility in one provider and can reduce the client’s administrative burden</w:t>
      </w:r>
      <w:r>
        <w:rPr>
          <w:lang w:val="en-GB"/>
        </w:rPr>
        <w:t>. Still, this</w:t>
      </w:r>
      <w:r w:rsidRPr="006432A2">
        <w:rPr>
          <w:lang w:val="en-GB"/>
        </w:rPr>
        <w:t xml:space="preserve"> convenience </w:t>
      </w:r>
      <w:r>
        <w:rPr>
          <w:lang w:val="en-GB"/>
        </w:rPr>
        <w:t>comes at the cost of reduced control, potential risk premiums, and dependence on</w:t>
      </w:r>
      <w:r w:rsidRPr="006432A2">
        <w:rPr>
          <w:lang w:val="en-GB"/>
        </w:rPr>
        <w:t xml:space="preserve"> the contractor’s competence and financial stability. Multicontracting gives the client direct access to specialists and greater influence over individual </w:t>
      </w:r>
      <w:proofErr w:type="gramStart"/>
      <w:r w:rsidRPr="006432A2">
        <w:rPr>
          <w:lang w:val="en-GB"/>
        </w:rPr>
        <w:t xml:space="preserve">packages, </w:t>
      </w:r>
      <w:r>
        <w:rPr>
          <w:lang w:val="en-GB"/>
        </w:rPr>
        <w:t>but</w:t>
      </w:r>
      <w:proofErr w:type="gramEnd"/>
      <w:r>
        <w:rPr>
          <w:lang w:val="en-GB"/>
        </w:rPr>
        <w:t xml:space="preserve"> makes the client responsible for integrating the</w:t>
      </w:r>
      <w:r w:rsidRPr="006432A2">
        <w:rPr>
          <w:lang w:val="en-GB"/>
        </w:rPr>
        <w:t xml:space="preserve"> work. DIY provides the greatest personal control and may reduce direct labour expenditure, but these benefits disappear quickly where limited competence, rework or opportunity costs are ignored. Combining </w:t>
      </w:r>
      <w:r w:rsidRPr="006432A2">
        <w:rPr>
          <w:lang w:val="en-GB"/>
        </w:rPr>
        <w:lastRenderedPageBreak/>
        <w:t xml:space="preserve">multicontracting with DIY </w:t>
      </w:r>
      <w:r>
        <w:rPr>
          <w:lang w:val="en-GB"/>
        </w:rPr>
        <w:t>allows more selective allocation of activities, although its many interfaces can create uncertainty over scheduling, defects,</w:t>
      </w:r>
      <w:r w:rsidRPr="006432A2">
        <w:rPr>
          <w:lang w:val="en-GB"/>
        </w:rPr>
        <w:t xml:space="preserve"> and accountability.</w:t>
      </w:r>
    </w:p>
    <w:p w14:paraId="2EA2BBC7" w14:textId="2D8A81D4" w:rsidR="002E2127" w:rsidRPr="006432A2" w:rsidRDefault="002E2127" w:rsidP="002E2127">
      <w:pPr>
        <w:rPr>
          <w:lang w:val="en-GB"/>
        </w:rPr>
      </w:pPr>
      <w:r w:rsidRPr="006432A2">
        <w:rPr>
          <w:lang w:val="en-GB"/>
        </w:rPr>
        <w:t xml:space="preserve">For </w:t>
      </w:r>
      <w:r>
        <w:rPr>
          <w:lang w:val="en-GB"/>
        </w:rPr>
        <w:t>building</w:t>
      </w:r>
      <w:r w:rsidRPr="006432A2">
        <w:rPr>
          <w:lang w:val="en-GB"/>
        </w:rPr>
        <w:t xml:space="preserve"> a three-bedroom house, no method is inherently superior. Turnkey </w:t>
      </w:r>
      <w:r w:rsidR="005E1C2D">
        <w:rPr>
          <w:lang w:val="en-GB"/>
        </w:rPr>
        <w:t>likely suits</w:t>
      </w:r>
      <w:r w:rsidRPr="006432A2">
        <w:rPr>
          <w:lang w:val="en-GB"/>
        </w:rPr>
        <w:t xml:space="preserve"> an inexperienced homeowner with a stable specification, whereas multicontracting requires stronger technical and managerial capability. Full DIY is difficult to justify for an entire house because regulatory, safety and quality demands exceed the abilities of most individual clients. The combined method may be appropriate where the homeowner has proven skills and restricts personal involvement to clearly separated, low-risk activities.</w:t>
      </w:r>
    </w:p>
    <w:p w14:paraId="340A9CA2" w14:textId="77777777" w:rsidR="002E2127" w:rsidRPr="006432A2" w:rsidRDefault="002E2127" w:rsidP="002E2127">
      <w:pPr>
        <w:rPr>
          <w:lang w:val="en-GB"/>
        </w:rPr>
      </w:pPr>
      <w:r w:rsidRPr="006432A2">
        <w:rPr>
          <w:lang w:val="en-GB"/>
        </w:rPr>
        <w:t>Contracting out can provide expertise, capacity and clearer accountability, but it cannot remove the client’s exposure to project failure. A defensible choice must therefore reflect the certainty of the scope, the interdependence of activities, the consequences of failure and the client’s genuine ability to manage the responsibilities retained.</w:t>
      </w:r>
    </w:p>
    <w:p w14:paraId="1627B671" w14:textId="77777777" w:rsidR="002E2127" w:rsidRDefault="002E2127" w:rsidP="002E2127">
      <w:pPr>
        <w:pStyle w:val="Heading1"/>
      </w:pPr>
    </w:p>
    <w:p w14:paraId="0C8EBA63" w14:textId="77777777" w:rsidR="002E2127" w:rsidRPr="00F37DF1" w:rsidRDefault="002E2127" w:rsidP="002E2127">
      <w:pPr>
        <w:rPr>
          <w:lang w:val="en-GB"/>
        </w:rPr>
      </w:pPr>
    </w:p>
    <w:p w14:paraId="5A911751" w14:textId="77777777" w:rsidR="002E2127" w:rsidRDefault="002E2127" w:rsidP="002E2127">
      <w:pPr>
        <w:pStyle w:val="Heading1"/>
      </w:pPr>
    </w:p>
    <w:p w14:paraId="0B3876D7" w14:textId="77777777" w:rsidR="002E2127" w:rsidRDefault="002E2127" w:rsidP="002E2127">
      <w:pPr>
        <w:pStyle w:val="Heading1"/>
      </w:pPr>
    </w:p>
    <w:p w14:paraId="1033C59D" w14:textId="77777777" w:rsidR="002E2127" w:rsidRDefault="002E2127" w:rsidP="002E2127">
      <w:pPr>
        <w:pStyle w:val="Heading1"/>
      </w:pPr>
    </w:p>
    <w:p w14:paraId="2D30D1A8" w14:textId="77777777" w:rsidR="002E2127" w:rsidRDefault="002E2127" w:rsidP="002E2127">
      <w:pPr>
        <w:pStyle w:val="Heading1"/>
      </w:pPr>
    </w:p>
    <w:p w14:paraId="44E7E7A8" w14:textId="77777777" w:rsidR="002E2127" w:rsidRDefault="002E2127" w:rsidP="002E2127">
      <w:pPr>
        <w:rPr>
          <w:lang w:val="en-GB"/>
        </w:rPr>
      </w:pPr>
    </w:p>
    <w:p w14:paraId="0FAEF8C4" w14:textId="77777777" w:rsidR="002E2127" w:rsidRDefault="002E2127" w:rsidP="002E2127">
      <w:pPr>
        <w:rPr>
          <w:lang w:val="en-GB"/>
        </w:rPr>
      </w:pPr>
    </w:p>
    <w:p w14:paraId="5447D4C2" w14:textId="77777777" w:rsidR="005E1C2D" w:rsidRDefault="005E1C2D" w:rsidP="002E2127">
      <w:pPr>
        <w:rPr>
          <w:lang w:val="en-GB"/>
        </w:rPr>
      </w:pPr>
    </w:p>
    <w:p w14:paraId="121A070A" w14:textId="77777777" w:rsidR="005E1C2D" w:rsidRDefault="005E1C2D" w:rsidP="002E2127">
      <w:pPr>
        <w:rPr>
          <w:lang w:val="en-GB"/>
        </w:rPr>
      </w:pPr>
    </w:p>
    <w:p w14:paraId="468A3DC9" w14:textId="77777777" w:rsidR="002E2127" w:rsidRPr="00F37DF1" w:rsidRDefault="002E2127" w:rsidP="002E2127">
      <w:pPr>
        <w:rPr>
          <w:lang w:val="en-GB"/>
        </w:rPr>
      </w:pPr>
    </w:p>
    <w:p w14:paraId="407125E8" w14:textId="55BB0285" w:rsidR="002E2127" w:rsidRPr="00F37DF1" w:rsidRDefault="0021186F" w:rsidP="002E2127">
      <w:pPr>
        <w:pStyle w:val="Heading1"/>
      </w:pPr>
      <w:bookmarkStart w:id="8" w:name="_Toc237715765"/>
      <w:r>
        <w:lastRenderedPageBreak/>
        <w:t xml:space="preserve">4. </w:t>
      </w:r>
      <w:r w:rsidR="002E2127" w:rsidRPr="00F37DF1">
        <w:t>Reference List</w:t>
      </w:r>
      <w:bookmarkEnd w:id="8"/>
    </w:p>
    <w:p w14:paraId="4FC7FF9C" w14:textId="77777777" w:rsidR="002E2127" w:rsidRDefault="002E2127" w:rsidP="002E2127"/>
    <w:p w14:paraId="46A5E4B4" w14:textId="77777777" w:rsidR="002E2127" w:rsidRPr="00F37DF1" w:rsidRDefault="002E2127" w:rsidP="002E2127">
      <w:pPr>
        <w:ind w:left="720" w:hanging="720"/>
        <w:rPr>
          <w:lang w:val="en-GB"/>
        </w:rPr>
      </w:pPr>
      <w:proofErr w:type="spellStart"/>
      <w:r w:rsidRPr="00F37DF1">
        <w:rPr>
          <w:lang w:val="en-GB"/>
        </w:rPr>
        <w:t>Alaloul</w:t>
      </w:r>
      <w:proofErr w:type="spellEnd"/>
      <w:r w:rsidRPr="00F37DF1">
        <w:rPr>
          <w:lang w:val="en-GB"/>
        </w:rPr>
        <w:t xml:space="preserve">, W.S., Liew, M.S. and Zawawi, N.A.W.A. (2016) ‘Identification of coordination factors affecting building projects performance’, </w:t>
      </w:r>
      <w:r w:rsidRPr="00F37DF1">
        <w:rPr>
          <w:i/>
          <w:iCs/>
          <w:lang w:val="en-GB"/>
        </w:rPr>
        <w:t>Alexandria Engineering Journal</w:t>
      </w:r>
      <w:r w:rsidRPr="00F37DF1">
        <w:rPr>
          <w:lang w:val="en-GB"/>
        </w:rPr>
        <w:t xml:space="preserve">, 55(3), pp. 2689–2698. Available at: </w:t>
      </w:r>
      <w:hyperlink r:id="rId9" w:history="1">
        <w:r w:rsidRPr="00F37DF1">
          <w:rPr>
            <w:rStyle w:val="Hyperlink"/>
            <w:lang w:val="en-GB"/>
          </w:rPr>
          <w:t>https://doi.org/10.1016/j.aej.2016.06.010</w:t>
        </w:r>
      </w:hyperlink>
      <w:r w:rsidRPr="00F37DF1">
        <w:rPr>
          <w:lang w:val="en-GB"/>
        </w:rPr>
        <w:t xml:space="preserve"> (Accessed: 15 August 2026).</w:t>
      </w:r>
    </w:p>
    <w:p w14:paraId="6543AFD8" w14:textId="77777777" w:rsidR="002E2127" w:rsidRPr="00F37DF1" w:rsidRDefault="002E2127" w:rsidP="002E2127">
      <w:pPr>
        <w:ind w:left="720" w:hanging="720"/>
        <w:rPr>
          <w:lang w:val="en-GB"/>
        </w:rPr>
      </w:pPr>
      <w:r w:rsidRPr="00F37DF1">
        <w:rPr>
          <w:lang w:val="en-GB"/>
        </w:rPr>
        <w:t xml:space="preserve">Association for Project Management (2025) </w:t>
      </w:r>
      <w:r w:rsidRPr="00F37DF1">
        <w:rPr>
          <w:i/>
          <w:iCs/>
          <w:lang w:val="en-GB"/>
        </w:rPr>
        <w:t>APM Body of Knowledge</w:t>
      </w:r>
      <w:r w:rsidRPr="00F37DF1">
        <w:rPr>
          <w:lang w:val="en-GB"/>
        </w:rPr>
        <w:t xml:space="preserve">. 8th </w:t>
      </w:r>
      <w:proofErr w:type="spellStart"/>
      <w:r w:rsidRPr="00F37DF1">
        <w:rPr>
          <w:lang w:val="en-GB"/>
        </w:rPr>
        <w:t>edn</w:t>
      </w:r>
      <w:proofErr w:type="spellEnd"/>
      <w:r w:rsidRPr="00F37DF1">
        <w:rPr>
          <w:lang w:val="en-GB"/>
        </w:rPr>
        <w:t>. Princes Risborough: Association for Project Management.</w:t>
      </w:r>
    </w:p>
    <w:p w14:paraId="70BDE53B" w14:textId="5C26AE7B" w:rsidR="002E2127" w:rsidRPr="00F37DF1" w:rsidRDefault="005E1C2D" w:rsidP="002E2127">
      <w:pPr>
        <w:ind w:left="720" w:hanging="720"/>
        <w:rPr>
          <w:lang w:val="en-GB"/>
        </w:rPr>
      </w:pPr>
      <w:r>
        <w:rPr>
          <w:lang w:val="en-GB"/>
        </w:rPr>
        <w:t>Association for Project Management (2025) APM Body of Knowledge</w:t>
      </w:r>
      <w:r w:rsidR="002E2127" w:rsidRPr="00F37DF1">
        <w:rPr>
          <w:lang w:val="en-GB"/>
        </w:rPr>
        <w:t xml:space="preserve">. Available at: </w:t>
      </w:r>
      <w:hyperlink r:id="rId10" w:history="1">
        <w:r w:rsidR="002E2127" w:rsidRPr="00F37DF1">
          <w:rPr>
            <w:rStyle w:val="Hyperlink"/>
            <w:lang w:val="en-GB"/>
          </w:rPr>
          <w:t>https://www.gov.uk/government/publications/the-sourcing-and-consultancy-playbooks/risk-allocation-and-pricing-approaches-guidance-note-html</w:t>
        </w:r>
      </w:hyperlink>
      <w:r w:rsidR="002E2127" w:rsidRPr="00F37DF1">
        <w:rPr>
          <w:lang w:val="en-GB"/>
        </w:rPr>
        <w:t xml:space="preserve"> (Accessed: 15 August 2026).</w:t>
      </w:r>
    </w:p>
    <w:p w14:paraId="400FFAA0" w14:textId="77777777" w:rsidR="002E2127" w:rsidRPr="00F37DF1" w:rsidRDefault="002E2127" w:rsidP="002E2127">
      <w:pPr>
        <w:ind w:left="720" w:hanging="720"/>
        <w:rPr>
          <w:lang w:val="en-GB"/>
        </w:rPr>
      </w:pPr>
      <w:r w:rsidRPr="00F37DF1">
        <w:rPr>
          <w:lang w:val="en-GB"/>
        </w:rPr>
        <w:t xml:space="preserve">Coase, R.H. (1937) ‘The nature of the firm’, </w:t>
      </w:r>
      <w:r w:rsidRPr="00F37DF1">
        <w:rPr>
          <w:i/>
          <w:iCs/>
          <w:lang w:val="en-GB"/>
        </w:rPr>
        <w:t>Economica</w:t>
      </w:r>
      <w:r w:rsidRPr="00F37DF1">
        <w:rPr>
          <w:lang w:val="en-GB"/>
        </w:rPr>
        <w:t xml:space="preserve">, 4(16), pp. 386–405. Available at: </w:t>
      </w:r>
      <w:hyperlink r:id="rId11" w:history="1">
        <w:r w:rsidRPr="00F37DF1">
          <w:rPr>
            <w:rStyle w:val="Hyperlink"/>
            <w:lang w:val="en-GB"/>
          </w:rPr>
          <w:t>https://doi.org/10.1111/j.1468-0335.1937.tb00002.x</w:t>
        </w:r>
      </w:hyperlink>
      <w:r w:rsidRPr="00F37DF1">
        <w:rPr>
          <w:lang w:val="en-GB"/>
        </w:rPr>
        <w:t xml:space="preserve"> (Accessed: 15 August 2026).</w:t>
      </w:r>
    </w:p>
    <w:p w14:paraId="400E9F12" w14:textId="77777777" w:rsidR="002E2127" w:rsidRPr="00F37DF1" w:rsidRDefault="002E2127" w:rsidP="002E2127">
      <w:pPr>
        <w:ind w:left="720" w:hanging="720"/>
        <w:rPr>
          <w:lang w:val="en-GB"/>
        </w:rPr>
      </w:pPr>
      <w:r w:rsidRPr="00F37DF1">
        <w:rPr>
          <w:lang w:val="en-GB"/>
        </w:rPr>
        <w:t xml:space="preserve">Fédération Internationale des </w:t>
      </w:r>
      <w:proofErr w:type="spellStart"/>
      <w:r w:rsidRPr="00F37DF1">
        <w:rPr>
          <w:lang w:val="en-GB"/>
        </w:rPr>
        <w:t>Ingénieurs</w:t>
      </w:r>
      <w:proofErr w:type="spellEnd"/>
      <w:r w:rsidRPr="00F37DF1">
        <w:rPr>
          <w:lang w:val="en-GB"/>
        </w:rPr>
        <w:t xml:space="preserve">-Conseils (FIDIC) (2017) </w:t>
      </w:r>
      <w:r w:rsidRPr="00F37DF1">
        <w:rPr>
          <w:i/>
          <w:iCs/>
          <w:lang w:val="en-GB"/>
        </w:rPr>
        <w:t>Conditions of Contract for EPC/Turnkey Projects (Silver Book)</w:t>
      </w:r>
      <w:r w:rsidRPr="00F37DF1">
        <w:rPr>
          <w:lang w:val="en-GB"/>
        </w:rPr>
        <w:t xml:space="preserve">. 2nd </w:t>
      </w:r>
      <w:proofErr w:type="spellStart"/>
      <w:r w:rsidRPr="00F37DF1">
        <w:rPr>
          <w:lang w:val="en-GB"/>
        </w:rPr>
        <w:t>edn</w:t>
      </w:r>
      <w:proofErr w:type="spellEnd"/>
      <w:r w:rsidRPr="00F37DF1">
        <w:rPr>
          <w:lang w:val="en-GB"/>
        </w:rPr>
        <w:t>. Geneva: FIDIC.</w:t>
      </w:r>
    </w:p>
    <w:p w14:paraId="0BF9524E" w14:textId="77777777" w:rsidR="002E2127" w:rsidRPr="00F37DF1" w:rsidRDefault="002E2127" w:rsidP="002E2127">
      <w:pPr>
        <w:ind w:left="720" w:hanging="720"/>
        <w:rPr>
          <w:lang w:val="en-GB"/>
        </w:rPr>
      </w:pPr>
      <w:r w:rsidRPr="00F37DF1">
        <w:rPr>
          <w:lang w:val="en-GB"/>
        </w:rPr>
        <w:t xml:space="preserve">Health and Safety Executive (2024) </w:t>
      </w:r>
      <w:r w:rsidRPr="00F37DF1">
        <w:rPr>
          <w:i/>
          <w:iCs/>
          <w:lang w:val="en-GB"/>
        </w:rPr>
        <w:t xml:space="preserve">Gas safety – </w:t>
      </w:r>
      <w:r>
        <w:rPr>
          <w:i/>
          <w:iCs/>
          <w:lang w:val="en-GB"/>
        </w:rPr>
        <w:t>homeowners</w:t>
      </w:r>
      <w:r w:rsidRPr="00F37DF1">
        <w:rPr>
          <w:lang w:val="en-GB"/>
        </w:rPr>
        <w:t xml:space="preserve">. Available at: </w:t>
      </w:r>
      <w:hyperlink r:id="rId12" w:history="1">
        <w:r w:rsidRPr="00F37DF1">
          <w:rPr>
            <w:rStyle w:val="Hyperlink"/>
            <w:lang w:val="en-GB"/>
          </w:rPr>
          <w:t>https://www.hse.gov.uk/gas/domestic/faqownerocc.htm</w:t>
        </w:r>
      </w:hyperlink>
      <w:r w:rsidRPr="00F37DF1">
        <w:rPr>
          <w:lang w:val="en-GB"/>
        </w:rPr>
        <w:t xml:space="preserve"> (Accessed: 15 August 2026).</w:t>
      </w:r>
    </w:p>
    <w:p w14:paraId="76D728DD" w14:textId="77777777" w:rsidR="002E2127" w:rsidRDefault="002E2127" w:rsidP="002E2127">
      <w:pPr>
        <w:ind w:left="720" w:hanging="720"/>
        <w:rPr>
          <w:lang w:val="en-GB"/>
        </w:rPr>
      </w:pPr>
      <w:r w:rsidRPr="00F37DF1">
        <w:rPr>
          <w:lang w:val="en-GB"/>
        </w:rPr>
        <w:t xml:space="preserve">Health and Safety Executive (2025) </w:t>
      </w:r>
      <w:r w:rsidRPr="00F37DF1">
        <w:rPr>
          <w:i/>
          <w:iCs/>
          <w:lang w:val="en-GB"/>
        </w:rPr>
        <w:t>Domestic clients: roles and responsibilities</w:t>
      </w:r>
      <w:r w:rsidRPr="00F37DF1">
        <w:rPr>
          <w:lang w:val="en-GB"/>
        </w:rPr>
        <w:t>.</w:t>
      </w:r>
    </w:p>
    <w:p w14:paraId="37479EC5" w14:textId="77777777" w:rsidR="002E2127" w:rsidRPr="00F37DF1" w:rsidRDefault="002E2127" w:rsidP="002E2127">
      <w:pPr>
        <w:ind w:left="720"/>
        <w:rPr>
          <w:lang w:val="en-GB"/>
        </w:rPr>
      </w:pPr>
      <w:r w:rsidRPr="00F37DF1">
        <w:rPr>
          <w:lang w:val="en-GB"/>
        </w:rPr>
        <w:t xml:space="preserve">Available at: </w:t>
      </w:r>
      <w:hyperlink r:id="rId13" w:history="1">
        <w:r w:rsidRPr="00F37DF1">
          <w:rPr>
            <w:rStyle w:val="Hyperlink"/>
            <w:lang w:val="en-GB"/>
          </w:rPr>
          <w:t>https://www.hse.gov.uk/construction/cdm/2015/domestic-clients.htm</w:t>
        </w:r>
      </w:hyperlink>
      <w:r w:rsidRPr="00F37DF1">
        <w:rPr>
          <w:lang w:val="en-GB"/>
        </w:rPr>
        <w:t xml:space="preserve"> (Accessed: 15 August 2026).</w:t>
      </w:r>
    </w:p>
    <w:p w14:paraId="51A2C867" w14:textId="77777777" w:rsidR="002E2127" w:rsidRPr="00F37DF1" w:rsidRDefault="002E2127" w:rsidP="002E2127">
      <w:pPr>
        <w:ind w:left="720" w:hanging="720"/>
        <w:rPr>
          <w:lang w:val="en-GB"/>
        </w:rPr>
      </w:pPr>
      <w:r w:rsidRPr="00F37DF1">
        <w:rPr>
          <w:lang w:val="en-GB"/>
        </w:rPr>
        <w:t xml:space="preserve">Konchar, M. and </w:t>
      </w:r>
      <w:proofErr w:type="spellStart"/>
      <w:r w:rsidRPr="00F37DF1">
        <w:rPr>
          <w:lang w:val="en-GB"/>
        </w:rPr>
        <w:t>Sanvido</w:t>
      </w:r>
      <w:proofErr w:type="spellEnd"/>
      <w:r w:rsidRPr="00F37DF1">
        <w:rPr>
          <w:lang w:val="en-GB"/>
        </w:rPr>
        <w:t xml:space="preserve">, V. (1998) ‘Comparison of U.S. project delivery systems’, </w:t>
      </w:r>
      <w:r w:rsidRPr="00F37DF1">
        <w:rPr>
          <w:i/>
          <w:iCs/>
          <w:lang w:val="en-GB"/>
        </w:rPr>
        <w:t>Journal of Construction Engineering and Management</w:t>
      </w:r>
      <w:r w:rsidRPr="00F37DF1">
        <w:rPr>
          <w:lang w:val="en-GB"/>
        </w:rPr>
        <w:t xml:space="preserve">, 124(6), pp. 435–444. Available at: </w:t>
      </w:r>
      <w:hyperlink r:id="rId14" w:history="1">
        <w:r w:rsidRPr="00F37DF1">
          <w:rPr>
            <w:rStyle w:val="Hyperlink"/>
            <w:lang w:val="en-GB"/>
          </w:rPr>
          <w:t>https://doi.org/10.1061/(ASCE)0733-9364(1998)124:6(435)</w:t>
        </w:r>
      </w:hyperlink>
      <w:r w:rsidRPr="00F37DF1">
        <w:rPr>
          <w:lang w:val="en-GB"/>
        </w:rPr>
        <w:t xml:space="preserve"> (Accessed: 15 August 2026).</w:t>
      </w:r>
    </w:p>
    <w:p w14:paraId="6CEEF347" w14:textId="77777777" w:rsidR="002E2127" w:rsidRPr="00F37DF1" w:rsidRDefault="002E2127" w:rsidP="002E2127">
      <w:pPr>
        <w:ind w:left="720" w:hanging="720"/>
        <w:rPr>
          <w:lang w:val="en-GB"/>
        </w:rPr>
      </w:pPr>
      <w:r w:rsidRPr="00F37DF1">
        <w:rPr>
          <w:lang w:val="en-GB"/>
        </w:rPr>
        <w:t xml:space="preserve">Planning Portal (no date) </w:t>
      </w:r>
      <w:r w:rsidRPr="00F37DF1">
        <w:rPr>
          <w:i/>
          <w:iCs/>
          <w:lang w:val="en-GB"/>
        </w:rPr>
        <w:t>Building Regulations: General information – electrics</w:t>
      </w:r>
      <w:r w:rsidRPr="00F37DF1">
        <w:rPr>
          <w:lang w:val="en-GB"/>
        </w:rPr>
        <w:t xml:space="preserve">. Available at: </w:t>
      </w:r>
      <w:hyperlink r:id="rId15" w:history="1">
        <w:r w:rsidRPr="00F37DF1">
          <w:rPr>
            <w:rStyle w:val="Hyperlink"/>
            <w:lang w:val="en-GB"/>
          </w:rPr>
          <w:t>https://www.planningportal.co.uk/permission/common-projects/electrics/building-regulations-general-information/</w:t>
        </w:r>
      </w:hyperlink>
      <w:r w:rsidRPr="00F37DF1">
        <w:rPr>
          <w:lang w:val="en-GB"/>
        </w:rPr>
        <w:t xml:space="preserve"> (Accessed: 15 August 2026).</w:t>
      </w:r>
    </w:p>
    <w:p w14:paraId="25F7DF29" w14:textId="77777777" w:rsidR="002E2127" w:rsidRPr="00F37DF1" w:rsidRDefault="002E2127" w:rsidP="002E2127">
      <w:pPr>
        <w:ind w:left="720" w:hanging="720"/>
        <w:rPr>
          <w:lang w:val="en-GB"/>
        </w:rPr>
      </w:pPr>
      <w:r w:rsidRPr="00F37DF1">
        <w:rPr>
          <w:lang w:val="en-GB"/>
        </w:rPr>
        <w:lastRenderedPageBreak/>
        <w:t xml:space="preserve">Rojas, E.M. (2008) ‘Single versus multiple prime contracting’, </w:t>
      </w:r>
      <w:r w:rsidRPr="00F37DF1">
        <w:rPr>
          <w:i/>
          <w:iCs/>
          <w:lang w:val="en-GB"/>
        </w:rPr>
        <w:t>Journal of Construction Engineering and Management</w:t>
      </w:r>
      <w:r w:rsidRPr="00F37DF1">
        <w:rPr>
          <w:lang w:val="en-GB"/>
        </w:rPr>
        <w:t xml:space="preserve">, 134(10), pp. 758–765. Available at: </w:t>
      </w:r>
      <w:hyperlink r:id="rId16" w:history="1">
        <w:r w:rsidRPr="00F37DF1">
          <w:rPr>
            <w:rStyle w:val="Hyperlink"/>
            <w:lang w:val="en-GB"/>
          </w:rPr>
          <w:t>https://doi.org/10.1061/(ASCE)0733-9364(2008)134:10(758)</w:t>
        </w:r>
      </w:hyperlink>
      <w:r w:rsidRPr="00F37DF1">
        <w:rPr>
          <w:lang w:val="en-GB"/>
        </w:rPr>
        <w:t xml:space="preserve"> (Accessed: 15 August 2026).</w:t>
      </w:r>
    </w:p>
    <w:p w14:paraId="2A6DE997" w14:textId="77777777" w:rsidR="00C76781" w:rsidRDefault="00C76781" w:rsidP="00FE69D0"/>
    <w:p w14:paraId="03479194" w14:textId="77777777" w:rsidR="00C76781" w:rsidRDefault="00C76781" w:rsidP="00FE69D0"/>
    <w:p w14:paraId="3CB90E73" w14:textId="77777777" w:rsidR="00C76781" w:rsidRDefault="00C76781" w:rsidP="00FE69D0"/>
    <w:p w14:paraId="54B6C666" w14:textId="77777777" w:rsidR="002F2881" w:rsidRDefault="002F2881" w:rsidP="00FE69D0"/>
    <w:sectPr w:rsidR="002F288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6E885" w14:textId="77777777" w:rsidR="00DF5773" w:rsidRDefault="00DF5773" w:rsidP="004D4E68">
      <w:pPr>
        <w:spacing w:after="0" w:line="240" w:lineRule="auto"/>
      </w:pPr>
      <w:r>
        <w:separator/>
      </w:r>
    </w:p>
  </w:endnote>
  <w:endnote w:type="continuationSeparator" w:id="0">
    <w:p w14:paraId="4F0F1895" w14:textId="77777777" w:rsidR="00DF5773" w:rsidRDefault="00DF5773" w:rsidP="004D4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252188"/>
      <w:docPartObj>
        <w:docPartGallery w:val="Page Numbers (Bottom of Page)"/>
        <w:docPartUnique/>
      </w:docPartObj>
    </w:sdtPr>
    <w:sdtEndPr>
      <w:rPr>
        <w:noProof/>
      </w:rPr>
    </w:sdtEndPr>
    <w:sdtContent>
      <w:p w14:paraId="5261B213" w14:textId="3A1A121E" w:rsidR="004D4E68" w:rsidRDefault="004D4E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39988" w14:textId="77777777" w:rsidR="004D4E68" w:rsidRDefault="004D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6A52C" w14:textId="77777777" w:rsidR="00DF5773" w:rsidRDefault="00DF5773" w:rsidP="004D4E68">
      <w:pPr>
        <w:spacing w:after="0" w:line="240" w:lineRule="auto"/>
      </w:pPr>
      <w:r>
        <w:separator/>
      </w:r>
    </w:p>
  </w:footnote>
  <w:footnote w:type="continuationSeparator" w:id="0">
    <w:p w14:paraId="622D5902" w14:textId="77777777" w:rsidR="00DF5773" w:rsidRDefault="00DF5773" w:rsidP="004D4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31D72"/>
    <w:multiLevelType w:val="multilevel"/>
    <w:tmpl w:val="C26A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77976"/>
    <w:multiLevelType w:val="multilevel"/>
    <w:tmpl w:val="12DCD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4C2365"/>
    <w:multiLevelType w:val="multilevel"/>
    <w:tmpl w:val="262A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C855C0"/>
    <w:multiLevelType w:val="hybridMultilevel"/>
    <w:tmpl w:val="0A108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D65BE4"/>
    <w:multiLevelType w:val="multilevel"/>
    <w:tmpl w:val="E2F4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B729EC"/>
    <w:multiLevelType w:val="multilevel"/>
    <w:tmpl w:val="FDDED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525CE"/>
    <w:multiLevelType w:val="hybridMultilevel"/>
    <w:tmpl w:val="1CFC7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216622">
    <w:abstractNumId w:val="2"/>
  </w:num>
  <w:num w:numId="2" w16cid:durableId="614945210">
    <w:abstractNumId w:val="7"/>
  </w:num>
  <w:num w:numId="3" w16cid:durableId="1873616278">
    <w:abstractNumId w:val="5"/>
  </w:num>
  <w:num w:numId="4" w16cid:durableId="699281265">
    <w:abstractNumId w:val="1"/>
  </w:num>
  <w:num w:numId="5" w16cid:durableId="744766234">
    <w:abstractNumId w:val="3"/>
  </w:num>
  <w:num w:numId="6" w16cid:durableId="1121459156">
    <w:abstractNumId w:val="0"/>
  </w:num>
  <w:num w:numId="7" w16cid:durableId="1519002405">
    <w:abstractNumId w:val="6"/>
  </w:num>
  <w:num w:numId="8" w16cid:durableId="1317148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68"/>
    <w:rsid w:val="00013AC4"/>
    <w:rsid w:val="00023DB2"/>
    <w:rsid w:val="000407FD"/>
    <w:rsid w:val="00063860"/>
    <w:rsid w:val="0006560A"/>
    <w:rsid w:val="000D0B65"/>
    <w:rsid w:val="00162559"/>
    <w:rsid w:val="00180F4A"/>
    <w:rsid w:val="00193CA5"/>
    <w:rsid w:val="001A2B2A"/>
    <w:rsid w:val="001C183F"/>
    <w:rsid w:val="001C5102"/>
    <w:rsid w:val="001D3914"/>
    <w:rsid w:val="001E3BE1"/>
    <w:rsid w:val="001F038D"/>
    <w:rsid w:val="001F2885"/>
    <w:rsid w:val="001F3245"/>
    <w:rsid w:val="0021186F"/>
    <w:rsid w:val="002C13DA"/>
    <w:rsid w:val="002D70F3"/>
    <w:rsid w:val="002E2127"/>
    <w:rsid w:val="002E3D0A"/>
    <w:rsid w:val="002E4C2F"/>
    <w:rsid w:val="002F2881"/>
    <w:rsid w:val="00322D0B"/>
    <w:rsid w:val="00375682"/>
    <w:rsid w:val="003832A0"/>
    <w:rsid w:val="004363DE"/>
    <w:rsid w:val="00457C48"/>
    <w:rsid w:val="00463C22"/>
    <w:rsid w:val="00484C0A"/>
    <w:rsid w:val="004D11D8"/>
    <w:rsid w:val="004D4E68"/>
    <w:rsid w:val="005508F2"/>
    <w:rsid w:val="0057379C"/>
    <w:rsid w:val="00592956"/>
    <w:rsid w:val="005C7FD7"/>
    <w:rsid w:val="005E1C2D"/>
    <w:rsid w:val="006052FB"/>
    <w:rsid w:val="00623885"/>
    <w:rsid w:val="006243EB"/>
    <w:rsid w:val="006728E6"/>
    <w:rsid w:val="006D7719"/>
    <w:rsid w:val="006F5A2D"/>
    <w:rsid w:val="006F6A71"/>
    <w:rsid w:val="007178F4"/>
    <w:rsid w:val="007451FE"/>
    <w:rsid w:val="007527D9"/>
    <w:rsid w:val="0079362E"/>
    <w:rsid w:val="007D300B"/>
    <w:rsid w:val="007D587E"/>
    <w:rsid w:val="00822368"/>
    <w:rsid w:val="00855389"/>
    <w:rsid w:val="00874D99"/>
    <w:rsid w:val="008754C7"/>
    <w:rsid w:val="00892CF2"/>
    <w:rsid w:val="00896D79"/>
    <w:rsid w:val="008A62D6"/>
    <w:rsid w:val="008D1536"/>
    <w:rsid w:val="008E27EC"/>
    <w:rsid w:val="008F42B8"/>
    <w:rsid w:val="008F552E"/>
    <w:rsid w:val="00952D90"/>
    <w:rsid w:val="00963220"/>
    <w:rsid w:val="009E5D84"/>
    <w:rsid w:val="00A42B1F"/>
    <w:rsid w:val="00A475B8"/>
    <w:rsid w:val="00A650C1"/>
    <w:rsid w:val="00AA2366"/>
    <w:rsid w:val="00AB1523"/>
    <w:rsid w:val="00AD122C"/>
    <w:rsid w:val="00AF772F"/>
    <w:rsid w:val="00B30D25"/>
    <w:rsid w:val="00B67883"/>
    <w:rsid w:val="00BA129A"/>
    <w:rsid w:val="00BB01A5"/>
    <w:rsid w:val="00BF517C"/>
    <w:rsid w:val="00BF5CCE"/>
    <w:rsid w:val="00C03492"/>
    <w:rsid w:val="00C63927"/>
    <w:rsid w:val="00C76781"/>
    <w:rsid w:val="00C97922"/>
    <w:rsid w:val="00D238F3"/>
    <w:rsid w:val="00D24C22"/>
    <w:rsid w:val="00DB2E0A"/>
    <w:rsid w:val="00DD3CF2"/>
    <w:rsid w:val="00DE6EE0"/>
    <w:rsid w:val="00DF5773"/>
    <w:rsid w:val="00E07036"/>
    <w:rsid w:val="00E50D82"/>
    <w:rsid w:val="00E94DEC"/>
    <w:rsid w:val="00EB26E7"/>
    <w:rsid w:val="00EF18B4"/>
    <w:rsid w:val="00EF6F1A"/>
    <w:rsid w:val="00F06214"/>
    <w:rsid w:val="00F16AE4"/>
    <w:rsid w:val="00F403F3"/>
    <w:rsid w:val="00F87641"/>
    <w:rsid w:val="00FD71C2"/>
    <w:rsid w:val="00FE69D0"/>
    <w:rsid w:val="00FF047A"/>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2B6F8"/>
  <w15:chartTrackingRefBased/>
  <w15:docId w15:val="{7606E6E0-AC2E-4308-8996-DD6A4A35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4D4E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4E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4E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4E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4E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4E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4D4E68"/>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4D4E68"/>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4D4E68"/>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4D4E68"/>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4D4E68"/>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4D4E68"/>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4D4E68"/>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E68"/>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4D4E6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E68"/>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4D4E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E68"/>
    <w:rPr>
      <w:rFonts w:ascii="Arial" w:hAnsi="Arial"/>
      <w:i/>
      <w:iCs/>
      <w:color w:val="404040" w:themeColor="text1" w:themeTint="BF"/>
      <w:sz w:val="24"/>
      <w:lang w:val="en-US"/>
    </w:rPr>
  </w:style>
  <w:style w:type="paragraph" w:styleId="ListParagraph">
    <w:name w:val="List Paragraph"/>
    <w:basedOn w:val="Normal"/>
    <w:uiPriority w:val="34"/>
    <w:qFormat/>
    <w:rsid w:val="004D4E68"/>
    <w:pPr>
      <w:ind w:left="720"/>
      <w:contextualSpacing/>
    </w:pPr>
  </w:style>
  <w:style w:type="character" w:styleId="IntenseEmphasis">
    <w:name w:val="Intense Emphasis"/>
    <w:basedOn w:val="DefaultParagraphFont"/>
    <w:uiPriority w:val="21"/>
    <w:qFormat/>
    <w:rsid w:val="004D4E68"/>
    <w:rPr>
      <w:i/>
      <w:iCs/>
      <w:color w:val="0F4761" w:themeColor="accent1" w:themeShade="BF"/>
    </w:rPr>
  </w:style>
  <w:style w:type="paragraph" w:styleId="IntenseQuote">
    <w:name w:val="Intense Quote"/>
    <w:basedOn w:val="Normal"/>
    <w:next w:val="Normal"/>
    <w:link w:val="IntenseQuoteChar"/>
    <w:uiPriority w:val="30"/>
    <w:qFormat/>
    <w:rsid w:val="004D4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E68"/>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4D4E68"/>
    <w:rPr>
      <w:b/>
      <w:bCs/>
      <w:smallCaps/>
      <w:color w:val="0F4761" w:themeColor="accent1" w:themeShade="BF"/>
      <w:spacing w:val="5"/>
    </w:rPr>
  </w:style>
  <w:style w:type="paragraph" w:styleId="Header">
    <w:name w:val="header"/>
    <w:basedOn w:val="Normal"/>
    <w:link w:val="HeaderChar"/>
    <w:uiPriority w:val="99"/>
    <w:unhideWhenUsed/>
    <w:rsid w:val="004D4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E68"/>
    <w:rPr>
      <w:rFonts w:ascii="Arial" w:hAnsi="Arial"/>
      <w:sz w:val="24"/>
      <w:lang w:val="en-US"/>
    </w:rPr>
  </w:style>
  <w:style w:type="paragraph" w:styleId="Footer">
    <w:name w:val="footer"/>
    <w:basedOn w:val="Normal"/>
    <w:link w:val="FooterChar"/>
    <w:uiPriority w:val="99"/>
    <w:unhideWhenUsed/>
    <w:rsid w:val="004D4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E68"/>
    <w:rPr>
      <w:rFonts w:ascii="Arial" w:hAnsi="Arial"/>
      <w:sz w:val="24"/>
      <w:lang w:val="en-US"/>
    </w:rPr>
  </w:style>
  <w:style w:type="character" w:styleId="Hyperlink">
    <w:name w:val="Hyperlink"/>
    <w:basedOn w:val="DefaultParagraphFont"/>
    <w:uiPriority w:val="99"/>
    <w:unhideWhenUsed/>
    <w:rsid w:val="00C97922"/>
    <w:rPr>
      <w:color w:val="467886" w:themeColor="hyperlink"/>
      <w:u w:val="single"/>
    </w:rPr>
  </w:style>
  <w:style w:type="character" w:styleId="UnresolvedMention">
    <w:name w:val="Unresolved Mention"/>
    <w:basedOn w:val="DefaultParagraphFont"/>
    <w:uiPriority w:val="99"/>
    <w:semiHidden/>
    <w:unhideWhenUsed/>
    <w:rsid w:val="00C97922"/>
    <w:rPr>
      <w:color w:val="605E5C"/>
      <w:shd w:val="clear" w:color="auto" w:fill="E1DFDD"/>
    </w:rPr>
  </w:style>
  <w:style w:type="paragraph" w:styleId="TOCHeading">
    <w:name w:val="TOC Heading"/>
    <w:basedOn w:val="Heading1"/>
    <w:next w:val="Normal"/>
    <w:uiPriority w:val="39"/>
    <w:unhideWhenUsed/>
    <w:qFormat/>
    <w:rsid w:val="006D7719"/>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6D7719"/>
    <w:pPr>
      <w:spacing w:after="100"/>
    </w:pPr>
  </w:style>
  <w:style w:type="table" w:styleId="TableGrid">
    <w:name w:val="Table Grid"/>
    <w:basedOn w:val="TableNormal"/>
    <w:uiPriority w:val="39"/>
    <w:rsid w:val="00C639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D300B"/>
    <w:rPr>
      <w:color w:val="96607D" w:themeColor="followedHyperlink"/>
      <w:u w:val="single"/>
    </w:rPr>
  </w:style>
  <w:style w:type="paragraph" w:styleId="TOC2">
    <w:name w:val="toc 2"/>
    <w:basedOn w:val="Normal"/>
    <w:next w:val="Normal"/>
    <w:autoRedefine/>
    <w:uiPriority w:val="39"/>
    <w:unhideWhenUsed/>
    <w:rsid w:val="001F288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e.gov.uk/construction/cdm/2015/domestic-clients.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gas/domestic/faqownerocc.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61/(ASCE)0733-9364(2008)134:10(7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468-0335.1937.tb00002.x" TargetMode="External"/><Relationship Id="rId5" Type="http://schemas.openxmlformats.org/officeDocument/2006/relationships/webSettings" Target="webSettings.xml"/><Relationship Id="rId15" Type="http://schemas.openxmlformats.org/officeDocument/2006/relationships/hyperlink" Target="https://www.planningportal.co.uk/permission/common-projects/electrics/building-regulations-general-information/" TargetMode="External"/><Relationship Id="rId10" Type="http://schemas.openxmlformats.org/officeDocument/2006/relationships/hyperlink" Target="https://www.gov.uk/government/publications/the-sourcing-and-consultancy-playbooks/risk-allocation-and-pricing-approaches-guidance-not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aej.2016.06.010" TargetMode="External"/><Relationship Id="rId14" Type="http://schemas.openxmlformats.org/officeDocument/2006/relationships/hyperlink" Target="https://doi.org/10.1061/(ASCE)0733-9364(1998)124:6(4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E15AB5-AED8-4B20-8628-4D90F13A5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2892</Words>
  <Characters>16486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Constantin Iftimie</cp:lastModifiedBy>
  <cp:revision>8</cp:revision>
  <dcterms:created xsi:type="dcterms:W3CDTF">2026-08-15T18:48:00Z</dcterms:created>
  <dcterms:modified xsi:type="dcterms:W3CDTF">2026-08-15T18:52:00Z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152eda54-5d11-4350-86e7-39b835d46cb6</vt:lpwstr>
  </property>
</Properties>
</file>