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4CC" w:rsidRDefault="00B424CC" w:rsidP="00B509C5">
      <w:pPr>
        <w:spacing w:line="36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Reflections on how science is used in every day practise</w:t>
      </w:r>
    </w:p>
    <w:p w:rsidR="00B424CC" w:rsidRDefault="00B424CC" w:rsidP="00B509C5">
      <w:pPr>
        <w:spacing w:line="360" w:lineRule="auto"/>
        <w:contextualSpacing/>
        <w:rPr>
          <w:rFonts w:cstheme="minorHAnsi"/>
          <w:sz w:val="24"/>
          <w:szCs w:val="24"/>
        </w:rPr>
      </w:pPr>
    </w:p>
    <w:p w:rsidR="00B509C5" w:rsidRPr="00B509C5" w:rsidRDefault="00B424CC" w:rsidP="00B509C5">
      <w:pPr>
        <w:spacing w:line="36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Reflection</w:t>
      </w:r>
      <w:r w:rsidR="00B509C5" w:rsidRPr="00B509C5">
        <w:rPr>
          <w:rFonts w:cstheme="minorHAnsi"/>
          <w:sz w:val="24"/>
          <w:szCs w:val="24"/>
        </w:rPr>
        <w:t xml:space="preserve"> 1:</w:t>
      </w:r>
    </w:p>
    <w:p w:rsidR="0080442B" w:rsidRPr="00B509C5" w:rsidRDefault="006B6077" w:rsidP="0080442B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>I work as</w:t>
      </w:r>
      <w:r w:rsidR="0080442B" w:rsidRPr="00B509C5">
        <w:rPr>
          <w:rFonts w:cstheme="minorHAnsi"/>
          <w:sz w:val="24"/>
          <w:szCs w:val="24"/>
        </w:rPr>
        <w:t xml:space="preserve"> an occupational </w:t>
      </w:r>
      <w:r w:rsidRPr="00B509C5">
        <w:rPr>
          <w:rFonts w:cstheme="minorHAnsi"/>
          <w:sz w:val="24"/>
          <w:szCs w:val="24"/>
        </w:rPr>
        <w:t>therapy assistant practitioner</w:t>
      </w:r>
      <w:r w:rsidR="00CF7161" w:rsidRPr="00B509C5">
        <w:rPr>
          <w:rFonts w:cstheme="minorHAnsi"/>
          <w:sz w:val="24"/>
          <w:szCs w:val="24"/>
        </w:rPr>
        <w:t xml:space="preserve"> (OTA)</w:t>
      </w:r>
      <w:r w:rsidR="0080442B" w:rsidRPr="00B509C5">
        <w:rPr>
          <w:rFonts w:cstheme="minorHAnsi"/>
          <w:sz w:val="24"/>
          <w:szCs w:val="24"/>
        </w:rPr>
        <w:t xml:space="preserve"> on an acute inpatient mental health ward.  </w:t>
      </w:r>
      <w:r w:rsidRPr="00B509C5">
        <w:rPr>
          <w:rFonts w:cstheme="minorHAnsi"/>
          <w:sz w:val="24"/>
          <w:szCs w:val="24"/>
        </w:rPr>
        <w:t>Client GP is an individual diagnosed with a developmental disorder</w:t>
      </w:r>
      <w:r w:rsidR="00D651F0" w:rsidRPr="00B509C5">
        <w:rPr>
          <w:rFonts w:cstheme="minorHAnsi"/>
          <w:sz w:val="24"/>
          <w:szCs w:val="24"/>
        </w:rPr>
        <w:t xml:space="preserve"> (birth asphyxia)</w:t>
      </w:r>
      <w:r w:rsidRPr="00B509C5">
        <w:rPr>
          <w:rFonts w:cstheme="minorHAnsi"/>
          <w:sz w:val="24"/>
          <w:szCs w:val="24"/>
        </w:rPr>
        <w:t xml:space="preserve"> but is also presenting with delusional beliefs, he also has type two </w:t>
      </w:r>
      <w:r w:rsidR="007A24BE" w:rsidRPr="00B509C5">
        <w:rPr>
          <w:rFonts w:cstheme="minorHAnsi"/>
          <w:sz w:val="24"/>
          <w:szCs w:val="24"/>
        </w:rPr>
        <w:t>diabetes, which</w:t>
      </w:r>
      <w:r w:rsidRPr="00B509C5">
        <w:rPr>
          <w:rFonts w:cstheme="minorHAnsi"/>
          <w:sz w:val="24"/>
          <w:szCs w:val="24"/>
        </w:rPr>
        <w:t xml:space="preserve"> has caused peripheral neuropathy</w:t>
      </w:r>
      <w:r w:rsidR="00D651F0" w:rsidRPr="00B509C5">
        <w:rPr>
          <w:rFonts w:cstheme="minorHAnsi"/>
          <w:sz w:val="24"/>
          <w:szCs w:val="24"/>
        </w:rPr>
        <w:t xml:space="preserve"> (Weiner 2010)</w:t>
      </w:r>
      <w:r w:rsidRPr="00B509C5">
        <w:rPr>
          <w:rFonts w:cstheme="minorHAnsi"/>
          <w:sz w:val="24"/>
          <w:szCs w:val="24"/>
        </w:rPr>
        <w:t xml:space="preserve">; </w:t>
      </w:r>
      <w:r w:rsidR="00CF7161" w:rsidRPr="00B509C5">
        <w:rPr>
          <w:rFonts w:cstheme="minorHAnsi"/>
          <w:sz w:val="24"/>
          <w:szCs w:val="24"/>
        </w:rPr>
        <w:t>consequently,</w:t>
      </w:r>
      <w:r w:rsidRPr="00B509C5">
        <w:rPr>
          <w:rFonts w:cstheme="minorHAnsi"/>
          <w:sz w:val="24"/>
          <w:szCs w:val="24"/>
        </w:rPr>
        <w:t xml:space="preserve"> he is unable to walk safely and consistently. The science underpinning this includes anatomy and physiology,</w:t>
      </w:r>
      <w:r w:rsidR="00362A7F" w:rsidRPr="00B509C5">
        <w:rPr>
          <w:rFonts w:cstheme="minorHAnsi"/>
          <w:sz w:val="24"/>
          <w:szCs w:val="24"/>
        </w:rPr>
        <w:t xml:space="preserve"> neurophysiology,</w:t>
      </w:r>
      <w:r w:rsidR="00297FEC" w:rsidRPr="00B509C5">
        <w:rPr>
          <w:rFonts w:cstheme="minorHAnsi"/>
          <w:sz w:val="24"/>
          <w:szCs w:val="24"/>
        </w:rPr>
        <w:t xml:space="preserve"> </w:t>
      </w:r>
      <w:r w:rsidR="00FC52A8" w:rsidRPr="00B509C5">
        <w:rPr>
          <w:rFonts w:cstheme="minorHAnsi"/>
          <w:sz w:val="24"/>
          <w:szCs w:val="24"/>
        </w:rPr>
        <w:t xml:space="preserve">for understanding of the human body, muscles, bones, nerves, tendons </w:t>
      </w:r>
      <w:r w:rsidR="00CF7161" w:rsidRPr="00B509C5">
        <w:rPr>
          <w:rFonts w:cstheme="minorHAnsi"/>
          <w:sz w:val="24"/>
          <w:szCs w:val="24"/>
        </w:rPr>
        <w:t>etc.</w:t>
      </w:r>
      <w:r w:rsidR="00FC52A8" w:rsidRPr="00B509C5">
        <w:rPr>
          <w:rFonts w:cstheme="minorHAnsi"/>
          <w:sz w:val="24"/>
          <w:szCs w:val="24"/>
        </w:rPr>
        <w:t xml:space="preserve"> </w:t>
      </w:r>
      <w:r w:rsidR="00297FEC" w:rsidRPr="00B509C5">
        <w:rPr>
          <w:rFonts w:cstheme="minorHAnsi"/>
          <w:sz w:val="24"/>
          <w:szCs w:val="24"/>
        </w:rPr>
        <w:t>(Patton et al 2022)</w:t>
      </w:r>
      <w:r w:rsidRPr="00B509C5">
        <w:rPr>
          <w:rFonts w:cstheme="minorHAnsi"/>
          <w:sz w:val="24"/>
          <w:szCs w:val="24"/>
        </w:rPr>
        <w:t xml:space="preserve"> biomechanics</w:t>
      </w:r>
      <w:r w:rsidR="00FC52A8" w:rsidRPr="00B509C5">
        <w:rPr>
          <w:rFonts w:cstheme="minorHAnsi"/>
          <w:sz w:val="24"/>
          <w:szCs w:val="24"/>
        </w:rPr>
        <w:t xml:space="preserve"> for how the human body mobilises</w:t>
      </w:r>
      <w:r w:rsidRPr="00B509C5">
        <w:rPr>
          <w:rFonts w:cstheme="minorHAnsi"/>
          <w:sz w:val="24"/>
          <w:szCs w:val="24"/>
        </w:rPr>
        <w:t xml:space="preserve"> </w:t>
      </w:r>
      <w:r w:rsidR="00B12F56" w:rsidRPr="00B509C5">
        <w:rPr>
          <w:rFonts w:cstheme="minorHAnsi"/>
          <w:sz w:val="24"/>
          <w:szCs w:val="24"/>
        </w:rPr>
        <w:t xml:space="preserve">(Winter 2009) </w:t>
      </w:r>
      <w:r w:rsidRPr="00B509C5">
        <w:rPr>
          <w:rFonts w:cstheme="minorHAnsi"/>
          <w:sz w:val="24"/>
          <w:szCs w:val="24"/>
        </w:rPr>
        <w:t>and material sciences</w:t>
      </w:r>
      <w:r w:rsidR="00FC52A8" w:rsidRPr="00B509C5">
        <w:rPr>
          <w:rFonts w:cstheme="minorHAnsi"/>
          <w:sz w:val="24"/>
          <w:szCs w:val="24"/>
        </w:rPr>
        <w:t xml:space="preserve"> for any equipment needed</w:t>
      </w:r>
      <w:r w:rsidRPr="00B509C5">
        <w:rPr>
          <w:rFonts w:cstheme="minorHAnsi"/>
          <w:sz w:val="24"/>
          <w:szCs w:val="24"/>
        </w:rPr>
        <w:t xml:space="preserve">. GP was assessed walking and it was identified due to his impaired gait and fatigue, he would require a wheelchair for partial use of outdoors or long distances, and to use a walking frame indoors for short distances, therefore was prescribed these pieces of equipment for therapeutic use. </w:t>
      </w:r>
    </w:p>
    <w:p w:rsidR="006B6077" w:rsidRPr="00B509C5" w:rsidRDefault="007A24BE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 xml:space="preserve">Due to an understanding of pathophysiology, </w:t>
      </w:r>
      <w:r w:rsidR="00362A7F" w:rsidRPr="00B509C5">
        <w:rPr>
          <w:rFonts w:cstheme="minorHAnsi"/>
          <w:sz w:val="24"/>
          <w:szCs w:val="24"/>
        </w:rPr>
        <w:t>I recognised</w:t>
      </w:r>
      <w:r w:rsidRPr="00B509C5">
        <w:rPr>
          <w:rFonts w:cstheme="minorHAnsi"/>
          <w:sz w:val="24"/>
          <w:szCs w:val="24"/>
        </w:rPr>
        <w:t xml:space="preserve"> there is a risk of falls due to</w:t>
      </w:r>
      <w:r w:rsidR="00362A7F" w:rsidRPr="00B509C5">
        <w:rPr>
          <w:rFonts w:cstheme="minorHAnsi"/>
          <w:sz w:val="24"/>
          <w:szCs w:val="24"/>
        </w:rPr>
        <w:t xml:space="preserve"> peripheral neuropathy</w:t>
      </w:r>
      <w:r w:rsidR="00FA3622" w:rsidRPr="00B509C5">
        <w:rPr>
          <w:rFonts w:cstheme="minorHAnsi"/>
          <w:sz w:val="24"/>
          <w:szCs w:val="24"/>
        </w:rPr>
        <w:t>;</w:t>
      </w:r>
      <w:r w:rsidRPr="00B509C5">
        <w:rPr>
          <w:rFonts w:cstheme="minorHAnsi"/>
          <w:sz w:val="24"/>
          <w:szCs w:val="24"/>
        </w:rPr>
        <w:t xml:space="preserve"> lack of control and feeling in the feet</w:t>
      </w:r>
      <w:r w:rsidR="00FA3622" w:rsidRPr="00B509C5">
        <w:rPr>
          <w:rFonts w:cstheme="minorHAnsi"/>
          <w:sz w:val="24"/>
          <w:szCs w:val="24"/>
        </w:rPr>
        <w:t xml:space="preserve"> (</w:t>
      </w:r>
      <w:r w:rsidR="00FA3622" w:rsidRPr="00B509C5">
        <w:rPr>
          <w:rFonts w:cstheme="minorHAnsi"/>
          <w:sz w:val="24"/>
          <w:szCs w:val="24"/>
        </w:rPr>
        <w:t>Oguntibeju</w:t>
      </w:r>
      <w:r w:rsidR="00FA3622" w:rsidRPr="00B509C5">
        <w:rPr>
          <w:rFonts w:cstheme="minorHAnsi"/>
          <w:sz w:val="24"/>
          <w:szCs w:val="24"/>
        </w:rPr>
        <w:t xml:space="preserve"> 2012)</w:t>
      </w:r>
      <w:r w:rsidRPr="00B509C5">
        <w:rPr>
          <w:rFonts w:cstheme="minorHAnsi"/>
          <w:sz w:val="24"/>
          <w:szCs w:val="24"/>
        </w:rPr>
        <w:t xml:space="preserve">. Due to GPs mental state, he was also a risk of violence and lack of appraisal of his skills, which staff felt giving a walking frame would increase his risk of violence. </w:t>
      </w:r>
      <w:r w:rsidR="00362A7F" w:rsidRPr="00B509C5">
        <w:rPr>
          <w:rFonts w:cstheme="minorHAnsi"/>
          <w:sz w:val="24"/>
          <w:szCs w:val="24"/>
        </w:rPr>
        <w:t>However,</w:t>
      </w:r>
      <w:r w:rsidRPr="00B509C5">
        <w:rPr>
          <w:rFonts w:cstheme="minorHAnsi"/>
          <w:sz w:val="24"/>
          <w:szCs w:val="24"/>
        </w:rPr>
        <w:t xml:space="preserve"> I had an appreciation and understanding of cognitive science- I understood GPs appraisal of his skills and his motivation to be more independent which would reduce the risk and therefore be an example of positive risk taking</w:t>
      </w:r>
      <w:r w:rsidR="00C375B8" w:rsidRPr="00B509C5">
        <w:rPr>
          <w:rFonts w:cstheme="minorHAnsi"/>
          <w:sz w:val="24"/>
          <w:szCs w:val="24"/>
        </w:rPr>
        <w:t xml:space="preserve"> (National Institute for Health and Care Excellence 2023)</w:t>
      </w:r>
      <w:r w:rsidRPr="00B509C5">
        <w:rPr>
          <w:rFonts w:cstheme="minorHAnsi"/>
          <w:sz w:val="24"/>
          <w:szCs w:val="24"/>
        </w:rPr>
        <w:t xml:space="preserve">. </w:t>
      </w:r>
    </w:p>
    <w:p w:rsidR="007A24BE" w:rsidRPr="00B509C5" w:rsidRDefault="00362A7F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 xml:space="preserve">A better understanding of the pathophysiology regarding diabetes in regards to how it influences fatigue may have been useful in supporting diet and energy. </w:t>
      </w:r>
    </w:p>
    <w:p w:rsidR="007A24BE" w:rsidRPr="00B509C5" w:rsidRDefault="007A24BE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</w:p>
    <w:p w:rsidR="00297FEC" w:rsidRPr="00B509C5" w:rsidRDefault="00297FEC" w:rsidP="00B509C5">
      <w:pPr>
        <w:spacing w:line="360" w:lineRule="auto"/>
        <w:contextualSpacing/>
        <w:rPr>
          <w:rFonts w:cstheme="minorHAnsi"/>
          <w:sz w:val="24"/>
          <w:szCs w:val="24"/>
          <w:u w:val="single"/>
        </w:rPr>
      </w:pPr>
      <w:r w:rsidRPr="00B509C5">
        <w:rPr>
          <w:rFonts w:cstheme="minorHAnsi"/>
          <w:sz w:val="24"/>
          <w:szCs w:val="24"/>
          <w:u w:val="single"/>
        </w:rPr>
        <w:t>References</w:t>
      </w:r>
      <w:r w:rsidR="00B509C5">
        <w:rPr>
          <w:rFonts w:cstheme="minorHAnsi"/>
          <w:sz w:val="24"/>
          <w:szCs w:val="24"/>
          <w:u w:val="single"/>
        </w:rPr>
        <w:t>:</w:t>
      </w:r>
    </w:p>
    <w:p w:rsidR="00297FEC" w:rsidRPr="00B509C5" w:rsidRDefault="00C375B8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 xml:space="preserve">National Institute for Health and Care Excellence (2023) Promoting independence through intermediate care: Risk. Accessed June 2023 </w:t>
      </w:r>
      <w:hyperlink r:id="rId5" w:history="1">
        <w:r w:rsidR="00FA3622" w:rsidRPr="00B509C5">
          <w:rPr>
            <w:rStyle w:val="Hyperlink"/>
            <w:rFonts w:cstheme="minorHAnsi"/>
            <w:sz w:val="24"/>
            <w:szCs w:val="24"/>
          </w:rPr>
          <w:t>https://www.nice.org.uk/about/nice-communities/social-care/quick-guides-for-social-care/promoting-independence-through-intermediate-care#risk</w:t>
        </w:r>
      </w:hyperlink>
    </w:p>
    <w:p w:rsidR="00FA3622" w:rsidRPr="00B509C5" w:rsidRDefault="00FA3622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 xml:space="preserve">Oguntibeju, O. O., &amp; Oguntibeju, O. (2012). Pathophysiology and Complications of Diabetes Mellitus (O. Oguntibeju, Ed.). </w:t>
      </w:r>
      <w:proofErr w:type="spellStart"/>
      <w:r w:rsidRPr="00B509C5">
        <w:rPr>
          <w:rFonts w:cstheme="minorHAnsi"/>
          <w:sz w:val="24"/>
          <w:szCs w:val="24"/>
        </w:rPr>
        <w:t>IntechOpen</w:t>
      </w:r>
      <w:proofErr w:type="spellEnd"/>
      <w:r w:rsidRPr="00B509C5">
        <w:rPr>
          <w:rFonts w:cstheme="minorHAnsi"/>
          <w:sz w:val="24"/>
          <w:szCs w:val="24"/>
        </w:rPr>
        <w:t>.</w:t>
      </w:r>
    </w:p>
    <w:p w:rsidR="00297FEC" w:rsidRPr="00B509C5" w:rsidRDefault="00297FEC" w:rsidP="007A24BE">
      <w:pPr>
        <w:spacing w:line="360" w:lineRule="auto"/>
        <w:ind w:firstLine="720"/>
        <w:contextualSpacing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B509C5">
        <w:rPr>
          <w:rFonts w:cstheme="minorHAnsi"/>
          <w:color w:val="3A3A3A"/>
          <w:sz w:val="24"/>
          <w:szCs w:val="24"/>
          <w:shd w:val="clear" w:color="auto" w:fill="FFFFFF"/>
        </w:rPr>
        <w:lastRenderedPageBreak/>
        <w:t>Patton, K. T., Bell, F., Thompson, T., &amp; Williamson, P. (2022). </w:t>
      </w:r>
      <w:r w:rsidRPr="00B509C5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Anatomy &amp; physiology</w:t>
      </w:r>
      <w:r w:rsidRPr="00B509C5">
        <w:rPr>
          <w:rFonts w:cstheme="minorHAnsi"/>
          <w:color w:val="3A3A3A"/>
          <w:sz w:val="24"/>
          <w:szCs w:val="24"/>
          <w:shd w:val="clear" w:color="auto" w:fill="FFFFFF"/>
        </w:rPr>
        <w:t> (Eleventh edition.). Elsevier.</w:t>
      </w:r>
    </w:p>
    <w:p w:rsidR="00101053" w:rsidRPr="00B509C5" w:rsidRDefault="00101053" w:rsidP="007A24BE">
      <w:pPr>
        <w:spacing w:line="360" w:lineRule="auto"/>
        <w:ind w:firstLine="720"/>
        <w:contextualSpacing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B509C5">
        <w:rPr>
          <w:rFonts w:cstheme="minorHAnsi"/>
          <w:color w:val="3A3A3A"/>
          <w:sz w:val="24"/>
          <w:szCs w:val="24"/>
          <w:shd w:val="clear" w:color="auto" w:fill="FFFFFF"/>
        </w:rPr>
        <w:t>Weiner, W. J. (2010). Neurology for the non-neurologist (Sixth edition.). Lippincott Williams &amp; Wilkins.</w:t>
      </w:r>
    </w:p>
    <w:p w:rsidR="00B12F56" w:rsidRPr="00B509C5" w:rsidRDefault="00B12F56" w:rsidP="007A24BE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color w:val="3A3A3A"/>
          <w:sz w:val="24"/>
          <w:szCs w:val="24"/>
          <w:shd w:val="clear" w:color="auto" w:fill="FFFFFF"/>
        </w:rPr>
        <w:t>Winter, D. A. (2009). </w:t>
      </w:r>
      <w:r w:rsidRPr="00B509C5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Biomechanics and motor control of human movement</w:t>
      </w:r>
      <w:r w:rsidRPr="00B509C5">
        <w:rPr>
          <w:rFonts w:cstheme="minorHAnsi"/>
          <w:color w:val="3A3A3A"/>
          <w:sz w:val="24"/>
          <w:szCs w:val="24"/>
          <w:shd w:val="clear" w:color="auto" w:fill="FFFFFF"/>
        </w:rPr>
        <w:t xml:space="preserve"> (Fourth edition.). Wiley. </w:t>
      </w:r>
      <w:hyperlink r:id="rId6" w:history="1">
        <w:r w:rsidR="004D754D" w:rsidRPr="00B509C5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https://doi.org/10.1002/9780470549148</w:t>
        </w:r>
      </w:hyperlink>
      <w:r w:rsidR="004D754D" w:rsidRPr="00B509C5">
        <w:rPr>
          <w:rFonts w:cstheme="minorHAnsi"/>
          <w:color w:val="3A3A3A"/>
          <w:sz w:val="24"/>
          <w:szCs w:val="24"/>
          <w:shd w:val="clear" w:color="auto" w:fill="FFFFFF"/>
        </w:rPr>
        <w:t xml:space="preserve"> </w:t>
      </w:r>
      <w:r w:rsidR="00952AC5" w:rsidRPr="00B509C5">
        <w:rPr>
          <w:rFonts w:cstheme="minorHAnsi"/>
          <w:color w:val="3A3A3A"/>
          <w:sz w:val="24"/>
          <w:szCs w:val="24"/>
          <w:shd w:val="clear" w:color="auto" w:fill="FFFFFF"/>
        </w:rPr>
        <w:t xml:space="preserve">  </w:t>
      </w:r>
    </w:p>
    <w:p w:rsidR="0080442B" w:rsidRPr="00B509C5" w:rsidRDefault="0080442B" w:rsidP="0080442B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</w:p>
    <w:p w:rsidR="00CF7161" w:rsidRPr="00B509C5" w:rsidRDefault="00B424CC" w:rsidP="00CF7161">
      <w:pPr>
        <w:spacing w:line="36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Reflection</w:t>
      </w:r>
      <w:bookmarkStart w:id="0" w:name="_GoBack"/>
      <w:bookmarkEnd w:id="0"/>
      <w:r w:rsidR="00B509C5" w:rsidRPr="00B509C5">
        <w:rPr>
          <w:rFonts w:cstheme="minorHAnsi"/>
          <w:sz w:val="24"/>
          <w:szCs w:val="24"/>
        </w:rPr>
        <w:t xml:space="preserve"> 2:</w:t>
      </w:r>
    </w:p>
    <w:p w:rsidR="005E5B88" w:rsidRPr="00B509C5" w:rsidRDefault="00CF7161" w:rsidP="005E5B88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>Similarly, whilst working as an OTA on an acute inpatient mental health ward, client MS presented with low mood, suicidal ideation and anxiety</w:t>
      </w:r>
      <w:r w:rsidR="005E5B88" w:rsidRPr="00B509C5">
        <w:rPr>
          <w:rFonts w:cstheme="minorHAnsi"/>
          <w:sz w:val="24"/>
          <w:szCs w:val="24"/>
        </w:rPr>
        <w:t>. MS had stopped engaging in all occupations and was isolating himself, but also was a high risk of self-harm and suicide</w:t>
      </w:r>
      <w:r w:rsidRPr="00B509C5">
        <w:rPr>
          <w:rFonts w:cstheme="minorHAnsi"/>
          <w:sz w:val="24"/>
          <w:szCs w:val="24"/>
        </w:rPr>
        <w:t>.</w:t>
      </w:r>
    </w:p>
    <w:p w:rsidR="00CF7161" w:rsidRPr="00B509C5" w:rsidRDefault="00CF7161" w:rsidP="00CF7161">
      <w:pPr>
        <w:spacing w:line="360" w:lineRule="auto"/>
        <w:contextualSpacing/>
        <w:rPr>
          <w:rFonts w:eastAsia="Open Sans" w:cstheme="minorHAnsi"/>
          <w:sz w:val="24"/>
          <w:szCs w:val="24"/>
        </w:rPr>
      </w:pPr>
      <w:r w:rsidRPr="00B509C5">
        <w:rPr>
          <w:rFonts w:cstheme="minorHAnsi"/>
          <w:sz w:val="24"/>
          <w:szCs w:val="24"/>
        </w:rPr>
        <w:t xml:space="preserve"> </w:t>
      </w:r>
      <w:r w:rsidR="00635B12" w:rsidRPr="00B509C5">
        <w:rPr>
          <w:rFonts w:cstheme="minorHAnsi"/>
          <w:sz w:val="24"/>
          <w:szCs w:val="24"/>
        </w:rPr>
        <w:tab/>
        <w:t>The science used during assessment included</w:t>
      </w:r>
      <w:r w:rsidR="00561B38" w:rsidRPr="00B509C5">
        <w:rPr>
          <w:rFonts w:cstheme="minorHAnsi"/>
          <w:sz w:val="24"/>
          <w:szCs w:val="24"/>
        </w:rPr>
        <w:t xml:space="preserve"> social sciences of psychology </w:t>
      </w:r>
      <w:r w:rsidR="00635B12" w:rsidRPr="00B509C5">
        <w:rPr>
          <w:rFonts w:cstheme="minorHAnsi"/>
          <w:sz w:val="24"/>
          <w:szCs w:val="24"/>
        </w:rPr>
        <w:t>(</w:t>
      </w:r>
      <w:r w:rsidR="00561B38" w:rsidRPr="00B509C5">
        <w:rPr>
          <w:rFonts w:cstheme="minorHAnsi"/>
          <w:sz w:val="24"/>
          <w:szCs w:val="24"/>
        </w:rPr>
        <w:t>to understand the mind and behaviour of an individual</w:t>
      </w:r>
      <w:r w:rsidR="00635B12" w:rsidRPr="00B509C5">
        <w:rPr>
          <w:rFonts w:cstheme="minorHAnsi"/>
          <w:sz w:val="24"/>
          <w:szCs w:val="24"/>
        </w:rPr>
        <w:t xml:space="preserve"> e.g., </w:t>
      </w:r>
      <w:r w:rsidR="00561B38" w:rsidRPr="00B509C5">
        <w:rPr>
          <w:rFonts w:cstheme="minorHAnsi"/>
          <w:sz w:val="24"/>
          <w:szCs w:val="24"/>
        </w:rPr>
        <w:t>isolating self and thought processes of why)</w:t>
      </w:r>
      <w:r w:rsidR="00635B12" w:rsidRPr="00B509C5">
        <w:rPr>
          <w:rFonts w:cstheme="minorHAnsi"/>
          <w:sz w:val="24"/>
          <w:szCs w:val="24"/>
        </w:rPr>
        <w:t>and</w:t>
      </w:r>
      <w:r w:rsidR="00561B38" w:rsidRPr="00B509C5">
        <w:rPr>
          <w:rFonts w:cstheme="minorHAnsi"/>
          <w:sz w:val="24"/>
          <w:szCs w:val="24"/>
        </w:rPr>
        <w:t xml:space="preserve"> sociology </w:t>
      </w:r>
      <w:r w:rsidR="00635B12" w:rsidRPr="00B509C5">
        <w:rPr>
          <w:rFonts w:cstheme="minorHAnsi"/>
          <w:sz w:val="24"/>
          <w:szCs w:val="24"/>
        </w:rPr>
        <w:t>(</w:t>
      </w:r>
      <w:r w:rsidR="00561B38" w:rsidRPr="00B509C5">
        <w:rPr>
          <w:rFonts w:cstheme="minorHAnsi"/>
          <w:sz w:val="24"/>
          <w:szCs w:val="24"/>
        </w:rPr>
        <w:t>the s</w:t>
      </w:r>
      <w:r w:rsidR="00635B12" w:rsidRPr="00B509C5">
        <w:rPr>
          <w:rFonts w:cstheme="minorHAnsi"/>
          <w:sz w:val="24"/>
          <w:szCs w:val="24"/>
        </w:rPr>
        <w:t xml:space="preserve">tudy of human social behaviour such as </w:t>
      </w:r>
      <w:r w:rsidR="00561B38" w:rsidRPr="00B509C5">
        <w:rPr>
          <w:rFonts w:cstheme="minorHAnsi"/>
          <w:sz w:val="24"/>
          <w:szCs w:val="24"/>
        </w:rPr>
        <w:t>relationships, culture etc.)</w:t>
      </w:r>
      <w:r w:rsidR="00635B12" w:rsidRPr="00B509C5">
        <w:rPr>
          <w:rFonts w:cstheme="minorHAnsi"/>
          <w:sz w:val="24"/>
          <w:szCs w:val="24"/>
        </w:rPr>
        <w:t xml:space="preserve"> but also used</w:t>
      </w:r>
      <w:r w:rsidR="00561B38" w:rsidRPr="00B509C5">
        <w:rPr>
          <w:rFonts w:cstheme="minorHAnsi"/>
          <w:sz w:val="24"/>
          <w:szCs w:val="24"/>
        </w:rPr>
        <w:t xml:space="preserve"> cognitive science (study of mind and processes- linked to negative thinking styles and though distortions</w:t>
      </w:r>
      <w:r w:rsidR="00373F9E" w:rsidRPr="00B509C5">
        <w:rPr>
          <w:rFonts w:cstheme="minorHAnsi"/>
          <w:sz w:val="24"/>
          <w:szCs w:val="24"/>
        </w:rPr>
        <w:t xml:space="preserve">), </w:t>
      </w:r>
      <w:r w:rsidR="00635B12" w:rsidRPr="00B509C5">
        <w:rPr>
          <w:rFonts w:cstheme="minorHAnsi"/>
          <w:sz w:val="24"/>
          <w:szCs w:val="24"/>
        </w:rPr>
        <w:t xml:space="preserve">and </w:t>
      </w:r>
      <w:r w:rsidR="00373F9E" w:rsidRPr="00B509C5">
        <w:rPr>
          <w:rFonts w:cstheme="minorHAnsi"/>
          <w:sz w:val="24"/>
          <w:szCs w:val="24"/>
        </w:rPr>
        <w:t>biochemistry of the brain (dopamine, serotonin linked to depression) (</w:t>
      </w:r>
      <w:proofErr w:type="spellStart"/>
      <w:r w:rsidR="00373F9E" w:rsidRPr="00B509C5">
        <w:rPr>
          <w:rFonts w:cstheme="minorHAnsi"/>
          <w:sz w:val="24"/>
          <w:szCs w:val="24"/>
        </w:rPr>
        <w:t>Remes</w:t>
      </w:r>
      <w:proofErr w:type="spellEnd"/>
      <w:r w:rsidR="00373F9E" w:rsidRPr="00B509C5">
        <w:rPr>
          <w:rFonts w:cstheme="minorHAnsi"/>
          <w:sz w:val="24"/>
          <w:szCs w:val="24"/>
        </w:rPr>
        <w:t xml:space="preserve"> et al 202</w:t>
      </w:r>
      <w:r w:rsidR="00E45C04" w:rsidRPr="00B509C5">
        <w:rPr>
          <w:rFonts w:cstheme="minorHAnsi"/>
          <w:sz w:val="24"/>
          <w:szCs w:val="24"/>
        </w:rPr>
        <w:t>1</w:t>
      </w:r>
      <w:r w:rsidR="00373F9E" w:rsidRPr="00B509C5">
        <w:rPr>
          <w:rFonts w:cstheme="minorHAnsi"/>
          <w:sz w:val="24"/>
          <w:szCs w:val="24"/>
        </w:rPr>
        <w:t xml:space="preserve">). </w:t>
      </w:r>
      <w:r w:rsidR="00483A9B" w:rsidRPr="00B509C5">
        <w:rPr>
          <w:rFonts w:cstheme="minorHAnsi"/>
          <w:sz w:val="24"/>
          <w:szCs w:val="24"/>
        </w:rPr>
        <w:t xml:space="preserve">Occupational science (OS) </w:t>
      </w:r>
      <w:r w:rsidR="00635B12" w:rsidRPr="00B509C5">
        <w:rPr>
          <w:rFonts w:cstheme="minorHAnsi"/>
          <w:sz w:val="24"/>
          <w:szCs w:val="24"/>
        </w:rPr>
        <w:t>was</w:t>
      </w:r>
      <w:r w:rsidR="00483A9B" w:rsidRPr="00B509C5">
        <w:rPr>
          <w:rFonts w:cstheme="minorHAnsi"/>
          <w:sz w:val="24"/>
          <w:szCs w:val="24"/>
        </w:rPr>
        <w:t xml:space="preserve"> also used to help </w:t>
      </w:r>
      <w:r w:rsidR="00483A9B" w:rsidRPr="00B509C5">
        <w:rPr>
          <w:rFonts w:eastAsia="Open Sans" w:cstheme="minorHAnsi"/>
          <w:sz w:val="24"/>
          <w:szCs w:val="24"/>
        </w:rPr>
        <w:t xml:space="preserve">understand the complicated nature of meaningful activity and the different phenomena's that influence them, </w:t>
      </w:r>
      <w:r w:rsidR="00483A9B" w:rsidRPr="00B509C5">
        <w:rPr>
          <w:rFonts w:eastAsia="Open Sans" w:cstheme="minorHAnsi"/>
          <w:sz w:val="24"/>
          <w:szCs w:val="24"/>
        </w:rPr>
        <w:t xml:space="preserve">to help interpret MS experience of their </w:t>
      </w:r>
      <w:r w:rsidR="00483A9B" w:rsidRPr="00B509C5">
        <w:rPr>
          <w:rFonts w:eastAsia="Open Sans" w:cstheme="minorHAnsi"/>
          <w:sz w:val="24"/>
          <w:szCs w:val="24"/>
        </w:rPr>
        <w:t>occupational engagement (Sutton et al 2010).</w:t>
      </w:r>
    </w:p>
    <w:p w:rsidR="009A19C1" w:rsidRPr="00B509C5" w:rsidRDefault="009A19C1" w:rsidP="00CF7161">
      <w:pPr>
        <w:spacing w:line="360" w:lineRule="auto"/>
        <w:contextualSpacing/>
        <w:rPr>
          <w:rFonts w:cstheme="minorHAnsi"/>
          <w:sz w:val="24"/>
          <w:szCs w:val="24"/>
        </w:rPr>
      </w:pPr>
      <w:r w:rsidRPr="00B509C5">
        <w:rPr>
          <w:rFonts w:eastAsia="Open Sans" w:cstheme="minorHAnsi"/>
          <w:sz w:val="24"/>
          <w:szCs w:val="24"/>
        </w:rPr>
        <w:tab/>
        <w:t xml:space="preserve">MS engaged in creative activities </w:t>
      </w:r>
      <w:r w:rsidR="001E45C6" w:rsidRPr="00B509C5">
        <w:rPr>
          <w:rFonts w:eastAsia="Open Sans" w:cstheme="minorHAnsi"/>
          <w:sz w:val="24"/>
          <w:szCs w:val="24"/>
        </w:rPr>
        <w:t>in which he would have a successful tangible outcome in the form of a gift for his daughter, thus maintaining his relationship and role as father</w:t>
      </w:r>
      <w:r w:rsidR="00635B12" w:rsidRPr="00B509C5">
        <w:rPr>
          <w:rFonts w:eastAsia="Open Sans" w:cstheme="minorHAnsi"/>
          <w:sz w:val="24"/>
          <w:szCs w:val="24"/>
        </w:rPr>
        <w:t>, which was meaningful to him</w:t>
      </w:r>
      <w:r w:rsidR="001E45C6" w:rsidRPr="00B509C5">
        <w:rPr>
          <w:rFonts w:eastAsia="Open Sans" w:cstheme="minorHAnsi"/>
          <w:sz w:val="24"/>
          <w:szCs w:val="24"/>
        </w:rPr>
        <w:t>. He further gained skills in certain creative activities, allowing him to become more ambitious in his projects and feel a sense of accomplishment, as well as take on the role of showing others how to do the activity. All this supported his wellbeing and recovery</w:t>
      </w:r>
      <w:r w:rsidR="0031554A" w:rsidRPr="00B509C5">
        <w:rPr>
          <w:rFonts w:eastAsia="Open Sans" w:cstheme="minorHAnsi"/>
          <w:sz w:val="24"/>
          <w:szCs w:val="24"/>
        </w:rPr>
        <w:t xml:space="preserve"> (</w:t>
      </w:r>
      <w:proofErr w:type="spellStart"/>
      <w:r w:rsidR="0031554A" w:rsidRPr="00B509C5">
        <w:rPr>
          <w:rFonts w:eastAsia="Open Sans" w:cstheme="minorHAnsi"/>
          <w:sz w:val="24"/>
          <w:szCs w:val="24"/>
        </w:rPr>
        <w:t>Doroud</w:t>
      </w:r>
      <w:proofErr w:type="spellEnd"/>
      <w:r w:rsidR="0031554A" w:rsidRPr="00B509C5">
        <w:rPr>
          <w:rFonts w:eastAsia="Open Sans" w:cstheme="minorHAnsi"/>
          <w:sz w:val="24"/>
          <w:szCs w:val="24"/>
        </w:rPr>
        <w:t xml:space="preserve"> et al 2015)</w:t>
      </w:r>
      <w:r w:rsidR="001E45C6" w:rsidRPr="00B509C5">
        <w:rPr>
          <w:rFonts w:eastAsia="Open Sans" w:cstheme="minorHAnsi"/>
          <w:sz w:val="24"/>
          <w:szCs w:val="24"/>
        </w:rPr>
        <w:t xml:space="preserve">. </w:t>
      </w:r>
      <w:r w:rsidR="0098510E" w:rsidRPr="00B509C5">
        <w:rPr>
          <w:rFonts w:eastAsia="Open Sans" w:cstheme="minorHAnsi"/>
          <w:sz w:val="24"/>
          <w:szCs w:val="24"/>
        </w:rPr>
        <w:t xml:space="preserve">Activities were risk assessed due to MS mood and conviction about completing suicide. </w:t>
      </w:r>
      <w:r w:rsidR="00635B12" w:rsidRPr="00B509C5">
        <w:rPr>
          <w:rFonts w:eastAsia="Open Sans" w:cstheme="minorHAnsi"/>
          <w:sz w:val="24"/>
          <w:szCs w:val="24"/>
        </w:rPr>
        <w:t>Further knowledge around cognitive science would have been beneficial in supporting MS in reframing his negative thoughts (</w:t>
      </w:r>
      <w:proofErr w:type="spellStart"/>
      <w:r w:rsidR="00635B12" w:rsidRPr="00B509C5">
        <w:rPr>
          <w:rFonts w:eastAsia="Open Sans" w:cstheme="minorHAnsi"/>
          <w:sz w:val="24"/>
          <w:szCs w:val="24"/>
        </w:rPr>
        <w:t>LeMoult</w:t>
      </w:r>
      <w:proofErr w:type="spellEnd"/>
      <w:r w:rsidR="00635B12" w:rsidRPr="00B509C5">
        <w:rPr>
          <w:rFonts w:eastAsia="Open Sans" w:cstheme="minorHAnsi"/>
          <w:sz w:val="24"/>
          <w:szCs w:val="24"/>
        </w:rPr>
        <w:t xml:space="preserve"> et al 2018). </w:t>
      </w:r>
    </w:p>
    <w:p w:rsidR="006E4AD1" w:rsidRPr="00B509C5" w:rsidRDefault="006E4AD1" w:rsidP="00CF7161">
      <w:pPr>
        <w:spacing w:line="360" w:lineRule="auto"/>
        <w:contextualSpacing/>
        <w:rPr>
          <w:rFonts w:cstheme="minorHAnsi"/>
          <w:sz w:val="24"/>
          <w:szCs w:val="24"/>
        </w:rPr>
      </w:pPr>
    </w:p>
    <w:p w:rsidR="006E4AD1" w:rsidRPr="00B509C5" w:rsidRDefault="006E4AD1" w:rsidP="00CF7161">
      <w:pPr>
        <w:spacing w:line="360" w:lineRule="auto"/>
        <w:contextualSpacing/>
        <w:rPr>
          <w:rFonts w:cstheme="minorHAnsi"/>
          <w:sz w:val="24"/>
          <w:szCs w:val="24"/>
          <w:u w:val="single"/>
        </w:rPr>
      </w:pPr>
      <w:r w:rsidRPr="00B509C5">
        <w:rPr>
          <w:rFonts w:cstheme="minorHAnsi"/>
          <w:sz w:val="24"/>
          <w:szCs w:val="24"/>
          <w:u w:val="single"/>
        </w:rPr>
        <w:t>References:</w:t>
      </w:r>
    </w:p>
    <w:p w:rsidR="0031554A" w:rsidRPr="00B509C5" w:rsidRDefault="0031554A" w:rsidP="006A4D5F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proofErr w:type="spellStart"/>
      <w:r w:rsidRPr="00B509C5">
        <w:rPr>
          <w:rFonts w:cstheme="minorHAnsi"/>
          <w:sz w:val="24"/>
          <w:szCs w:val="24"/>
        </w:rPr>
        <w:lastRenderedPageBreak/>
        <w:t>Doroud</w:t>
      </w:r>
      <w:proofErr w:type="spellEnd"/>
      <w:r w:rsidRPr="00B509C5">
        <w:rPr>
          <w:rFonts w:cstheme="minorHAnsi"/>
          <w:sz w:val="24"/>
          <w:szCs w:val="24"/>
        </w:rPr>
        <w:t xml:space="preserve"> N, </w:t>
      </w:r>
      <w:proofErr w:type="spellStart"/>
      <w:r w:rsidRPr="00B509C5">
        <w:rPr>
          <w:rFonts w:cstheme="minorHAnsi"/>
          <w:sz w:val="24"/>
          <w:szCs w:val="24"/>
        </w:rPr>
        <w:t>Fossey</w:t>
      </w:r>
      <w:proofErr w:type="spellEnd"/>
      <w:r w:rsidRPr="00B509C5">
        <w:rPr>
          <w:rFonts w:cstheme="minorHAnsi"/>
          <w:sz w:val="24"/>
          <w:szCs w:val="24"/>
        </w:rPr>
        <w:t xml:space="preserve"> E, Fortune T. Recovery as an occupational journey: A scoping review exploring the links between occupational engagement and recovery for people with enduring mental health issues. </w:t>
      </w:r>
      <w:proofErr w:type="spellStart"/>
      <w:r w:rsidRPr="00B509C5">
        <w:rPr>
          <w:rFonts w:cstheme="minorHAnsi"/>
          <w:sz w:val="24"/>
          <w:szCs w:val="24"/>
        </w:rPr>
        <w:t>Aust</w:t>
      </w:r>
      <w:proofErr w:type="spellEnd"/>
      <w:r w:rsidRPr="00B509C5">
        <w:rPr>
          <w:rFonts w:cstheme="minorHAnsi"/>
          <w:sz w:val="24"/>
          <w:szCs w:val="24"/>
        </w:rPr>
        <w:t xml:space="preserve"> </w:t>
      </w:r>
      <w:proofErr w:type="spellStart"/>
      <w:r w:rsidRPr="00B509C5">
        <w:rPr>
          <w:rFonts w:cstheme="minorHAnsi"/>
          <w:sz w:val="24"/>
          <w:szCs w:val="24"/>
        </w:rPr>
        <w:t>Occup</w:t>
      </w:r>
      <w:proofErr w:type="spellEnd"/>
      <w:r w:rsidRPr="00B509C5">
        <w:rPr>
          <w:rFonts w:cstheme="minorHAnsi"/>
          <w:sz w:val="24"/>
          <w:szCs w:val="24"/>
        </w:rPr>
        <w:t xml:space="preserve"> </w:t>
      </w:r>
      <w:proofErr w:type="spellStart"/>
      <w:r w:rsidRPr="00B509C5">
        <w:rPr>
          <w:rFonts w:cstheme="minorHAnsi"/>
          <w:sz w:val="24"/>
          <w:szCs w:val="24"/>
        </w:rPr>
        <w:t>Ther</w:t>
      </w:r>
      <w:proofErr w:type="spellEnd"/>
      <w:r w:rsidRPr="00B509C5">
        <w:rPr>
          <w:rFonts w:cstheme="minorHAnsi"/>
          <w:sz w:val="24"/>
          <w:szCs w:val="24"/>
        </w:rPr>
        <w:t xml:space="preserve"> J. 2015 Dec;62(6):378-92. </w:t>
      </w:r>
      <w:proofErr w:type="spellStart"/>
      <w:r w:rsidRPr="00B509C5">
        <w:rPr>
          <w:rFonts w:cstheme="minorHAnsi"/>
          <w:sz w:val="24"/>
          <w:szCs w:val="24"/>
        </w:rPr>
        <w:t>doi</w:t>
      </w:r>
      <w:proofErr w:type="spellEnd"/>
      <w:r w:rsidRPr="00B509C5">
        <w:rPr>
          <w:rFonts w:cstheme="minorHAnsi"/>
          <w:sz w:val="24"/>
          <w:szCs w:val="24"/>
        </w:rPr>
        <w:t xml:space="preserve">: 10.1111/1440-1630.12238. </w:t>
      </w:r>
      <w:proofErr w:type="spellStart"/>
      <w:r w:rsidRPr="00B509C5">
        <w:rPr>
          <w:rFonts w:cstheme="minorHAnsi"/>
          <w:sz w:val="24"/>
          <w:szCs w:val="24"/>
        </w:rPr>
        <w:t>Epub</w:t>
      </w:r>
      <w:proofErr w:type="spellEnd"/>
      <w:r w:rsidRPr="00B509C5">
        <w:rPr>
          <w:rFonts w:cstheme="minorHAnsi"/>
          <w:sz w:val="24"/>
          <w:szCs w:val="24"/>
        </w:rPr>
        <w:t xml:space="preserve"> 2015 Nov 10. PMID: 26555561.</w:t>
      </w:r>
    </w:p>
    <w:p w:rsidR="00635B12" w:rsidRPr="00B509C5" w:rsidRDefault="00635B12" w:rsidP="006A4D5F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proofErr w:type="spellStart"/>
      <w:r w:rsidRPr="00B509C5">
        <w:rPr>
          <w:rFonts w:cstheme="minorHAnsi"/>
          <w:sz w:val="24"/>
          <w:szCs w:val="24"/>
        </w:rPr>
        <w:t>LeMoult</w:t>
      </w:r>
      <w:proofErr w:type="spellEnd"/>
      <w:r w:rsidRPr="00B509C5">
        <w:rPr>
          <w:rFonts w:cstheme="minorHAnsi"/>
          <w:sz w:val="24"/>
          <w:szCs w:val="24"/>
        </w:rPr>
        <w:t xml:space="preserve"> J, </w:t>
      </w:r>
      <w:proofErr w:type="spellStart"/>
      <w:r w:rsidRPr="00B509C5">
        <w:rPr>
          <w:rFonts w:cstheme="minorHAnsi"/>
          <w:sz w:val="24"/>
          <w:szCs w:val="24"/>
        </w:rPr>
        <w:t>Gotlib</w:t>
      </w:r>
      <w:proofErr w:type="spellEnd"/>
      <w:r w:rsidRPr="00B509C5">
        <w:rPr>
          <w:rFonts w:cstheme="minorHAnsi"/>
          <w:sz w:val="24"/>
          <w:szCs w:val="24"/>
        </w:rPr>
        <w:t xml:space="preserve"> IH. Depression: A cognitive perspective. </w:t>
      </w:r>
      <w:proofErr w:type="spellStart"/>
      <w:r w:rsidRPr="00B509C5">
        <w:rPr>
          <w:rFonts w:cstheme="minorHAnsi"/>
          <w:sz w:val="24"/>
          <w:szCs w:val="24"/>
        </w:rPr>
        <w:t>Clin</w:t>
      </w:r>
      <w:proofErr w:type="spellEnd"/>
      <w:r w:rsidRPr="00B509C5">
        <w:rPr>
          <w:rFonts w:cstheme="minorHAnsi"/>
          <w:sz w:val="24"/>
          <w:szCs w:val="24"/>
        </w:rPr>
        <w:t xml:space="preserve"> </w:t>
      </w:r>
      <w:proofErr w:type="spellStart"/>
      <w:r w:rsidRPr="00B509C5">
        <w:rPr>
          <w:rFonts w:cstheme="minorHAnsi"/>
          <w:sz w:val="24"/>
          <w:szCs w:val="24"/>
        </w:rPr>
        <w:t>Psychol</w:t>
      </w:r>
      <w:proofErr w:type="spellEnd"/>
      <w:r w:rsidRPr="00B509C5">
        <w:rPr>
          <w:rFonts w:cstheme="minorHAnsi"/>
          <w:sz w:val="24"/>
          <w:szCs w:val="24"/>
        </w:rPr>
        <w:t xml:space="preserve"> Rev. 2019 Apr;69:51-66. </w:t>
      </w:r>
      <w:proofErr w:type="spellStart"/>
      <w:r w:rsidRPr="00B509C5">
        <w:rPr>
          <w:rFonts w:cstheme="minorHAnsi"/>
          <w:sz w:val="24"/>
          <w:szCs w:val="24"/>
        </w:rPr>
        <w:t>doi</w:t>
      </w:r>
      <w:proofErr w:type="spellEnd"/>
      <w:r w:rsidRPr="00B509C5">
        <w:rPr>
          <w:rFonts w:cstheme="minorHAnsi"/>
          <w:sz w:val="24"/>
          <w:szCs w:val="24"/>
        </w:rPr>
        <w:t xml:space="preserve">: 10.1016/j.cpr.2018.06.008. </w:t>
      </w:r>
      <w:proofErr w:type="spellStart"/>
      <w:r w:rsidRPr="00B509C5">
        <w:rPr>
          <w:rFonts w:cstheme="minorHAnsi"/>
          <w:sz w:val="24"/>
          <w:szCs w:val="24"/>
        </w:rPr>
        <w:t>Epub</w:t>
      </w:r>
      <w:proofErr w:type="spellEnd"/>
      <w:r w:rsidRPr="00B509C5">
        <w:rPr>
          <w:rFonts w:cstheme="minorHAnsi"/>
          <w:sz w:val="24"/>
          <w:szCs w:val="24"/>
        </w:rPr>
        <w:t xml:space="preserve"> 2018 Jun 18. PMID: 29961601.</w:t>
      </w:r>
    </w:p>
    <w:p w:rsidR="006E4AD1" w:rsidRPr="00B509C5" w:rsidRDefault="006E4AD1" w:rsidP="006A4D5F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  <w:proofErr w:type="spellStart"/>
      <w:r w:rsidRPr="00B509C5">
        <w:rPr>
          <w:rFonts w:cstheme="minorHAnsi"/>
          <w:sz w:val="24"/>
          <w:szCs w:val="24"/>
        </w:rPr>
        <w:t>Remes</w:t>
      </w:r>
      <w:proofErr w:type="spellEnd"/>
      <w:r w:rsidRPr="00B509C5">
        <w:rPr>
          <w:rFonts w:cstheme="minorHAnsi"/>
          <w:sz w:val="24"/>
          <w:szCs w:val="24"/>
        </w:rPr>
        <w:t xml:space="preserve"> O, Mendes JF, Templeton P.</w:t>
      </w:r>
      <w:r w:rsidR="00E45C04" w:rsidRPr="00B509C5">
        <w:rPr>
          <w:rFonts w:cstheme="minorHAnsi"/>
          <w:sz w:val="24"/>
          <w:szCs w:val="24"/>
        </w:rPr>
        <w:t xml:space="preserve"> (2021)</w:t>
      </w:r>
      <w:r w:rsidRPr="00B509C5">
        <w:rPr>
          <w:rFonts w:cstheme="minorHAnsi"/>
          <w:sz w:val="24"/>
          <w:szCs w:val="24"/>
        </w:rPr>
        <w:t xml:space="preserve"> Biological, Psychological, and Social Determinants of Depression: A Review of Recent Literature. Brain Sci. 2021 Dec 10;11(12):1633. </w:t>
      </w:r>
      <w:proofErr w:type="spellStart"/>
      <w:r w:rsidRPr="00B509C5">
        <w:rPr>
          <w:rFonts w:cstheme="minorHAnsi"/>
          <w:sz w:val="24"/>
          <w:szCs w:val="24"/>
        </w:rPr>
        <w:t>doi</w:t>
      </w:r>
      <w:proofErr w:type="spellEnd"/>
      <w:r w:rsidRPr="00B509C5">
        <w:rPr>
          <w:rFonts w:cstheme="minorHAnsi"/>
          <w:sz w:val="24"/>
          <w:szCs w:val="24"/>
        </w:rPr>
        <w:t>: 10.3390/brainsci11121633. PMID: 34942936; PMCID: PMC8699555.</w:t>
      </w:r>
    </w:p>
    <w:p w:rsidR="00483A9B" w:rsidRPr="00B509C5" w:rsidRDefault="00483A9B" w:rsidP="00483A9B">
      <w:pPr>
        <w:spacing w:line="360" w:lineRule="auto"/>
        <w:ind w:firstLine="720"/>
        <w:contextualSpacing/>
        <w:rPr>
          <w:rFonts w:eastAsia="Open Sans" w:cstheme="minorHAnsi"/>
          <w:sz w:val="24"/>
          <w:szCs w:val="24"/>
        </w:rPr>
      </w:pPr>
      <w:r w:rsidRPr="00B509C5">
        <w:rPr>
          <w:rFonts w:eastAsia="Open Sans" w:cstheme="minorHAnsi"/>
          <w:sz w:val="24"/>
          <w:szCs w:val="24"/>
        </w:rPr>
        <w:t xml:space="preserve">Sutton, D., Hocking, C., and </w:t>
      </w:r>
      <w:proofErr w:type="spellStart"/>
      <w:r w:rsidRPr="00B509C5">
        <w:rPr>
          <w:rFonts w:eastAsia="Open Sans" w:cstheme="minorHAnsi"/>
          <w:sz w:val="24"/>
          <w:szCs w:val="24"/>
        </w:rPr>
        <w:t>Smythe</w:t>
      </w:r>
      <w:proofErr w:type="spellEnd"/>
      <w:r w:rsidRPr="00B509C5">
        <w:rPr>
          <w:rFonts w:eastAsia="Open Sans" w:cstheme="minorHAnsi"/>
          <w:sz w:val="24"/>
          <w:szCs w:val="24"/>
        </w:rPr>
        <w:t xml:space="preserve">, E. (2010). A phenomenological study of occupational engagement in recovery from mental illness. </w:t>
      </w:r>
      <w:r w:rsidRPr="00B509C5">
        <w:rPr>
          <w:rFonts w:eastAsia="Open Sans" w:cstheme="minorHAnsi"/>
          <w:i/>
          <w:iCs/>
          <w:sz w:val="24"/>
          <w:szCs w:val="24"/>
        </w:rPr>
        <w:t>Canadian Journal of Occupational Therapy</w:t>
      </w:r>
      <w:r w:rsidRPr="00B509C5">
        <w:rPr>
          <w:rFonts w:eastAsia="Open Sans" w:cstheme="minorHAnsi"/>
          <w:sz w:val="24"/>
          <w:szCs w:val="24"/>
        </w:rPr>
        <w:t xml:space="preserve">, </w:t>
      </w:r>
      <w:r w:rsidRPr="00B509C5">
        <w:rPr>
          <w:rFonts w:eastAsia="Open Sans" w:cstheme="minorHAnsi"/>
          <w:i/>
          <w:iCs/>
          <w:sz w:val="24"/>
          <w:szCs w:val="24"/>
        </w:rPr>
        <w:t>79</w:t>
      </w:r>
      <w:r w:rsidRPr="00B509C5">
        <w:rPr>
          <w:rFonts w:eastAsia="Open Sans" w:cstheme="minorHAnsi"/>
          <w:sz w:val="24"/>
          <w:szCs w:val="24"/>
        </w:rPr>
        <w:t>(3), 142–150. doi:10.2182/cjot.2012.79.3.3</w:t>
      </w:r>
    </w:p>
    <w:p w:rsidR="00483A9B" w:rsidRPr="00B509C5" w:rsidRDefault="00483A9B" w:rsidP="00CF7161">
      <w:pPr>
        <w:spacing w:line="360" w:lineRule="auto"/>
        <w:contextualSpacing/>
        <w:rPr>
          <w:rFonts w:cstheme="minorHAnsi"/>
          <w:sz w:val="24"/>
          <w:szCs w:val="24"/>
        </w:rPr>
      </w:pPr>
    </w:p>
    <w:p w:rsidR="00CF7161" w:rsidRPr="00B509C5" w:rsidRDefault="00CF7161" w:rsidP="0080442B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</w:p>
    <w:p w:rsidR="00CF7161" w:rsidRPr="00B509C5" w:rsidRDefault="00CF7161" w:rsidP="0080442B">
      <w:pPr>
        <w:spacing w:line="360" w:lineRule="auto"/>
        <w:ind w:firstLine="720"/>
        <w:contextualSpacing/>
        <w:rPr>
          <w:rFonts w:cstheme="minorHAnsi"/>
          <w:sz w:val="24"/>
          <w:szCs w:val="24"/>
        </w:rPr>
      </w:pPr>
    </w:p>
    <w:p w:rsidR="00F83404" w:rsidRPr="00B509C5" w:rsidRDefault="00B424CC">
      <w:pPr>
        <w:rPr>
          <w:rFonts w:cstheme="minorHAnsi"/>
          <w:sz w:val="24"/>
          <w:szCs w:val="24"/>
        </w:rPr>
      </w:pPr>
    </w:p>
    <w:sectPr w:rsidR="00F83404" w:rsidRPr="00B50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56016"/>
    <w:multiLevelType w:val="hybridMultilevel"/>
    <w:tmpl w:val="111CCD0E"/>
    <w:lvl w:ilvl="0" w:tplc="08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8E94543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8D5694CC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3" w:tplc="D94CDCFC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4" w:tplc="6ADAA20C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5" w:tplc="4E1AB3AC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6" w:tplc="70B432A2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7" w:tplc="FE7A18F2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  <w:lvl w:ilvl="8" w:tplc="5936C452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42B"/>
    <w:rsid w:val="00101053"/>
    <w:rsid w:val="001E45C6"/>
    <w:rsid w:val="00297FEC"/>
    <w:rsid w:val="0031554A"/>
    <w:rsid w:val="00362A7F"/>
    <w:rsid w:val="00373F9E"/>
    <w:rsid w:val="00483A9B"/>
    <w:rsid w:val="004D754D"/>
    <w:rsid w:val="005016C3"/>
    <w:rsid w:val="00561B38"/>
    <w:rsid w:val="005E5B88"/>
    <w:rsid w:val="00635B12"/>
    <w:rsid w:val="00681253"/>
    <w:rsid w:val="006A4D5F"/>
    <w:rsid w:val="006B6077"/>
    <w:rsid w:val="006E4AD1"/>
    <w:rsid w:val="007A24BE"/>
    <w:rsid w:val="0080442B"/>
    <w:rsid w:val="00952AC5"/>
    <w:rsid w:val="0098510E"/>
    <w:rsid w:val="009A19C1"/>
    <w:rsid w:val="00B12F56"/>
    <w:rsid w:val="00B424CC"/>
    <w:rsid w:val="00B509C5"/>
    <w:rsid w:val="00C375B8"/>
    <w:rsid w:val="00CF7161"/>
    <w:rsid w:val="00D651F0"/>
    <w:rsid w:val="00DF2969"/>
    <w:rsid w:val="00E45C04"/>
    <w:rsid w:val="00FA3622"/>
    <w:rsid w:val="00FB5C6E"/>
    <w:rsid w:val="00FC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BA6B9"/>
  <w15:chartTrackingRefBased/>
  <w15:docId w15:val="{C306CD9E-E55B-4831-87FD-578F5A98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4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4D75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6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02/9780470549148" TargetMode="External"/><Relationship Id="rId5" Type="http://schemas.openxmlformats.org/officeDocument/2006/relationships/hyperlink" Target="https://www.nice.org.uk/about/nice-communities/social-care/quick-guides-for-social-care/promoting-independence-through-intermediate-care#ri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Stewart (Hywel Dda UHB - OT Technician)</dc:creator>
  <cp:keywords/>
  <dc:description/>
  <cp:lastModifiedBy>Tanya Stewart (Hywel Dda UHB - OT Technician)</cp:lastModifiedBy>
  <cp:revision>20</cp:revision>
  <dcterms:created xsi:type="dcterms:W3CDTF">2023-06-23T10:08:00Z</dcterms:created>
  <dcterms:modified xsi:type="dcterms:W3CDTF">2023-06-27T10:33:00Z</dcterms:modified>
</cp:coreProperties>
</file>