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B38D8" w14:textId="75169FCF" w:rsidR="004844A8" w:rsidRPr="00F32DDF" w:rsidRDefault="004844A8" w:rsidP="00F32DDF">
      <w:pPr>
        <w:jc w:val="center"/>
        <w:rPr>
          <w:rFonts w:ascii="Times New Roman" w:hAnsi="Times New Roman" w:cs="Times New Roman"/>
          <w:b/>
          <w:bCs/>
          <w:sz w:val="32"/>
          <w:szCs w:val="32"/>
          <w:lang w:eastAsia="en-GB"/>
        </w:rPr>
      </w:pPr>
      <w:r w:rsidRPr="00F32DDF">
        <w:rPr>
          <w:rFonts w:ascii="Times New Roman" w:hAnsi="Times New Roman" w:cs="Times New Roman"/>
          <w:b/>
          <w:bCs/>
          <w:sz w:val="32"/>
          <w:szCs w:val="32"/>
          <w:lang w:eastAsia="en-GB"/>
        </w:rPr>
        <w:t>Divergent Shareholder Protection and Ownership Structure in Anglo-Saxon vs Rhineland Models</w:t>
      </w:r>
    </w:p>
    <w:p w14:paraId="414C5798" w14:textId="0E83E5E1"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Shareholder protection laws are central to shaping corporate ownership structures. The Anglo-Saxon model, seen in the UK and US, features dispersed ownership and strong minority rights. In contrast, the Rhineland model, found in Germany and much of Europe, has concentrated ownership and a stakeholder focus. This essay examines how differences in shareholder protection explain ownership patterns in these systems. Drawing on La Porta et al. (1998) and Goergen and Renneboog (2003), the analysis explores how legal environments shape dispersed or concentrated shareholding. It reviews theories that support and critique both models, noting each system's trade-offs. The essay first outlines both models, then analyses how shareholder protections influence ownership, considers arguments for and against dispersed or concentrated structures, and finally synthesises the findings.</w:t>
      </w:r>
    </w:p>
    <w:p w14:paraId="6C348516" w14:textId="55F40C2C"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The Anglo-Saxon corporate governance model, prevalent in common-law countries like the UK and the US, is a market-based, outsider-controlled system with widely dispersed share ownership. These economies emphasise shareholder primacy, with corporate boards chiefly accountable to shareholders, and performance in equity markets serving as the primary mechanism for corporate control and discipline. By contrast, the Rhineland model, common in Germany and other civil-law European nations, is a relationship-based, insider-controlled system characterised by concentrated ownership. Corporate decision-making in Rhineland firms explicitly balances the interests of multiple stakeholders (employees, creditors, communities) alongside shareholders. Ownership is often held by founding families, banks, or allied corporations, and control is maintained through networks of long-term relationships rather than through open market contests.</w:t>
      </w:r>
    </w:p>
    <w:p w14:paraId="4E31A150" w14:textId="51DE3DC2"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In practice, these models exhibit starkly different ownership patterns. For example, in the UK and the US, most large listed companies have no single dominant owner, and the largest shareholder holds well under 10%. (OECD, n.d.) So, control effectively lies with professional managers overseen by myriad small shareholders. In Germany, by contrast, it is common for a family, bank, or the state to own a majority or significant minority stake, usually well over 50%, thereby retaining effective control of the firm. This fundamental difference, dispersed versus concentrated equity, has profound implications for corporate governance and is closely linked to differences in shareholder protection laws and institutions.</w:t>
      </w:r>
    </w:p>
    <w:p w14:paraId="4E514E1C" w14:textId="731042C4"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Another key distinction is the legal tradition underpinning each model: Anglo-Saxon countries are typically common-law jurisdictions, while Rhineland countries are civil-law jurisdictions. Legal origin correlates with the strength of investor protections, which in turn influences whether outside investors are willing to hold minority stakes or whether concentrated ownership is needed to protect their interests. Additionally, Anglo-Saxon firms tend to have single-tier boards and active markets for corporate control, whereas Germany’s two-tier board system and historically weaker takeover market reflect a more insular, blockholder-driven control system. These features interrelate with ownership structure. Dispersed ownership goes hand in hand with external market discipline, while concentrated ownership aligns with internal, relationship-based monitoring.</w:t>
      </w:r>
    </w:p>
    <w:p w14:paraId="308C6694" w14:textId="596E2F0F"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lastRenderedPageBreak/>
        <w:t>In summary, the Anglo-Saxon model can be described as a shareholder-oriented, outsider governance system with strong legal protections and dispersed shareholding, whereas the Rhineland model is a stakeholder-oriented, insider governance system with historically weaker minority protections and concentrated shareholding. The next section examines how differences in shareholder protection, the legal rights and safeguards afforded to investors, help explain these divergent ownership patterns.</w:t>
      </w:r>
    </w:p>
    <w:p w14:paraId="08DF1394" w14:textId="72DB6FBF"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La Porta, Lopez-de-Silanes, Shleifer, and Vishny (1998) argue that the strength of shareholder protection laws is a crucial determinant of ownership structure. In their “Law and Finance” study, they found that common-law countries provide much stronger legal protections for investors than civil-law countries, and that ownership concentration in large firms is inversely related to the strength of minority shareholder protections. In other words, where investor rights are robust, ownership tends to be diffuse, whereas in countries with weak shareholder rights, ownership remains far more concentrated. The reasoning is that strong legal protection gives entrepreneurs confidence to issue equity widely since outside investors have legal recourse against expropriation or abuse. In weak protection environments, outside investors are vulnerable; founders either avoid dispersing ownership broadly or external investors insist on taking a large stake as a safeguard.</w:t>
      </w:r>
    </w:p>
    <w:p w14:paraId="7C03C548" w14:textId="7680EA49"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The UK’s legal environment exemplifies high shareholder protection, which has facilitated dispersed ownership. UK company law and securities regulations historically granted minority shareholders significant powers. For example, a simple majority of shareholders can vote out directors, and investors have legal recourse against director misconduct. The City Code on Takeovers and Mergers, a core part of UK shareholder protection, mandates that any party acquiring 30% of a company’s shares must offer to buy out all remaining shareholders at the same price. This rule protects minority investors by ensuring they can exit at a fair price if control changes, and it deters stealth acquisitions. In Germany, at least until reforms in the 2000s, such a mandatory bid rule did not exist, meaning a bidder could acquire a majority stake without offering to buy out minority holders. The absence of this protection allowed a majority acquirer to retain control of a listed company while minority shareholders were locked into a structure that discouraged diffuse minority ownership. Similarly, German law historically permitted widespread use of dual-class shares and non-voting preference shares, enabling founders to raise public capital without surrendering proportional control.(Marc Goergen et. al, 2008) Such legal allowances for deviations from one-share-one-vote, which were less common in the UK, made it easier for controlling owners to retain power, thereby sustaining concentrated ownership structures. Indeed, practices like dual-class stock and pyramidal ownership chains have been far more prevalent in jurisdictions with weaker minority protections, serving as tools for controlling shareholders to consolidate control while still tapping external capital.</w:t>
      </w:r>
    </w:p>
    <w:p w14:paraId="1EF35538" w14:textId="664EC569"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 xml:space="preserve">Law and Finance theory, hence, provides a compelling explanation for the Anglo-Saxon vs. Rhineland ownership divide. Stronger shareholder protection leads to more dispersed ownership, while weaker protection results in concentrated ownership. La Porta et al. (1998) showed that common-law countries not only scored higher on shareholder-rights indices but also developed larger, more diffuse equity markets. Conversely, in most civil-law countries, </w:t>
      </w:r>
      <w:r w:rsidRPr="00F32DDF">
        <w:rPr>
          <w:rFonts w:ascii="Times New Roman" w:hAnsi="Times New Roman" w:cs="Times New Roman"/>
          <w:lang w:eastAsia="en-GB"/>
        </w:rPr>
        <w:lastRenderedPageBreak/>
        <w:t>even the largest corporations tended to have a controlling owner. For example, in the late 20th century, the majority of top companies in the UK and the US were widely held, whereas in Germany, few were. Even the largest German firms were family-controlled or had a major blockholder, consistent with the differences in legal investor protections.</w:t>
      </w:r>
    </w:p>
    <w:p w14:paraId="75780F22" w14:textId="4EAE5392"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It is worth noting that legal causality can sometimes run both ways. We can argue that legal regimes themselves evolved in response to historical patterns of ownership or political choices. For instance, strong labour or bank influence in Germany helped shape a stakeholder-friendly, less shareholder-centric legal regime. Nonetheless, the prevailing view in the literature is that by lowering the risks to outside investors, strong legal protection facilitates the emergence of dispersed ownership. Conversely, in environments of weak legal protection, concentrated ownership serves as a substitute governance mechanism to control managerial agency problems.</w:t>
      </w:r>
    </w:p>
    <w:p w14:paraId="2E4E2756" w14:textId="4AA8F3FF"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Comparative studies of UK and German firms illustrate how these legal differences manifest in practice. Goergen and Renneboog (2003), for example, examine</w:t>
      </w:r>
      <w:r w:rsidR="003C44FE">
        <w:rPr>
          <w:rFonts w:ascii="Times New Roman" w:hAnsi="Times New Roman" w:cs="Times New Roman"/>
          <w:lang w:eastAsia="en-GB"/>
        </w:rPr>
        <w:t xml:space="preserve"> </w:t>
      </w:r>
      <w:r w:rsidRPr="00F32DDF">
        <w:rPr>
          <w:rFonts w:ascii="Times New Roman" w:hAnsi="Times New Roman" w:cs="Times New Roman"/>
          <w:lang w:eastAsia="en-GB"/>
        </w:rPr>
        <w:t>ownership retention in IPOs, how much equity founding insiders retain after going public, and how ownership evolves over time in the UK versus Germany. Their findings underscore sharper ownership dispersion in the UK and the persistence of concentrated control in Germany, consistent with each country’s institutional environment.</w:t>
      </w:r>
    </w:p>
    <w:p w14:paraId="6A7FF7BE" w14:textId="32F578D2"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In the UK, company founders going public typically sell a large portion of their shares to outside investors, whereas in Germany, owners retain much larger stakes. Immediately after IPOs, British firms in Goergen and Renneboog’s sample had original shareholders owning, on average, about 59% of the shares, and this ownership percentage declined rapidly as insiders sold additional equity in subsequent years. On average, British founders lost majority control within roughly two years of the IPO. By contrast, German IPO firms had significantly higher insider ownership after listing and maintained control for longer. Founding shareholders in Germany generally continued to hold a majority of shares for about five to six years post-IPO on average. Goergen and Renneboog (2003) summarise that “pre-IPO shareholders of UK IPOs tend to retain a much smaller percentage of the equity than those of German IPOs,” and that British founders transfer control to new shareholders much more quickly than German founders.</w:t>
      </w:r>
    </w:p>
    <w:p w14:paraId="7DDCF5AF" w14:textId="042C4F93"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 xml:space="preserve">This divergence reflects the underlying corporate governance systems. In the UK, a combination of factors incentivises founders to disperse ownership, which includes strong investor appetite fuelled by legal protections, pressure to meet free-float listing requirements, and an active market for corporate control that rewards dispersed ownership. Widesely held companies can become targets of lucrative takeovers. Selling more shares allows UK entrepreneurs to diversify their wealth and rely on external governance mechanisms such as professional managers and market monitoring, without fear of expropriation. Because the UK’s legal system and institutional investors will constrain managerial misbehaviour on their behalf. By contrast, German entrepreneurs have been more cautious about relinquishing control. Weaker minority protections and a corporate culture that values stability mean founders often retain large blocks of shares to monitor management directly and shield the </w:t>
      </w:r>
      <w:r w:rsidRPr="00F32DDF">
        <w:rPr>
          <w:rFonts w:ascii="Times New Roman" w:hAnsi="Times New Roman" w:cs="Times New Roman"/>
          <w:lang w:eastAsia="en-GB"/>
        </w:rPr>
        <w:lastRenderedPageBreak/>
        <w:t>firm from hostile takeovers or activist interference. During the period studied, newly listed UK firms were far more likely to become takeover targets than German IPO firms, since Germany’s blockholder regime made hostile takeovers extremely rare. (Ringe, 2015)</w:t>
      </w:r>
    </w:p>
    <w:p w14:paraId="0923D722" w14:textId="07FFD13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Overall, the UK experience demonstrates that robust shareholder protection and market mechanisms encourage a rapid dilution of insider ownership, leading to dispersed shareholding soon after firms go public. The German experience illustrates that weaker minority protection combined with a stakeholder-oriented ethos results in prolonged insider control and high ownership concentration. These patterns align with La Porta’s Law and Finance theory, which showed that the degree of legal protection shapes how willing insiders are to give up control and how willing outsiders are to invest without demanding control. It should also be noted that Germany’s model was not solely a product of weaker laws. But it also reflected a deliberate choice in favour of internal control and stakeholder interests. Thus, while divergent shareholder protections go a long way toward explaining the ownership differences between the Anglo-Saxon and Rhineland models, one should also consider the broader theoretical trade-offs between dispersed and concentrated ownership, which we now turn to.</w:t>
      </w:r>
    </w:p>
    <w:p w14:paraId="64E01902" w14:textId="77777777" w:rsid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A company’s ownership structure, whether dispersed or concentrated, comes with inherent advantages and drawbacks for corporate governance. A rich body of theory has explored both sides. Some arguments extol the merits of the widely held, market-driven Anglo-Saxon model, while others highlight the strengths of the tightly controlled Rhineland model.</w:t>
      </w:r>
    </w:p>
    <w:p w14:paraId="2A682914" w14:textId="20187228"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First and foremost, dispersed ownership has several benefits. It spreads risk and facilitates raising capital. Firms can tap broad pools of investors when minority rights are well-protected. It prevents any one shareholder from dominating, therefore, control is exercised collectively through boards and market oversight, which constrain self-dealing, and it enables an active market for corporate control to discipline management. However, this model also faces the classic principal–agent problem: without a large owner, management may pursue its own interests at shareholders’ expense. Moreover, small shareholders have little incentive to monitor management, potentially leading to managerial slack or short-termism as managers focus on immediate stock prices rather than long-term value.</w:t>
      </w:r>
    </w:p>
    <w:p w14:paraId="11A0344C" w14:textId="4EA552AE"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On the other hand, concentrated ownership offers different advantages. A large shareholder has the incentive and power to monitor managers closely, which can substitute for formal legal protection in countries with weak minority rights (La Porta et al., 1998). Such owners often take a longer-term view of the firm, investing patiently and maintaining stability. On the downside, concentration brings the risk of minority expropriation, controlling owners may tunnel resources or otherwise favour themselves at the expense of outsiders, and the entrenchment of insiders. Furthermore, dominant shareholders are able to block value-enhancing changes or install unqualified associates in management, leaving minority investors with little recourse.</w:t>
      </w:r>
    </w:p>
    <w:p w14:paraId="6F224FC4" w14:textId="26EC6828"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 xml:space="preserve">In summary, neither dispersed nor concentrated ownership is unambiguously superior. Each model’s strengths offset the other’s weaknesses. Dispersed ownership harnesses market forces and broad investor participation, but it relies on strong legal protections to mitigate </w:t>
      </w:r>
      <w:r w:rsidRPr="00F32DDF">
        <w:rPr>
          <w:rFonts w:ascii="Times New Roman" w:hAnsi="Times New Roman" w:cs="Times New Roman"/>
          <w:lang w:eastAsia="en-GB"/>
        </w:rPr>
        <w:lastRenderedPageBreak/>
        <w:t>agency problems. While concentrated ownership provides committed monitoring in weaker legal environments, it risks minority abuse and inflexibility. Notably, Shleifer and Vishny (1997) suggest that robust legal investor rights and active large shareholders can complement each other, helping to explain why the Anglo-Saxon system leans on formal legal protection while the Rhineland system has historically compensated with powerful blockholders. Divergent degrees of shareholder protection largely explain the contrast in ownership structures between the Anglo-Saxon and Rhineland corporate governance models. Common-law regimes like the UK, with their strong minority shareholder rights, create conditions that make dispersed ownership viable and encouraged. Investors are willing to take small stakes because they trust the legal system to guard against abuse, and founders are willing to relinquish control because they can raise external capital without undue risk to the firm. In contrast, civil-law regimes like Germany’s, with weaker minority protections and a stakeholder-oriented philosophy, tend to foster concentrated ownership. Large blockholders step in to perform governance roles that the legal system does not fully cover, actively monitoring management and often prioritising control and stability over liquidity. La Porta et al. (1998) illustrate that countries with strong shareholder protections generally have more diffuse ownership, whereas countries with weak shareholder protections have more concentrated ownership. The UK–Germany comparison provides a vivid example: British firms, with strong investor rights, disperse ownership quickly after going public, whereas German firms, with weaker minority protection, retain concentrated control for years.</w:t>
      </w:r>
    </w:p>
    <w:p w14:paraId="485FCE3D" w14:textId="56648745"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That said, legal protection is not the only factor determining corporate ownership patterns. Historical, cultural, and political influences also play a role. For example, political decisions in Rhineland economies gave banks and employees influential roles in governance, a choice that co-evolved with concentrated shareholding. Moreover, over time, reforms such as Germany’s 2002 takeover law, which aligned with EU/UK standards and global market forces, have led to some convergence in governance practices. Yet significant differences persist. Many continental European companies remain family-controlled or have dominant blockholders, whereas Anglo-American firms are largely owned by diffuse institutional investors and the public.</w:t>
      </w:r>
    </w:p>
    <w:p w14:paraId="7626B481" w14:textId="69A63981"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In weighing the merits of dispersed versus concentrated ownership, one must recognise the trade-offs. Dispersed ownership under strong shareholder protection has given rise to very deep capital markets and highly valuable companies, thanks to high liquidity and broad risk-sharing. But it demands strong external oversight to curb managerial excesses. Concentrated ownership ensures committed monitoring and aligns ownership with control, which is the formula behind many successful family enterprises and stable stakeholder relations. However, it carries the risk of minority oppression and entrenchment. Neither model is inherently superior; each works well under certain conditions. Robust shareholder protection is a crucial enabler for the Anglo-Saxon model to flourish; in its absence, the Rhineland model’s concentration of ownership provides an alternative.</w:t>
      </w:r>
    </w:p>
    <w:p w14:paraId="45E7B9E4" w14:textId="7777777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 xml:space="preserve">Overall, the Anglo-Saxon model’s diffuse ownership stems from and reinforces its strong investor protections, whereas the Rhineland model’s concentrated ownership both reflects and perpetuates its more limited protections. Legal frameworks largely set the stage for </w:t>
      </w:r>
      <w:r w:rsidRPr="00F32DDF">
        <w:rPr>
          <w:rFonts w:ascii="Times New Roman" w:hAnsi="Times New Roman" w:cs="Times New Roman"/>
          <w:lang w:eastAsia="en-GB"/>
        </w:rPr>
        <w:lastRenderedPageBreak/>
        <w:t>corporate ownership, though they operate alongside other institutional forces. Ultimately, each system must balance safeguarding investors with capturing the benefits of its ownership structure, ensuring that neither unchecked managerial authority nor unchecked controlling-owner power undermines corporate performance and fairness.</w:t>
      </w:r>
    </w:p>
    <w:p w14:paraId="65D3316C" w14:textId="77777777" w:rsidR="004844A8" w:rsidRPr="00F32DDF" w:rsidRDefault="004844A8" w:rsidP="00F32DDF">
      <w:pPr>
        <w:rPr>
          <w:rFonts w:ascii="Times New Roman" w:hAnsi="Times New Roman" w:cs="Times New Roman"/>
          <w:sz w:val="36"/>
          <w:szCs w:val="36"/>
          <w:lang w:eastAsia="en-GB"/>
        </w:rPr>
      </w:pPr>
      <w:r w:rsidRPr="00F32DDF">
        <w:rPr>
          <w:rFonts w:ascii="Times New Roman" w:hAnsi="Times New Roman" w:cs="Times New Roman"/>
          <w:sz w:val="36"/>
          <w:szCs w:val="36"/>
          <w:lang w:eastAsia="en-GB"/>
        </w:rPr>
        <w:t>Bibliography</w:t>
      </w:r>
    </w:p>
    <w:p w14:paraId="721BF504" w14:textId="7777777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La Porta, R., Lopez-de-Silanes, F., Shleifer, A., &amp; Vishny, R.W. (1998). Law and Finance.</w:t>
      </w:r>
      <w:r w:rsidRPr="00F32DDF">
        <w:rPr>
          <w:rFonts w:ascii="Times New Roman" w:hAnsi="Times New Roman" w:cs="Times New Roman"/>
          <w:i/>
          <w:iCs/>
          <w:lang w:eastAsia="en-GB"/>
        </w:rPr>
        <w:t>Journal of Political Economy, 106</w:t>
      </w:r>
      <w:r w:rsidRPr="00F32DDF">
        <w:rPr>
          <w:rFonts w:ascii="Times New Roman" w:hAnsi="Times New Roman" w:cs="Times New Roman"/>
          <w:lang w:eastAsia="en-GB"/>
        </w:rPr>
        <w:t>(6), 1113–1155.</w:t>
      </w:r>
    </w:p>
    <w:p w14:paraId="3593932A" w14:textId="7777777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Goergen, M., &amp; Renneboog, L. (2003). Insider Retention and Long-Run Performance in German and UK IPOs.</w:t>
      </w:r>
      <w:r w:rsidRPr="00F32DDF">
        <w:rPr>
          <w:rFonts w:ascii="Times New Roman" w:hAnsi="Times New Roman" w:cs="Times New Roman"/>
          <w:i/>
          <w:iCs/>
          <w:lang w:eastAsia="en-GB"/>
        </w:rPr>
        <w:t>TILEC Discussion Paper No.</w:t>
      </w:r>
      <w:r w:rsidRPr="00F32DDF">
        <w:rPr>
          <w:rFonts w:ascii="Times New Roman" w:hAnsi="Times New Roman" w:cs="Times New Roman"/>
          <w:lang w:eastAsia="en-GB"/>
        </w:rPr>
        <w:t> 2003-016.</w:t>
      </w:r>
    </w:p>
    <w:p w14:paraId="79817DB5" w14:textId="7777777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Shleifer, A., &amp; Vishny, R. (1997). A Survey of Corporate Governance.</w:t>
      </w:r>
      <w:r w:rsidRPr="00F32DDF">
        <w:rPr>
          <w:rFonts w:ascii="Times New Roman" w:hAnsi="Times New Roman" w:cs="Times New Roman"/>
          <w:i/>
          <w:iCs/>
          <w:lang w:eastAsia="en-GB"/>
        </w:rPr>
        <w:t>Journal of Finance, 52</w:t>
      </w:r>
      <w:r w:rsidRPr="00F32DDF">
        <w:rPr>
          <w:rFonts w:ascii="Times New Roman" w:hAnsi="Times New Roman" w:cs="Times New Roman"/>
          <w:lang w:eastAsia="en-GB"/>
        </w:rPr>
        <w:t>(2), 737–783.</w:t>
      </w:r>
    </w:p>
    <w:p w14:paraId="77C08595" w14:textId="7777777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Barca, F., &amp; Becht, M. (2001).</w:t>
      </w:r>
      <w:r w:rsidRPr="00F32DDF">
        <w:rPr>
          <w:rFonts w:ascii="Times New Roman" w:hAnsi="Times New Roman" w:cs="Times New Roman"/>
          <w:i/>
          <w:iCs/>
          <w:lang w:eastAsia="en-GB"/>
        </w:rPr>
        <w:t>The Control of Corporate Europe</w:t>
      </w:r>
      <w:r w:rsidRPr="00F32DDF">
        <w:rPr>
          <w:rFonts w:ascii="Times New Roman" w:hAnsi="Times New Roman" w:cs="Times New Roman"/>
          <w:lang w:eastAsia="en-GB"/>
        </w:rPr>
        <w:t>. Oxford: Oxford University Press.</w:t>
      </w:r>
    </w:p>
    <w:p w14:paraId="2FD1967F" w14:textId="53D41EAE"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 xml:space="preserve">(OECD), (n.d.). OECD Corporate Governance Factbook 2025. </w:t>
      </w:r>
      <w:hyperlink r:id="rId5" w:history="1">
        <w:r w:rsidR="00F32DDF" w:rsidRPr="009A17D9">
          <w:rPr>
            <w:rStyle w:val="Hyperlink"/>
            <w:rFonts w:ascii="Times New Roman" w:hAnsi="Times New Roman" w:cs="Times New Roman"/>
            <w:lang w:eastAsia="en-GB"/>
          </w:rPr>
          <w:t>https://www.oecd.org/en/publications/oecd-corporate-governance-factbook-2025_f4f43735-en/full-report/global-public-markets-and-corporate-ownership_c5012184.html</w:t>
        </w:r>
      </w:hyperlink>
      <w:r w:rsidR="00F32DDF">
        <w:rPr>
          <w:rFonts w:ascii="Times New Roman" w:hAnsi="Times New Roman" w:cs="Times New Roman"/>
          <w:lang w:eastAsia="en-GB"/>
        </w:rPr>
        <w:t xml:space="preserve"> </w:t>
      </w:r>
    </w:p>
    <w:p w14:paraId="1687593C" w14:textId="7777777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Goergen, M., Manjon, M.C. &amp; Renneboog, L. Is the German system of corporate governance converging towards the Anglo-American model?. </w:t>
      </w:r>
      <w:r w:rsidRPr="00F32DDF">
        <w:rPr>
          <w:rFonts w:ascii="Times New Roman" w:hAnsi="Times New Roman" w:cs="Times New Roman"/>
          <w:i/>
          <w:iCs/>
          <w:lang w:eastAsia="en-GB"/>
        </w:rPr>
        <w:t>J Manage Governance</w:t>
      </w:r>
      <w:r w:rsidRPr="00F32DDF">
        <w:rPr>
          <w:rFonts w:ascii="Times New Roman" w:hAnsi="Times New Roman" w:cs="Times New Roman"/>
          <w:lang w:eastAsia="en-GB"/>
        </w:rPr>
        <w:t> 12, 37–71 (2008). </w:t>
      </w:r>
      <w:hyperlink r:id="rId6" w:history="1">
        <w:r w:rsidRPr="00F32DDF">
          <w:rPr>
            <w:rFonts w:ascii="Times New Roman" w:hAnsi="Times New Roman" w:cs="Times New Roman"/>
            <w:color w:val="0000FF"/>
            <w:u w:val="single"/>
            <w:lang w:eastAsia="en-GB"/>
          </w:rPr>
          <w:t>https://doi.org/10.1007/s10997-007-9040-7</w:t>
        </w:r>
      </w:hyperlink>
    </w:p>
    <w:p w14:paraId="62714496" w14:textId="67964A67" w:rsidR="004844A8" w:rsidRPr="00F32DDF" w:rsidRDefault="004844A8" w:rsidP="00F32DDF">
      <w:pPr>
        <w:rPr>
          <w:rFonts w:ascii="Times New Roman" w:hAnsi="Times New Roman" w:cs="Times New Roman"/>
          <w:lang w:eastAsia="en-GB"/>
        </w:rPr>
      </w:pPr>
      <w:r w:rsidRPr="00F32DDF">
        <w:rPr>
          <w:rFonts w:ascii="Times New Roman" w:hAnsi="Times New Roman" w:cs="Times New Roman"/>
          <w:lang w:eastAsia="en-GB"/>
        </w:rPr>
        <w:t xml:space="preserve">Ringe, W. (2015). Changing Law and Ownership Patterns in Germany: Corporate Governance and the Erosion of Deutschland AG. The American Journal of Comparative Law 63(2), pp. 493-536. </w:t>
      </w:r>
      <w:hyperlink r:id="rId7" w:history="1">
        <w:r w:rsidR="00F32DDF" w:rsidRPr="009A17D9">
          <w:rPr>
            <w:rStyle w:val="Hyperlink"/>
            <w:rFonts w:ascii="Times New Roman" w:hAnsi="Times New Roman" w:cs="Times New Roman"/>
            <w:lang w:eastAsia="en-GB"/>
          </w:rPr>
          <w:t>https://doi.org/10.1093/ajcl/avv013</w:t>
        </w:r>
      </w:hyperlink>
      <w:r w:rsidR="00F32DDF">
        <w:rPr>
          <w:rFonts w:ascii="Times New Roman" w:hAnsi="Times New Roman" w:cs="Times New Roman"/>
          <w:lang w:eastAsia="en-GB"/>
        </w:rPr>
        <w:t xml:space="preserve"> </w:t>
      </w:r>
    </w:p>
    <w:sectPr w:rsidR="004844A8" w:rsidRPr="00F32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1963"/>
    <w:multiLevelType w:val="multilevel"/>
    <w:tmpl w:val="5724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418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910"/>
    <w:rsid w:val="000626F0"/>
    <w:rsid w:val="000D12C5"/>
    <w:rsid w:val="00187910"/>
    <w:rsid w:val="001D1A98"/>
    <w:rsid w:val="003C44FE"/>
    <w:rsid w:val="003C7358"/>
    <w:rsid w:val="004844A8"/>
    <w:rsid w:val="004B7B99"/>
    <w:rsid w:val="005D1BA9"/>
    <w:rsid w:val="0064245F"/>
    <w:rsid w:val="00682DDA"/>
    <w:rsid w:val="007E0FD5"/>
    <w:rsid w:val="00937E08"/>
    <w:rsid w:val="00A842C8"/>
    <w:rsid w:val="00A95378"/>
    <w:rsid w:val="00CA541F"/>
    <w:rsid w:val="00CE7CD5"/>
    <w:rsid w:val="00E27ECD"/>
    <w:rsid w:val="00E80F0E"/>
    <w:rsid w:val="00F32DDF"/>
    <w:rsid w:val="00F42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542BA3"/>
  <w15:chartTrackingRefBased/>
  <w15:docId w15:val="{529373CC-8DD6-0B41-9A43-F5167B84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7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7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7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7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910"/>
    <w:rPr>
      <w:rFonts w:eastAsiaTheme="majorEastAsia" w:cstheme="majorBidi"/>
      <w:color w:val="272727" w:themeColor="text1" w:themeTint="D8"/>
    </w:rPr>
  </w:style>
  <w:style w:type="paragraph" w:styleId="Title">
    <w:name w:val="Title"/>
    <w:basedOn w:val="Normal"/>
    <w:next w:val="Normal"/>
    <w:link w:val="TitleChar"/>
    <w:uiPriority w:val="10"/>
    <w:qFormat/>
    <w:rsid w:val="00187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910"/>
    <w:pPr>
      <w:spacing w:before="160"/>
      <w:jc w:val="center"/>
    </w:pPr>
    <w:rPr>
      <w:i/>
      <w:iCs/>
      <w:color w:val="404040" w:themeColor="text1" w:themeTint="BF"/>
    </w:rPr>
  </w:style>
  <w:style w:type="character" w:customStyle="1" w:styleId="QuoteChar">
    <w:name w:val="Quote Char"/>
    <w:basedOn w:val="DefaultParagraphFont"/>
    <w:link w:val="Quote"/>
    <w:uiPriority w:val="29"/>
    <w:rsid w:val="00187910"/>
    <w:rPr>
      <w:i/>
      <w:iCs/>
      <w:color w:val="404040" w:themeColor="text1" w:themeTint="BF"/>
    </w:rPr>
  </w:style>
  <w:style w:type="paragraph" w:styleId="ListParagraph">
    <w:name w:val="List Paragraph"/>
    <w:basedOn w:val="Normal"/>
    <w:uiPriority w:val="34"/>
    <w:qFormat/>
    <w:rsid w:val="00187910"/>
    <w:pPr>
      <w:ind w:left="720"/>
      <w:contextualSpacing/>
    </w:pPr>
  </w:style>
  <w:style w:type="character" w:styleId="IntenseEmphasis">
    <w:name w:val="Intense Emphasis"/>
    <w:basedOn w:val="DefaultParagraphFont"/>
    <w:uiPriority w:val="21"/>
    <w:qFormat/>
    <w:rsid w:val="00187910"/>
    <w:rPr>
      <w:i/>
      <w:iCs/>
      <w:color w:val="0F4761" w:themeColor="accent1" w:themeShade="BF"/>
    </w:rPr>
  </w:style>
  <w:style w:type="paragraph" w:styleId="IntenseQuote">
    <w:name w:val="Intense Quote"/>
    <w:basedOn w:val="Normal"/>
    <w:next w:val="Normal"/>
    <w:link w:val="IntenseQuoteChar"/>
    <w:uiPriority w:val="30"/>
    <w:qFormat/>
    <w:rsid w:val="00187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910"/>
    <w:rPr>
      <w:i/>
      <w:iCs/>
      <w:color w:val="0F4761" w:themeColor="accent1" w:themeShade="BF"/>
    </w:rPr>
  </w:style>
  <w:style w:type="character" w:styleId="IntenseReference">
    <w:name w:val="Intense Reference"/>
    <w:basedOn w:val="DefaultParagraphFont"/>
    <w:uiPriority w:val="32"/>
    <w:qFormat/>
    <w:rsid w:val="00187910"/>
    <w:rPr>
      <w:b/>
      <w:bCs/>
      <w:smallCaps/>
      <w:color w:val="0F4761" w:themeColor="accent1" w:themeShade="BF"/>
      <w:spacing w:val="5"/>
    </w:rPr>
  </w:style>
  <w:style w:type="paragraph" w:styleId="NormalWeb">
    <w:name w:val="Normal (Web)"/>
    <w:basedOn w:val="Normal"/>
    <w:uiPriority w:val="99"/>
    <w:semiHidden/>
    <w:unhideWhenUsed/>
    <w:rsid w:val="001879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87910"/>
  </w:style>
  <w:style w:type="character" w:styleId="Strong">
    <w:name w:val="Strong"/>
    <w:basedOn w:val="DefaultParagraphFont"/>
    <w:uiPriority w:val="22"/>
    <w:qFormat/>
    <w:rsid w:val="00187910"/>
    <w:rPr>
      <w:b/>
      <w:bCs/>
    </w:rPr>
  </w:style>
  <w:style w:type="character" w:styleId="Emphasis">
    <w:name w:val="Emphasis"/>
    <w:basedOn w:val="DefaultParagraphFont"/>
    <w:uiPriority w:val="20"/>
    <w:qFormat/>
    <w:rsid w:val="00187910"/>
    <w:rPr>
      <w:i/>
      <w:iCs/>
    </w:rPr>
  </w:style>
  <w:style w:type="character" w:styleId="Hyperlink">
    <w:name w:val="Hyperlink"/>
    <w:basedOn w:val="DefaultParagraphFont"/>
    <w:uiPriority w:val="99"/>
    <w:unhideWhenUsed/>
    <w:rsid w:val="00F32DDF"/>
    <w:rPr>
      <w:color w:val="467886" w:themeColor="hyperlink"/>
      <w:u w:val="single"/>
    </w:rPr>
  </w:style>
  <w:style w:type="character" w:styleId="UnresolvedMention">
    <w:name w:val="Unresolved Mention"/>
    <w:basedOn w:val="DefaultParagraphFont"/>
    <w:uiPriority w:val="99"/>
    <w:semiHidden/>
    <w:unhideWhenUsed/>
    <w:rsid w:val="00F32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357761">
      <w:bodyDiv w:val="1"/>
      <w:marLeft w:val="0"/>
      <w:marRight w:val="0"/>
      <w:marTop w:val="0"/>
      <w:marBottom w:val="0"/>
      <w:divBdr>
        <w:top w:val="none" w:sz="0" w:space="0" w:color="auto"/>
        <w:left w:val="none" w:sz="0" w:space="0" w:color="auto"/>
        <w:bottom w:val="none" w:sz="0" w:space="0" w:color="auto"/>
        <w:right w:val="none" w:sz="0" w:space="0" w:color="auto"/>
      </w:divBdr>
    </w:div>
    <w:div w:id="1620532506">
      <w:bodyDiv w:val="1"/>
      <w:marLeft w:val="0"/>
      <w:marRight w:val="0"/>
      <w:marTop w:val="0"/>
      <w:marBottom w:val="0"/>
      <w:divBdr>
        <w:top w:val="none" w:sz="0" w:space="0" w:color="auto"/>
        <w:left w:val="none" w:sz="0" w:space="0" w:color="auto"/>
        <w:bottom w:val="none" w:sz="0" w:space="0" w:color="auto"/>
        <w:right w:val="none" w:sz="0" w:space="0" w:color="auto"/>
      </w:divBdr>
    </w:div>
    <w:div w:id="183665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93/ajcl/avv0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0997-007-9040-7" TargetMode="External"/><Relationship Id="rId5" Type="http://schemas.openxmlformats.org/officeDocument/2006/relationships/hyperlink" Target="https://www.oecd.org/en/publications/oecd-corporate-governance-factbook-2025_f4f43735-en/full-report/global-public-markets-and-corporate-ownership_c5012184.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6</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5</cp:revision>
  <dcterms:created xsi:type="dcterms:W3CDTF">2026-01-14T02:48:00Z</dcterms:created>
  <dcterms:modified xsi:type="dcterms:W3CDTF">2026-01-26T05:12:00Z</dcterms:modified>
</cp:coreProperties>
</file>