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A7EFB" w14:textId="7D6CCC93" w:rsidR="00F86120" w:rsidRPr="00B03181" w:rsidRDefault="007B4D9B">
      <w:pPr>
        <w:rPr>
          <w:sz w:val="36"/>
          <w:szCs w:val="36"/>
        </w:rPr>
      </w:pPr>
      <w:r w:rsidRPr="00B03181">
        <w:rPr>
          <w:sz w:val="36"/>
          <w:szCs w:val="36"/>
        </w:rPr>
        <w:t>How does Yin and Yang shape Daoist ideas of internal alchemy.</w:t>
      </w:r>
    </w:p>
    <w:p w14:paraId="1A0CC115" w14:textId="4AD3F186" w:rsidR="00C833D3" w:rsidRDefault="00B03181">
      <w:r>
        <w:t xml:space="preserve">Yin and yang are core parts of the Daoist cosmology and can be found in some of the earliest Daoist classics, such as the I Ching and the Tao </w:t>
      </w:r>
      <w:proofErr w:type="spellStart"/>
      <w:r>
        <w:t>Te</w:t>
      </w:r>
      <w:proofErr w:type="spellEnd"/>
      <w:r>
        <w:t xml:space="preserve"> Ching. Since then, they have influenced many parts of Daoist ideology, thought, and practice. One such practice is that of internal alchemy, a practice that was focused in reaching the One and achieving longevity. </w:t>
      </w:r>
      <w:r w:rsidR="00C833D3">
        <w:t xml:space="preserve">Originally the term for internal alchemy would not have been </w:t>
      </w:r>
      <w:proofErr w:type="spellStart"/>
      <w:r w:rsidR="00C833D3">
        <w:t>neidan</w:t>
      </w:r>
      <w:proofErr w:type="spellEnd"/>
      <w:r w:rsidR="00C833D3">
        <w:t xml:space="preserve">, as it had several other meanings over time, and the term </w:t>
      </w:r>
      <w:proofErr w:type="spellStart"/>
      <w:r w:rsidR="00C833D3">
        <w:t>jindan</w:t>
      </w:r>
      <w:proofErr w:type="spellEnd"/>
      <w:r w:rsidR="00C833D3">
        <w:t xml:space="preserve"> (golden elixir) would have been a more common name.</w:t>
      </w:r>
      <w:r w:rsidR="00C833D3">
        <w:rPr>
          <w:rStyle w:val="FootnoteReference"/>
        </w:rPr>
        <w:footnoteReference w:id="1"/>
      </w:r>
      <w:r>
        <w:t xml:space="preserve"> but in this work it will be referred to as </w:t>
      </w:r>
      <w:proofErr w:type="spellStart"/>
      <w:r>
        <w:t>neidan</w:t>
      </w:r>
      <w:proofErr w:type="spellEnd"/>
      <w:r>
        <w:t xml:space="preserve"> unless for a specific reference.</w:t>
      </w:r>
    </w:p>
    <w:p w14:paraId="7C7379A0" w14:textId="5227FAC8" w:rsidR="00790C49" w:rsidRDefault="00924017">
      <w:r>
        <w:t xml:space="preserve">The practices of </w:t>
      </w:r>
      <w:proofErr w:type="spellStart"/>
      <w:r>
        <w:t>neidan</w:t>
      </w:r>
      <w:proofErr w:type="spellEnd"/>
      <w:r>
        <w:t xml:space="preserve"> come from a wide range of sources and not all of them are in line with each other. With the lack of a central authority for early </w:t>
      </w:r>
      <w:proofErr w:type="spellStart"/>
      <w:r>
        <w:t>neidan</w:t>
      </w:r>
      <w:proofErr w:type="spellEnd"/>
      <w:r>
        <w:t xml:space="preserve"> there was the allowance for many interpretations of the traditions to be made and still share doctrinal foundations. Because of this wider freedom in relating practices to other traditions it meant that several of the Daoist classics like Laozi and Zhuangzi or other sources of cosmology and medical theory were used to shape </w:t>
      </w:r>
      <w:proofErr w:type="spellStart"/>
      <w:r>
        <w:t>neidan</w:t>
      </w:r>
      <w:proofErr w:type="spellEnd"/>
      <w:r>
        <w:t xml:space="preserve"> ideas.</w:t>
      </w:r>
      <w:r>
        <w:rPr>
          <w:rStyle w:val="FootnoteReference"/>
        </w:rPr>
        <w:footnoteReference w:id="2"/>
      </w:r>
      <w:r w:rsidR="001C6CDF">
        <w:t xml:space="preserve"> Moreover, p</w:t>
      </w:r>
      <w:r w:rsidR="00C833D3">
        <w:t xml:space="preserve">rior to the Tang and Song periods many </w:t>
      </w:r>
      <w:proofErr w:type="spellStart"/>
      <w:r w:rsidR="00C833D3">
        <w:t>neidan</w:t>
      </w:r>
      <w:proofErr w:type="spellEnd"/>
      <w:r w:rsidR="00C833D3">
        <w:t xml:space="preserve"> doctrines are said to have originated from unknown immortals or divine beings. One of the only well known people from this era would be Laozi who had supposedly passed on his teaching of internal alchemy.</w:t>
      </w:r>
      <w:r w:rsidR="00C833D3">
        <w:rPr>
          <w:rStyle w:val="FootnoteReference"/>
        </w:rPr>
        <w:footnoteReference w:id="3"/>
      </w:r>
      <w:r w:rsidR="002C5B4C">
        <w:t xml:space="preserve"> Two other works that have had huge impacts on the development of </w:t>
      </w:r>
      <w:proofErr w:type="spellStart"/>
      <w:r w:rsidR="002C5B4C">
        <w:t>neidan</w:t>
      </w:r>
      <w:proofErr w:type="spellEnd"/>
      <w:r w:rsidR="002C5B4C">
        <w:t xml:space="preserve"> are the </w:t>
      </w:r>
      <w:proofErr w:type="spellStart"/>
      <w:r w:rsidR="00790C49">
        <w:t>Cantong</w:t>
      </w:r>
      <w:proofErr w:type="spellEnd"/>
      <w:r w:rsidR="00790C49">
        <w:t xml:space="preserve"> qi</w:t>
      </w:r>
      <w:r w:rsidR="002C5B4C">
        <w:t>, that</w:t>
      </w:r>
      <w:r w:rsidR="00790C49">
        <w:t xml:space="preserve"> set out the foundation for most of </w:t>
      </w:r>
      <w:proofErr w:type="spellStart"/>
      <w:r w:rsidR="00790C49">
        <w:t>Waidan</w:t>
      </w:r>
      <w:proofErr w:type="spellEnd"/>
      <w:r w:rsidR="00790C49">
        <w:t xml:space="preserve"> and all of </w:t>
      </w:r>
      <w:proofErr w:type="spellStart"/>
      <w:r w:rsidR="00790C49">
        <w:t>Neidan</w:t>
      </w:r>
      <w:proofErr w:type="spellEnd"/>
      <w:r w:rsidR="002C5B4C">
        <w:t>,</w:t>
      </w:r>
      <w:r w:rsidR="00790C49">
        <w:rPr>
          <w:rStyle w:val="FootnoteReference"/>
        </w:rPr>
        <w:footnoteReference w:id="4"/>
      </w:r>
      <w:r w:rsidR="002C5B4C">
        <w:t xml:space="preserve"> and also the </w:t>
      </w:r>
      <w:proofErr w:type="spellStart"/>
      <w:r w:rsidR="00790C49">
        <w:t>The</w:t>
      </w:r>
      <w:proofErr w:type="spellEnd"/>
      <w:r w:rsidR="00790C49">
        <w:t xml:space="preserve"> </w:t>
      </w:r>
      <w:proofErr w:type="spellStart"/>
      <w:r w:rsidR="00790C49">
        <w:t>Yinfu</w:t>
      </w:r>
      <w:proofErr w:type="spellEnd"/>
      <w:r w:rsidR="00790C49">
        <w:t xml:space="preserve"> </w:t>
      </w:r>
      <w:proofErr w:type="spellStart"/>
      <w:r w:rsidR="00790C49">
        <w:t>jing</w:t>
      </w:r>
      <w:proofErr w:type="spellEnd"/>
      <w:r w:rsidR="002C5B4C">
        <w:t>, that</w:t>
      </w:r>
      <w:r w:rsidR="00790C49">
        <w:t xml:space="preserve"> was another early work that was made</w:t>
      </w:r>
      <w:r w:rsidR="002C5B4C">
        <w:t xml:space="preserve"> later</w:t>
      </w:r>
      <w:r w:rsidR="00790C49">
        <w:t xml:space="preserve"> into the </w:t>
      </w:r>
      <w:proofErr w:type="spellStart"/>
      <w:r w:rsidR="00790C49">
        <w:t>Neidan</w:t>
      </w:r>
      <w:proofErr w:type="spellEnd"/>
      <w:r w:rsidR="00790C49">
        <w:t xml:space="preserve"> canon.</w:t>
      </w:r>
      <w:r w:rsidR="002C5B4C">
        <w:t xml:space="preserve"> The </w:t>
      </w:r>
      <w:proofErr w:type="spellStart"/>
      <w:r w:rsidR="002C5B4C">
        <w:t>Yinfu</w:t>
      </w:r>
      <w:proofErr w:type="spellEnd"/>
      <w:r w:rsidR="002C5B4C">
        <w:t xml:space="preserve"> </w:t>
      </w:r>
      <w:proofErr w:type="spellStart"/>
      <w:r w:rsidR="002C5B4C">
        <w:t>jing</w:t>
      </w:r>
      <w:proofErr w:type="spellEnd"/>
      <w:r w:rsidR="00790C49">
        <w:t xml:space="preserve"> presents a view of grand cosmic order and is quoted in many texts.</w:t>
      </w:r>
      <w:r w:rsidR="002C5B4C">
        <w:t xml:space="preserve"> Although s</w:t>
      </w:r>
      <w:r w:rsidR="00790C49">
        <w:t xml:space="preserve">ome believe that this text started out as a military treatise as the word </w:t>
      </w:r>
      <w:proofErr w:type="spellStart"/>
      <w:r w:rsidR="00790C49">
        <w:t>yinfu</w:t>
      </w:r>
      <w:proofErr w:type="spellEnd"/>
      <w:r w:rsidR="00790C49">
        <w:t xml:space="preserve"> was originally a military term.</w:t>
      </w:r>
      <w:r w:rsidR="00790C49">
        <w:rPr>
          <w:rStyle w:val="FootnoteReference"/>
        </w:rPr>
        <w:footnoteReference w:id="5"/>
      </w:r>
      <w:r w:rsidR="002C5B4C">
        <w:t xml:space="preserve"> All of these texts have various different Daoist influences within them but a core idea that has at least been mentioned in most of them is that of yin and yang. The fact that this penetrates through so many of the influential works towards </w:t>
      </w:r>
      <w:proofErr w:type="spellStart"/>
      <w:r w:rsidR="002C5B4C">
        <w:t>neidan</w:t>
      </w:r>
      <w:proofErr w:type="spellEnd"/>
      <w:r w:rsidR="002C5B4C">
        <w:t xml:space="preserve"> shows just how important and impactful it is.</w:t>
      </w:r>
    </w:p>
    <w:p w14:paraId="2FF15A4D" w14:textId="64AD9BFB" w:rsidR="00790C49" w:rsidRDefault="002C5B4C">
      <w:r>
        <w:t xml:space="preserve">The overall term of </w:t>
      </w:r>
      <w:proofErr w:type="spellStart"/>
      <w:r w:rsidR="002D164A">
        <w:t>Neidan</w:t>
      </w:r>
      <w:proofErr w:type="spellEnd"/>
      <w:r w:rsidR="002D164A">
        <w:t xml:space="preserve"> refers to three things “l. a coherent body of oral and written teachings; 2. regimens of practices related to these teachings; and 3. an inner state realized through these practices.”</w:t>
      </w:r>
      <w:r w:rsidR="002D164A">
        <w:rPr>
          <w:rStyle w:val="FootnoteReference"/>
        </w:rPr>
        <w:footnoteReference w:id="6"/>
      </w:r>
      <w:r w:rsidR="002D164A">
        <w:t xml:space="preserve"> In its enaction of these practices </w:t>
      </w:r>
      <w:proofErr w:type="spellStart"/>
      <w:r w:rsidR="002D164A">
        <w:t>neidan</w:t>
      </w:r>
      <w:proofErr w:type="spellEnd"/>
      <w:r w:rsidR="002D164A">
        <w:t xml:space="preserve"> uses cosmological language and alchemical emblems to help practitioners find the primordial order and to see the patterns of the cosmos. This is often emphasised in two ways: higher virtue (</w:t>
      </w:r>
      <w:proofErr w:type="spellStart"/>
      <w:r w:rsidR="002D164A">
        <w:t>shangde</w:t>
      </w:r>
      <w:proofErr w:type="spellEnd"/>
      <w:r w:rsidR="002D164A">
        <w:t>) and lower virtue (</w:t>
      </w:r>
      <w:proofErr w:type="spellStart"/>
      <w:r w:rsidR="002D164A">
        <w:t>xiade</w:t>
      </w:r>
      <w:proofErr w:type="spellEnd"/>
      <w:r w:rsidR="002D164A">
        <w:t xml:space="preserve">). </w:t>
      </w:r>
      <w:r w:rsidR="004C754F">
        <w:t>The path of higher virtue is that of recognising the nature of reality and being able to act without conscious or intervening activity. The way of the lower path is to go from the cosmos that you know back to its original source and to use the cosmological and alchemical emblems as the guide to take you on this path of realization.</w:t>
      </w:r>
      <w:r w:rsidR="002D164A">
        <w:rPr>
          <w:rStyle w:val="FootnoteReference"/>
        </w:rPr>
        <w:footnoteReference w:id="7"/>
      </w:r>
      <w:r w:rsidR="004C754F">
        <w:t xml:space="preserve"> </w:t>
      </w:r>
      <w:r w:rsidR="00924017">
        <w:t xml:space="preserve">It is this path to the original source that is important in this case. The original source that they talk of is the original One that splits into two, which are yin and yang, and so they must first cultivate them to get to the original source. </w:t>
      </w:r>
    </w:p>
    <w:p w14:paraId="0B8390C3" w14:textId="72E3E465" w:rsidR="00870782" w:rsidRDefault="00B41DC0">
      <w:r>
        <w:lastRenderedPageBreak/>
        <w:t>In the</w:t>
      </w:r>
      <w:r w:rsidR="00870782">
        <w:t xml:space="preserve"> actual</w:t>
      </w:r>
      <w:r>
        <w:t xml:space="preserve"> practices of </w:t>
      </w:r>
      <w:proofErr w:type="spellStart"/>
      <w:r>
        <w:t>neidan</w:t>
      </w:r>
      <w:proofErr w:type="spellEnd"/>
      <w:r>
        <w:t xml:space="preserve"> the final goal is to return back to the One and its nonbeing. This idea is usually done through tracing back through the cosmology that is followed by most of Daoism, from Laozi’s Tao </w:t>
      </w:r>
      <w:proofErr w:type="spellStart"/>
      <w:r>
        <w:t>Te</w:t>
      </w:r>
      <w:proofErr w:type="spellEnd"/>
      <w:r>
        <w:t xml:space="preserve"> Ching</w:t>
      </w:r>
      <w:r>
        <w:rPr>
          <w:rStyle w:val="FootnoteReference"/>
        </w:rPr>
        <w:footnoteReference w:id="8"/>
      </w:r>
      <w:r>
        <w:t>, going from the ten thousand things to Yin Yang and then to the original One.</w:t>
      </w:r>
      <w:r>
        <w:rPr>
          <w:rStyle w:val="FootnoteReference"/>
        </w:rPr>
        <w:footnoteReference w:id="9"/>
      </w:r>
      <w:r>
        <w:t xml:space="preserve"> </w:t>
      </w:r>
      <w:r w:rsidR="00A516EF">
        <w:t>The goal in this practice is to try and cultivate the original yin and original yang within themselves and fuse them to create the One. This end state has been referred to by many names, but some common ones are Pure Yang and Real Lead.</w:t>
      </w:r>
      <w:r w:rsidR="00A516EF">
        <w:rPr>
          <w:rStyle w:val="FootnoteReference"/>
        </w:rPr>
        <w:footnoteReference w:id="10"/>
      </w:r>
      <w:r w:rsidR="006B3E17">
        <w:t xml:space="preserve"> This show</w:t>
      </w:r>
      <w:r w:rsidR="00B2230D">
        <w:t>s</w:t>
      </w:r>
      <w:r w:rsidR="006B3E17">
        <w:t xml:space="preserve"> the great impact that the ideas of yin and yang had upon the practices of </w:t>
      </w:r>
      <w:proofErr w:type="spellStart"/>
      <w:r w:rsidR="006B3E17">
        <w:t>neidan</w:t>
      </w:r>
      <w:proofErr w:type="spellEnd"/>
      <w:r w:rsidR="00B2230D">
        <w:t xml:space="preserve">. It is at the root of there doctrinal thought and is a major step within their path on cultivating to </w:t>
      </w:r>
      <w:r w:rsidR="00241884">
        <w:t xml:space="preserve">reach the </w:t>
      </w:r>
      <w:r w:rsidR="00B2230D">
        <w:t>One</w:t>
      </w:r>
      <w:r w:rsidR="00241884">
        <w:t xml:space="preserve">. </w:t>
      </w:r>
      <w:r w:rsidR="00601A81">
        <w:t xml:space="preserve">Furthermore, </w:t>
      </w:r>
      <w:r w:rsidR="003A17E2">
        <w:t xml:space="preserve">there is the ideas of stages in the division of the One. These are the before Heaven, in which the One goes through its cosmogonic division into the two, and the after Heaven, in which the normal perception of the cosmos lies. Within these two stages yin and yang shift. In </w:t>
      </w:r>
      <w:r w:rsidR="00D36802">
        <w:t xml:space="preserve">before Heaven they are in a pure form that can be joined into the One but in the after Heaven stage there </w:t>
      </w:r>
      <w:r w:rsidR="005923E3">
        <w:t>are the pure forms of yin and yang but they are enclosed by particles of the other.</w:t>
      </w:r>
      <w:r w:rsidR="005923E3">
        <w:rPr>
          <w:rStyle w:val="FootnoteReference"/>
        </w:rPr>
        <w:footnoteReference w:id="11"/>
      </w:r>
      <w:r w:rsidR="003A17E2">
        <w:t xml:space="preserve"> </w:t>
      </w:r>
      <w:r w:rsidR="005923E3">
        <w:t>This could be thought of like the typical depiction of the yin yang symbol.</w:t>
      </w:r>
    </w:p>
    <w:p w14:paraId="20E1AE99" w14:textId="77777777" w:rsidR="00095E08" w:rsidRDefault="00870782">
      <w:r>
        <w:t>Looking</w:t>
      </w:r>
      <w:r w:rsidR="00E25BC7">
        <w:t xml:space="preserve"> further into the teaching of </w:t>
      </w:r>
      <w:proofErr w:type="spellStart"/>
      <w:r w:rsidR="00E25BC7">
        <w:t>neidan</w:t>
      </w:r>
      <w:proofErr w:type="spellEnd"/>
      <w:r w:rsidR="00E25BC7">
        <w:t xml:space="preserve"> that cross with yin and yang, there is the doctrine of the Three Treasures. The Three Treasure are the essence</w:t>
      </w:r>
      <w:r w:rsidR="003D3F84">
        <w:t xml:space="preserve"> (</w:t>
      </w:r>
      <w:proofErr w:type="spellStart"/>
      <w:r w:rsidR="003D3F84">
        <w:t>jing</w:t>
      </w:r>
      <w:proofErr w:type="spellEnd"/>
      <w:r w:rsidR="003D3F84">
        <w:t>)</w:t>
      </w:r>
      <w:r w:rsidR="00E25BC7">
        <w:t>, vital energy</w:t>
      </w:r>
      <w:r w:rsidR="003D3F84">
        <w:t xml:space="preserve"> (qi)</w:t>
      </w:r>
      <w:r w:rsidR="00E25BC7">
        <w:t>, and spirit</w:t>
      </w:r>
      <w:r w:rsidR="003D3F84">
        <w:t xml:space="preserve"> (</w:t>
      </w:r>
      <w:proofErr w:type="spellStart"/>
      <w:r w:rsidR="003D3F84">
        <w:t>shen</w:t>
      </w:r>
      <w:proofErr w:type="spellEnd"/>
      <w:r w:rsidR="003D3F84">
        <w:t>)</w:t>
      </w:r>
      <w:r w:rsidR="00E25BC7">
        <w:t>. Each one having an authentic and conditioned aspect to it.</w:t>
      </w:r>
      <w:r w:rsidR="003D3F84">
        <w:t xml:space="preserve"> In the before Heaven state, they are in their authentic versions</w:t>
      </w:r>
      <w:r w:rsidR="00A50BA2">
        <w:t xml:space="preserve"> that are also known as there primordial states (yuan)</w:t>
      </w:r>
      <w:r w:rsidR="003D3F84">
        <w:t>. Essence is for material manifestation</w:t>
      </w:r>
      <w:r w:rsidR="00A50BA2">
        <w:t xml:space="preserve">, </w:t>
      </w:r>
      <w:r w:rsidR="003D3F84">
        <w:t>Energy is for cosmic manifestation</w:t>
      </w:r>
      <w:r w:rsidR="00A50BA2">
        <w:t>, and</w:t>
      </w:r>
      <w:r w:rsidR="003D3F84">
        <w:t xml:space="preserve"> Spirit is for subtle manifestation,</w:t>
      </w:r>
      <w:r w:rsidR="00A50BA2">
        <w:t xml:space="preserve"> things</w:t>
      </w:r>
      <w:r w:rsidR="003D3F84">
        <w:t xml:space="preserve"> like divinities or spirits.</w:t>
      </w:r>
      <w:r w:rsidR="00A50BA2">
        <w:t xml:space="preserve"> </w:t>
      </w:r>
      <w:r w:rsidR="00330007">
        <w:t>Then in the after Heaven state they are in there conditioned state, though they will return to the primordial when refined properly through internal alchemy. At this time, in humans at least, their forms are essence as an unknown force that could appear as sperm or menstrual blood, energy is manifested breath and spirit is the mind.</w:t>
      </w:r>
      <w:r w:rsidR="00330007">
        <w:rPr>
          <w:rStyle w:val="FootnoteReference"/>
        </w:rPr>
        <w:footnoteReference w:id="12"/>
      </w:r>
      <w:r w:rsidR="00E25BC7">
        <w:t xml:space="preserve"> </w:t>
      </w:r>
    </w:p>
    <w:p w14:paraId="48551F69" w14:textId="77777777" w:rsidR="00095E08" w:rsidRDefault="00095E08">
      <w:r>
        <w:t xml:space="preserve">The fact that one of the forms of the Three Treasures is sperm and menstrual blood shows the linkage of sexes and yin and yang. This could possibly bring in sexual practices of </w:t>
      </w:r>
      <w:proofErr w:type="spellStart"/>
      <w:r>
        <w:t>neidan</w:t>
      </w:r>
      <w:proofErr w:type="spellEnd"/>
      <w:r>
        <w:t xml:space="preserve"> into the discussion of yin and yang as often males are represented with yang and females with yin. It would suggest that the practices of fusing or refining these could potentially be undertaken in a sexual way and so sexual </w:t>
      </w:r>
      <w:proofErr w:type="spellStart"/>
      <w:r>
        <w:t>neidan</w:t>
      </w:r>
      <w:proofErr w:type="spellEnd"/>
      <w:r>
        <w:t xml:space="preserve"> practices should be looked at for there connection to yin and yang.</w:t>
      </w:r>
    </w:p>
    <w:p w14:paraId="67C04AA4" w14:textId="4796242C" w:rsidR="00B41DC0" w:rsidRDefault="001B79D9">
      <w:r>
        <w:t>Wang also talks of the ultimate goal of alchemy being for the practitioner getting back to the original One or the Dao. This final stage of cultivation being called the Barrier of the Nine Years (</w:t>
      </w:r>
      <w:proofErr w:type="spellStart"/>
      <w:r>
        <w:t>jiunian</w:t>
      </w:r>
      <w:proofErr w:type="spellEnd"/>
      <w:r>
        <w:t xml:space="preserve"> guan).</w:t>
      </w:r>
      <w:r w:rsidR="00095E08">
        <w:t xml:space="preserve"> </w:t>
      </w:r>
      <w:r>
        <w:t>Although this is not because it takes nine years but rather that it relates to the story of Bodhidharma who sat in front of a wall for nine years, a metaphor for having to connect to nature. In this Wang also mentions a poem by Wuzhen pian that describes the cosmology breakdown from the Dao to all things, similar to that of Laozi chapter 42</w:t>
      </w:r>
      <w:r>
        <w:rPr>
          <w:rStyle w:val="FootnoteReference"/>
        </w:rPr>
        <w:footnoteReference w:id="13"/>
      </w:r>
      <w:r>
        <w:t>, and uses this to help explain that alchemy is the reverse of this process. This poem also describes it with language more attributed to this process (may just be the translation).</w:t>
      </w:r>
      <w:r>
        <w:rPr>
          <w:rStyle w:val="FootnoteReference"/>
        </w:rPr>
        <w:footnoteReference w:id="14"/>
      </w:r>
      <w:r w:rsidR="00B03181">
        <w:t xml:space="preserve"> </w:t>
      </w:r>
      <w:r w:rsidR="00260993">
        <w:t xml:space="preserve">In the inverted refining process breath, essence and spirit are refined into just spirit and breath. These two are later refined into the Original Spirit that they the use to </w:t>
      </w:r>
      <w:r w:rsidR="00260993">
        <w:lastRenderedPageBreak/>
        <w:t>revert to non being and refine emptiness. This is returning to the Dao, the end goal of internal alchemy.</w:t>
      </w:r>
      <w:r w:rsidR="00260993">
        <w:rPr>
          <w:rStyle w:val="FootnoteReference"/>
        </w:rPr>
        <w:footnoteReference w:id="15"/>
      </w:r>
      <w:r w:rsidR="006B3E17">
        <w:t xml:space="preserve"> </w:t>
      </w:r>
    </w:p>
    <w:p w14:paraId="4ADFC3D7" w14:textId="74B73863" w:rsidR="00E179B9" w:rsidRDefault="00E179B9">
      <w:r>
        <w:t xml:space="preserve">In Daoism there is the belief that nature is always talking to you. To this end they use symbols to evoke changes from nature and </w:t>
      </w:r>
      <w:proofErr w:type="spellStart"/>
      <w:r>
        <w:t>neidan</w:t>
      </w:r>
      <w:proofErr w:type="spellEnd"/>
      <w:r>
        <w:t xml:space="preserve"> uses the same structure as found in the I Ching, broken yin and solid yang lines, to create alchemical symbols to connect with nature.</w:t>
      </w:r>
      <w:r>
        <w:rPr>
          <w:rStyle w:val="FootnoteReference"/>
        </w:rPr>
        <w:footnoteReference w:id="16"/>
      </w:r>
    </w:p>
    <w:p w14:paraId="25D19FBD" w14:textId="42A1AE76" w:rsidR="00E179B9" w:rsidRDefault="00E179B9">
      <w:r>
        <w:t xml:space="preserve">Yin and yang have also been used in cultivation techniques that use the five phases. One such </w:t>
      </w:r>
      <w:r w:rsidR="00F914F4">
        <w:t>technique</w:t>
      </w:r>
      <w:r>
        <w:t xml:space="preserve"> that focuses on healing and regulating the internal yin and yang is to open the orbit, harmonize five organ spirits and eight extraordinary vessels. </w:t>
      </w:r>
      <w:r w:rsidR="00F914F4">
        <w:t>It is used to clear vital qi in the body and to refine heaven and earth energy into true yang qi.</w:t>
      </w:r>
      <w:r w:rsidR="00F914F4">
        <w:rPr>
          <w:rStyle w:val="FootnoteReference"/>
        </w:rPr>
        <w:footnoteReference w:id="17"/>
      </w:r>
      <w:r w:rsidR="00F914F4">
        <w:t xml:space="preserve"> This shows an application of the theory of yin and yang that is not in pursuit of the Original One but rather a specific usable cultivation skill to benefit the self.</w:t>
      </w:r>
    </w:p>
    <w:p w14:paraId="7F21888D" w14:textId="77777777" w:rsidR="00F914F4" w:rsidRDefault="00F914F4"/>
    <w:p w14:paraId="2A585E2E" w14:textId="750DDD57" w:rsidR="00790C49" w:rsidRPr="00260993" w:rsidRDefault="00790C49">
      <w:pPr>
        <w:rPr>
          <w:sz w:val="28"/>
          <w:szCs w:val="28"/>
        </w:rPr>
      </w:pPr>
      <w:r w:rsidRPr="00260993">
        <w:rPr>
          <w:sz w:val="28"/>
          <w:szCs w:val="28"/>
        </w:rPr>
        <w:t>Bibliography:</w:t>
      </w:r>
    </w:p>
    <w:p w14:paraId="65246BE8" w14:textId="3CEBDAF7" w:rsidR="00790C49" w:rsidRDefault="00790C49">
      <w:pPr>
        <w:rPr>
          <w:rFonts w:cstheme="minorHAnsi"/>
          <w:color w:val="000000"/>
          <w:shd w:val="clear" w:color="auto" w:fill="FFFFFF"/>
        </w:rPr>
      </w:pPr>
      <w:r w:rsidRPr="00790C49">
        <w:rPr>
          <w:rFonts w:cstheme="minorHAnsi"/>
          <w:color w:val="000000"/>
          <w:shd w:val="clear" w:color="auto" w:fill="FFFFFF"/>
        </w:rPr>
        <w:t>Kohn, L. (eds) (24 Dec. 2018). Daoism Handbook, Leiden, The Netherlands: Brill. Available From: Brill </w:t>
      </w:r>
      <w:hyperlink r:id="rId7" w:tgtFrame="_blank" w:history="1">
        <w:r w:rsidRPr="00790C49">
          <w:rPr>
            <w:rStyle w:val="Hyperlink"/>
            <w:rFonts w:cstheme="minorHAnsi"/>
            <w:shd w:val="clear" w:color="auto" w:fill="FFFFFF"/>
          </w:rPr>
          <w:t>https://doi-org.ezproxy.uwtsd.ac.uk/10.1163/9789004391840</w:t>
        </w:r>
      </w:hyperlink>
      <w:r w:rsidRPr="00790C49">
        <w:rPr>
          <w:rFonts w:cstheme="minorHAnsi"/>
          <w:color w:val="000000"/>
          <w:shd w:val="clear" w:color="auto" w:fill="FFFFFF"/>
        </w:rPr>
        <w:t> </w:t>
      </w:r>
    </w:p>
    <w:p w14:paraId="2BEDC7EF" w14:textId="13F25C06" w:rsidR="006B3E17" w:rsidRDefault="006B3E17" w:rsidP="006B3E17">
      <w:r>
        <w:rPr>
          <w:rFonts w:ascii="Arial" w:hAnsi="Arial" w:cs="Arial"/>
          <w:color w:val="222222"/>
          <w:sz w:val="20"/>
          <w:szCs w:val="20"/>
          <w:shd w:val="clear" w:color="auto" w:fill="FFFFFF"/>
        </w:rPr>
        <w:t xml:space="preserve">Laozi, Tao </w:t>
      </w:r>
      <w:proofErr w:type="spellStart"/>
      <w:r>
        <w:rPr>
          <w:rFonts w:ascii="Arial" w:hAnsi="Arial" w:cs="Arial"/>
          <w:color w:val="222222"/>
          <w:sz w:val="20"/>
          <w:szCs w:val="20"/>
          <w:shd w:val="clear" w:color="auto" w:fill="FFFFFF"/>
        </w:rPr>
        <w:t>Te</w:t>
      </w:r>
      <w:proofErr w:type="spellEnd"/>
      <w:r>
        <w:rPr>
          <w:rFonts w:ascii="Arial" w:hAnsi="Arial" w:cs="Arial"/>
          <w:color w:val="222222"/>
          <w:sz w:val="20"/>
          <w:szCs w:val="20"/>
          <w:shd w:val="clear" w:color="auto" w:fill="FFFFFF"/>
        </w:rPr>
        <w:t xml:space="preserve"> Ching on the art of harmony the new illustrated edition of the Chinese Philosophical Masterpiece, 2017. Transl</w:t>
      </w:r>
      <w:r w:rsidR="00A56BE5">
        <w:rPr>
          <w:rFonts w:ascii="Arial" w:hAnsi="Arial" w:cs="Arial"/>
          <w:color w:val="222222"/>
          <w:sz w:val="20"/>
          <w:szCs w:val="20"/>
          <w:shd w:val="clear" w:color="auto" w:fill="FFFFFF"/>
        </w:rPr>
        <w:t>a</w:t>
      </w:r>
      <w:r>
        <w:rPr>
          <w:rFonts w:ascii="Arial" w:hAnsi="Arial" w:cs="Arial"/>
          <w:color w:val="222222"/>
          <w:sz w:val="20"/>
          <w:szCs w:val="20"/>
          <w:shd w:val="clear" w:color="auto" w:fill="FFFFFF"/>
        </w:rPr>
        <w:t>ted by Chad Hansen. Shelter Harbor Pres</w:t>
      </w:r>
    </w:p>
    <w:p w14:paraId="7ABFD225" w14:textId="0B465D97" w:rsidR="006B3E17" w:rsidRDefault="001B79D9">
      <w:pPr>
        <w:rPr>
          <w:rFonts w:ascii="Arial" w:hAnsi="Arial" w:cs="Arial"/>
          <w:color w:val="222222"/>
          <w:sz w:val="20"/>
          <w:szCs w:val="20"/>
          <w:shd w:val="clear" w:color="auto" w:fill="FFFFFF"/>
        </w:rPr>
      </w:pPr>
      <w:r>
        <w:rPr>
          <w:rFonts w:ascii="Arial" w:hAnsi="Arial" w:cs="Arial"/>
          <w:color w:val="222222"/>
          <w:sz w:val="20"/>
          <w:szCs w:val="20"/>
          <w:shd w:val="clear" w:color="auto" w:fill="FFFFFF"/>
        </w:rPr>
        <w:t>Wang, M., 2011. </w:t>
      </w:r>
      <w:r>
        <w:rPr>
          <w:rFonts w:ascii="Arial" w:hAnsi="Arial" w:cs="Arial"/>
          <w:i/>
          <w:iCs/>
          <w:color w:val="222222"/>
          <w:sz w:val="20"/>
          <w:szCs w:val="20"/>
          <w:shd w:val="clear" w:color="auto" w:fill="FFFFFF"/>
        </w:rPr>
        <w:t xml:space="preserve">Foundations of Internal Alchemy: the Taoist practice of </w:t>
      </w:r>
      <w:proofErr w:type="spellStart"/>
      <w:r>
        <w:rPr>
          <w:rFonts w:ascii="Arial" w:hAnsi="Arial" w:cs="Arial"/>
          <w:i/>
          <w:iCs/>
          <w:color w:val="222222"/>
          <w:sz w:val="20"/>
          <w:szCs w:val="20"/>
          <w:shd w:val="clear" w:color="auto" w:fill="FFFFFF"/>
        </w:rPr>
        <w:t>neidan</w:t>
      </w:r>
      <w:proofErr w:type="spellEnd"/>
      <w:r>
        <w:rPr>
          <w:rFonts w:ascii="Arial" w:hAnsi="Arial" w:cs="Arial"/>
          <w:color w:val="222222"/>
          <w:sz w:val="20"/>
          <w:szCs w:val="20"/>
          <w:shd w:val="clear" w:color="auto" w:fill="FFFFFF"/>
        </w:rPr>
        <w:t>. Golden Elixir Press.</w:t>
      </w:r>
    </w:p>
    <w:p w14:paraId="37FAD829" w14:textId="0ECCDB5B" w:rsidR="00E179B9" w:rsidRPr="00790C49" w:rsidRDefault="00E179B9">
      <w:pPr>
        <w:rPr>
          <w:rFonts w:cstheme="minorHAnsi"/>
        </w:rPr>
      </w:pPr>
      <w:r>
        <w:rPr>
          <w:rFonts w:ascii="Arial" w:hAnsi="Arial" w:cs="Arial"/>
          <w:color w:val="222222"/>
          <w:sz w:val="20"/>
          <w:szCs w:val="20"/>
          <w:shd w:val="clear" w:color="auto" w:fill="FFFFFF"/>
        </w:rPr>
        <w:t>Winn, M., 2009. Daoist Internal Alchemy in the West. </w:t>
      </w:r>
      <w:r>
        <w:rPr>
          <w:rFonts w:ascii="Arial" w:hAnsi="Arial" w:cs="Arial"/>
          <w:i/>
          <w:iCs/>
          <w:color w:val="222222"/>
          <w:sz w:val="20"/>
          <w:szCs w:val="20"/>
          <w:shd w:val="clear" w:color="auto" w:fill="FFFFFF"/>
        </w:rPr>
        <w:t>Internal Alchemy: Self, Society, and the Quest for Immortality</w:t>
      </w:r>
      <w:r>
        <w:rPr>
          <w:rFonts w:ascii="Arial" w:hAnsi="Arial" w:cs="Arial"/>
          <w:color w:val="222222"/>
          <w:sz w:val="20"/>
          <w:szCs w:val="20"/>
          <w:shd w:val="clear" w:color="auto" w:fill="FFFFFF"/>
        </w:rPr>
        <w:t>, pp.142-64.</w:t>
      </w:r>
    </w:p>
    <w:sectPr w:rsidR="00E179B9" w:rsidRPr="00790C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47A95" w14:textId="77777777" w:rsidR="00EC1D42" w:rsidRDefault="00EC1D42" w:rsidP="00790C49">
      <w:pPr>
        <w:spacing w:after="0" w:line="240" w:lineRule="auto"/>
      </w:pPr>
      <w:r>
        <w:separator/>
      </w:r>
    </w:p>
  </w:endnote>
  <w:endnote w:type="continuationSeparator" w:id="0">
    <w:p w14:paraId="631D168F" w14:textId="77777777" w:rsidR="00EC1D42" w:rsidRDefault="00EC1D42" w:rsidP="00790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0DC26" w14:textId="77777777" w:rsidR="00EC1D42" w:rsidRDefault="00EC1D42" w:rsidP="00790C49">
      <w:pPr>
        <w:spacing w:after="0" w:line="240" w:lineRule="auto"/>
      </w:pPr>
      <w:r>
        <w:separator/>
      </w:r>
    </w:p>
  </w:footnote>
  <w:footnote w:type="continuationSeparator" w:id="0">
    <w:p w14:paraId="2A1F04BF" w14:textId="77777777" w:rsidR="00EC1D42" w:rsidRDefault="00EC1D42" w:rsidP="00790C49">
      <w:pPr>
        <w:spacing w:after="0" w:line="240" w:lineRule="auto"/>
      </w:pPr>
      <w:r>
        <w:continuationSeparator/>
      </w:r>
    </w:p>
  </w:footnote>
  <w:footnote w:id="1">
    <w:p w14:paraId="711FA8EB" w14:textId="3E6BDA53" w:rsidR="00C833D3" w:rsidRDefault="00C833D3">
      <w:pPr>
        <w:pStyle w:val="FootnoteText"/>
      </w:pPr>
      <w:r>
        <w:rPr>
          <w:rStyle w:val="FootnoteReference"/>
        </w:rPr>
        <w:footnoteRef/>
      </w:r>
      <w:r>
        <w:t xml:space="preserve"> Kohn, 2018, p. 464</w:t>
      </w:r>
    </w:p>
  </w:footnote>
  <w:footnote w:id="2">
    <w:p w14:paraId="7DB28350" w14:textId="77777777" w:rsidR="00924017" w:rsidRDefault="00924017" w:rsidP="00924017">
      <w:pPr>
        <w:pStyle w:val="FootnoteText"/>
      </w:pPr>
      <w:r>
        <w:rPr>
          <w:rStyle w:val="FootnoteReference"/>
        </w:rPr>
        <w:footnoteRef/>
      </w:r>
      <w:r>
        <w:t xml:space="preserve"> Kohn, 2018, p. 481 – 482 </w:t>
      </w:r>
    </w:p>
  </w:footnote>
  <w:footnote w:id="3">
    <w:p w14:paraId="7B20A350" w14:textId="7C2B6BE1" w:rsidR="00C833D3" w:rsidRDefault="00C833D3">
      <w:pPr>
        <w:pStyle w:val="FootnoteText"/>
      </w:pPr>
      <w:r>
        <w:rPr>
          <w:rStyle w:val="FootnoteReference"/>
        </w:rPr>
        <w:footnoteRef/>
      </w:r>
      <w:r>
        <w:t xml:space="preserve"> Kohn, 2018, p. 465</w:t>
      </w:r>
    </w:p>
  </w:footnote>
  <w:footnote w:id="4">
    <w:p w14:paraId="765FB927" w14:textId="6375D824" w:rsidR="00790C49" w:rsidRDefault="00790C49">
      <w:pPr>
        <w:pStyle w:val="FootnoteText"/>
      </w:pPr>
      <w:r>
        <w:rPr>
          <w:rStyle w:val="FootnoteReference"/>
        </w:rPr>
        <w:footnoteRef/>
      </w:r>
      <w:r>
        <w:t xml:space="preserve"> Kohn, 2018, p. 473</w:t>
      </w:r>
    </w:p>
  </w:footnote>
  <w:footnote w:id="5">
    <w:p w14:paraId="14C1A7D6" w14:textId="7A572695" w:rsidR="00790C49" w:rsidRDefault="00790C49">
      <w:pPr>
        <w:pStyle w:val="FootnoteText"/>
      </w:pPr>
      <w:r>
        <w:rPr>
          <w:rStyle w:val="FootnoteReference"/>
        </w:rPr>
        <w:footnoteRef/>
      </w:r>
      <w:r>
        <w:t xml:space="preserve"> Kohn, 2018, p. </w:t>
      </w:r>
      <w:r w:rsidR="00D10231">
        <w:t>474</w:t>
      </w:r>
    </w:p>
  </w:footnote>
  <w:footnote w:id="6">
    <w:p w14:paraId="6345D412" w14:textId="0530016D" w:rsidR="002D164A" w:rsidRDefault="002D164A">
      <w:pPr>
        <w:pStyle w:val="FootnoteText"/>
      </w:pPr>
      <w:r>
        <w:rPr>
          <w:rStyle w:val="FootnoteReference"/>
        </w:rPr>
        <w:footnoteRef/>
      </w:r>
      <w:r>
        <w:t xml:space="preserve"> Kohn, 2018, p. 481</w:t>
      </w:r>
    </w:p>
  </w:footnote>
  <w:footnote w:id="7">
    <w:p w14:paraId="4C781E14" w14:textId="69F48AB2" w:rsidR="002D164A" w:rsidRDefault="002D164A">
      <w:pPr>
        <w:pStyle w:val="FootnoteText"/>
      </w:pPr>
      <w:r>
        <w:rPr>
          <w:rStyle w:val="FootnoteReference"/>
        </w:rPr>
        <w:footnoteRef/>
      </w:r>
      <w:r>
        <w:t xml:space="preserve"> Kohn, 2018, p. 481</w:t>
      </w:r>
    </w:p>
  </w:footnote>
  <w:footnote w:id="8">
    <w:p w14:paraId="458A6613" w14:textId="5417F9EB" w:rsidR="00B41DC0" w:rsidRDefault="00B41DC0">
      <w:pPr>
        <w:pStyle w:val="FootnoteText"/>
      </w:pPr>
      <w:r>
        <w:rPr>
          <w:rStyle w:val="FootnoteReference"/>
        </w:rPr>
        <w:footnoteRef/>
      </w:r>
      <w:r>
        <w:t xml:space="preserve"> Laozi, p. 125</w:t>
      </w:r>
    </w:p>
  </w:footnote>
  <w:footnote w:id="9">
    <w:p w14:paraId="69727D16" w14:textId="3F08E523" w:rsidR="00B41DC0" w:rsidRDefault="00B41DC0">
      <w:pPr>
        <w:pStyle w:val="FootnoteText"/>
      </w:pPr>
      <w:r>
        <w:rPr>
          <w:rStyle w:val="FootnoteReference"/>
        </w:rPr>
        <w:footnoteRef/>
      </w:r>
      <w:r>
        <w:t xml:space="preserve"> Kohn, 2018, p. 483</w:t>
      </w:r>
    </w:p>
  </w:footnote>
  <w:footnote w:id="10">
    <w:p w14:paraId="0B84188F" w14:textId="59FDF710" w:rsidR="00A516EF" w:rsidRDefault="00A516EF">
      <w:pPr>
        <w:pStyle w:val="FootnoteText"/>
      </w:pPr>
      <w:r>
        <w:rPr>
          <w:rStyle w:val="FootnoteReference"/>
        </w:rPr>
        <w:footnoteRef/>
      </w:r>
      <w:r>
        <w:t xml:space="preserve"> Kohn, 2018, p. 483</w:t>
      </w:r>
    </w:p>
  </w:footnote>
  <w:footnote w:id="11">
    <w:p w14:paraId="308DD72A" w14:textId="6FC99DF0" w:rsidR="005923E3" w:rsidRDefault="005923E3">
      <w:pPr>
        <w:pStyle w:val="FootnoteText"/>
      </w:pPr>
      <w:r>
        <w:rPr>
          <w:rStyle w:val="FootnoteReference"/>
        </w:rPr>
        <w:footnoteRef/>
      </w:r>
      <w:r>
        <w:t xml:space="preserve"> Kohn, 2018, p. 483 - 484</w:t>
      </w:r>
    </w:p>
  </w:footnote>
  <w:footnote w:id="12">
    <w:p w14:paraId="57768FF9" w14:textId="7CF81F28" w:rsidR="00330007" w:rsidRDefault="00330007">
      <w:pPr>
        <w:pStyle w:val="FootnoteText"/>
      </w:pPr>
      <w:r>
        <w:rPr>
          <w:rStyle w:val="FootnoteReference"/>
        </w:rPr>
        <w:footnoteRef/>
      </w:r>
      <w:r>
        <w:t xml:space="preserve"> Kohn, 2018, p. 484</w:t>
      </w:r>
    </w:p>
  </w:footnote>
  <w:footnote w:id="13">
    <w:p w14:paraId="5466639E" w14:textId="5778DF19" w:rsidR="001B79D9" w:rsidRDefault="001B79D9">
      <w:pPr>
        <w:pStyle w:val="FootnoteText"/>
      </w:pPr>
      <w:r>
        <w:rPr>
          <w:rStyle w:val="FootnoteReference"/>
        </w:rPr>
        <w:footnoteRef/>
      </w:r>
      <w:r>
        <w:t xml:space="preserve"> Laozi, p. 125</w:t>
      </w:r>
    </w:p>
  </w:footnote>
  <w:footnote w:id="14">
    <w:p w14:paraId="7A9AF007" w14:textId="32585FF7" w:rsidR="001B79D9" w:rsidRDefault="001B79D9">
      <w:pPr>
        <w:pStyle w:val="FootnoteText"/>
      </w:pPr>
      <w:r>
        <w:rPr>
          <w:rStyle w:val="FootnoteReference"/>
        </w:rPr>
        <w:footnoteRef/>
      </w:r>
      <w:r>
        <w:t xml:space="preserve"> Wang, 2011, p. 109</w:t>
      </w:r>
    </w:p>
  </w:footnote>
  <w:footnote w:id="15">
    <w:p w14:paraId="65F67C9B" w14:textId="672FBC19" w:rsidR="00260993" w:rsidRDefault="00260993">
      <w:pPr>
        <w:pStyle w:val="FootnoteText"/>
      </w:pPr>
      <w:r>
        <w:rPr>
          <w:rStyle w:val="FootnoteReference"/>
        </w:rPr>
        <w:footnoteRef/>
      </w:r>
      <w:r>
        <w:t xml:space="preserve"> Wang, 2011, p. 109 - 110</w:t>
      </w:r>
    </w:p>
  </w:footnote>
  <w:footnote w:id="16">
    <w:p w14:paraId="33FB1E6F" w14:textId="1CF8BE64" w:rsidR="00E179B9" w:rsidRDefault="00E179B9">
      <w:pPr>
        <w:pStyle w:val="FootnoteText"/>
      </w:pPr>
      <w:r>
        <w:rPr>
          <w:rStyle w:val="FootnoteReference"/>
        </w:rPr>
        <w:footnoteRef/>
      </w:r>
      <w:r>
        <w:t xml:space="preserve"> Winn, 2009, p. 5</w:t>
      </w:r>
    </w:p>
  </w:footnote>
  <w:footnote w:id="17">
    <w:p w14:paraId="508B43B5" w14:textId="268315B0" w:rsidR="00F914F4" w:rsidRDefault="00F914F4">
      <w:pPr>
        <w:pStyle w:val="FootnoteText"/>
      </w:pPr>
      <w:r>
        <w:rPr>
          <w:rStyle w:val="FootnoteReference"/>
        </w:rPr>
        <w:footnoteRef/>
      </w:r>
      <w:r>
        <w:t xml:space="preserve"> Winn, 2009, p. 17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D9B"/>
    <w:rsid w:val="00095E08"/>
    <w:rsid w:val="000C121A"/>
    <w:rsid w:val="00121967"/>
    <w:rsid w:val="001B79D9"/>
    <w:rsid w:val="001C6CDF"/>
    <w:rsid w:val="00241884"/>
    <w:rsid w:val="00260993"/>
    <w:rsid w:val="002A09B8"/>
    <w:rsid w:val="002C5B4C"/>
    <w:rsid w:val="002D164A"/>
    <w:rsid w:val="002F5FF2"/>
    <w:rsid w:val="00330007"/>
    <w:rsid w:val="003A17E2"/>
    <w:rsid w:val="003D3F84"/>
    <w:rsid w:val="004C754F"/>
    <w:rsid w:val="005923E3"/>
    <w:rsid w:val="00601A81"/>
    <w:rsid w:val="006B3E17"/>
    <w:rsid w:val="006C60CA"/>
    <w:rsid w:val="00790C49"/>
    <w:rsid w:val="007B4D24"/>
    <w:rsid w:val="007B4D9B"/>
    <w:rsid w:val="007E2460"/>
    <w:rsid w:val="00870782"/>
    <w:rsid w:val="00924017"/>
    <w:rsid w:val="009730D3"/>
    <w:rsid w:val="00A50BA2"/>
    <w:rsid w:val="00A516EF"/>
    <w:rsid w:val="00A51B41"/>
    <w:rsid w:val="00A56BE5"/>
    <w:rsid w:val="00B03181"/>
    <w:rsid w:val="00B2230D"/>
    <w:rsid w:val="00B41DC0"/>
    <w:rsid w:val="00B83992"/>
    <w:rsid w:val="00C833D3"/>
    <w:rsid w:val="00D10231"/>
    <w:rsid w:val="00D36802"/>
    <w:rsid w:val="00E179B9"/>
    <w:rsid w:val="00E25BC7"/>
    <w:rsid w:val="00EC1D42"/>
    <w:rsid w:val="00F33F76"/>
    <w:rsid w:val="00F85C2A"/>
    <w:rsid w:val="00F86120"/>
    <w:rsid w:val="00F914F4"/>
    <w:rsid w:val="00FA4281"/>
    <w:rsid w:val="00FF67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70C3A"/>
  <w15:chartTrackingRefBased/>
  <w15:docId w15:val="{900D2B98-3F9B-41EE-BCD5-9480F04E7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90C4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0C49"/>
    <w:rPr>
      <w:sz w:val="20"/>
      <w:szCs w:val="20"/>
    </w:rPr>
  </w:style>
  <w:style w:type="character" w:styleId="FootnoteReference">
    <w:name w:val="footnote reference"/>
    <w:basedOn w:val="DefaultParagraphFont"/>
    <w:uiPriority w:val="99"/>
    <w:semiHidden/>
    <w:unhideWhenUsed/>
    <w:rsid w:val="00790C49"/>
    <w:rPr>
      <w:vertAlign w:val="superscript"/>
    </w:rPr>
  </w:style>
  <w:style w:type="character" w:styleId="Hyperlink">
    <w:name w:val="Hyperlink"/>
    <w:basedOn w:val="DefaultParagraphFont"/>
    <w:uiPriority w:val="99"/>
    <w:semiHidden/>
    <w:unhideWhenUsed/>
    <w:rsid w:val="00790C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ezproxy.uwtsd.ac.uk/10.1163/978900439184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A70A4-1273-46F5-877E-ED4F7C86D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2537</TotalTime>
  <Pages>3</Pages>
  <Words>1253</Words>
  <Characters>7145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rush</dc:creator>
  <cp:keywords/>
  <dc:description/>
  <cp:lastModifiedBy>connor rush</cp:lastModifiedBy>
  <cp:revision>12</cp:revision>
  <dcterms:created xsi:type="dcterms:W3CDTF">2024-01-23T17:38:00Z</dcterms:created>
  <dcterms:modified xsi:type="dcterms:W3CDTF">2024-01-28T01:41:00Z</dcterms:modified>
</cp:coreProperties>
</file>