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u w:val="single"/>
        </w:rPr>
      </w:pPr>
      <w:r w:rsidDel="00000000" w:rsidR="00000000" w:rsidRPr="00000000">
        <w:rPr>
          <w:sz w:val="32"/>
          <w:szCs w:val="32"/>
          <w:u w:val="single"/>
          <w:rtl w:val="0"/>
        </w:rPr>
        <w:t xml:space="preserve">Introduction</w:t>
      </w:r>
    </w:p>
    <w:p w:rsidR="00000000" w:rsidDel="00000000" w:rsidP="00000000" w:rsidRDefault="00000000" w:rsidRPr="00000000" w14:paraId="00000002">
      <w:pPr>
        <w:rPr/>
      </w:pPr>
      <w:r w:rsidDel="00000000" w:rsidR="00000000" w:rsidRPr="00000000">
        <w:rPr>
          <w:rtl w:val="0"/>
        </w:rPr>
        <w:t xml:space="preserve">This report examines key contemporary HR challenges facing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Holdings, focusing on technological adaptation, talent acquisition and retention, and Diversity, Equity, and Inclusion (DEI). These issues are critical within the aerospace sector, where innovation, specialist expertise, and inclusive organisational cultures directly influence competitiveness and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sustainability. The report evaluates relevant HR practices that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can adopt to address these challenges, including digital HR systems, employer branding, engagement strategies, inclusive recruitment, and DEI</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focused leadership development. It also critically assesses how departmental managers can implement these practices effectively. The aim is to provide clear insights and practical recommendations to strengthen HR strategy and organisational performance.</w:t>
      </w:r>
    </w:p>
    <w:p w:rsidR="00000000" w:rsidDel="00000000" w:rsidP="00000000" w:rsidRDefault="00000000" w:rsidRPr="00000000" w14:paraId="00000003">
      <w:pPr>
        <w:rPr>
          <w:sz w:val="32"/>
          <w:szCs w:val="32"/>
          <w:u w:val="single"/>
        </w:rPr>
      </w:pPr>
      <w:r w:rsidDel="00000000" w:rsidR="00000000" w:rsidRPr="00000000">
        <w:rPr>
          <w:sz w:val="32"/>
          <w:szCs w:val="32"/>
          <w:u w:val="single"/>
          <w:rtl w:val="0"/>
        </w:rPr>
        <w:t xml:space="preserve">Explanation of Key Factors</w:t>
      </w:r>
    </w:p>
    <w:p w:rsidR="00000000" w:rsidDel="00000000" w:rsidP="00000000" w:rsidRDefault="00000000" w:rsidRPr="00000000" w14:paraId="00000004">
      <w:pPr>
        <w:rPr>
          <w:b w:val="1"/>
          <w:bCs w:val="1"/>
        </w:rPr>
      </w:pPr>
      <w:r w:rsidDel="00000000" w:rsidR="00000000" w:rsidRPr="00000000">
        <w:rPr>
          <w:b w:val="1"/>
          <w:bCs w:val="1"/>
          <w:rtl w:val="0"/>
        </w:rPr>
        <w:t xml:space="preserve">Adapting to technological advancements:</w:t>
      </w:r>
    </w:p>
    <w:p w:rsidR="00000000" w:rsidDel="00000000" w:rsidP="00000000" w:rsidRDefault="00000000" w:rsidRPr="00000000" w14:paraId="00000005">
      <w:pPr>
        <w:rPr/>
      </w:pPr>
      <w:r w:rsidDel="00000000" w:rsidR="00000000" w:rsidRPr="00000000">
        <w:rPr>
          <w:rtl w:val="0"/>
        </w:rPr>
        <w:t xml:space="preserve">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Holdings operates in an industry defined by rapid technological innovation, particularly in aerospace engineering, digital manufacturing, and sustainable propulsion systems. The organisation faces increasing pressure to integrate advanced technologies such as artificial intelligence (AI), predictive analytics, and digital twins into its engineering and maintenance operations. These technologies enable more efficient production processes, reduce operational downtime, and enhance product reliability—key factors for maintaining competitiveness in the global aerospace market (Porter, 2021). However, adopting new technologies also requires significant investment in digital infrastructure and workforce upskilling. Employees must develop new competencies in data analytics, automation, and digital engineering, which can create capability gaps if not managed effectively (Armstrong &amp; Taylor, 2020). Failure to adapt quickly risks operational inefficiencies, reduced innovation capacity, and weakened market positioning.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technological advancement is not only a strategic priority but a necessity for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sustainability, especially as the company transitions toward low</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carbon aviation solutions. Effective technological adaptation enhances organisational performance, strengthens employee engagement through modernised work practices, and supports the company’s broader sustainability commitments.</w:t>
      </w:r>
    </w:p>
    <w:p w:rsidR="00000000" w:rsidDel="00000000" w:rsidP="00000000" w:rsidRDefault="00000000" w:rsidRPr="00000000" w14:paraId="00000006">
      <w:pPr>
        <w:rPr>
          <w:b w:val="1"/>
          <w:bCs w:val="1"/>
        </w:rPr>
      </w:pPr>
      <w:r w:rsidDel="00000000" w:rsidR="00000000" w:rsidRPr="00000000">
        <w:rPr>
          <w:b w:val="1"/>
          <w:bCs w:val="1"/>
          <w:rtl w:val="0"/>
        </w:rPr>
        <w:t xml:space="preserve">Talent acquisition and retention:</w:t>
      </w:r>
    </w:p>
    <w:p w:rsidR="00000000" w:rsidDel="00000000" w:rsidP="00000000" w:rsidRDefault="00000000" w:rsidRPr="00000000" w14:paraId="00000007">
      <w:pPr>
        <w:rPr/>
      </w:pPr>
      <w:r w:rsidDel="00000000" w:rsidR="00000000" w:rsidRPr="00000000">
        <w:rPr>
          <w:rtl w:val="0"/>
        </w:rPr>
        <w:t xml:space="preserve">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faces significant challenges in attracting and retaining highly skilled engineers, digital specialists, and manufacturing talent. The aerospace sector is characterised by intense competition for technical expertise, with organisations such as Airbus, BAE Systems, and emerging green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tech firms competing for the same talent pool. As a result,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must strengthen its employer value proposition by offering competitive rewards, career development opportunities, and a compelling organisational purpose centred on innovation and sustainability (CIPD, 2023). Retention is equally critical, as the company has experienced workforce restructuring in recent years, which can negatively affect employee morale and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engagement (Blyton &amp; Turnbull, 2022). High turnover disrupts project continuity, increases recruitment costs, and reduces organisational knowledge retention—key issues for a company reliant on specialist expertise. Furthermore, younger professionals increasingly prioritise flexible working, inclusive cultures, and meaningful career progression, requiring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to adapt its HR strategies accordingly. Effective talent acquisition and retention directly influence organisational performance by ensuring the company has the capabilities needed to deliver complex engineering projects and maintain global competitiveness.</w:t>
      </w:r>
    </w:p>
    <w:p w:rsidR="00000000" w:rsidDel="00000000" w:rsidP="00000000" w:rsidRDefault="00000000" w:rsidRPr="00000000" w14:paraId="00000008">
      <w:pPr>
        <w:rPr>
          <w:b w:val="1"/>
          <w:bCs w:val="1"/>
        </w:rPr>
      </w:pPr>
      <w:r w:rsidDel="00000000" w:rsidR="00000000" w:rsidRPr="00000000">
        <w:rPr>
          <w:b w:val="1"/>
          <w:bCs w:val="1"/>
          <w:rtl w:val="0"/>
        </w:rPr>
        <w:t xml:space="preserve">Diversity, equity, and inclusion:</w:t>
      </w:r>
    </w:p>
    <w:p w:rsidR="00000000" w:rsidDel="00000000" w:rsidP="00000000" w:rsidRDefault="00000000" w:rsidRPr="00000000" w14:paraId="00000009">
      <w:pPr>
        <w:rPr/>
      </w:pPr>
      <w:r w:rsidDel="00000000" w:rsidR="00000000" w:rsidRPr="00000000">
        <w:rPr>
          <w:rtl w:val="0"/>
        </w:rPr>
        <w:t xml:space="preserve">DEI has become a central organisational priority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particularly as the aerospace industry continues to address historical underrepresentation of women, ethnic minorities, and individuals from diverse socio</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economic backgrounds. A strong DEI strategy enhances innovation, problem</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solving, and organisational resilience by bringing varied perspectives into engineering and leadership roles (Roberson, 2019).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has publicly committed to improving workforce diversity and creating an inclusive culture, yet progress requires sustained effort, transparent reporting, and accountability mechanisms. Barriers such as unconscious bias, limited diversity in STEM education pipelines, and traditional organisational structures can hinder DEI advancement if not actively addressed (Shen et al., 2020). Strengthening DEI contributes to improved employee engagement, as inclusive environments foster psychological safety, collaboration, and higher levels of motivation. Additionally, diverse teams are better equipped to drive creativity and innovation—critical capabilities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as it develops next</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generation aerospace technologies. From a sustainability perspective, DEI supports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organisational success by aligning the company with global expectations for ethical leadership and responsible business practices.</w:t>
      </w:r>
    </w:p>
    <w:p w:rsidR="00000000" w:rsidDel="00000000" w:rsidP="00000000" w:rsidRDefault="00000000" w:rsidRPr="00000000" w14:paraId="0000000A">
      <w:pPr>
        <w:rPr>
          <w:sz w:val="32"/>
          <w:szCs w:val="32"/>
          <w:u w:val="single"/>
        </w:rPr>
      </w:pPr>
      <w:r w:rsidDel="00000000" w:rsidR="00000000" w:rsidRPr="00000000">
        <w:rPr>
          <w:sz w:val="32"/>
          <w:szCs w:val="32"/>
          <w:u w:val="single"/>
          <w:rtl w:val="0"/>
        </w:rPr>
        <w:t xml:space="preserve">Evaluation of Contemporary HR Practices</w:t>
      </w:r>
    </w:p>
    <w:p w:rsidR="00000000" w:rsidDel="00000000" w:rsidP="00000000" w:rsidRDefault="00000000" w:rsidRPr="00000000" w14:paraId="0000000B">
      <w:pPr>
        <w:rPr/>
      </w:pPr>
      <w:r w:rsidDel="00000000" w:rsidR="00000000" w:rsidRPr="00000000">
        <w:rPr>
          <w:b w:val="1"/>
          <w:bCs w:val="1"/>
          <w:rtl w:val="0"/>
        </w:rPr>
        <w:t xml:space="preserve">Digital HR systems and workforce analytics:</w:t>
        <w:br w:type="textWrapping"/>
      </w:r>
      <w:r w:rsidDel="00000000" w:rsidR="00000000" w:rsidRPr="00000000">
        <w:rPr>
          <w:rtl w:val="0"/>
        </w:rPr>
        <w:t xml:space="preserve">Digital HR systems and workforce analytics offer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a strategic method for improving decision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making, workforce planning, and operational efficiency. Implementing integrated HR platforms enables real</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time monitoring of skills gaps, employee performance, and training needs, which is essential in a technology</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driven engineering environment. Workforce analytics also support predictive modelling, allowing HR teams to anticipate turnover risks and identify future capability requirements.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these tools strengthen alignment between HR strategy and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business objectives, particularly in areas such as digital engineering and low</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carbon innovation. However, effective implementation requires investment in data literacy and strong governance to ensure ethical and accurate use of employee data.</w:t>
      </w:r>
    </w:p>
    <w:p w:rsidR="00000000" w:rsidDel="00000000" w:rsidP="00000000" w:rsidRDefault="00000000" w:rsidRPr="00000000" w14:paraId="0000000C">
      <w:pPr>
        <w:rPr>
          <w:b w:val="1"/>
          <w:bCs w:val="1"/>
        </w:rPr>
      </w:pPr>
      <w:r w:rsidDel="00000000" w:rsidR="00000000" w:rsidRPr="00000000">
        <w:rPr>
          <w:b w:val="1"/>
          <w:bCs w:val="1"/>
          <w:rtl w:val="0"/>
        </w:rPr>
        <w:t xml:space="preserve">Employer branding and strategic workforce planning:</w:t>
      </w:r>
    </w:p>
    <w:p w:rsidR="00000000" w:rsidDel="00000000" w:rsidP="00000000" w:rsidRDefault="00000000" w:rsidRPr="00000000" w14:paraId="0000000D">
      <w:pPr>
        <w:rPr/>
      </w:pPr>
      <w:r w:rsidDel="00000000" w:rsidR="00000000" w:rsidRPr="00000000">
        <w:rPr>
          <w:rtl w:val="0"/>
        </w:rPr>
        <w:t xml:space="preserve">Employer branding is a critical HR practice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as it competes for specialist engineering and digital talent. A strong brand communicates innovation, sustainability, and career development opportunities</w:t>
      </w:r>
      <w:r w:rsidDel="00000000" w:rsidR="00000000" w:rsidRPr="00000000">
        <w:rPr>
          <w:rFonts w:ascii="Aptos" w:cs="Aptos" w:eastAsia="Aptos" w:hAnsi="Aptos"/>
          <w:rtl w:val="0"/>
        </w:rPr>
        <w:t xml:space="preserve">—</w:t>
      </w:r>
      <w:r w:rsidDel="00000000" w:rsidR="00000000" w:rsidRPr="00000000">
        <w:rPr>
          <w:rtl w:val="0"/>
        </w:rPr>
        <w:t xml:space="preserve">attributes highly valued by STEM professionals. Strategic workforce planning complements employer branding by ensuring the organisation has the right skills at the right time, particularly as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transitions toward digital manufacturing and net</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zero technologies. This practice enables HR teams to forecast future talent needs, identify shortages, and develop targeted recruitment and training strategies. While effective, employer branding requires consistent messaging and investment in employee experience to remain credible. Workforce planning also depends on accurate labour market data and cross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departmental collaboration.</w:t>
      </w:r>
    </w:p>
    <w:p w:rsidR="00000000" w:rsidDel="00000000" w:rsidP="00000000" w:rsidRDefault="00000000" w:rsidRPr="00000000" w14:paraId="0000000E">
      <w:pPr>
        <w:rPr>
          <w:b w:val="1"/>
          <w:bCs w:val="1"/>
        </w:rPr>
      </w:pPr>
      <w:r w:rsidDel="00000000" w:rsidR="00000000" w:rsidRPr="00000000">
        <w:rPr>
          <w:b w:val="1"/>
          <w:bCs w:val="1"/>
          <w:rtl w:val="0"/>
        </w:rPr>
        <w:t xml:space="preserve">Employee engagement and retention strategies:</w:t>
      </w:r>
    </w:p>
    <w:p w:rsidR="00000000" w:rsidDel="00000000" w:rsidP="00000000" w:rsidRDefault="00000000" w:rsidRPr="00000000" w14:paraId="0000000F">
      <w:pPr>
        <w:rPr/>
      </w:pPr>
      <w:r w:rsidDel="00000000" w:rsidR="00000000" w:rsidRPr="00000000">
        <w:rPr>
          <w:rtl w:val="0"/>
        </w:rPr>
        <w:t xml:space="preserve">Employee engagement and retention strategies are essential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due to its reliance on highly skilled engineers and technical specialists. Practices such as continuous learning opportunities, flexible working arrangements, and recognition programmes help strengthen motivation and organisational commitment. Engagement initiatives also support psychological safety and collaboration, which are vital in complex engineering environments. Retention strategies reduce turnover costs and protect organisational knowledge—key advantages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w:t>
      </w:r>
      <w:r w:rsidDel="00000000" w:rsidR="00000000" w:rsidRPr="00000000">
        <w:rPr>
          <w:rFonts w:ascii="Aptos" w:cs="Aptos" w:eastAsia="Aptos" w:hAnsi="Aptos"/>
          <w:rtl w:val="0"/>
        </w:rPr>
        <w:t xml:space="preserve">’</w:t>
      </w:r>
      <w:r w:rsidDel="00000000" w:rsidR="00000000" w:rsidRPr="00000000">
        <w:rPr>
          <w:rtl w:val="0"/>
        </w:rPr>
        <w:t xml:space="preserve">s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competitiveness. However, these practices must be tailored to different employee groups, as younger professionals often prioritise career progression and work</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life balance. Effective implementation requires strong leadership support and regular feedback mechanisms to ensure initiatives remain relevant and impactful.</w:t>
      </w:r>
    </w:p>
    <w:p w:rsidR="00000000" w:rsidDel="00000000" w:rsidP="00000000" w:rsidRDefault="00000000" w:rsidRPr="00000000" w14:paraId="00000010">
      <w:pPr>
        <w:rPr>
          <w:b w:val="1"/>
          <w:bCs w:val="1"/>
        </w:rPr>
      </w:pPr>
      <w:r w:rsidDel="00000000" w:rsidR="00000000" w:rsidRPr="00000000">
        <w:rPr>
          <w:b w:val="1"/>
          <w:bCs w:val="1"/>
          <w:rtl w:val="0"/>
        </w:rPr>
        <w:t xml:space="preserve">Inclusive recruitment practices:</w:t>
      </w:r>
    </w:p>
    <w:p w:rsidR="00000000" w:rsidDel="00000000" w:rsidP="00000000" w:rsidRDefault="00000000" w:rsidRPr="00000000" w14:paraId="00000011">
      <w:pPr>
        <w:rPr/>
      </w:pPr>
      <w:r w:rsidDel="00000000" w:rsidR="00000000" w:rsidRPr="00000000">
        <w:rPr>
          <w:rtl w:val="0"/>
        </w:rPr>
        <w:t xml:space="preserve">Inclusive recruitment practices help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widen its talent pool and address underrepresentation within engineering and technical roles. Methods such as structured interviews, diverse hiring panels, and outreach programmes to underrepresented groups reduce bias and promote fairness. These practices also strengthen the organisation’s reputation as an inclusive employer, supporting both attraction and retention.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inclusive recruitment is particularly important given the limited diversity within STEM pipelines. While effective, inclusive recruitment requires ongoing training for hiring managers and clear accountability measures to ensure consistency. Additionally, inclusive recruitment must be supported by an inclusive workplace culture; otherwise, diverse hires may not feel valued or supported.</w:t>
      </w:r>
    </w:p>
    <w:p w:rsidR="00000000" w:rsidDel="00000000" w:rsidP="00000000" w:rsidRDefault="00000000" w:rsidRPr="00000000" w14:paraId="00000012">
      <w:pPr>
        <w:rPr>
          <w:b w:val="1"/>
          <w:bCs w:val="1"/>
        </w:rPr>
      </w:pPr>
      <w:r w:rsidDel="00000000" w:rsidR="00000000" w:rsidRPr="00000000">
        <w:rPr>
          <w:b w:val="1"/>
          <w:bCs w:val="1"/>
          <w:rtl w:val="0"/>
        </w:rPr>
        <w:t xml:space="preserve">DEI policies and leadership development initiatives:</w:t>
      </w:r>
    </w:p>
    <w:p w:rsidR="00000000" w:rsidDel="00000000" w:rsidP="00000000" w:rsidRDefault="00000000" w:rsidRPr="00000000" w14:paraId="00000013">
      <w:pPr>
        <w:rPr/>
      </w:pPr>
      <w:r w:rsidDel="00000000" w:rsidR="00000000" w:rsidRPr="00000000">
        <w:rPr>
          <w:rtl w:val="0"/>
        </w:rPr>
        <w:t xml:space="preserve">DEI policies and leadership development initiatives play a central role in creating an equitable and innovative workplace 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Strong DEI policies establish expectations for inclusive behaviour, equal opportunities, and transparent reporting. Leadership development programmes ensure managers have the skills to foster inclusion, challenge bias, and support diverse teams effectively. These practices enhance organisational performance by improving collaboration, creativity, and employee engagement. For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inclusive leadership is essential as the company navigates technological transformation and global competition. However, DEI initiatives must be embedded into everyday practices rather than treated as standalone programmes. Measuring progress and ensuring leadership accountability are critical for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success.</w:t>
      </w:r>
    </w:p>
    <w:p w:rsidR="00000000" w:rsidDel="00000000" w:rsidP="00000000" w:rsidRDefault="00000000" w:rsidRPr="00000000" w14:paraId="00000014">
      <w:pPr>
        <w:rPr>
          <w:sz w:val="32"/>
          <w:szCs w:val="32"/>
          <w:u w:val="single"/>
        </w:rPr>
      </w:pPr>
      <w:r w:rsidDel="00000000" w:rsidR="00000000" w:rsidRPr="00000000">
        <w:rPr>
          <w:sz w:val="32"/>
          <w:szCs w:val="32"/>
          <w:u w:val="single"/>
          <w:rtl w:val="0"/>
        </w:rPr>
        <w:t xml:space="preserve">Critical Evaluation of Managerial Implementation</w:t>
      </w:r>
    </w:p>
    <w:p w:rsidR="00000000" w:rsidDel="00000000" w:rsidP="00000000" w:rsidRDefault="00000000" w:rsidRPr="00000000" w14:paraId="00000015">
      <w:pPr>
        <w:rPr>
          <w:b w:val="1"/>
          <w:bCs w:val="1"/>
        </w:rPr>
      </w:pPr>
      <w:r w:rsidDel="00000000" w:rsidR="00000000" w:rsidRPr="00000000">
        <w:rPr>
          <w:b w:val="1"/>
          <w:bCs w:val="1"/>
          <w:rtl w:val="0"/>
        </w:rPr>
        <w:t xml:space="preserve">Leadership accountability:</w:t>
      </w:r>
    </w:p>
    <w:p w:rsidR="00000000" w:rsidDel="00000000" w:rsidP="00000000" w:rsidRDefault="00000000" w:rsidRPr="00000000" w14:paraId="00000016">
      <w:pPr>
        <w:rPr/>
      </w:pPr>
      <w:r w:rsidDel="00000000" w:rsidR="00000000" w:rsidRPr="00000000">
        <w:rPr>
          <w:rtl w:val="0"/>
        </w:rPr>
        <w:t xml:space="preserve">Leadership accountability is essential for ensuring contemporary HR practices are implemented effectively 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Managers must model inclusive behaviour, support digital transformation, and actively champion talent initiatives. Clear accountability structures—such as performance objectives linked to HR outcomes—help ensure managers take ownership of implementation rather than viewing HR as solely responsible. 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accountable leadership strengthens trust, improves communication, and accelerates adoption of new practices. However, accountability requires consistent monitoring and consequences for non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compliance, which can be challenging in traditionally hierarchical engineering environments.</w:t>
      </w:r>
    </w:p>
    <w:p w:rsidR="00000000" w:rsidDel="00000000" w:rsidP="00000000" w:rsidRDefault="00000000" w:rsidRPr="00000000" w14:paraId="00000017">
      <w:pPr>
        <w:rPr>
          <w:b w:val="1"/>
          <w:bCs w:val="1"/>
        </w:rPr>
      </w:pPr>
      <w:r w:rsidDel="00000000" w:rsidR="00000000" w:rsidRPr="00000000">
        <w:rPr>
          <w:b w:val="1"/>
          <w:bCs w:val="1"/>
          <w:rtl w:val="0"/>
        </w:rPr>
        <w:t xml:space="preserve">Communication strategies:</w:t>
      </w:r>
    </w:p>
    <w:p w:rsidR="00000000" w:rsidDel="00000000" w:rsidP="00000000" w:rsidRDefault="00000000" w:rsidRPr="00000000" w14:paraId="00000018">
      <w:pPr>
        <w:rPr/>
      </w:pPr>
      <w:r w:rsidDel="00000000" w:rsidR="00000000" w:rsidRPr="00000000">
        <w:rPr>
          <w:rtl w:val="0"/>
        </w:rPr>
        <w:t xml:space="preserve">Effective communication strategies enable managers 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to translate HR initiatives into clear expectations and meaningful actions. Transparent communication helps employees understand the purpose of digital HR systems, DEI policies, and engagement programmes, reducing resistance and uncertainty. Managers must use multiple channels</w:t>
      </w:r>
      <w:r w:rsidDel="00000000" w:rsidR="00000000" w:rsidRPr="00000000">
        <w:rPr>
          <w:rFonts w:ascii="Aptos" w:cs="Aptos" w:eastAsia="Aptos" w:hAnsi="Aptos"/>
          <w:rtl w:val="0"/>
        </w:rPr>
        <w:t xml:space="preserve">—</w:t>
      </w:r>
      <w:r w:rsidDel="00000000" w:rsidR="00000000" w:rsidRPr="00000000">
        <w:rPr>
          <w:rtl w:val="0"/>
        </w:rPr>
        <w:t xml:space="preserve">team briefings, digital platforms, and one</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to</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one discussions</w:t>
      </w:r>
      <w:r w:rsidDel="00000000" w:rsidR="00000000" w:rsidRPr="00000000">
        <w:rPr>
          <w:rFonts w:ascii="Aptos" w:cs="Aptos" w:eastAsia="Aptos" w:hAnsi="Aptos"/>
          <w:rtl w:val="0"/>
        </w:rPr>
        <w:t xml:space="preserve">—</w:t>
      </w:r>
      <w:r w:rsidDel="00000000" w:rsidR="00000000" w:rsidRPr="00000000">
        <w:rPr>
          <w:rtl w:val="0"/>
        </w:rPr>
        <w:t xml:space="preserve">to ensure messages reach diverse employee groups. Strong communication also encourages feedback, allowing HR practices to be refined based on employee experiences. However, communication can fail if managers lack confidence or consistency, highlighting the need for communication training and structured messaging.</w:t>
      </w:r>
    </w:p>
    <w:p w:rsidR="00000000" w:rsidDel="00000000" w:rsidP="00000000" w:rsidRDefault="00000000" w:rsidRPr="00000000" w14:paraId="00000019">
      <w:pPr>
        <w:rPr>
          <w:b w:val="1"/>
          <w:bCs w:val="1"/>
        </w:rPr>
      </w:pPr>
      <w:r w:rsidDel="00000000" w:rsidR="00000000" w:rsidRPr="00000000">
        <w:rPr>
          <w:b w:val="1"/>
          <w:bCs w:val="1"/>
          <w:rtl w:val="0"/>
        </w:rPr>
        <w:t xml:space="preserve">Monitoring and performance measurement:</w:t>
      </w:r>
    </w:p>
    <w:p w:rsidR="00000000" w:rsidDel="00000000" w:rsidP="00000000" w:rsidRDefault="00000000" w:rsidRPr="00000000" w14:paraId="0000001A">
      <w:pPr>
        <w:rPr/>
      </w:pPr>
      <w:r w:rsidDel="00000000" w:rsidR="00000000" w:rsidRPr="00000000">
        <w:rPr>
          <w:rtl w:val="0"/>
        </w:rPr>
        <w:t xml:space="preserve">Monitoring and performance measurement allow managers 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to track the effectiveness of HR practices and identify areas requiring improvement. Using metrics such as engagement scores, turnover rates, and DEI progress helps ensure initiatives deliver measurable outcomes. Digital HR systems further support monitoring by providing real</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time workforce data. Managers must interpret these metrics accurately and act on insights to maintain momentum. However, over</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reliance on quantitative data can overlook qualitative factors such as employee sentiment, meaning managers must balance both forms of evidence.</w:t>
      </w:r>
    </w:p>
    <w:p w:rsidR="00000000" w:rsidDel="00000000" w:rsidP="00000000" w:rsidRDefault="00000000" w:rsidRPr="00000000" w14:paraId="0000001B">
      <w:pPr>
        <w:rPr>
          <w:b w:val="1"/>
          <w:bCs w:val="1"/>
        </w:rPr>
      </w:pPr>
      <w:r w:rsidDel="00000000" w:rsidR="00000000" w:rsidRPr="00000000">
        <w:rPr>
          <w:b w:val="1"/>
          <w:bCs w:val="1"/>
          <w:rtl w:val="0"/>
        </w:rPr>
        <w:t xml:space="preserve">Organisational culture:</w:t>
      </w:r>
    </w:p>
    <w:p w:rsidR="00000000" w:rsidDel="00000000" w:rsidP="00000000" w:rsidRDefault="00000000" w:rsidRPr="00000000" w14:paraId="0000001C">
      <w:pPr>
        <w:rPr/>
      </w:pPr>
      <w:r w:rsidDel="00000000" w:rsidR="00000000" w:rsidRPr="00000000">
        <w:rPr>
          <w:rtl w:val="0"/>
        </w:rPr>
        <w:t xml:space="preserve">Organisational culture significantly influences how effectively HR practices are implemented 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A culture that values innovation, inclusion, and continuous learning support adoption of digital tools, DEI initiatives, and engagement strategies. Managers play a central role in shaping culture through everyday behaviours, decision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making, and reinforcement of organisational values. When culture aligns with HR priorities, employees are more likely to embrace change. However, cultural transformation can be slow, particularly in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established engineering environments. Managers must therefore demonstrate consistent commitment and address cultural barriers proactively.</w:t>
      </w:r>
    </w:p>
    <w:p w:rsidR="00000000" w:rsidDel="00000000" w:rsidP="00000000" w:rsidRDefault="00000000" w:rsidRPr="00000000" w14:paraId="0000001D">
      <w:pPr>
        <w:rPr>
          <w:b w:val="1"/>
          <w:bCs w:val="1"/>
        </w:rPr>
      </w:pPr>
      <w:r w:rsidDel="00000000" w:rsidR="00000000" w:rsidRPr="00000000">
        <w:rPr>
          <w:b w:val="1"/>
          <w:bCs w:val="1"/>
          <w:rtl w:val="0"/>
        </w:rPr>
        <w:t xml:space="preserve">Barriers to implementation:</w:t>
      </w:r>
    </w:p>
    <w:p w:rsidR="00000000" w:rsidDel="00000000" w:rsidP="00000000" w:rsidRDefault="00000000" w:rsidRPr="00000000" w14:paraId="0000001E">
      <w:pPr>
        <w:rPr/>
      </w:pPr>
      <w:r w:rsidDel="00000000" w:rsidR="00000000" w:rsidRPr="00000000">
        <w:rPr>
          <w:rtl w:val="0"/>
        </w:rPr>
        <w:t xml:space="preserve">Managers 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must navigate barriers such as resistance to change, limited digital skills, and competing operational pressures. Overcoming these barriers requires targeted training, clear communication, and strong leadership support. Providing employees with opportunities to develop digital capabilities reduces anxiety and increases confidence in new systems. Managers must also prioritise HR initiatives by integrating them into operational planning rather than treating them as additional tasks. Addressing barriers early prevents delays and strengthens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adoption.</w:t>
      </w:r>
    </w:p>
    <w:p w:rsidR="00000000" w:rsidDel="00000000" w:rsidP="00000000" w:rsidRDefault="00000000" w:rsidRPr="00000000" w14:paraId="0000001F">
      <w:pPr>
        <w:rPr>
          <w:sz w:val="32"/>
          <w:szCs w:val="32"/>
          <w:u w:val="single"/>
        </w:rPr>
      </w:pPr>
      <w:r w:rsidDel="00000000" w:rsidR="00000000" w:rsidRPr="00000000">
        <w:rPr>
          <w:sz w:val="32"/>
          <w:szCs w:val="32"/>
          <w:u w:val="single"/>
          <w:rtl w:val="0"/>
        </w:rPr>
        <w:t xml:space="preserve">Recommendations</w:t>
      </w:r>
    </w:p>
    <w:p w:rsidR="00000000" w:rsidDel="00000000" w:rsidP="00000000" w:rsidRDefault="00000000" w:rsidRPr="00000000" w14:paraId="00000020">
      <w:pPr>
        <w:rPr/>
      </w:pPr>
      <w:r w:rsidDel="00000000" w:rsidR="00000000" w:rsidRPr="00000000">
        <w:rPr>
          <w:rtl w:val="0"/>
        </w:rPr>
        <w:t xml:space="preserve">It is recommended that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invests further in digital HR capabilities to improve workforce analytics and support strategic decision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making. Strengthening employer branding and career development pathways will enhance talent attraction and retention, particularly for engineering and digital roles. Managers should receive targeted training in inclusive leadership to reinforce DEI commitments and reduce bias in recruitment and development processes. Additionally,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should implement structured communication plans to ensure employees understand the purpose and benefits of new HR initiatives. Regular monitoring of engagement, turnover, and DEI metrics will help track progress and guide continuous improvement.</w:t>
      </w:r>
    </w:p>
    <w:p w:rsidR="00000000" w:rsidDel="00000000" w:rsidP="00000000" w:rsidRDefault="00000000" w:rsidRPr="00000000" w14:paraId="00000021">
      <w:pPr>
        <w:rPr>
          <w:sz w:val="32"/>
          <w:szCs w:val="32"/>
          <w:u w:val="single"/>
        </w:rPr>
      </w:pPr>
      <w:r w:rsidDel="00000000" w:rsidR="00000000" w:rsidRPr="00000000">
        <w:rPr>
          <w:sz w:val="32"/>
          <w:szCs w:val="32"/>
          <w:u w:val="single"/>
          <w:rtl w:val="0"/>
        </w:rPr>
        <w:t xml:space="preserve">Conclusion</w:t>
      </w:r>
    </w:p>
    <w:p w:rsidR="00000000" w:rsidDel="00000000" w:rsidP="00000000" w:rsidRDefault="00000000" w:rsidRPr="00000000" w14:paraId="00000022">
      <w:pPr>
        <w:rPr/>
      </w:pPr>
      <w:r w:rsidDel="00000000" w:rsidR="00000000" w:rsidRPr="00000000">
        <w:rPr>
          <w:rtl w:val="0"/>
        </w:rPr>
        <w:t xml:space="preserve">In conclusion,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faces significant HR challenges driven by rapid technological change, competitive talent markets, and the growing importance of DEI. Contemporary HR practices such as digital systems, strategic workforce planning, engagement initiatives, and inclusive recruitment offer effective solutions when implemented consistently and supported by strong managerial leadership. The organisation</w:t>
      </w:r>
      <w:r w:rsidDel="00000000" w:rsidR="00000000" w:rsidRPr="00000000">
        <w:rPr>
          <w:rFonts w:ascii="Aptos" w:cs="Aptos" w:eastAsia="Aptos" w:hAnsi="Aptos"/>
          <w:rtl w:val="0"/>
        </w:rPr>
        <w:t xml:space="preserve">’</w:t>
      </w:r>
      <w:r w:rsidDel="00000000" w:rsidR="00000000" w:rsidRPr="00000000">
        <w:rPr>
          <w:rtl w:val="0"/>
        </w:rPr>
        <w:t xml:space="preserve">s long</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sustainability depends on its ability to embed these practices into everyday operations, supported by clear communication, accountability, and cultural alignment. Addressing these HR priorities will enable Rolls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Royce to maintain innovation, strengthen employee engagement, and enhance organisational resilience.</w:t>
      </w:r>
    </w:p>
    <w:p w:rsidR="00000000" w:rsidDel="00000000" w:rsidP="00000000" w:rsidRDefault="00000000" w:rsidRPr="00000000" w14:paraId="00000023">
      <w:pPr>
        <w:rPr>
          <w:sz w:val="32"/>
          <w:szCs w:val="32"/>
          <w:u w:val="single"/>
        </w:rPr>
      </w:pPr>
      <w:r w:rsidDel="00000000" w:rsidR="00000000" w:rsidRPr="00000000">
        <w:rPr>
          <w:sz w:val="32"/>
          <w:szCs w:val="32"/>
          <w:u w:val="single"/>
          <w:rtl w:val="0"/>
        </w:rPr>
        <w:t xml:space="preserve">Reference list</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Armstrong, M. &amp; Taylor, S. (2020).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Armstrong’s Handbook of Human Resource Management Practice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Kogan Page.</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Blyton, P. &amp; Turnbull, P. (2022).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The Dynamics of Employee Relations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Red Globe Press.</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CIPD (2023).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Resourcing and Talent Planning Survey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Chartered Institute of Personnel and Development.</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Porter, M. (2021).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Competitive Strategy: Techniques for Analysing Industries and Competitors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Free Press.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Roberson, Q. (2019). "Diversity in the Workplace: A Review and Future Directions."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Annual Review of Organizational Psychology and Organizational Behaviour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6(1).</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Shen, J., et al. (2020). "Managing Diversity in Organisations."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International Journal of Human Resource Management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31(5).</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Cambria Math"/>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