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Default="00C558B0" w:rsidP="00C558B0">
      <w:pPr>
        <w:tabs>
          <w:tab w:val="left" w:pos="6540"/>
        </w:tabs>
        <w:spacing w:line="360" w:lineRule="auto"/>
        <w:rPr>
          <w:rFonts w:ascii="Arial" w:hAnsi="Arial" w:cs="Arial"/>
          <w:sz w:val="28"/>
          <w:szCs w:val="28"/>
        </w:rPr>
      </w:pPr>
    </w:p>
    <w:p w14:paraId="2F4F861B" w14:textId="4748CB62"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520F71">
        <w:rPr>
          <w:rFonts w:ascii="Arial" w:hAnsi="Arial" w:cs="Arial"/>
          <w:sz w:val="28"/>
          <w:szCs w:val="28"/>
          <w:lang w:val="nl-NL"/>
        </w:rPr>
        <w:t xml:space="preserve"> Ortenzia Alexandra Barcea </w:t>
      </w:r>
    </w:p>
    <w:p w14:paraId="18D88AE2" w14:textId="05879D55"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520F71">
        <w:rPr>
          <w:rFonts w:ascii="Arial" w:hAnsi="Arial" w:cs="Arial"/>
          <w:sz w:val="28"/>
          <w:szCs w:val="28"/>
          <w:lang w:val="nl-NL"/>
        </w:rPr>
        <w:t>2412822@student.uw</w:t>
      </w:r>
      <w:r w:rsidR="005E2900">
        <w:rPr>
          <w:rFonts w:ascii="Arial" w:hAnsi="Arial" w:cs="Arial"/>
          <w:sz w:val="28"/>
          <w:szCs w:val="28"/>
          <w:lang w:val="nl-NL"/>
        </w:rPr>
        <w:t>ts</w:t>
      </w:r>
      <w:r w:rsidR="00881A5D">
        <w:rPr>
          <w:rFonts w:ascii="Arial" w:hAnsi="Arial" w:cs="Arial"/>
          <w:sz w:val="28"/>
          <w:szCs w:val="28"/>
          <w:lang w:val="nl-NL"/>
        </w:rPr>
        <w:t>d.ac.uk</w:t>
      </w:r>
    </w:p>
    <w:p w14:paraId="3D8DA301" w14:textId="6DDDCA3A" w:rsidR="00C558B0" w:rsidRPr="006524ED" w:rsidRDefault="00C558B0" w:rsidP="00C558B0">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r w:rsidR="005E2900">
        <w:rPr>
          <w:rFonts w:ascii="Arial" w:hAnsi="Arial" w:cs="Arial"/>
          <w:sz w:val="28"/>
          <w:szCs w:val="28"/>
          <w:lang w:val="nl-NL"/>
        </w:rPr>
        <w:t>Principl</w:t>
      </w:r>
      <w:r w:rsidR="000E2431">
        <w:rPr>
          <w:rFonts w:ascii="Arial" w:hAnsi="Arial" w:cs="Arial"/>
          <w:sz w:val="28"/>
          <w:szCs w:val="28"/>
          <w:lang w:val="nl-NL"/>
        </w:rPr>
        <w:t xml:space="preserve">es of Health and Social Care Practice </w:t>
      </w:r>
    </w:p>
    <w:p w14:paraId="7DB3261D" w14:textId="11C994C3"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A638B7">
        <w:rPr>
          <w:rFonts w:ascii="Arial" w:hAnsi="Arial" w:cs="Arial"/>
          <w:sz w:val="28"/>
          <w:szCs w:val="28"/>
        </w:rPr>
        <w:t xml:space="preserve"> </w:t>
      </w:r>
      <w:r w:rsidR="000E2431">
        <w:rPr>
          <w:rFonts w:ascii="Arial" w:hAnsi="Arial" w:cs="Arial"/>
          <w:sz w:val="28"/>
          <w:szCs w:val="28"/>
        </w:rPr>
        <w:t>BMHP50</w:t>
      </w:r>
      <w:r w:rsidR="00A638B7">
        <w:rPr>
          <w:rFonts w:ascii="Arial" w:hAnsi="Arial" w:cs="Arial"/>
          <w:sz w:val="28"/>
          <w:szCs w:val="28"/>
        </w:rPr>
        <w:t>16_LON</w:t>
      </w:r>
    </w:p>
    <w:p w14:paraId="5CCA350C" w14:textId="322321B0" w:rsidR="00C558B0" w:rsidRDefault="00C558B0" w:rsidP="00C558B0">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A638B7">
        <w:rPr>
          <w:rFonts w:ascii="Arial" w:hAnsi="Arial" w:cs="Arial"/>
          <w:sz w:val="28"/>
          <w:szCs w:val="28"/>
        </w:rPr>
        <w:t xml:space="preserve"> FARA WIITA</w:t>
      </w:r>
    </w:p>
    <w:p w14:paraId="5461F9C8" w14:textId="77777777" w:rsidR="00C558B0" w:rsidRDefault="00C558B0" w:rsidP="00C558B0">
      <w:pPr>
        <w:tabs>
          <w:tab w:val="left" w:pos="6540"/>
        </w:tabs>
        <w:spacing w:line="360" w:lineRule="auto"/>
        <w:rPr>
          <w:rFonts w:ascii="Arial" w:hAnsi="Arial" w:cs="Arial"/>
          <w:sz w:val="28"/>
          <w:szCs w:val="28"/>
        </w:rPr>
      </w:pPr>
    </w:p>
    <w:p w14:paraId="5F44B964" w14:textId="55C43E73" w:rsidR="00317E3D" w:rsidRPr="00127C23" w:rsidRDefault="006D2F2D" w:rsidP="004A5A64">
      <w:pPr>
        <w:spacing w:line="360" w:lineRule="auto"/>
        <w:rPr>
          <w:sz w:val="23"/>
          <w:szCs w:val="23"/>
        </w:rPr>
      </w:pPr>
      <w:r w:rsidRPr="004A5A64">
        <w:rPr>
          <w:sz w:val="23"/>
          <w:szCs w:val="23"/>
        </w:rPr>
        <w:br w:type="page"/>
      </w:r>
      <w:r w:rsidRPr="003F6E99">
        <w:rPr>
          <w:rFonts w:ascii="Arial" w:hAnsi="Arial" w:cs="Arial"/>
          <w:b/>
          <w:bCs/>
          <w:sz w:val="32"/>
          <w:szCs w:val="32"/>
        </w:rPr>
        <w:lastRenderedPageBreak/>
        <w:t>Introduction</w:t>
      </w:r>
      <w:r w:rsidR="00D0735B">
        <w:rPr>
          <w:rFonts w:ascii="Arial" w:hAnsi="Arial" w:cs="Arial"/>
          <w:b/>
          <w:bCs/>
          <w:sz w:val="32"/>
          <w:szCs w:val="32"/>
        </w:rPr>
        <w:t xml:space="preserve"> -Social Model of Disability</w:t>
      </w:r>
    </w:p>
    <w:p w14:paraId="7678D6E0" w14:textId="1F780CA6" w:rsidR="00F23325" w:rsidRPr="00814077" w:rsidRDefault="00F23325" w:rsidP="00814077">
      <w:pPr>
        <w:pStyle w:val="NormalWeb"/>
        <w:jc w:val="both"/>
        <w:rPr>
          <w:rFonts w:ascii="Arial" w:hAnsi="Arial" w:cs="Arial"/>
          <w:color w:val="0D0D0D" w:themeColor="text1" w:themeTint="F2"/>
        </w:rPr>
      </w:pPr>
      <w:r w:rsidRPr="00814077">
        <w:rPr>
          <w:rFonts w:ascii="Arial" w:hAnsi="Arial" w:cs="Arial"/>
          <w:color w:val="0D0D0D" w:themeColor="text1" w:themeTint="F2"/>
        </w:rPr>
        <w:t xml:space="preserve">The </w:t>
      </w:r>
      <w:r w:rsidRPr="00814077">
        <w:rPr>
          <w:rStyle w:val="Strong"/>
          <w:rFonts w:ascii="Arial" w:hAnsi="Arial" w:cs="Arial"/>
          <w:b w:val="0"/>
          <w:bCs w:val="0"/>
          <w:color w:val="0D0D0D" w:themeColor="text1" w:themeTint="F2"/>
        </w:rPr>
        <w:t>Social Model of Disability</w:t>
      </w:r>
      <w:r w:rsidRPr="00814077">
        <w:rPr>
          <w:rFonts w:ascii="Arial" w:hAnsi="Arial" w:cs="Arial"/>
          <w:color w:val="0D0D0D" w:themeColor="text1" w:themeTint="F2"/>
        </w:rPr>
        <w:t xml:space="preserve"> is a central framework within contemporary health and social care, offering an alternative to the traditional medical model that views disability as an individual pathology. Emerging in the 1970s through the activism of disabled people’s organisations such as the </w:t>
      </w:r>
      <w:r w:rsidRPr="00814077">
        <w:rPr>
          <w:rStyle w:val="Strong"/>
          <w:rFonts w:ascii="Arial" w:hAnsi="Arial" w:cs="Arial"/>
          <w:b w:val="0"/>
          <w:bCs w:val="0"/>
          <w:color w:val="0D0D0D" w:themeColor="text1" w:themeTint="F2"/>
        </w:rPr>
        <w:t>Union of the Physically Impaired Against Segregation (UPIAS)</w:t>
      </w:r>
      <w:r w:rsidRPr="00814077">
        <w:rPr>
          <w:rFonts w:ascii="Arial" w:hAnsi="Arial" w:cs="Arial"/>
          <w:b/>
          <w:bCs/>
          <w:color w:val="0D0D0D" w:themeColor="text1" w:themeTint="F2"/>
        </w:rPr>
        <w:t>,</w:t>
      </w:r>
      <w:r w:rsidRPr="00814077">
        <w:rPr>
          <w:rFonts w:ascii="Arial" w:hAnsi="Arial" w:cs="Arial"/>
          <w:color w:val="0D0D0D" w:themeColor="text1" w:themeTint="F2"/>
        </w:rPr>
        <w:t xml:space="preserve"> the model reframed disability as a socially created form of exclusion. According to the social model, it is not impairment itself that disables </w:t>
      </w:r>
      <w:r w:rsidR="00D34E80" w:rsidRPr="00814077">
        <w:rPr>
          <w:rFonts w:ascii="Arial" w:hAnsi="Arial" w:cs="Arial"/>
          <w:color w:val="0D0D0D" w:themeColor="text1" w:themeTint="F2"/>
        </w:rPr>
        <w:t>individuals,</w:t>
      </w:r>
      <w:r w:rsidRPr="00814077">
        <w:rPr>
          <w:rFonts w:ascii="Arial" w:hAnsi="Arial" w:cs="Arial"/>
          <w:color w:val="0D0D0D" w:themeColor="text1" w:themeTint="F2"/>
        </w:rPr>
        <w:t xml:space="preserve"> but the structural, environmental and attitudinal barriers embedded within society (UPIAS, 1976; Oliver, 1990). This </w:t>
      </w:r>
      <w:r w:rsidR="00D34E80" w:rsidRPr="00814077">
        <w:rPr>
          <w:rFonts w:ascii="Arial" w:hAnsi="Arial" w:cs="Arial"/>
          <w:color w:val="0D0D0D" w:themeColor="text1" w:themeTint="F2"/>
        </w:rPr>
        <w:t>reconceptualization</w:t>
      </w:r>
      <w:r w:rsidRPr="00814077">
        <w:rPr>
          <w:rFonts w:ascii="Arial" w:hAnsi="Arial" w:cs="Arial"/>
          <w:color w:val="0D0D0D" w:themeColor="text1" w:themeTint="F2"/>
        </w:rPr>
        <w:t xml:space="preserve"> positioned disability as a matter of social justice rather than medical </w:t>
      </w:r>
      <w:r w:rsidR="00D34E80" w:rsidRPr="00814077">
        <w:rPr>
          <w:rFonts w:ascii="Arial" w:hAnsi="Arial" w:cs="Arial"/>
          <w:color w:val="0D0D0D" w:themeColor="text1" w:themeTint="F2"/>
        </w:rPr>
        <w:t>deficit and</w:t>
      </w:r>
      <w:r w:rsidRPr="00814077">
        <w:rPr>
          <w:rFonts w:ascii="Arial" w:hAnsi="Arial" w:cs="Arial"/>
          <w:color w:val="0D0D0D" w:themeColor="text1" w:themeTint="F2"/>
        </w:rPr>
        <w:t xml:space="preserve"> thus played a crucial role in advancing ideas of autonomy, rights, participation and equality.</w:t>
      </w:r>
    </w:p>
    <w:p w14:paraId="14D84B16" w14:textId="77777777" w:rsidR="00F23325" w:rsidRPr="00814077" w:rsidRDefault="00F23325" w:rsidP="00814077">
      <w:pPr>
        <w:pStyle w:val="NormalWeb"/>
        <w:jc w:val="both"/>
        <w:rPr>
          <w:rFonts w:ascii="Arial" w:hAnsi="Arial" w:cs="Arial"/>
          <w:color w:val="0D0D0D" w:themeColor="text1" w:themeTint="F2"/>
        </w:rPr>
      </w:pPr>
      <w:r w:rsidRPr="00814077">
        <w:rPr>
          <w:rFonts w:ascii="Arial" w:hAnsi="Arial" w:cs="Arial"/>
          <w:color w:val="0D0D0D" w:themeColor="text1" w:themeTint="F2"/>
        </w:rPr>
        <w:t xml:space="preserve">The model is particularly important because it underpins contemporary approaches to </w:t>
      </w:r>
      <w:r w:rsidRPr="00814077">
        <w:rPr>
          <w:rStyle w:val="Strong"/>
          <w:rFonts w:ascii="Arial" w:hAnsi="Arial" w:cs="Arial"/>
          <w:b w:val="0"/>
          <w:bCs w:val="0"/>
          <w:color w:val="0D0D0D" w:themeColor="text1" w:themeTint="F2"/>
        </w:rPr>
        <w:t>person-centred care</w:t>
      </w:r>
      <w:r w:rsidRPr="00814077">
        <w:rPr>
          <w:rFonts w:ascii="Arial" w:hAnsi="Arial" w:cs="Arial"/>
          <w:b/>
          <w:bCs/>
          <w:color w:val="0D0D0D" w:themeColor="text1" w:themeTint="F2"/>
        </w:rPr>
        <w:t>,</w:t>
      </w:r>
      <w:r w:rsidRPr="00814077">
        <w:rPr>
          <w:rFonts w:ascii="Arial" w:hAnsi="Arial" w:cs="Arial"/>
          <w:color w:val="0D0D0D" w:themeColor="text1" w:themeTint="F2"/>
        </w:rPr>
        <w:t xml:space="preserve"> which emphasise dignity, choice and empowerment. By shifting attention away from what individuals “cannot do” towards the societal barriers that restrict their participation, the social model aligns closely with policy commitments to equality, accessibility and user involvement in care planning (Shakespeare, 2013). It also provides the conceptual foundation for rights-based legislation and inclusive practices across health and social care services.</w:t>
      </w:r>
    </w:p>
    <w:p w14:paraId="48C53A46" w14:textId="77777777" w:rsidR="00F23325" w:rsidRPr="00814077" w:rsidRDefault="00F23325" w:rsidP="00814077">
      <w:pPr>
        <w:pStyle w:val="NormalWeb"/>
        <w:jc w:val="both"/>
        <w:rPr>
          <w:rFonts w:ascii="Arial" w:hAnsi="Arial" w:cs="Arial"/>
          <w:color w:val="0D0D0D" w:themeColor="text1" w:themeTint="F2"/>
        </w:rPr>
      </w:pPr>
      <w:r w:rsidRPr="00814077">
        <w:rPr>
          <w:rFonts w:ascii="Arial" w:hAnsi="Arial" w:cs="Arial"/>
          <w:color w:val="0D0D0D" w:themeColor="text1" w:themeTint="F2"/>
        </w:rPr>
        <w:t>Since its emergence, the social model has undergone significant development. While foundational in disability activism and policy, the model has been subject to critique. Scholars have argued that its strict distinction between impairment and disability oversimplifies lived experiences, particularly for those with chronic illness, pain or mental health conditions (Thomas, 2004). Feminist disability theorists further argue that the model pays insufficient attention to embodiment, care relationships and dependency, which are significant aspects of many disabled people’s lives (Kittay, 1999). Additionally, critics from the global South argue that the model reflects Western assumptions about infrastructure and welfare provision, limiting its relevance in contexts shaped by poverty and limited resources (Grech, 2015).</w:t>
      </w:r>
    </w:p>
    <w:p w14:paraId="51595A82" w14:textId="77777777" w:rsidR="00F23325" w:rsidRDefault="00F23325" w:rsidP="00814077">
      <w:pPr>
        <w:pStyle w:val="NormalWeb"/>
        <w:jc w:val="both"/>
        <w:rPr>
          <w:rFonts w:ascii="Arial" w:hAnsi="Arial" w:cs="Arial"/>
          <w:color w:val="0D0D0D" w:themeColor="text1" w:themeTint="F2"/>
        </w:rPr>
      </w:pPr>
      <w:r w:rsidRPr="00814077">
        <w:rPr>
          <w:rFonts w:ascii="Arial" w:hAnsi="Arial" w:cs="Arial"/>
          <w:color w:val="0D0D0D" w:themeColor="text1" w:themeTint="F2"/>
        </w:rPr>
        <w:t>Nevertheless, responses to these critiques have led to more nuanced versions of the model, such as relational and intersectional approaches, which integrate bodily experience with structural analysis. Despite its limitations, the social model remains a vital conceptual tool for understanding how health and social care environments can either enable or disable individuals and is fundamental to achieving person-centred and inclusive practice.</w:t>
      </w:r>
    </w:p>
    <w:p w14:paraId="65DB16E0" w14:textId="77777777" w:rsidR="00E12D6A" w:rsidRDefault="00E12D6A" w:rsidP="00814077">
      <w:pPr>
        <w:pStyle w:val="NormalWeb"/>
        <w:jc w:val="both"/>
        <w:rPr>
          <w:rFonts w:ascii="Arial" w:hAnsi="Arial" w:cs="Arial"/>
          <w:color w:val="0D0D0D" w:themeColor="text1" w:themeTint="F2"/>
        </w:rPr>
      </w:pPr>
    </w:p>
    <w:p w14:paraId="037D58FB" w14:textId="77777777" w:rsidR="00E12D6A" w:rsidRDefault="00E12D6A" w:rsidP="00814077">
      <w:pPr>
        <w:pStyle w:val="NormalWeb"/>
        <w:jc w:val="both"/>
        <w:rPr>
          <w:rFonts w:ascii="Arial" w:hAnsi="Arial" w:cs="Arial"/>
          <w:color w:val="0D0D0D" w:themeColor="text1" w:themeTint="F2"/>
        </w:rPr>
      </w:pPr>
    </w:p>
    <w:p w14:paraId="63AF4D11" w14:textId="77777777" w:rsidR="00E12D6A" w:rsidRDefault="00E12D6A" w:rsidP="00814077">
      <w:pPr>
        <w:pStyle w:val="NormalWeb"/>
        <w:jc w:val="both"/>
        <w:rPr>
          <w:rFonts w:ascii="Arial" w:hAnsi="Arial" w:cs="Arial"/>
          <w:color w:val="0D0D0D" w:themeColor="text1" w:themeTint="F2"/>
        </w:rPr>
      </w:pPr>
    </w:p>
    <w:p w14:paraId="5C3A6EA4" w14:textId="77777777" w:rsidR="00E12D6A" w:rsidRPr="00814077" w:rsidRDefault="00E12D6A" w:rsidP="00814077">
      <w:pPr>
        <w:pStyle w:val="NormalWeb"/>
        <w:jc w:val="both"/>
        <w:rPr>
          <w:rFonts w:ascii="Arial" w:hAnsi="Arial" w:cs="Arial"/>
          <w:color w:val="0D0D0D" w:themeColor="text1" w:themeTint="F2"/>
        </w:rPr>
      </w:pPr>
    </w:p>
    <w:p w14:paraId="4D9174F4" w14:textId="77777777" w:rsidR="00F23325" w:rsidRPr="003F6E99" w:rsidRDefault="00F23325" w:rsidP="004A5A64">
      <w:pPr>
        <w:spacing w:line="360" w:lineRule="auto"/>
        <w:rPr>
          <w:rFonts w:ascii="Arial" w:hAnsi="Arial" w:cs="Arial"/>
          <w:b/>
          <w:bCs/>
          <w:sz w:val="32"/>
          <w:szCs w:val="32"/>
        </w:rPr>
      </w:pPr>
    </w:p>
    <w:p w14:paraId="3D172159" w14:textId="77777777" w:rsidR="00F23325" w:rsidRDefault="003E4ED4" w:rsidP="004A5A64">
      <w:pPr>
        <w:spacing w:line="360" w:lineRule="auto"/>
        <w:rPr>
          <w:rFonts w:ascii="Arial" w:hAnsi="Arial" w:cs="Arial"/>
          <w:b/>
          <w:bCs/>
          <w:sz w:val="23"/>
          <w:szCs w:val="23"/>
        </w:rPr>
      </w:pPr>
      <w:r w:rsidRPr="00422FAE">
        <w:rPr>
          <w:rFonts w:ascii="Arial" w:hAnsi="Arial" w:cs="Arial"/>
          <w:b/>
          <w:bCs/>
          <w:sz w:val="32"/>
          <w:szCs w:val="32"/>
        </w:rPr>
        <w:lastRenderedPageBreak/>
        <w:t>T</w:t>
      </w:r>
      <w:r w:rsidR="006D2F2D" w:rsidRPr="00422FAE">
        <w:rPr>
          <w:rFonts w:ascii="Arial" w:hAnsi="Arial" w:cs="Arial"/>
          <w:b/>
          <w:bCs/>
          <w:sz w:val="32"/>
          <w:szCs w:val="32"/>
        </w:rPr>
        <w:t xml:space="preserve">he </w:t>
      </w:r>
      <w:r w:rsidRPr="00422FAE">
        <w:rPr>
          <w:rFonts w:ascii="Arial" w:hAnsi="Arial" w:cs="Arial"/>
          <w:b/>
          <w:bCs/>
          <w:sz w:val="32"/>
          <w:szCs w:val="32"/>
        </w:rPr>
        <w:t xml:space="preserve">development of the </w:t>
      </w:r>
      <w:r w:rsidR="006D2F2D" w:rsidRPr="00422FAE">
        <w:rPr>
          <w:rFonts w:ascii="Arial" w:hAnsi="Arial" w:cs="Arial"/>
          <w:b/>
          <w:bCs/>
          <w:sz w:val="32"/>
          <w:szCs w:val="32"/>
        </w:rPr>
        <w:t xml:space="preserve">chosen </w:t>
      </w:r>
      <w:r w:rsidR="00A14675" w:rsidRPr="00422FAE">
        <w:rPr>
          <w:rFonts w:ascii="Arial" w:hAnsi="Arial" w:cs="Arial"/>
          <w:b/>
          <w:bCs/>
          <w:sz w:val="32"/>
          <w:szCs w:val="32"/>
        </w:rPr>
        <w:t>concept</w:t>
      </w:r>
      <w:r w:rsidR="00A14675" w:rsidRPr="004A5A64">
        <w:rPr>
          <w:rFonts w:ascii="Arial" w:hAnsi="Arial" w:cs="Arial"/>
          <w:b/>
          <w:bCs/>
          <w:sz w:val="23"/>
          <w:szCs w:val="23"/>
        </w:rPr>
        <w:t xml:space="preserve"> </w:t>
      </w:r>
    </w:p>
    <w:p w14:paraId="471C005B" w14:textId="77777777" w:rsidR="00F47F3E" w:rsidRPr="00814077" w:rsidRDefault="00F47F3E" w:rsidP="00814077">
      <w:pPr>
        <w:pStyle w:val="NormalWeb"/>
        <w:jc w:val="both"/>
        <w:rPr>
          <w:rFonts w:ascii="Arial" w:hAnsi="Arial" w:cs="Arial"/>
        </w:rPr>
      </w:pPr>
      <w:r w:rsidRPr="00814077">
        <w:rPr>
          <w:rFonts w:ascii="Arial" w:hAnsi="Arial" w:cs="Arial"/>
        </w:rPr>
        <w:t xml:space="preserve">The </w:t>
      </w:r>
      <w:r w:rsidRPr="00814077">
        <w:rPr>
          <w:rStyle w:val="Strong"/>
          <w:rFonts w:ascii="Arial" w:hAnsi="Arial" w:cs="Arial"/>
        </w:rPr>
        <w:t>Social Model of Disability</w:t>
      </w:r>
      <w:r w:rsidRPr="00814077">
        <w:rPr>
          <w:rFonts w:ascii="Arial" w:hAnsi="Arial" w:cs="Arial"/>
        </w:rPr>
        <w:t xml:space="preserve"> emerged in the 1970s as a direct challenge to the dominant medical model, which framed disability as an individual problem caused by physical or cognitive impairments. Its origins lie in the political activism of disabled people in the United Kingdom, particularly the </w:t>
      </w:r>
      <w:r w:rsidRPr="00814077">
        <w:rPr>
          <w:rStyle w:val="Strong"/>
          <w:rFonts w:ascii="Arial" w:hAnsi="Arial" w:cs="Arial"/>
          <w:b w:val="0"/>
          <w:bCs w:val="0"/>
        </w:rPr>
        <w:t>Union of the Physically Impaired Against Segregation</w:t>
      </w:r>
      <w:r w:rsidRPr="00814077">
        <w:rPr>
          <w:rStyle w:val="Strong"/>
          <w:rFonts w:ascii="Arial" w:hAnsi="Arial" w:cs="Arial"/>
        </w:rPr>
        <w:t xml:space="preserve"> </w:t>
      </w:r>
      <w:r w:rsidRPr="00814077">
        <w:rPr>
          <w:rStyle w:val="Strong"/>
          <w:rFonts w:ascii="Arial" w:hAnsi="Arial" w:cs="Arial"/>
          <w:b w:val="0"/>
          <w:bCs w:val="0"/>
        </w:rPr>
        <w:t>(UPIAS)</w:t>
      </w:r>
      <w:r w:rsidRPr="00814077">
        <w:rPr>
          <w:rFonts w:ascii="Arial" w:hAnsi="Arial" w:cs="Arial"/>
          <w:b/>
          <w:bCs/>
        </w:rPr>
        <w:t>.</w:t>
      </w:r>
      <w:r w:rsidRPr="00814077">
        <w:rPr>
          <w:rFonts w:ascii="Arial" w:hAnsi="Arial" w:cs="Arial"/>
        </w:rPr>
        <w:t xml:space="preserve"> In their influential 1976 document, UPIAS argued that disability is not an inevitable consequence of impairment but is instead created by social, environmental and attitudinal barriers that exclude and oppress disabled people (UPIAS, 1976). This marked a major conceptual shift, redefining disability as a form of structural disadvantage rather than a personal tragedy.</w:t>
      </w:r>
    </w:p>
    <w:p w14:paraId="1846842B" w14:textId="77777777" w:rsidR="00F47F3E" w:rsidRPr="00814077" w:rsidRDefault="00F47F3E" w:rsidP="00814077">
      <w:pPr>
        <w:pStyle w:val="NormalWeb"/>
        <w:jc w:val="both"/>
        <w:rPr>
          <w:rFonts w:ascii="Arial" w:hAnsi="Arial" w:cs="Arial"/>
        </w:rPr>
      </w:pPr>
      <w:r w:rsidRPr="00814077">
        <w:rPr>
          <w:rFonts w:ascii="Arial" w:hAnsi="Arial" w:cs="Arial"/>
        </w:rPr>
        <w:t xml:space="preserve">The sociologist </w:t>
      </w:r>
      <w:r w:rsidRPr="00814077">
        <w:rPr>
          <w:rStyle w:val="Strong"/>
          <w:rFonts w:ascii="Arial" w:hAnsi="Arial" w:cs="Arial"/>
          <w:b w:val="0"/>
          <w:bCs w:val="0"/>
        </w:rPr>
        <w:t>Mike Oliver</w:t>
      </w:r>
      <w:r w:rsidRPr="00814077">
        <w:rPr>
          <w:rFonts w:ascii="Arial" w:hAnsi="Arial" w:cs="Arial"/>
        </w:rPr>
        <w:t xml:space="preserve"> later formalised these ideas and coined the term </w:t>
      </w:r>
      <w:r w:rsidRPr="00814077">
        <w:rPr>
          <w:rStyle w:val="Emphasis"/>
          <w:rFonts w:ascii="Arial" w:hAnsi="Arial" w:cs="Arial"/>
        </w:rPr>
        <w:t>social model of disability</w:t>
      </w:r>
      <w:r w:rsidRPr="00814077">
        <w:rPr>
          <w:rFonts w:ascii="Arial" w:hAnsi="Arial" w:cs="Arial"/>
        </w:rPr>
        <w:t xml:space="preserve"> in the 1980s. Oliver (1990) transformed disability activism into a coherent theoretical framework, arguing that society must change to remove disabling barriers. His work helped establish disability studies as an academic field and supported broader campaigns for civil rights, independent living and anti-discrimination legislation.</w:t>
      </w:r>
    </w:p>
    <w:p w14:paraId="644928AE" w14:textId="77777777" w:rsidR="00F47F3E" w:rsidRPr="00814077" w:rsidRDefault="00F47F3E" w:rsidP="00814077">
      <w:pPr>
        <w:pStyle w:val="NormalWeb"/>
        <w:jc w:val="both"/>
        <w:rPr>
          <w:rFonts w:ascii="Arial" w:hAnsi="Arial" w:cs="Arial"/>
        </w:rPr>
      </w:pPr>
      <w:r w:rsidRPr="00814077">
        <w:rPr>
          <w:rFonts w:ascii="Arial" w:hAnsi="Arial" w:cs="Arial"/>
        </w:rPr>
        <w:t>Over time, the model has been influential in shaping policy and practice across the UK and internationally. It underpinned significant reforms, including accessibility standards, equality policies and the shift towards person-centred and rights-based approaches in health and social care (Shakespeare, 2013). Its emphasis on empowerment and participation aligns strongly with contemporary commitments to user involvement and autonomy.</w:t>
      </w:r>
    </w:p>
    <w:p w14:paraId="65AA8ADA" w14:textId="77777777" w:rsidR="00F47F3E" w:rsidRPr="00814077" w:rsidRDefault="00F47F3E" w:rsidP="00814077">
      <w:pPr>
        <w:pStyle w:val="NormalWeb"/>
        <w:jc w:val="both"/>
        <w:rPr>
          <w:rFonts w:ascii="Arial" w:hAnsi="Arial" w:cs="Arial"/>
        </w:rPr>
      </w:pPr>
      <w:r w:rsidRPr="00814077">
        <w:rPr>
          <w:rFonts w:ascii="Arial" w:hAnsi="Arial" w:cs="Arial"/>
        </w:rPr>
        <w:t xml:space="preserve">Despite its impact, the social model has faced substantial critique. One major criticism concerns its </w:t>
      </w:r>
      <w:r w:rsidRPr="00814077">
        <w:rPr>
          <w:rStyle w:val="Strong"/>
          <w:rFonts w:ascii="Arial" w:hAnsi="Arial" w:cs="Arial"/>
          <w:b w:val="0"/>
          <w:bCs w:val="0"/>
        </w:rPr>
        <w:t>strict distinction between impairment and disability</w:t>
      </w:r>
      <w:r w:rsidRPr="00814077">
        <w:rPr>
          <w:rFonts w:ascii="Arial" w:hAnsi="Arial" w:cs="Arial"/>
        </w:rPr>
        <w:t>, which some argue oversimplifies lived experiences. Scholars contend that the model underplays the role of the body, especially for people with chronic illness, pain or mental health conditions (Thomas, 2004; Shakespeare, 2013). Feminist disability theorists also highlight that the model neglects the relational and emotional dimensions of care, failing to acknowledge dependency and interdependence as significant aspects of disabled lives (Kittay, 1999). Furthermore, critics from the global South argue that the model is rooted in Western assumptions about welfare systems and accessible infrastructure, limiting its applicability in low-income contexts where poverty and lack of resources are central to disability (Grech, 2015).</w:t>
      </w:r>
    </w:p>
    <w:p w14:paraId="5A9DBFC2" w14:textId="4AA8A8E2" w:rsidR="00F47F3E" w:rsidRPr="00814077" w:rsidRDefault="00F47F3E" w:rsidP="00814077">
      <w:pPr>
        <w:pStyle w:val="NormalWeb"/>
        <w:jc w:val="both"/>
        <w:rPr>
          <w:rFonts w:ascii="Arial" w:hAnsi="Arial" w:cs="Arial"/>
        </w:rPr>
      </w:pPr>
      <w:r w:rsidRPr="00814077">
        <w:rPr>
          <w:rFonts w:ascii="Arial" w:hAnsi="Arial" w:cs="Arial"/>
        </w:rPr>
        <w:t xml:space="preserve">In response to these critiques, more nuanced approaches have developed. The </w:t>
      </w:r>
      <w:r w:rsidRPr="00814077">
        <w:rPr>
          <w:rStyle w:val="Strong"/>
          <w:rFonts w:ascii="Arial" w:hAnsi="Arial" w:cs="Arial"/>
          <w:b w:val="0"/>
          <w:bCs w:val="0"/>
        </w:rPr>
        <w:t>social relational model</w:t>
      </w:r>
      <w:r w:rsidRPr="00814077">
        <w:rPr>
          <w:rFonts w:ascii="Arial" w:hAnsi="Arial" w:cs="Arial"/>
        </w:rPr>
        <w:t xml:space="preserve"> (Thomas, 2004) incorporates both structural oppression and embodied experience, offering a more holistic understanding. </w:t>
      </w:r>
      <w:r w:rsidRPr="00814077">
        <w:rPr>
          <w:rStyle w:val="Strong"/>
          <w:rFonts w:ascii="Arial" w:hAnsi="Arial" w:cs="Arial"/>
          <w:b w:val="0"/>
          <w:bCs w:val="0"/>
        </w:rPr>
        <w:t>Intersectional</w:t>
      </w:r>
      <w:r w:rsidRPr="00814077">
        <w:rPr>
          <w:rFonts w:ascii="Arial" w:hAnsi="Arial" w:cs="Arial"/>
        </w:rPr>
        <w:t xml:space="preserve"> and</w:t>
      </w:r>
      <w:r w:rsidRPr="00814077">
        <w:rPr>
          <w:rFonts w:ascii="Arial" w:hAnsi="Arial" w:cs="Arial"/>
          <w:b/>
          <w:bCs/>
        </w:rPr>
        <w:t xml:space="preserve"> </w:t>
      </w:r>
      <w:r w:rsidRPr="00814077">
        <w:rPr>
          <w:rStyle w:val="Strong"/>
          <w:rFonts w:ascii="Arial" w:hAnsi="Arial" w:cs="Arial"/>
          <w:b w:val="0"/>
          <w:bCs w:val="0"/>
        </w:rPr>
        <w:t>critical disability</w:t>
      </w:r>
      <w:r w:rsidRPr="00814077">
        <w:rPr>
          <w:rStyle w:val="Strong"/>
          <w:rFonts w:ascii="Arial" w:hAnsi="Arial" w:cs="Arial"/>
        </w:rPr>
        <w:t xml:space="preserve"> </w:t>
      </w:r>
      <w:r w:rsidRPr="00814077">
        <w:rPr>
          <w:rStyle w:val="Strong"/>
          <w:rFonts w:ascii="Arial" w:hAnsi="Arial" w:cs="Arial"/>
          <w:b w:val="0"/>
          <w:bCs w:val="0"/>
        </w:rPr>
        <w:t>studies</w:t>
      </w:r>
      <w:r w:rsidRPr="00814077">
        <w:rPr>
          <w:rFonts w:ascii="Arial" w:hAnsi="Arial" w:cs="Arial"/>
        </w:rPr>
        <w:t xml:space="preserve"> perspectives have expanded the model further to include considerations of race, gender, class and global inequality. Although the social model has evolved, its core principle</w:t>
      </w:r>
      <w:r w:rsidR="00D34E80" w:rsidRPr="00814077">
        <w:rPr>
          <w:rFonts w:ascii="Arial" w:hAnsi="Arial" w:cs="Arial"/>
        </w:rPr>
        <w:t xml:space="preserve"> </w:t>
      </w:r>
      <w:r w:rsidRPr="00814077">
        <w:rPr>
          <w:rFonts w:ascii="Arial" w:hAnsi="Arial" w:cs="Arial"/>
        </w:rPr>
        <w:t>that disability is socially constructed</w:t>
      </w:r>
      <w:r w:rsidR="00D34E80" w:rsidRPr="00814077">
        <w:rPr>
          <w:rFonts w:ascii="Arial" w:hAnsi="Arial" w:cs="Arial"/>
        </w:rPr>
        <w:t xml:space="preserve"> </w:t>
      </w:r>
      <w:r w:rsidRPr="00814077">
        <w:rPr>
          <w:rFonts w:ascii="Arial" w:hAnsi="Arial" w:cs="Arial"/>
        </w:rPr>
        <w:t>remains central to inclusive policy, equality legislation and person-centred health and social care practice.</w:t>
      </w:r>
    </w:p>
    <w:p w14:paraId="6AF9CA93" w14:textId="77777777" w:rsidR="00F47F3E" w:rsidRDefault="00F47F3E" w:rsidP="004A5A64">
      <w:pPr>
        <w:spacing w:line="360" w:lineRule="auto"/>
        <w:rPr>
          <w:rFonts w:ascii="Arial" w:hAnsi="Arial" w:cs="Arial"/>
          <w:b/>
          <w:bCs/>
          <w:sz w:val="23"/>
          <w:szCs w:val="23"/>
        </w:rPr>
      </w:pPr>
    </w:p>
    <w:p w14:paraId="156F000E" w14:textId="77777777" w:rsidR="00F47F3E" w:rsidRDefault="00F47F3E" w:rsidP="004A5A64">
      <w:pPr>
        <w:spacing w:line="360" w:lineRule="auto"/>
        <w:rPr>
          <w:rFonts w:ascii="Arial" w:hAnsi="Arial" w:cs="Arial"/>
          <w:b/>
          <w:bCs/>
          <w:sz w:val="23"/>
          <w:szCs w:val="23"/>
        </w:rPr>
      </w:pPr>
    </w:p>
    <w:p w14:paraId="6D46818E" w14:textId="3B0CDC22" w:rsidR="006D2F2D" w:rsidRDefault="006D2F2D" w:rsidP="004A5A64">
      <w:pPr>
        <w:spacing w:line="360" w:lineRule="auto"/>
        <w:rPr>
          <w:rFonts w:ascii="Arial" w:hAnsi="Arial" w:cs="Arial"/>
          <w:b/>
          <w:bCs/>
          <w:sz w:val="32"/>
          <w:szCs w:val="32"/>
        </w:rPr>
      </w:pPr>
      <w:r w:rsidRPr="00422FAE">
        <w:rPr>
          <w:rFonts w:ascii="Arial" w:hAnsi="Arial" w:cs="Arial"/>
          <w:b/>
          <w:bCs/>
          <w:sz w:val="32"/>
          <w:szCs w:val="32"/>
        </w:rPr>
        <w:t xml:space="preserve">Application of the </w:t>
      </w:r>
      <w:r w:rsidR="00A14675" w:rsidRPr="00422FAE">
        <w:rPr>
          <w:rFonts w:ascii="Arial" w:hAnsi="Arial" w:cs="Arial"/>
          <w:b/>
          <w:bCs/>
          <w:sz w:val="32"/>
          <w:szCs w:val="32"/>
        </w:rPr>
        <w:t>concept</w:t>
      </w:r>
      <w:r w:rsidRPr="00422FAE">
        <w:rPr>
          <w:rFonts w:ascii="Arial" w:hAnsi="Arial" w:cs="Arial"/>
          <w:b/>
          <w:bCs/>
          <w:sz w:val="32"/>
          <w:szCs w:val="32"/>
        </w:rPr>
        <w:t xml:space="preserve"> in practice</w:t>
      </w:r>
    </w:p>
    <w:p w14:paraId="14DA485D" w14:textId="00C2296E" w:rsidR="0082487B" w:rsidRPr="002C1F2E" w:rsidRDefault="0082487B" w:rsidP="002C1F2E">
      <w:pPr>
        <w:pStyle w:val="NormalWeb"/>
        <w:jc w:val="both"/>
        <w:rPr>
          <w:rFonts w:ascii="Arial" w:hAnsi="Arial" w:cs="Arial"/>
        </w:rPr>
      </w:pPr>
      <w:r w:rsidRPr="002C1F2E">
        <w:rPr>
          <w:rFonts w:ascii="Arial" w:hAnsi="Arial" w:cs="Arial"/>
        </w:rPr>
        <w:t xml:space="preserve">The </w:t>
      </w:r>
      <w:r w:rsidRPr="002C1F2E">
        <w:rPr>
          <w:rStyle w:val="Strong"/>
          <w:rFonts w:ascii="Arial" w:hAnsi="Arial" w:cs="Arial"/>
        </w:rPr>
        <w:t>Social Model of Disability</w:t>
      </w:r>
      <w:r w:rsidRPr="002C1F2E">
        <w:rPr>
          <w:rFonts w:ascii="Arial" w:hAnsi="Arial" w:cs="Arial"/>
        </w:rPr>
        <w:t xml:space="preserve"> has fundamentally shaped health and social care policy and practice by shifting the focus from individual impairments to the social, environmental, and institutional barriers that restrict participation. Its core principle</w:t>
      </w:r>
      <w:r w:rsidR="00D34E80" w:rsidRPr="002C1F2E">
        <w:rPr>
          <w:rFonts w:ascii="Arial" w:hAnsi="Arial" w:cs="Arial"/>
        </w:rPr>
        <w:t xml:space="preserve"> </w:t>
      </w:r>
      <w:r w:rsidRPr="002C1F2E">
        <w:rPr>
          <w:rFonts w:ascii="Arial" w:hAnsi="Arial" w:cs="Arial"/>
        </w:rPr>
        <w:t>that disability is socially constructed rather than solely caused by physical or cognitive impairments</w:t>
      </w:r>
      <w:r w:rsidR="00D34E80" w:rsidRPr="002C1F2E">
        <w:rPr>
          <w:rFonts w:ascii="Arial" w:hAnsi="Arial" w:cs="Arial"/>
        </w:rPr>
        <w:t xml:space="preserve"> </w:t>
      </w:r>
      <w:r w:rsidRPr="002C1F2E">
        <w:rPr>
          <w:rFonts w:ascii="Arial" w:hAnsi="Arial" w:cs="Arial"/>
        </w:rPr>
        <w:t>has influenced legislation, service design, and professional practice, promoting person-centred and rights-based approaches (Oliver, 1990; Shakespeare, 2013).</w:t>
      </w:r>
    </w:p>
    <w:p w14:paraId="1516E15E" w14:textId="77777777" w:rsidR="0082487B" w:rsidRPr="002C1F2E" w:rsidRDefault="0082487B" w:rsidP="002C1F2E">
      <w:pPr>
        <w:pStyle w:val="NormalWeb"/>
        <w:jc w:val="both"/>
        <w:rPr>
          <w:rFonts w:ascii="Arial" w:hAnsi="Arial" w:cs="Arial"/>
        </w:rPr>
      </w:pPr>
      <w:r w:rsidRPr="002C1F2E">
        <w:rPr>
          <w:rFonts w:ascii="Arial" w:hAnsi="Arial" w:cs="Arial"/>
        </w:rPr>
        <w:t xml:space="preserve">In the UK, the model has underpinned key legal frameworks, including the </w:t>
      </w:r>
      <w:r w:rsidRPr="002C1F2E">
        <w:rPr>
          <w:rStyle w:val="Strong"/>
          <w:rFonts w:ascii="Arial" w:hAnsi="Arial" w:cs="Arial"/>
          <w:b w:val="0"/>
          <w:bCs w:val="0"/>
        </w:rPr>
        <w:t>Disability Discrimination Act 1995</w:t>
      </w:r>
      <w:r w:rsidRPr="002C1F2E">
        <w:rPr>
          <w:rFonts w:ascii="Arial" w:hAnsi="Arial" w:cs="Arial"/>
        </w:rPr>
        <w:t xml:space="preserve"> and the</w:t>
      </w:r>
      <w:r w:rsidRPr="002C1F2E">
        <w:rPr>
          <w:rFonts w:ascii="Arial" w:hAnsi="Arial" w:cs="Arial"/>
          <w:b/>
          <w:bCs/>
        </w:rPr>
        <w:t xml:space="preserve"> </w:t>
      </w:r>
      <w:r w:rsidRPr="002C1F2E">
        <w:rPr>
          <w:rStyle w:val="Strong"/>
          <w:rFonts w:ascii="Arial" w:hAnsi="Arial" w:cs="Arial"/>
          <w:b w:val="0"/>
          <w:bCs w:val="0"/>
        </w:rPr>
        <w:t>Equality Act 2010</w:t>
      </w:r>
      <w:r w:rsidRPr="002C1F2E">
        <w:rPr>
          <w:rFonts w:ascii="Arial" w:hAnsi="Arial" w:cs="Arial"/>
          <w:b/>
          <w:bCs/>
        </w:rPr>
        <w:t xml:space="preserve">, </w:t>
      </w:r>
      <w:r w:rsidRPr="002C1F2E">
        <w:rPr>
          <w:rFonts w:ascii="Arial" w:hAnsi="Arial" w:cs="Arial"/>
        </w:rPr>
        <w:t xml:space="preserve">which obligate organisations to remove barriers and make “reasonable adjustments” to enable disabled people to access services equally (Great Britain, 2010). These policies reflect the model’s emphasis on societal change rather than attempting to “fix” the individual, aligning with broader principles of inclusion, empowerment, and social justice. The social model has also informed the </w:t>
      </w:r>
      <w:r w:rsidRPr="002C1F2E">
        <w:rPr>
          <w:rStyle w:val="Strong"/>
          <w:rFonts w:ascii="Arial" w:hAnsi="Arial" w:cs="Arial"/>
          <w:b w:val="0"/>
          <w:bCs w:val="0"/>
        </w:rPr>
        <w:t>personalisation agenda</w:t>
      </w:r>
      <w:r w:rsidRPr="002C1F2E">
        <w:rPr>
          <w:rFonts w:ascii="Arial" w:hAnsi="Arial" w:cs="Arial"/>
        </w:rPr>
        <w:t>, encouraging self-directed support and personal budgets that enable disabled people to control the design and delivery of their care (Glasby and Littlechild, 2009). This approach demonstrates the model’s relevance to person-centred care, as it prioritises autonomy, choice, and participation.</w:t>
      </w:r>
    </w:p>
    <w:p w14:paraId="29D094DD" w14:textId="77777777" w:rsidR="0082487B" w:rsidRPr="002C1F2E" w:rsidRDefault="0082487B" w:rsidP="002C1F2E">
      <w:pPr>
        <w:pStyle w:val="NormalWeb"/>
        <w:jc w:val="both"/>
        <w:rPr>
          <w:rFonts w:ascii="Arial" w:hAnsi="Arial" w:cs="Arial"/>
        </w:rPr>
      </w:pPr>
      <w:r w:rsidRPr="002C1F2E">
        <w:rPr>
          <w:rFonts w:ascii="Arial" w:hAnsi="Arial" w:cs="Arial"/>
        </w:rPr>
        <w:t xml:space="preserve">At the practice level, the model has influenced the adoption of </w:t>
      </w:r>
      <w:r w:rsidRPr="002C1F2E">
        <w:rPr>
          <w:rStyle w:val="Strong"/>
          <w:rFonts w:ascii="Arial" w:hAnsi="Arial" w:cs="Arial"/>
          <w:b w:val="0"/>
          <w:bCs w:val="0"/>
        </w:rPr>
        <w:t>inclusive policies</w:t>
      </w:r>
      <w:r w:rsidRPr="002C1F2E">
        <w:rPr>
          <w:rFonts w:ascii="Arial" w:hAnsi="Arial" w:cs="Arial"/>
        </w:rPr>
        <w:t>, accessibility standards, user involvement in service planning, and co-production approaches. Health and social care practitioners are encouraged to assess how organisational routines, inaccessible environments, or discriminatory practices may impede participation, rather than solely focusing on individual deficits (Barnes and Mercer, 2010). Examples include modifications in clinical settings, the provision of accessible communication methods, and community-based initiatives aimed at inclusion.</w:t>
      </w:r>
    </w:p>
    <w:p w14:paraId="41EBA13A" w14:textId="77777777" w:rsidR="0082487B" w:rsidRPr="002C1F2E" w:rsidRDefault="0082487B" w:rsidP="002C1F2E">
      <w:pPr>
        <w:pStyle w:val="NormalWeb"/>
        <w:jc w:val="both"/>
        <w:rPr>
          <w:rFonts w:ascii="Arial" w:hAnsi="Arial" w:cs="Arial"/>
        </w:rPr>
      </w:pPr>
      <w:r w:rsidRPr="002C1F2E">
        <w:rPr>
          <w:rFonts w:ascii="Arial" w:hAnsi="Arial" w:cs="Arial"/>
        </w:rPr>
        <w:t xml:space="preserve">However, several challenges have emerged in implementing the social model. One key issue is the </w:t>
      </w:r>
      <w:r w:rsidRPr="002C1F2E">
        <w:rPr>
          <w:rStyle w:val="Strong"/>
          <w:rFonts w:ascii="Arial" w:hAnsi="Arial" w:cs="Arial"/>
          <w:b w:val="0"/>
          <w:bCs w:val="0"/>
        </w:rPr>
        <w:t>policy–practice gap</w:t>
      </w:r>
      <w:r w:rsidRPr="002C1F2E">
        <w:rPr>
          <w:rFonts w:ascii="Arial" w:hAnsi="Arial" w:cs="Arial"/>
          <w:b/>
          <w:bCs/>
        </w:rPr>
        <w:t>,</w:t>
      </w:r>
      <w:r w:rsidRPr="002C1F2E">
        <w:rPr>
          <w:rFonts w:ascii="Arial" w:hAnsi="Arial" w:cs="Arial"/>
        </w:rPr>
        <w:t xml:space="preserve"> where organisational constraints, resource limitations, and staff shortages prevent full realisation of inclusive policies (Shakespeare, 2013). Critics also argue that the model may insufficiently address the embodied experiences of people with chronic illness, pain, or fluctuating conditions, creating difficulties in balancing structural adaptations with individual health needs (Thomas, 2004). Furthermore, austerity and funding reductions have limited the effectiveness of personalisation initiatives, undermining service users’ ability to exercise choice and control (Briant et al., 2013). Despite these limitations, the social model continues to provide a vital conceptual foundation for inclusive practice, offering guidance for reducing systemic barriers and enhancing person-centred care.</w:t>
      </w:r>
    </w:p>
    <w:p w14:paraId="0794F7BB" w14:textId="77777777" w:rsidR="0082487B" w:rsidRPr="002C1F2E" w:rsidRDefault="0082487B" w:rsidP="002C1F2E">
      <w:pPr>
        <w:pStyle w:val="NormalWeb"/>
        <w:jc w:val="both"/>
        <w:rPr>
          <w:rFonts w:ascii="Arial" w:hAnsi="Arial" w:cs="Arial"/>
        </w:rPr>
      </w:pPr>
      <w:r w:rsidRPr="002C1F2E">
        <w:rPr>
          <w:rFonts w:ascii="Arial" w:hAnsi="Arial" w:cs="Arial"/>
        </w:rPr>
        <w:t>In summary, the social model has been influential in shaping legislation, organisational policy, and professional practice. While challenges remain, particularly in implementation and addressing complex health needs, its emphasis on removing societal barriers and promoting autonomy remains central to inclusive health and social care.</w:t>
      </w:r>
    </w:p>
    <w:p w14:paraId="070BC7CF" w14:textId="77777777" w:rsidR="0082487B" w:rsidRPr="002C1F2E" w:rsidRDefault="0082487B" w:rsidP="002C1F2E">
      <w:pPr>
        <w:spacing w:line="360" w:lineRule="auto"/>
        <w:jc w:val="both"/>
        <w:rPr>
          <w:rFonts w:ascii="Arial" w:hAnsi="Arial" w:cs="Arial"/>
          <w:b/>
          <w:bCs/>
          <w:sz w:val="32"/>
          <w:szCs w:val="32"/>
        </w:rPr>
      </w:pPr>
    </w:p>
    <w:p w14:paraId="72FFECFB" w14:textId="1B09A3F7" w:rsidR="006D2F2D" w:rsidRDefault="006D2F2D" w:rsidP="004A5A64">
      <w:pPr>
        <w:spacing w:line="360" w:lineRule="auto"/>
        <w:rPr>
          <w:rFonts w:ascii="Arial" w:hAnsi="Arial" w:cs="Arial"/>
          <w:b/>
          <w:bCs/>
          <w:sz w:val="32"/>
          <w:szCs w:val="32"/>
        </w:rPr>
      </w:pPr>
      <w:r w:rsidRPr="00422FAE">
        <w:rPr>
          <w:rFonts w:ascii="Arial" w:hAnsi="Arial" w:cs="Arial"/>
          <w:b/>
          <w:bCs/>
          <w:sz w:val="32"/>
          <w:szCs w:val="32"/>
        </w:rPr>
        <w:t>Recommendations for</w:t>
      </w:r>
      <w:r w:rsidR="003E4ED4" w:rsidRPr="00422FAE">
        <w:rPr>
          <w:rFonts w:ascii="Arial" w:hAnsi="Arial" w:cs="Arial"/>
          <w:b/>
          <w:bCs/>
          <w:sz w:val="32"/>
          <w:szCs w:val="32"/>
        </w:rPr>
        <w:t xml:space="preserve"> policy</w:t>
      </w:r>
      <w:r w:rsidRPr="00422FAE">
        <w:rPr>
          <w:rFonts w:ascii="Arial" w:hAnsi="Arial" w:cs="Arial"/>
          <w:b/>
          <w:bCs/>
          <w:sz w:val="32"/>
          <w:szCs w:val="32"/>
        </w:rPr>
        <w:t xml:space="preserve"> and practice</w:t>
      </w:r>
    </w:p>
    <w:p w14:paraId="3A1667E0" w14:textId="175ED5F4" w:rsidR="0089520B" w:rsidRPr="002C1F2E" w:rsidRDefault="0089520B" w:rsidP="002C1F2E">
      <w:pPr>
        <w:pStyle w:val="NormalWeb"/>
        <w:jc w:val="both"/>
        <w:rPr>
          <w:rFonts w:ascii="Arial" w:hAnsi="Arial" w:cs="Arial"/>
        </w:rPr>
      </w:pPr>
      <w:r w:rsidRPr="002C1F2E">
        <w:rPr>
          <w:rFonts w:ascii="Arial" w:hAnsi="Arial" w:cs="Arial"/>
        </w:rPr>
        <w:t xml:space="preserve">The </w:t>
      </w:r>
      <w:r w:rsidRPr="00127C23">
        <w:rPr>
          <w:rStyle w:val="Strong"/>
          <w:rFonts w:ascii="Arial" w:hAnsi="Arial" w:cs="Arial"/>
          <w:b w:val="0"/>
          <w:bCs w:val="0"/>
        </w:rPr>
        <w:t>Social Model of Disability</w:t>
      </w:r>
      <w:r w:rsidRPr="002C1F2E">
        <w:rPr>
          <w:rFonts w:ascii="Arial" w:hAnsi="Arial" w:cs="Arial"/>
        </w:rPr>
        <w:t xml:space="preserve"> provides a framework for understanding disability </w:t>
      </w:r>
      <w:r w:rsidR="00E7780B" w:rsidRPr="002C1F2E">
        <w:rPr>
          <w:rFonts w:ascii="Arial" w:hAnsi="Arial" w:cs="Arial"/>
        </w:rPr>
        <w:t>because of</w:t>
      </w:r>
      <w:r w:rsidRPr="002C1F2E">
        <w:rPr>
          <w:rFonts w:ascii="Arial" w:hAnsi="Arial" w:cs="Arial"/>
        </w:rPr>
        <w:t xml:space="preserve"> social, environmental, and institutional barriers, rather than individual impairments. Applying this model in health and social care policy and practice highlights the need for structural change, inclusive service design, and person-centred approaches that prioritise autonomy, participation, and rights (Oliver, 1990; Shakespeare, 2013).</w:t>
      </w:r>
    </w:p>
    <w:p w14:paraId="089BD67B" w14:textId="77777777" w:rsidR="0089520B" w:rsidRPr="002C1F2E" w:rsidRDefault="0089520B" w:rsidP="002C1F2E">
      <w:pPr>
        <w:pStyle w:val="NormalWeb"/>
        <w:jc w:val="both"/>
        <w:rPr>
          <w:rFonts w:ascii="Arial" w:hAnsi="Arial" w:cs="Arial"/>
        </w:rPr>
      </w:pPr>
      <w:r w:rsidRPr="002C1F2E">
        <w:rPr>
          <w:rFonts w:ascii="Arial" w:hAnsi="Arial" w:cs="Arial"/>
        </w:rPr>
        <w:t xml:space="preserve">A key recommendation is that health and social care policy should embed </w:t>
      </w:r>
      <w:r w:rsidRPr="002C1F2E">
        <w:rPr>
          <w:rStyle w:val="Strong"/>
          <w:rFonts w:ascii="Arial" w:hAnsi="Arial" w:cs="Arial"/>
          <w:b w:val="0"/>
          <w:bCs w:val="0"/>
        </w:rPr>
        <w:t>rights-based approaches</w:t>
      </w:r>
      <w:r w:rsidRPr="002C1F2E">
        <w:rPr>
          <w:rFonts w:ascii="Arial" w:hAnsi="Arial" w:cs="Arial"/>
        </w:rPr>
        <w:t xml:space="preserve"> across all service provision. Legislation such as the Equality Act (2010) provides a legal framework to promote inclusion, but active enforcement and monitoring are essential to ensure organisations comply with accessibility standards. Policies should require the removal of physical, digital, and communication barriers, ensuring that services are usable by individuals with diverse impairments (Barnes and Mercer, 2010). Embedding inclusion in policy supports the creation of equitable systems that reflect the principles of the social model.</w:t>
      </w:r>
    </w:p>
    <w:p w14:paraId="5D7FDD3C" w14:textId="77777777" w:rsidR="0089520B" w:rsidRPr="002C1F2E" w:rsidRDefault="0089520B" w:rsidP="002C1F2E">
      <w:pPr>
        <w:pStyle w:val="NormalWeb"/>
        <w:jc w:val="both"/>
        <w:rPr>
          <w:rFonts w:ascii="Arial" w:hAnsi="Arial" w:cs="Arial"/>
        </w:rPr>
      </w:pPr>
      <w:r w:rsidRPr="002C1F2E">
        <w:rPr>
          <w:rStyle w:val="Strong"/>
          <w:rFonts w:ascii="Arial" w:hAnsi="Arial" w:cs="Arial"/>
        </w:rPr>
        <w:t>Workforce development</w:t>
      </w:r>
      <w:r w:rsidRPr="002C1F2E">
        <w:rPr>
          <w:rFonts w:ascii="Arial" w:hAnsi="Arial" w:cs="Arial"/>
        </w:rPr>
        <w:t xml:space="preserve"> is another critical recommendation. Health and social care professionals must receive ongoing training in disability awareness, inclusive practice, and the social model’s principles. Training should focus on recognising structural barriers, addressing unconscious biases, and promoting autonomy, interdependence, and person-centred care (Kittay, 1999; Thomas, 2004). By strengthening staff knowledge and skills, organisations can translate the social model from theory into everyday practice, ensuring that disabled people experience real improvements in access and empowerment.</w:t>
      </w:r>
    </w:p>
    <w:p w14:paraId="0D573B9D" w14:textId="77777777" w:rsidR="0089520B" w:rsidRPr="002C1F2E" w:rsidRDefault="0089520B" w:rsidP="002C1F2E">
      <w:pPr>
        <w:pStyle w:val="NormalWeb"/>
        <w:jc w:val="both"/>
        <w:rPr>
          <w:rFonts w:ascii="Arial" w:hAnsi="Arial" w:cs="Arial"/>
        </w:rPr>
      </w:pPr>
      <w:r w:rsidRPr="00127C23">
        <w:rPr>
          <w:rFonts w:ascii="Arial" w:hAnsi="Arial" w:cs="Arial"/>
          <w:b/>
          <w:bCs/>
        </w:rPr>
        <w:t>The</w:t>
      </w:r>
      <w:r w:rsidRPr="002C1F2E">
        <w:rPr>
          <w:rFonts w:ascii="Arial" w:hAnsi="Arial" w:cs="Arial"/>
        </w:rPr>
        <w:t xml:space="preserve"> </w:t>
      </w:r>
      <w:r w:rsidRPr="002C1F2E">
        <w:rPr>
          <w:rStyle w:val="Strong"/>
          <w:rFonts w:ascii="Arial" w:hAnsi="Arial" w:cs="Arial"/>
        </w:rPr>
        <w:t>personalisation and co-production agenda</w:t>
      </w:r>
      <w:r w:rsidRPr="002C1F2E">
        <w:rPr>
          <w:rFonts w:ascii="Arial" w:hAnsi="Arial" w:cs="Arial"/>
        </w:rPr>
        <w:t xml:space="preserve"> should also be strengthened. Mechanisms such as personal budgets and self-directed support must be adequately resourced, giving disabled people genuine control over the design and delivery of their care (Glasby and Littlechild, 2009). Involving service users in planning, decision-making, and evaluation ensures that policies are responsive to lived experiences, promoting inclusion, autonomy, and social participation.</w:t>
      </w:r>
    </w:p>
    <w:p w14:paraId="6696B054" w14:textId="77777777" w:rsidR="0089520B" w:rsidRPr="002C1F2E" w:rsidRDefault="0089520B" w:rsidP="002C1F2E">
      <w:pPr>
        <w:pStyle w:val="NormalWeb"/>
        <w:jc w:val="both"/>
        <w:rPr>
          <w:rFonts w:ascii="Arial" w:hAnsi="Arial" w:cs="Arial"/>
        </w:rPr>
      </w:pPr>
      <w:r w:rsidRPr="002C1F2E">
        <w:rPr>
          <w:rStyle w:val="Strong"/>
          <w:rFonts w:ascii="Arial" w:hAnsi="Arial" w:cs="Arial"/>
        </w:rPr>
        <w:t>Cross-sector collaboration</w:t>
      </w:r>
      <w:r w:rsidRPr="002C1F2E">
        <w:rPr>
          <w:rFonts w:ascii="Arial" w:hAnsi="Arial" w:cs="Arial"/>
        </w:rPr>
        <w:t xml:space="preserve"> is vital to address broader systemic barriers. Health, social care, housing, education, and transport sectors must coordinate to remove obstacles that limit participation. Joint planning reduces service fragmentation, improves accessibility, and tackles social determinants of disability that extend beyond individual care provision (Shakespeare, 2013).</w:t>
      </w:r>
    </w:p>
    <w:p w14:paraId="3DF76C7E" w14:textId="77777777" w:rsidR="0089520B" w:rsidRPr="002C1F2E" w:rsidRDefault="0089520B" w:rsidP="002C1F2E">
      <w:pPr>
        <w:pStyle w:val="NormalWeb"/>
        <w:jc w:val="both"/>
        <w:rPr>
          <w:rFonts w:ascii="Arial" w:hAnsi="Arial" w:cs="Arial"/>
        </w:rPr>
      </w:pPr>
      <w:r w:rsidRPr="00127C23">
        <w:rPr>
          <w:rFonts w:ascii="Arial" w:hAnsi="Arial" w:cs="Arial"/>
          <w:b/>
          <w:bCs/>
        </w:rPr>
        <w:t>Finally,</w:t>
      </w:r>
      <w:r w:rsidRPr="002C1F2E">
        <w:rPr>
          <w:rFonts w:ascii="Arial" w:hAnsi="Arial" w:cs="Arial"/>
        </w:rPr>
        <w:t xml:space="preserve"> </w:t>
      </w:r>
      <w:r w:rsidRPr="002C1F2E">
        <w:rPr>
          <w:rStyle w:val="Strong"/>
          <w:rFonts w:ascii="Arial" w:hAnsi="Arial" w:cs="Arial"/>
        </w:rPr>
        <w:t>research and evaluation</w:t>
      </w:r>
      <w:r w:rsidRPr="002C1F2E">
        <w:rPr>
          <w:rFonts w:ascii="Arial" w:hAnsi="Arial" w:cs="Arial"/>
        </w:rPr>
        <w:t xml:space="preserve"> should guide ongoing improvement. Continuous assessment of accessibility initiatives, personalisation programmes, and anti-discrimination policies can identify gaps and inform policy adaptation, particularly for people with chronic illness or complex care needs (Thomas, 2004; Briant et al., 2013). Evidence-based evaluation ensures that interventions remain effective and responsive.</w:t>
      </w:r>
    </w:p>
    <w:p w14:paraId="5809FFC7" w14:textId="64A3F978" w:rsidR="0089520B" w:rsidRPr="002C1F2E" w:rsidRDefault="0089520B" w:rsidP="002C1F2E">
      <w:pPr>
        <w:pStyle w:val="NormalWeb"/>
        <w:jc w:val="both"/>
        <w:rPr>
          <w:rFonts w:ascii="Arial" w:hAnsi="Arial" w:cs="Arial"/>
        </w:rPr>
      </w:pPr>
      <w:r w:rsidRPr="002C1F2E">
        <w:rPr>
          <w:rFonts w:ascii="Arial" w:hAnsi="Arial" w:cs="Arial"/>
        </w:rPr>
        <w:lastRenderedPageBreak/>
        <w:t>In summary, implementing these recommendations</w:t>
      </w:r>
      <w:r w:rsidR="00DE7728" w:rsidRPr="002C1F2E">
        <w:rPr>
          <w:rFonts w:ascii="Arial" w:hAnsi="Arial" w:cs="Arial"/>
        </w:rPr>
        <w:t xml:space="preserve"> </w:t>
      </w:r>
      <w:r w:rsidRPr="002C1F2E">
        <w:rPr>
          <w:rFonts w:ascii="Arial" w:hAnsi="Arial" w:cs="Arial"/>
        </w:rPr>
        <w:t>removing structural barriers, investing in workforce development, promoting personalisation, fostering collaboration, and monitoring outcomes</w:t>
      </w:r>
      <w:r w:rsidR="00DE7728" w:rsidRPr="002C1F2E">
        <w:rPr>
          <w:rFonts w:ascii="Arial" w:hAnsi="Arial" w:cs="Arial"/>
        </w:rPr>
        <w:t xml:space="preserve"> </w:t>
      </w:r>
      <w:r w:rsidRPr="002C1F2E">
        <w:rPr>
          <w:rFonts w:ascii="Arial" w:hAnsi="Arial" w:cs="Arial"/>
        </w:rPr>
        <w:t>ensures the social model of disability informs inclusive, equitable, and person-centred health and social care.</w:t>
      </w:r>
    </w:p>
    <w:p w14:paraId="08933ACA" w14:textId="77777777" w:rsidR="005636F6" w:rsidRPr="002C1F2E" w:rsidRDefault="005636F6" w:rsidP="002C1F2E">
      <w:pPr>
        <w:spacing w:line="360" w:lineRule="auto"/>
        <w:jc w:val="both"/>
        <w:rPr>
          <w:rFonts w:ascii="Arial" w:hAnsi="Arial" w:cs="Arial"/>
          <w:b/>
          <w:bCs/>
          <w:sz w:val="32"/>
          <w:szCs w:val="32"/>
        </w:rPr>
      </w:pPr>
    </w:p>
    <w:p w14:paraId="5A4D465C" w14:textId="77777777" w:rsidR="006524ED" w:rsidRPr="00422FAE" w:rsidRDefault="006D2F2D" w:rsidP="004A5A64">
      <w:pPr>
        <w:spacing w:line="360" w:lineRule="auto"/>
        <w:rPr>
          <w:rFonts w:ascii="Arial" w:hAnsi="Arial" w:cs="Arial"/>
          <w:b/>
          <w:bCs/>
          <w:sz w:val="32"/>
          <w:szCs w:val="32"/>
        </w:rPr>
      </w:pPr>
      <w:r w:rsidRPr="00422FAE">
        <w:rPr>
          <w:rFonts w:ascii="Arial" w:hAnsi="Arial" w:cs="Arial"/>
          <w:b/>
          <w:bCs/>
          <w:sz w:val="32"/>
          <w:szCs w:val="32"/>
        </w:rPr>
        <w:t>Conclusion</w:t>
      </w:r>
    </w:p>
    <w:p w14:paraId="5FB1CA19" w14:textId="77777777" w:rsidR="00EE59A1" w:rsidRPr="002C1F2E" w:rsidRDefault="00EE59A1" w:rsidP="002C1F2E">
      <w:pPr>
        <w:pStyle w:val="NormalWeb"/>
        <w:jc w:val="both"/>
        <w:rPr>
          <w:rFonts w:ascii="Arial" w:hAnsi="Arial" w:cs="Arial"/>
        </w:rPr>
      </w:pPr>
      <w:r w:rsidRPr="002C1F2E">
        <w:rPr>
          <w:rFonts w:ascii="Arial" w:hAnsi="Arial" w:cs="Arial"/>
        </w:rPr>
        <w:t xml:space="preserve">The </w:t>
      </w:r>
      <w:r w:rsidRPr="00127C23">
        <w:rPr>
          <w:rStyle w:val="Strong"/>
          <w:rFonts w:ascii="Arial" w:hAnsi="Arial" w:cs="Arial"/>
          <w:b w:val="0"/>
          <w:bCs w:val="0"/>
        </w:rPr>
        <w:t>Social Model of Disability</w:t>
      </w:r>
      <w:r w:rsidRPr="002C1F2E">
        <w:rPr>
          <w:rFonts w:ascii="Arial" w:hAnsi="Arial" w:cs="Arial"/>
        </w:rPr>
        <w:t xml:space="preserve"> represents a paradigm shift in understanding disability, framing it as a socially constructed phenomenon caused by environmental, institutional, and attitudinal barriers rather than individual impairments (Oliver, 1990; UPIAS, 1976). This perspective challenges the traditional medical model and underpins </w:t>
      </w:r>
      <w:r w:rsidRPr="002C1F2E">
        <w:rPr>
          <w:rStyle w:val="Strong"/>
          <w:rFonts w:ascii="Arial" w:hAnsi="Arial" w:cs="Arial"/>
          <w:b w:val="0"/>
          <w:bCs w:val="0"/>
        </w:rPr>
        <w:t>person-centred care</w:t>
      </w:r>
      <w:r w:rsidRPr="002C1F2E">
        <w:rPr>
          <w:rFonts w:ascii="Arial" w:hAnsi="Arial" w:cs="Arial"/>
        </w:rPr>
        <w:t>, emphasising inclusion, autonomy, and empowerment for disabled individuals (Shakespeare, 2013). By highlighting the social factors that create disabling conditions, the model provides a framework for policy and practice that promotes equality and participation.</w:t>
      </w:r>
    </w:p>
    <w:p w14:paraId="42A31A51" w14:textId="77777777" w:rsidR="00EE59A1" w:rsidRPr="002C1F2E" w:rsidRDefault="00EE59A1" w:rsidP="002C1F2E">
      <w:pPr>
        <w:pStyle w:val="NormalWeb"/>
        <w:jc w:val="both"/>
        <w:rPr>
          <w:rFonts w:ascii="Arial" w:hAnsi="Arial" w:cs="Arial"/>
        </w:rPr>
      </w:pPr>
      <w:r w:rsidRPr="002C1F2E">
        <w:rPr>
          <w:rFonts w:ascii="Arial" w:hAnsi="Arial" w:cs="Arial"/>
        </w:rPr>
        <w:t xml:space="preserve">The development of the social model was driven by activism and academic scholarship, particularly the contributions of UPIAS and Mike Oliver, who formalised its principles into a coherent theoretical framework (Oliver, 1990). Critiques of the model have highlighted limitations, including its strict separation of impairment and disability, limited attention to embodiment and relational aspects of care, and its Western-centric assumptions that may not fully account for poverty or global inequalities (Kittay, 1999; Thomas, 2004; Grech, 2015). In response, more nuanced approaches such as the </w:t>
      </w:r>
      <w:r w:rsidRPr="002C1F2E">
        <w:rPr>
          <w:rStyle w:val="Strong"/>
          <w:rFonts w:ascii="Arial" w:hAnsi="Arial" w:cs="Arial"/>
          <w:b w:val="0"/>
          <w:bCs w:val="0"/>
        </w:rPr>
        <w:t>social relational model</w:t>
      </w:r>
      <w:r w:rsidRPr="002C1F2E">
        <w:rPr>
          <w:rFonts w:ascii="Arial" w:hAnsi="Arial" w:cs="Arial"/>
        </w:rPr>
        <w:t xml:space="preserve"> and intersectional frameworks have emerged, integrating lived experience and structural analysis while retaining a focus on removing social barriers.</w:t>
      </w:r>
    </w:p>
    <w:p w14:paraId="06356B39" w14:textId="77777777" w:rsidR="00EE59A1" w:rsidRPr="002C1F2E" w:rsidRDefault="00EE59A1" w:rsidP="002C1F2E">
      <w:pPr>
        <w:pStyle w:val="NormalWeb"/>
        <w:jc w:val="both"/>
        <w:rPr>
          <w:rFonts w:ascii="Arial" w:hAnsi="Arial" w:cs="Arial"/>
        </w:rPr>
      </w:pPr>
      <w:r w:rsidRPr="002C1F2E">
        <w:rPr>
          <w:rFonts w:ascii="Arial" w:hAnsi="Arial" w:cs="Arial"/>
        </w:rPr>
        <w:t>In practice, the social model has informed legislation, accessibility standards, workforce development, personalisation initiatives, and co-production approaches, all aimed at promoting inclusive and rights-based care (Barnes and Mercer, 2010; Glasby and Littlechild, 2009). However, challenges persist, including resource limitations, organisational culture, and balancing individual health needs with structural change (Shakespeare, 2013; Briant et al., 2013).</w:t>
      </w:r>
    </w:p>
    <w:p w14:paraId="4A5F1C5C" w14:textId="77777777" w:rsidR="00EE59A1" w:rsidRPr="002C1F2E" w:rsidRDefault="00EE59A1" w:rsidP="002C1F2E">
      <w:pPr>
        <w:pStyle w:val="NormalWeb"/>
        <w:jc w:val="both"/>
        <w:rPr>
          <w:rFonts w:ascii="Arial" w:hAnsi="Arial" w:cs="Arial"/>
        </w:rPr>
      </w:pPr>
      <w:r w:rsidRPr="002C1F2E">
        <w:rPr>
          <w:rFonts w:ascii="Arial" w:hAnsi="Arial" w:cs="Arial"/>
        </w:rPr>
        <w:t>Recommendations to enhance policy and practice include embedding rights-based approaches, improving workforce competence, strengthening personalisation, fostering cross-sector collaboration, and monitoring outcomes to ensure effectiveness. Overall, the social model remains a vital tool for shaping inclusive health and social care, guiding services toward the removal of barriers and the promotion of autonomy, participation, and equity for disabled people.</w:t>
      </w:r>
    </w:p>
    <w:p w14:paraId="53E08F83" w14:textId="0E1A9B7F" w:rsidR="00A14675" w:rsidRPr="002C1F2E" w:rsidRDefault="00A14675" w:rsidP="002C1F2E">
      <w:pPr>
        <w:spacing w:line="360" w:lineRule="auto"/>
        <w:jc w:val="both"/>
        <w:rPr>
          <w:rFonts w:ascii="Arial" w:hAnsi="Arial" w:cs="Arial"/>
          <w:color w:val="0070C0"/>
          <w:sz w:val="23"/>
          <w:szCs w:val="23"/>
        </w:rPr>
      </w:pPr>
    </w:p>
    <w:p w14:paraId="6191299C" w14:textId="77777777" w:rsidR="006524ED" w:rsidRPr="004A5A64" w:rsidRDefault="006524ED" w:rsidP="004A5A64">
      <w:pPr>
        <w:pStyle w:val="ListParagraph"/>
        <w:spacing w:line="360" w:lineRule="auto"/>
        <w:ind w:left="0"/>
        <w:rPr>
          <w:rFonts w:ascii="Arial" w:hAnsi="Arial" w:cs="Arial"/>
          <w:sz w:val="23"/>
          <w:szCs w:val="23"/>
        </w:rPr>
      </w:pPr>
    </w:p>
    <w:p w14:paraId="36649237" w14:textId="77777777" w:rsidR="00D54D24" w:rsidRDefault="00D54D24" w:rsidP="004A5A64">
      <w:pPr>
        <w:spacing w:line="360" w:lineRule="auto"/>
        <w:rPr>
          <w:rFonts w:ascii="Arial" w:hAnsi="Arial" w:cs="Arial"/>
          <w:b/>
          <w:bCs/>
          <w:sz w:val="23"/>
          <w:szCs w:val="23"/>
        </w:rPr>
      </w:pPr>
    </w:p>
    <w:p w14:paraId="5A789721" w14:textId="631EF9DE" w:rsidR="006D2F2D" w:rsidRPr="00422FAE" w:rsidRDefault="006D2F2D" w:rsidP="004A5A64">
      <w:pPr>
        <w:spacing w:line="360" w:lineRule="auto"/>
        <w:rPr>
          <w:rFonts w:ascii="Arial" w:hAnsi="Arial" w:cs="Arial"/>
          <w:b/>
          <w:bCs/>
          <w:sz w:val="32"/>
          <w:szCs w:val="32"/>
        </w:rPr>
      </w:pPr>
      <w:r w:rsidRPr="00422FAE">
        <w:rPr>
          <w:rFonts w:ascii="Arial" w:hAnsi="Arial" w:cs="Arial"/>
          <w:b/>
          <w:bCs/>
          <w:sz w:val="32"/>
          <w:szCs w:val="32"/>
        </w:rPr>
        <w:lastRenderedPageBreak/>
        <w:t>Reference</w:t>
      </w:r>
      <w:r w:rsidR="003E4ED4" w:rsidRPr="00422FAE">
        <w:rPr>
          <w:rFonts w:ascii="Arial" w:hAnsi="Arial" w:cs="Arial"/>
          <w:b/>
          <w:bCs/>
          <w:sz w:val="32"/>
          <w:szCs w:val="32"/>
        </w:rPr>
        <w:t>s</w:t>
      </w:r>
    </w:p>
    <w:p w14:paraId="4265EC8F" w14:textId="7539B58C" w:rsidR="00373EC8" w:rsidRPr="005D1FCE" w:rsidRDefault="00D54D24" w:rsidP="000C46E1">
      <w:pPr>
        <w:pStyle w:val="NormalWeb"/>
        <w:jc w:val="both"/>
        <w:rPr>
          <w:rFonts w:ascii="Arial" w:hAnsi="Arial" w:cs="Arial"/>
        </w:rPr>
      </w:pPr>
      <w:r>
        <w:rPr>
          <w:rFonts w:ascii="Arial" w:hAnsi="Arial" w:cs="Arial"/>
        </w:rPr>
        <w:t>1.</w:t>
      </w:r>
      <w:r w:rsidR="00373EC8" w:rsidRPr="005D1FCE">
        <w:rPr>
          <w:rFonts w:ascii="Arial" w:hAnsi="Arial" w:cs="Arial"/>
        </w:rPr>
        <w:t xml:space="preserve">Barnes, C. and Mercer, G. (2010) </w:t>
      </w:r>
      <w:r w:rsidR="00373EC8" w:rsidRPr="005D1FCE">
        <w:rPr>
          <w:rStyle w:val="Emphasis"/>
          <w:rFonts w:ascii="Arial" w:hAnsi="Arial" w:cs="Arial"/>
        </w:rPr>
        <w:t>Exploring Disability</w:t>
      </w:r>
      <w:r w:rsidR="00373EC8" w:rsidRPr="005D1FCE">
        <w:rPr>
          <w:rFonts w:ascii="Arial" w:hAnsi="Arial" w:cs="Arial"/>
        </w:rPr>
        <w:t>. Bristol: Policy Press.</w:t>
      </w:r>
    </w:p>
    <w:p w14:paraId="5B30FDDE" w14:textId="3151A6DE" w:rsidR="00373EC8" w:rsidRPr="005D1FCE" w:rsidRDefault="00D54D24" w:rsidP="000C46E1">
      <w:pPr>
        <w:pStyle w:val="NormalWeb"/>
        <w:jc w:val="both"/>
        <w:rPr>
          <w:rFonts w:ascii="Arial" w:hAnsi="Arial" w:cs="Arial"/>
        </w:rPr>
      </w:pPr>
      <w:r>
        <w:rPr>
          <w:rFonts w:ascii="Arial" w:hAnsi="Arial" w:cs="Arial"/>
        </w:rPr>
        <w:t>2.</w:t>
      </w:r>
      <w:r w:rsidR="00373EC8" w:rsidRPr="005D1FCE">
        <w:rPr>
          <w:rFonts w:ascii="Arial" w:hAnsi="Arial" w:cs="Arial"/>
        </w:rPr>
        <w:t xml:space="preserve">Briant, E., Watson, N. and Philo, G. (2013) ‘Reporting Disability in the Age of Austerity’, </w:t>
      </w:r>
      <w:r w:rsidR="00373EC8" w:rsidRPr="005D1FCE">
        <w:rPr>
          <w:rStyle w:val="Emphasis"/>
          <w:rFonts w:ascii="Arial" w:hAnsi="Arial" w:cs="Arial"/>
        </w:rPr>
        <w:t>Disability &amp; Society</w:t>
      </w:r>
      <w:r w:rsidR="00373EC8" w:rsidRPr="005D1FCE">
        <w:rPr>
          <w:rFonts w:ascii="Arial" w:hAnsi="Arial" w:cs="Arial"/>
        </w:rPr>
        <w:t>, 28(6), pp. 830–843.</w:t>
      </w:r>
    </w:p>
    <w:p w14:paraId="01881847" w14:textId="2E3466A0" w:rsidR="00373EC8" w:rsidRPr="005D1FCE" w:rsidRDefault="00D54D24" w:rsidP="000C46E1">
      <w:pPr>
        <w:pStyle w:val="NormalWeb"/>
        <w:jc w:val="both"/>
        <w:rPr>
          <w:rFonts w:ascii="Arial" w:hAnsi="Arial" w:cs="Arial"/>
        </w:rPr>
      </w:pPr>
      <w:r>
        <w:rPr>
          <w:rFonts w:ascii="Arial" w:hAnsi="Arial" w:cs="Arial"/>
        </w:rPr>
        <w:t>3.</w:t>
      </w:r>
      <w:r w:rsidR="00373EC8" w:rsidRPr="005D1FCE">
        <w:rPr>
          <w:rFonts w:ascii="Arial" w:hAnsi="Arial" w:cs="Arial"/>
        </w:rPr>
        <w:t xml:space="preserve">Care Quality Commission (2018) </w:t>
      </w:r>
      <w:r w:rsidR="00373EC8" w:rsidRPr="005D1FCE">
        <w:rPr>
          <w:rStyle w:val="Emphasis"/>
          <w:rFonts w:ascii="Arial" w:hAnsi="Arial" w:cs="Arial"/>
        </w:rPr>
        <w:t>The State of Health Care and Adult Social Care in England 2017/18</w:t>
      </w:r>
      <w:r w:rsidR="00373EC8" w:rsidRPr="005D1FCE">
        <w:rPr>
          <w:rFonts w:ascii="Arial" w:hAnsi="Arial" w:cs="Arial"/>
        </w:rPr>
        <w:t>. London: CQC.</w:t>
      </w:r>
    </w:p>
    <w:p w14:paraId="5D17FB1D" w14:textId="7F08F5E4" w:rsidR="00373EC8" w:rsidRPr="005D1FCE" w:rsidRDefault="00D54D24" w:rsidP="000C46E1">
      <w:pPr>
        <w:pStyle w:val="NormalWeb"/>
        <w:jc w:val="both"/>
        <w:rPr>
          <w:rFonts w:ascii="Arial" w:hAnsi="Arial" w:cs="Arial"/>
        </w:rPr>
      </w:pPr>
      <w:r>
        <w:rPr>
          <w:rFonts w:ascii="Arial" w:hAnsi="Arial" w:cs="Arial"/>
        </w:rPr>
        <w:t>4.</w:t>
      </w:r>
      <w:r w:rsidR="00373EC8" w:rsidRPr="005D1FCE">
        <w:rPr>
          <w:rFonts w:ascii="Arial" w:hAnsi="Arial" w:cs="Arial"/>
        </w:rPr>
        <w:t xml:space="preserve">Glasby, J. and Littlechild, R. (2009) </w:t>
      </w:r>
      <w:r w:rsidR="00373EC8" w:rsidRPr="005D1FCE">
        <w:rPr>
          <w:rStyle w:val="Emphasis"/>
          <w:rFonts w:ascii="Arial" w:hAnsi="Arial" w:cs="Arial"/>
        </w:rPr>
        <w:t>Direct Payments and Personal Budgets: Putting Individualised Funding into Practice</w:t>
      </w:r>
      <w:r w:rsidR="00373EC8" w:rsidRPr="005D1FCE">
        <w:rPr>
          <w:rFonts w:ascii="Arial" w:hAnsi="Arial" w:cs="Arial"/>
        </w:rPr>
        <w:t>. Bristol: Policy Press.</w:t>
      </w:r>
    </w:p>
    <w:p w14:paraId="7C095E86" w14:textId="20D8281A" w:rsidR="00373EC8" w:rsidRPr="005D1FCE" w:rsidRDefault="00D54D24" w:rsidP="000C46E1">
      <w:pPr>
        <w:pStyle w:val="NormalWeb"/>
        <w:jc w:val="both"/>
        <w:rPr>
          <w:rFonts w:ascii="Arial" w:hAnsi="Arial" w:cs="Arial"/>
        </w:rPr>
      </w:pPr>
      <w:r>
        <w:rPr>
          <w:rFonts w:ascii="Arial" w:hAnsi="Arial" w:cs="Arial"/>
        </w:rPr>
        <w:t>5.</w:t>
      </w:r>
      <w:r w:rsidR="00373EC8" w:rsidRPr="005D1FCE">
        <w:rPr>
          <w:rFonts w:ascii="Arial" w:hAnsi="Arial" w:cs="Arial"/>
        </w:rPr>
        <w:t xml:space="preserve">Grech, S. (2015) </w:t>
      </w:r>
      <w:r w:rsidR="00373EC8" w:rsidRPr="005D1FCE">
        <w:rPr>
          <w:rStyle w:val="Emphasis"/>
          <w:rFonts w:ascii="Arial" w:hAnsi="Arial" w:cs="Arial"/>
        </w:rPr>
        <w:t>Disability and Development</w:t>
      </w:r>
      <w:r w:rsidR="00373EC8" w:rsidRPr="005D1FCE">
        <w:rPr>
          <w:rFonts w:ascii="Arial" w:hAnsi="Arial" w:cs="Arial"/>
        </w:rPr>
        <w:t>. London: Palgrave Macmillan.</w:t>
      </w:r>
    </w:p>
    <w:p w14:paraId="0E7C41EE" w14:textId="20C14FFB" w:rsidR="00373EC8" w:rsidRPr="005D1FCE" w:rsidRDefault="00D54D24" w:rsidP="000C46E1">
      <w:pPr>
        <w:pStyle w:val="NormalWeb"/>
        <w:jc w:val="both"/>
        <w:rPr>
          <w:rFonts w:ascii="Arial" w:hAnsi="Arial" w:cs="Arial"/>
        </w:rPr>
      </w:pPr>
      <w:r>
        <w:rPr>
          <w:rFonts w:ascii="Arial" w:hAnsi="Arial" w:cs="Arial"/>
        </w:rPr>
        <w:t>6.</w:t>
      </w:r>
      <w:r w:rsidR="00373EC8" w:rsidRPr="005D1FCE">
        <w:rPr>
          <w:rFonts w:ascii="Arial" w:hAnsi="Arial" w:cs="Arial"/>
        </w:rPr>
        <w:t xml:space="preserve">Henderson, J. and Parker, G. (2001) ‘Person-Centred Care in Practice: Barriers and Solutions’, </w:t>
      </w:r>
      <w:r w:rsidR="00373EC8" w:rsidRPr="005D1FCE">
        <w:rPr>
          <w:rStyle w:val="Emphasis"/>
          <w:rFonts w:ascii="Arial" w:hAnsi="Arial" w:cs="Arial"/>
        </w:rPr>
        <w:t>Journal of Integrated Care</w:t>
      </w:r>
      <w:r w:rsidR="00373EC8" w:rsidRPr="005D1FCE">
        <w:rPr>
          <w:rFonts w:ascii="Arial" w:hAnsi="Arial" w:cs="Arial"/>
        </w:rPr>
        <w:t>, 9(3), pp. 23–30.</w:t>
      </w:r>
    </w:p>
    <w:p w14:paraId="4FF9F5B1" w14:textId="597D617B" w:rsidR="00373EC8" w:rsidRPr="005D1FCE" w:rsidRDefault="00D54D24" w:rsidP="000C46E1">
      <w:pPr>
        <w:pStyle w:val="NormalWeb"/>
        <w:jc w:val="both"/>
        <w:rPr>
          <w:rFonts w:ascii="Arial" w:hAnsi="Arial" w:cs="Arial"/>
        </w:rPr>
      </w:pPr>
      <w:r>
        <w:rPr>
          <w:rFonts w:ascii="Arial" w:hAnsi="Arial" w:cs="Arial"/>
        </w:rPr>
        <w:t>7.</w:t>
      </w:r>
      <w:r w:rsidR="00373EC8" w:rsidRPr="005D1FCE">
        <w:rPr>
          <w:rFonts w:ascii="Arial" w:hAnsi="Arial" w:cs="Arial"/>
        </w:rPr>
        <w:t xml:space="preserve">Kittay, E.F. (1999) </w:t>
      </w:r>
      <w:r w:rsidR="00373EC8" w:rsidRPr="005D1FCE">
        <w:rPr>
          <w:rStyle w:val="Emphasis"/>
          <w:rFonts w:ascii="Arial" w:hAnsi="Arial" w:cs="Arial"/>
        </w:rPr>
        <w:t>Love’s Labor: Essays on Women, Equality and Dependency</w:t>
      </w:r>
      <w:r w:rsidR="00373EC8" w:rsidRPr="005D1FCE">
        <w:rPr>
          <w:rFonts w:ascii="Arial" w:hAnsi="Arial" w:cs="Arial"/>
        </w:rPr>
        <w:t>. New York: Routledge.</w:t>
      </w:r>
    </w:p>
    <w:p w14:paraId="435363EA" w14:textId="4F1C41C1" w:rsidR="00373EC8" w:rsidRPr="005D1FCE" w:rsidRDefault="00D54D24" w:rsidP="000C46E1">
      <w:pPr>
        <w:pStyle w:val="NormalWeb"/>
        <w:jc w:val="both"/>
        <w:rPr>
          <w:rFonts w:ascii="Arial" w:hAnsi="Arial" w:cs="Arial"/>
        </w:rPr>
      </w:pPr>
      <w:r>
        <w:rPr>
          <w:rFonts w:ascii="Arial" w:hAnsi="Arial" w:cs="Arial"/>
        </w:rPr>
        <w:t>8.</w:t>
      </w:r>
      <w:r w:rsidR="00373EC8" w:rsidRPr="005D1FCE">
        <w:rPr>
          <w:rFonts w:ascii="Arial" w:hAnsi="Arial" w:cs="Arial"/>
        </w:rPr>
        <w:t xml:space="preserve">Oliver, M. (1990) </w:t>
      </w:r>
      <w:r w:rsidR="00373EC8" w:rsidRPr="005D1FCE">
        <w:rPr>
          <w:rStyle w:val="Emphasis"/>
          <w:rFonts w:ascii="Arial" w:hAnsi="Arial" w:cs="Arial"/>
        </w:rPr>
        <w:t>The Politics of Disablement</w:t>
      </w:r>
      <w:r w:rsidR="00373EC8" w:rsidRPr="005D1FCE">
        <w:rPr>
          <w:rFonts w:ascii="Arial" w:hAnsi="Arial" w:cs="Arial"/>
        </w:rPr>
        <w:t>. London: Macmillan.</w:t>
      </w:r>
    </w:p>
    <w:p w14:paraId="712CCEF6" w14:textId="250FD915" w:rsidR="00373EC8" w:rsidRPr="005D1FCE" w:rsidRDefault="00D54D24" w:rsidP="000C46E1">
      <w:pPr>
        <w:pStyle w:val="NormalWeb"/>
        <w:jc w:val="both"/>
        <w:rPr>
          <w:rFonts w:ascii="Arial" w:hAnsi="Arial" w:cs="Arial"/>
        </w:rPr>
      </w:pPr>
      <w:r>
        <w:rPr>
          <w:rFonts w:ascii="Arial" w:hAnsi="Arial" w:cs="Arial"/>
        </w:rPr>
        <w:t>9.</w:t>
      </w:r>
      <w:r w:rsidR="00373EC8" w:rsidRPr="005D1FCE">
        <w:rPr>
          <w:rFonts w:ascii="Arial" w:hAnsi="Arial" w:cs="Arial"/>
        </w:rPr>
        <w:t xml:space="preserve">Riddell, S. and Watson, N. (2003) </w:t>
      </w:r>
      <w:r w:rsidR="00373EC8" w:rsidRPr="005D1FCE">
        <w:rPr>
          <w:rStyle w:val="Emphasis"/>
          <w:rFonts w:ascii="Arial" w:hAnsi="Arial" w:cs="Arial"/>
        </w:rPr>
        <w:t>Disability, Culture and Education: Cross-Cultural Perspectives</w:t>
      </w:r>
      <w:r w:rsidR="00373EC8" w:rsidRPr="005D1FCE">
        <w:rPr>
          <w:rFonts w:ascii="Arial" w:hAnsi="Arial" w:cs="Arial"/>
        </w:rPr>
        <w:t>. London: David Fulton Publishers.</w:t>
      </w:r>
    </w:p>
    <w:p w14:paraId="5F0CB418" w14:textId="6E1AF1CC" w:rsidR="00373EC8" w:rsidRPr="005D1FCE" w:rsidRDefault="00D54D24" w:rsidP="000C46E1">
      <w:pPr>
        <w:pStyle w:val="NormalWeb"/>
        <w:jc w:val="both"/>
        <w:rPr>
          <w:rFonts w:ascii="Arial" w:hAnsi="Arial" w:cs="Arial"/>
        </w:rPr>
      </w:pPr>
      <w:r>
        <w:rPr>
          <w:rFonts w:ascii="Arial" w:hAnsi="Arial" w:cs="Arial"/>
        </w:rPr>
        <w:t>10.</w:t>
      </w:r>
      <w:r w:rsidR="00373EC8" w:rsidRPr="005D1FCE">
        <w:rPr>
          <w:rFonts w:ascii="Arial" w:hAnsi="Arial" w:cs="Arial"/>
        </w:rPr>
        <w:t xml:space="preserve">Shakespeare, T. (2013) </w:t>
      </w:r>
      <w:r w:rsidR="00373EC8" w:rsidRPr="005D1FCE">
        <w:rPr>
          <w:rStyle w:val="Emphasis"/>
          <w:rFonts w:ascii="Arial" w:hAnsi="Arial" w:cs="Arial"/>
        </w:rPr>
        <w:t>Disability Rights and Wrongs Revisited</w:t>
      </w:r>
      <w:r w:rsidR="00373EC8" w:rsidRPr="005D1FCE">
        <w:rPr>
          <w:rFonts w:ascii="Arial" w:hAnsi="Arial" w:cs="Arial"/>
        </w:rPr>
        <w:t xml:space="preserve">. 2nd </w:t>
      </w:r>
      <w:r w:rsidR="000C46E1" w:rsidRPr="005D1FCE">
        <w:rPr>
          <w:rFonts w:ascii="Arial" w:hAnsi="Arial" w:cs="Arial"/>
        </w:rPr>
        <w:t>edh</w:t>
      </w:r>
      <w:r w:rsidR="00373EC8" w:rsidRPr="005D1FCE">
        <w:rPr>
          <w:rFonts w:ascii="Arial" w:hAnsi="Arial" w:cs="Arial"/>
        </w:rPr>
        <w:t>. London: Routledge.</w:t>
      </w:r>
    </w:p>
    <w:p w14:paraId="0565D8F6" w14:textId="7D2B3497" w:rsidR="00373EC8" w:rsidRPr="005D1FCE" w:rsidRDefault="00D54D24" w:rsidP="000C46E1">
      <w:pPr>
        <w:pStyle w:val="NormalWeb"/>
        <w:jc w:val="both"/>
        <w:rPr>
          <w:rFonts w:ascii="Arial" w:hAnsi="Arial" w:cs="Arial"/>
        </w:rPr>
      </w:pPr>
      <w:r>
        <w:rPr>
          <w:rFonts w:ascii="Arial" w:hAnsi="Arial" w:cs="Arial"/>
        </w:rPr>
        <w:t>11.</w:t>
      </w:r>
      <w:r w:rsidR="00373EC8" w:rsidRPr="005D1FCE">
        <w:rPr>
          <w:rFonts w:ascii="Arial" w:hAnsi="Arial" w:cs="Arial"/>
        </w:rPr>
        <w:t xml:space="preserve">Thomas, C. (2004) ‘Developing the Social Relational Model of Disability’, </w:t>
      </w:r>
      <w:r w:rsidR="00373EC8" w:rsidRPr="005D1FCE">
        <w:rPr>
          <w:rStyle w:val="Emphasis"/>
          <w:rFonts w:ascii="Arial" w:hAnsi="Arial" w:cs="Arial"/>
        </w:rPr>
        <w:t>Sociology of Health &amp; Illness</w:t>
      </w:r>
      <w:r w:rsidR="00373EC8" w:rsidRPr="005D1FCE">
        <w:rPr>
          <w:rFonts w:ascii="Arial" w:hAnsi="Arial" w:cs="Arial"/>
        </w:rPr>
        <w:t>, 26(3), pp. 335–354.</w:t>
      </w:r>
    </w:p>
    <w:p w14:paraId="2F40F97C" w14:textId="29E8F0F2" w:rsidR="00373EC8" w:rsidRPr="005D1FCE" w:rsidRDefault="00D54D24" w:rsidP="000C46E1">
      <w:pPr>
        <w:pStyle w:val="NormalWeb"/>
        <w:jc w:val="both"/>
        <w:rPr>
          <w:rFonts w:ascii="Arial" w:hAnsi="Arial" w:cs="Arial"/>
        </w:rPr>
      </w:pPr>
      <w:r>
        <w:rPr>
          <w:rFonts w:ascii="Arial" w:hAnsi="Arial" w:cs="Arial"/>
        </w:rPr>
        <w:t>12.</w:t>
      </w:r>
      <w:r w:rsidR="00373EC8" w:rsidRPr="005D1FCE">
        <w:rPr>
          <w:rFonts w:ascii="Arial" w:hAnsi="Arial" w:cs="Arial"/>
        </w:rPr>
        <w:t xml:space="preserve">UPIAS (1976) </w:t>
      </w:r>
      <w:r w:rsidR="00373EC8" w:rsidRPr="005D1FCE">
        <w:rPr>
          <w:rStyle w:val="Emphasis"/>
          <w:rFonts w:ascii="Arial" w:hAnsi="Arial" w:cs="Arial"/>
        </w:rPr>
        <w:t>Fundamental Principles of Disability</w:t>
      </w:r>
      <w:r w:rsidR="00373EC8" w:rsidRPr="005D1FCE">
        <w:rPr>
          <w:rFonts w:ascii="Arial" w:hAnsi="Arial" w:cs="Arial"/>
        </w:rPr>
        <w:t>. London: Union of the Physically Impaired Against Segregation.</w:t>
      </w:r>
    </w:p>
    <w:p w14:paraId="6AAFD2A6" w14:textId="0B54FBA6" w:rsidR="00373EC8" w:rsidRPr="005D1FCE" w:rsidRDefault="00D54D24" w:rsidP="000C46E1">
      <w:pPr>
        <w:pStyle w:val="NormalWeb"/>
        <w:jc w:val="both"/>
        <w:rPr>
          <w:rFonts w:ascii="Arial" w:hAnsi="Arial" w:cs="Arial"/>
        </w:rPr>
      </w:pPr>
      <w:r>
        <w:rPr>
          <w:rFonts w:ascii="Arial" w:hAnsi="Arial" w:cs="Arial"/>
        </w:rPr>
        <w:t>13.</w:t>
      </w:r>
      <w:r w:rsidR="00373EC8" w:rsidRPr="005D1FCE">
        <w:rPr>
          <w:rFonts w:ascii="Arial" w:hAnsi="Arial" w:cs="Arial"/>
        </w:rPr>
        <w:t xml:space="preserve">World Health Organization (WHO) (2011) </w:t>
      </w:r>
      <w:r w:rsidR="00373EC8" w:rsidRPr="005D1FCE">
        <w:rPr>
          <w:rStyle w:val="Emphasis"/>
          <w:rFonts w:ascii="Arial" w:hAnsi="Arial" w:cs="Arial"/>
        </w:rPr>
        <w:t>World Report on Disability</w:t>
      </w:r>
      <w:r w:rsidR="00373EC8" w:rsidRPr="005D1FCE">
        <w:rPr>
          <w:rFonts w:ascii="Arial" w:hAnsi="Arial" w:cs="Arial"/>
        </w:rPr>
        <w:t>. Geneva: WHO.</w:t>
      </w:r>
    </w:p>
    <w:p w14:paraId="76312AE1" w14:textId="5B678106" w:rsidR="00373EC8" w:rsidRPr="005D1FCE" w:rsidRDefault="00D54D24" w:rsidP="000C46E1">
      <w:pPr>
        <w:pStyle w:val="NormalWeb"/>
        <w:jc w:val="both"/>
        <w:rPr>
          <w:rFonts w:ascii="Arial" w:hAnsi="Arial" w:cs="Arial"/>
        </w:rPr>
      </w:pPr>
      <w:r>
        <w:rPr>
          <w:rFonts w:ascii="Arial" w:hAnsi="Arial" w:cs="Arial"/>
        </w:rPr>
        <w:t>14.</w:t>
      </w:r>
      <w:r w:rsidR="00373EC8" w:rsidRPr="005D1FCE">
        <w:rPr>
          <w:rFonts w:ascii="Arial" w:hAnsi="Arial" w:cs="Arial"/>
        </w:rPr>
        <w:t xml:space="preserve">Williams, V., Beresford, P., &amp; Fleming, J. (2012) ‘Inclusion and Participation in Health and Social Care’, </w:t>
      </w:r>
      <w:r w:rsidR="00373EC8" w:rsidRPr="005D1FCE">
        <w:rPr>
          <w:rStyle w:val="Emphasis"/>
          <w:rFonts w:ascii="Arial" w:hAnsi="Arial" w:cs="Arial"/>
        </w:rPr>
        <w:t>Health &amp; Social Care in the Community</w:t>
      </w:r>
      <w:r w:rsidR="00373EC8" w:rsidRPr="005D1FCE">
        <w:rPr>
          <w:rFonts w:ascii="Arial" w:hAnsi="Arial" w:cs="Arial"/>
        </w:rPr>
        <w:t>, 20(5), pp. 489–498.</w:t>
      </w:r>
    </w:p>
    <w:p w14:paraId="5746EE40" w14:textId="5E303547" w:rsidR="00373EC8" w:rsidRPr="005D1FCE" w:rsidRDefault="00D54D24" w:rsidP="000C46E1">
      <w:pPr>
        <w:pStyle w:val="NormalWeb"/>
        <w:jc w:val="both"/>
        <w:rPr>
          <w:rFonts w:ascii="Arial" w:hAnsi="Arial" w:cs="Arial"/>
        </w:rPr>
      </w:pPr>
      <w:r>
        <w:rPr>
          <w:rFonts w:ascii="Arial" w:hAnsi="Arial" w:cs="Arial"/>
        </w:rPr>
        <w:t>15.</w:t>
      </w:r>
      <w:r w:rsidR="00373EC8" w:rsidRPr="005D1FCE">
        <w:rPr>
          <w:rFonts w:ascii="Arial" w:hAnsi="Arial" w:cs="Arial"/>
        </w:rPr>
        <w:t xml:space="preserve">Zarb, G. (1992) ‘On the Road to Damascus: First Steps Towards Changing the Relations of Disability’, </w:t>
      </w:r>
      <w:r w:rsidR="00373EC8" w:rsidRPr="005D1FCE">
        <w:rPr>
          <w:rStyle w:val="Emphasis"/>
          <w:rFonts w:ascii="Arial" w:hAnsi="Arial" w:cs="Arial"/>
        </w:rPr>
        <w:t>Disability, Handicap &amp; Society</w:t>
      </w:r>
      <w:r w:rsidR="00373EC8" w:rsidRPr="005D1FCE">
        <w:rPr>
          <w:rFonts w:ascii="Arial" w:hAnsi="Arial" w:cs="Arial"/>
        </w:rPr>
        <w:t>, 7(2), pp. 125–138.</w:t>
      </w:r>
    </w:p>
    <w:p w14:paraId="3F1FD9A8" w14:textId="0B1034F7" w:rsidR="004A5A64" w:rsidRPr="005D1FCE" w:rsidRDefault="004A5A64" w:rsidP="005D1FCE">
      <w:pPr>
        <w:spacing w:line="360" w:lineRule="auto"/>
        <w:jc w:val="both"/>
        <w:rPr>
          <w:rFonts w:ascii="Arial" w:hAnsi="Arial" w:cs="Arial"/>
          <w:color w:val="00B0F0"/>
          <w:sz w:val="23"/>
          <w:szCs w:val="23"/>
        </w:rPr>
      </w:pPr>
    </w:p>
    <w:sectPr w:rsidR="004A5A64" w:rsidRPr="005D1FC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10F2C" w14:textId="77777777" w:rsidR="006A3E63" w:rsidRDefault="006A3E63" w:rsidP="00032A5B">
      <w:pPr>
        <w:spacing w:after="0" w:line="240" w:lineRule="auto"/>
      </w:pPr>
      <w:r>
        <w:separator/>
      </w:r>
    </w:p>
  </w:endnote>
  <w:endnote w:type="continuationSeparator" w:id="0">
    <w:p w14:paraId="07B0A18E" w14:textId="77777777" w:rsidR="006A3E63" w:rsidRDefault="006A3E63"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9CEB3" w14:textId="77777777" w:rsidR="006A3E63" w:rsidRDefault="006A3E63" w:rsidP="00032A5B">
      <w:pPr>
        <w:spacing w:after="0" w:line="240" w:lineRule="auto"/>
      </w:pPr>
      <w:r>
        <w:separator/>
      </w:r>
    </w:p>
  </w:footnote>
  <w:footnote w:type="continuationSeparator" w:id="0">
    <w:p w14:paraId="5E936A21" w14:textId="77777777" w:rsidR="006A3E63" w:rsidRDefault="006A3E63"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C46E1"/>
    <w:rsid w:val="000E2431"/>
    <w:rsid w:val="000E63BE"/>
    <w:rsid w:val="00127C23"/>
    <w:rsid w:val="001333C2"/>
    <w:rsid w:val="002C1F2E"/>
    <w:rsid w:val="00317E3D"/>
    <w:rsid w:val="0032791E"/>
    <w:rsid w:val="00373EC8"/>
    <w:rsid w:val="003E4ED4"/>
    <w:rsid w:val="003F6E99"/>
    <w:rsid w:val="00422FAE"/>
    <w:rsid w:val="004A5A64"/>
    <w:rsid w:val="00520F71"/>
    <w:rsid w:val="005636F6"/>
    <w:rsid w:val="0058218C"/>
    <w:rsid w:val="005D1FCE"/>
    <w:rsid w:val="005E2900"/>
    <w:rsid w:val="006524ED"/>
    <w:rsid w:val="006A3E63"/>
    <w:rsid w:val="006D2F2D"/>
    <w:rsid w:val="006E1FF9"/>
    <w:rsid w:val="00785886"/>
    <w:rsid w:val="007F3A6A"/>
    <w:rsid w:val="00814077"/>
    <w:rsid w:val="0082487B"/>
    <w:rsid w:val="00881A5D"/>
    <w:rsid w:val="0089520B"/>
    <w:rsid w:val="00916A50"/>
    <w:rsid w:val="009E71F3"/>
    <w:rsid w:val="00A14675"/>
    <w:rsid w:val="00A638B7"/>
    <w:rsid w:val="00B26444"/>
    <w:rsid w:val="00BC79FE"/>
    <w:rsid w:val="00C558B0"/>
    <w:rsid w:val="00D0735B"/>
    <w:rsid w:val="00D34E80"/>
    <w:rsid w:val="00D545BA"/>
    <w:rsid w:val="00D54D24"/>
    <w:rsid w:val="00DE7728"/>
    <w:rsid w:val="00E02BEF"/>
    <w:rsid w:val="00E12D6A"/>
    <w:rsid w:val="00E259E6"/>
    <w:rsid w:val="00E7780B"/>
    <w:rsid w:val="00E81204"/>
    <w:rsid w:val="00E9668F"/>
    <w:rsid w:val="00EE59A1"/>
    <w:rsid w:val="00F23325"/>
    <w:rsid w:val="00F47F3E"/>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semiHidden/>
    <w:unhideWhenUsed/>
    <w:rsid w:val="00F23325"/>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F23325"/>
    <w:rPr>
      <w:b/>
      <w:bCs/>
    </w:rPr>
  </w:style>
  <w:style w:type="character" w:styleId="Emphasis">
    <w:name w:val="Emphasis"/>
    <w:basedOn w:val="DefaultParagraphFont"/>
    <w:uiPriority w:val="20"/>
    <w:qFormat/>
    <w:rsid w:val="00F47F3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2479</Words>
  <Characters>14136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alexandra barcea</cp:lastModifiedBy>
  <cp:revision>28</cp:revision>
  <dcterms:created xsi:type="dcterms:W3CDTF">2025-11-20T10:40:00Z</dcterms:created>
  <dcterms:modified xsi:type="dcterms:W3CDTF">2025-11-20T11:38:00Z</dcterms:modified>
</cp:coreProperties>
</file>