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7B615" w14:textId="77777777" w:rsidR="00C13931" w:rsidRDefault="00C13931" w:rsidP="008F5B00">
      <w:pPr>
        <w:spacing w:after="220" w:line="360" w:lineRule="auto"/>
        <w:ind w:right="1438"/>
        <w:jc w:val="right"/>
      </w:pPr>
      <w:r>
        <w:rPr>
          <w:noProof/>
        </w:rPr>
        <w:drawing>
          <wp:inline distT="0" distB="0" distL="0" distR="0" wp14:anchorId="520D2B60" wp14:editId="5E45E514">
            <wp:extent cx="4648200" cy="1752600"/>
            <wp:effectExtent l="0" t="0" r="0" b="0"/>
            <wp:docPr id="47" name="Picture 47" descr="A logo with text on it&#10;&#10;AI-generated content may be incorrect."/>
            <wp:cNvGraphicFramePr/>
            <a:graphic xmlns:a="http://schemas.openxmlformats.org/drawingml/2006/main">
              <a:graphicData uri="http://schemas.openxmlformats.org/drawingml/2006/picture">
                <pic:pic xmlns:pic="http://schemas.openxmlformats.org/drawingml/2006/picture">
                  <pic:nvPicPr>
                    <pic:cNvPr id="47" name="Picture 47" descr="A logo with text on it&#10;&#10;AI-generated content may be incorrect."/>
                    <pic:cNvPicPr/>
                  </pic:nvPicPr>
                  <pic:blipFill>
                    <a:blip r:embed="rId7"/>
                    <a:stretch>
                      <a:fillRect/>
                    </a:stretch>
                  </pic:blipFill>
                  <pic:spPr>
                    <a:xfrm>
                      <a:off x="0" y="0"/>
                      <a:ext cx="4674497" cy="1762515"/>
                    </a:xfrm>
                    <a:prstGeom prst="rect">
                      <a:avLst/>
                    </a:prstGeom>
                  </pic:spPr>
                </pic:pic>
              </a:graphicData>
            </a:graphic>
          </wp:inline>
        </w:drawing>
      </w:r>
      <w:r>
        <w:rPr>
          <w:rFonts w:ascii="Times New Roman" w:eastAsia="Times New Roman" w:hAnsi="Times New Roman" w:cs="Times New Roman"/>
          <w:b/>
        </w:rPr>
        <w:t xml:space="preserve"> </w:t>
      </w:r>
    </w:p>
    <w:p w14:paraId="12412FFA" w14:textId="77777777" w:rsidR="00C13931" w:rsidRDefault="00C13931" w:rsidP="008F5B00">
      <w:pPr>
        <w:spacing w:after="273" w:line="360" w:lineRule="auto"/>
        <w:ind w:right="5"/>
        <w:jc w:val="center"/>
      </w:pPr>
      <w:r>
        <w:rPr>
          <w:rFonts w:ascii="Times New Roman" w:eastAsia="Times New Roman" w:hAnsi="Times New Roman" w:cs="Times New Roman"/>
          <w:b/>
        </w:rPr>
        <w:t xml:space="preserve"> </w:t>
      </w:r>
    </w:p>
    <w:p w14:paraId="69DA5652" w14:textId="77777777" w:rsidR="00C13931" w:rsidRDefault="00C13931" w:rsidP="008F5B00">
      <w:pPr>
        <w:spacing w:after="274" w:line="360" w:lineRule="auto"/>
      </w:pPr>
      <w:r>
        <w:rPr>
          <w:rFonts w:ascii="Times New Roman" w:eastAsia="Times New Roman" w:hAnsi="Times New Roman" w:cs="Times New Roman"/>
          <w:b/>
        </w:rPr>
        <w:t xml:space="preserve"> </w:t>
      </w:r>
    </w:p>
    <w:p w14:paraId="782E7315" w14:textId="77777777" w:rsidR="00C13931" w:rsidRPr="00D51540" w:rsidRDefault="00C13931" w:rsidP="008F5B00">
      <w:pPr>
        <w:spacing w:after="276" w:line="360" w:lineRule="auto"/>
        <w:jc w:val="center"/>
        <w:rPr>
          <w:sz w:val="24"/>
          <w:szCs w:val="32"/>
        </w:rPr>
      </w:pPr>
    </w:p>
    <w:p w14:paraId="2901F107" w14:textId="77777777" w:rsidR="00C13931" w:rsidRPr="00D51540" w:rsidRDefault="00C13931" w:rsidP="008F5B00">
      <w:pPr>
        <w:spacing w:after="274" w:line="360" w:lineRule="auto"/>
        <w:ind w:left="2716" w:firstLine="93"/>
        <w:rPr>
          <w:sz w:val="28"/>
        </w:rPr>
      </w:pPr>
      <w:r w:rsidRPr="00D51540">
        <w:rPr>
          <w:rFonts w:ascii="Times New Roman" w:eastAsia="Times New Roman" w:hAnsi="Times New Roman" w:cs="Times New Roman"/>
          <w:b/>
          <w:sz w:val="28"/>
        </w:rPr>
        <w:t>Programme: Master of Business Administration</w:t>
      </w:r>
    </w:p>
    <w:p w14:paraId="4A8871E2" w14:textId="77777777" w:rsidR="00C13931" w:rsidRPr="00D51540" w:rsidRDefault="00C13931" w:rsidP="008F5B00">
      <w:pPr>
        <w:spacing w:after="274" w:line="360" w:lineRule="auto"/>
        <w:ind w:left="2809"/>
        <w:rPr>
          <w:sz w:val="28"/>
        </w:rPr>
      </w:pPr>
      <w:r w:rsidRPr="00D51540">
        <w:rPr>
          <w:rFonts w:ascii="Times New Roman" w:eastAsia="Times New Roman" w:hAnsi="Times New Roman" w:cs="Times New Roman"/>
          <w:b/>
          <w:sz w:val="28"/>
        </w:rPr>
        <w:t xml:space="preserve">Module: </w:t>
      </w:r>
      <w:r>
        <w:rPr>
          <w:rFonts w:ascii="Times New Roman" w:eastAsia="Times New Roman" w:hAnsi="Times New Roman" w:cs="Times New Roman"/>
          <w:b/>
          <w:sz w:val="28"/>
        </w:rPr>
        <w:t>Financial</w:t>
      </w:r>
      <w:r w:rsidRPr="00D51540">
        <w:rPr>
          <w:rFonts w:ascii="Times New Roman" w:eastAsia="Times New Roman" w:hAnsi="Times New Roman" w:cs="Times New Roman"/>
          <w:b/>
          <w:sz w:val="28"/>
        </w:rPr>
        <w:t xml:space="preserve"> Management</w:t>
      </w:r>
    </w:p>
    <w:p w14:paraId="6F85CADB" w14:textId="77777777" w:rsidR="00C13931" w:rsidRPr="00D51540" w:rsidRDefault="00C13931" w:rsidP="008F5B00">
      <w:pPr>
        <w:spacing w:after="274" w:line="360" w:lineRule="auto"/>
        <w:ind w:left="2099" w:right="66" w:firstLine="710"/>
        <w:rPr>
          <w:sz w:val="28"/>
        </w:rPr>
      </w:pPr>
      <w:r w:rsidRPr="00D51540">
        <w:rPr>
          <w:rFonts w:ascii="Times New Roman" w:eastAsia="Times New Roman" w:hAnsi="Times New Roman" w:cs="Times New Roman"/>
          <w:b/>
          <w:sz w:val="28"/>
        </w:rPr>
        <w:t xml:space="preserve">Module code: </w:t>
      </w:r>
      <w:r>
        <w:rPr>
          <w:rFonts w:ascii="Arial" w:hAnsi="Arial" w:cs="Arial"/>
          <w:b/>
          <w:szCs w:val="22"/>
        </w:rPr>
        <w:t>LCMB7002</w:t>
      </w:r>
    </w:p>
    <w:p w14:paraId="7AC43901" w14:textId="77777777" w:rsidR="00C13931" w:rsidRPr="000F1EFB" w:rsidRDefault="00C13931" w:rsidP="008F5B00">
      <w:pPr>
        <w:spacing w:after="274" w:line="360" w:lineRule="auto"/>
        <w:ind w:left="2099" w:right="65" w:firstLine="710"/>
        <w:rPr>
          <w:rFonts w:ascii="Times New Roman" w:eastAsia="Times New Roman" w:hAnsi="Times New Roman" w:cs="Times New Roman"/>
          <w:b/>
          <w:sz w:val="28"/>
          <w:lang w:val="en-GB"/>
        </w:rPr>
      </w:pPr>
      <w:r w:rsidRPr="00D51540">
        <w:rPr>
          <w:rFonts w:ascii="Times New Roman" w:eastAsia="Times New Roman" w:hAnsi="Times New Roman" w:cs="Times New Roman"/>
          <w:b/>
          <w:sz w:val="28"/>
        </w:rPr>
        <w:t>Title</w:t>
      </w:r>
      <w:r>
        <w:rPr>
          <w:rFonts w:ascii="Times New Roman" w:eastAsia="Times New Roman" w:hAnsi="Times New Roman" w:cs="Times New Roman"/>
          <w:b/>
          <w:sz w:val="28"/>
        </w:rPr>
        <w:t xml:space="preserve">: </w:t>
      </w:r>
      <w:r>
        <w:rPr>
          <w:rFonts w:ascii="Arial" w:hAnsi="Arial" w:cs="Arial"/>
          <w:b/>
          <w:szCs w:val="22"/>
        </w:rPr>
        <w:t>Financial performance and management</w:t>
      </w:r>
    </w:p>
    <w:p w14:paraId="54CBC888" w14:textId="29769ACF" w:rsidR="00C13931" w:rsidRPr="00D51540" w:rsidRDefault="00C13931" w:rsidP="008F5B00">
      <w:pPr>
        <w:spacing w:after="274" w:line="360" w:lineRule="auto"/>
        <w:ind w:left="2089" w:right="62" w:firstLine="720"/>
        <w:rPr>
          <w:sz w:val="28"/>
        </w:rPr>
      </w:pPr>
      <w:r w:rsidRPr="00D51540">
        <w:rPr>
          <w:rFonts w:ascii="Times New Roman" w:eastAsia="Times New Roman" w:hAnsi="Times New Roman" w:cs="Times New Roman"/>
          <w:b/>
          <w:sz w:val="28"/>
        </w:rPr>
        <w:t xml:space="preserve">Word count: </w:t>
      </w:r>
      <w:r w:rsidR="007751B0">
        <w:rPr>
          <w:rFonts w:ascii="Times New Roman" w:eastAsia="Times New Roman" w:hAnsi="Times New Roman" w:cs="Times New Roman"/>
          <w:b/>
          <w:sz w:val="28"/>
        </w:rPr>
        <w:t>5173</w:t>
      </w:r>
    </w:p>
    <w:p w14:paraId="28D8FC46" w14:textId="77777777" w:rsidR="00C13931" w:rsidRPr="00D51540" w:rsidRDefault="00C13931" w:rsidP="008F5B00">
      <w:pPr>
        <w:spacing w:after="165" w:line="360" w:lineRule="auto"/>
        <w:ind w:left="2835" w:right="2836"/>
        <w:rPr>
          <w:rFonts w:ascii="Arial" w:eastAsia="Arial" w:hAnsi="Arial" w:cs="Arial"/>
          <w:b/>
          <w:sz w:val="28"/>
        </w:rPr>
      </w:pPr>
      <w:r w:rsidRPr="00D51540">
        <w:rPr>
          <w:rFonts w:ascii="Arial" w:eastAsia="Arial" w:hAnsi="Arial" w:cs="Arial"/>
          <w:b/>
          <w:sz w:val="28"/>
        </w:rPr>
        <w:t xml:space="preserve">Lecturer : </w:t>
      </w:r>
      <w:r w:rsidRPr="008D45BE">
        <w:rPr>
          <w:rFonts w:ascii="Arial" w:hAnsi="Arial" w:cs="Arial"/>
          <w:b/>
          <w:szCs w:val="22"/>
        </w:rPr>
        <w:t xml:space="preserve">Patrick Yeboah </w:t>
      </w:r>
      <w:r>
        <w:rPr>
          <w:rFonts w:ascii="Arial" w:hAnsi="Arial" w:cs="Arial"/>
          <w:b/>
          <w:szCs w:val="22"/>
        </w:rPr>
        <w:t>(Birmingham)</w:t>
      </w:r>
    </w:p>
    <w:p w14:paraId="2752CE5E" w14:textId="57257EEB" w:rsidR="00C13931" w:rsidRPr="00D51540" w:rsidRDefault="00C13931" w:rsidP="008F5B00">
      <w:pPr>
        <w:spacing w:after="165" w:line="360" w:lineRule="auto"/>
        <w:ind w:left="2835" w:right="2836"/>
        <w:rPr>
          <w:sz w:val="28"/>
        </w:rPr>
      </w:pPr>
      <w:r w:rsidRPr="00D51540">
        <w:rPr>
          <w:rFonts w:ascii="Times New Roman" w:eastAsia="Times New Roman" w:hAnsi="Times New Roman" w:cs="Times New Roman"/>
          <w:b/>
          <w:sz w:val="28"/>
        </w:rPr>
        <w:t>Student Name :</w:t>
      </w:r>
      <w:r>
        <w:rPr>
          <w:rFonts w:ascii="Times New Roman" w:eastAsia="Times New Roman" w:hAnsi="Times New Roman" w:cs="Times New Roman"/>
          <w:b/>
          <w:sz w:val="28"/>
        </w:rPr>
        <w:t xml:space="preserve"> </w:t>
      </w:r>
      <w:r w:rsidR="007751B0" w:rsidRPr="007751B0">
        <w:rPr>
          <w:rFonts w:ascii="Times New Roman" w:eastAsia="Times New Roman" w:hAnsi="Times New Roman" w:cs="Times New Roman"/>
          <w:b/>
          <w:sz w:val="28"/>
        </w:rPr>
        <w:t>Md:Khaled Iqbal Sumel</w:t>
      </w:r>
    </w:p>
    <w:p w14:paraId="2EC3A3D2" w14:textId="5CF1C25F" w:rsidR="00C13931" w:rsidRPr="00D51540" w:rsidRDefault="00C13931" w:rsidP="008F5B00">
      <w:pPr>
        <w:spacing w:after="274" w:line="360" w:lineRule="auto"/>
        <w:ind w:left="2125" w:right="62" w:firstLine="710"/>
        <w:rPr>
          <w:sz w:val="28"/>
        </w:rPr>
      </w:pPr>
      <w:r w:rsidRPr="00D51540">
        <w:rPr>
          <w:rFonts w:ascii="Times New Roman" w:eastAsia="Times New Roman" w:hAnsi="Times New Roman" w:cs="Times New Roman"/>
          <w:b/>
          <w:sz w:val="28"/>
        </w:rPr>
        <w:t>Student ID:</w:t>
      </w:r>
      <w:r>
        <w:rPr>
          <w:rFonts w:ascii="Times New Roman" w:eastAsia="Times New Roman" w:hAnsi="Times New Roman" w:cs="Times New Roman"/>
          <w:b/>
          <w:sz w:val="28"/>
        </w:rPr>
        <w:t xml:space="preserve"> </w:t>
      </w:r>
      <w:r w:rsidR="007751B0" w:rsidRPr="007751B0">
        <w:rPr>
          <w:rFonts w:ascii="Times New Roman" w:eastAsia="Times New Roman" w:hAnsi="Times New Roman" w:cs="Times New Roman"/>
          <w:b/>
          <w:sz w:val="28"/>
        </w:rPr>
        <w:t>2507096</w:t>
      </w:r>
    </w:p>
    <w:p w14:paraId="301B4146" w14:textId="2270878F" w:rsidR="00C13931" w:rsidRDefault="00C13931" w:rsidP="008F5B00">
      <w:pPr>
        <w:spacing w:line="360" w:lineRule="auto"/>
        <w:ind w:left="2115" w:firstLine="720"/>
        <w:rPr>
          <w:rFonts w:ascii="Arial" w:hAnsi="Arial" w:cs="Arial"/>
          <w:b/>
          <w:bCs/>
          <w:sz w:val="24"/>
          <w:szCs w:val="24"/>
        </w:rPr>
      </w:pPr>
      <w:r w:rsidRPr="00D51540">
        <w:rPr>
          <w:rFonts w:ascii="Times New Roman" w:eastAsia="Times New Roman" w:hAnsi="Times New Roman" w:cs="Times New Roman"/>
          <w:b/>
          <w:sz w:val="28"/>
        </w:rPr>
        <w:t>Submission Date-</w:t>
      </w:r>
      <w:r>
        <w:rPr>
          <w:rFonts w:ascii="Times New Roman" w:eastAsia="Times New Roman" w:hAnsi="Times New Roman" w:cs="Times New Roman"/>
          <w:b/>
          <w:sz w:val="28"/>
        </w:rPr>
        <w:t>24/11/2025</w:t>
      </w:r>
      <w:r>
        <w:rPr>
          <w:rFonts w:ascii="Arial" w:hAnsi="Arial" w:cs="Arial"/>
          <w:b/>
          <w:bCs/>
          <w:sz w:val="24"/>
          <w:szCs w:val="24"/>
        </w:rPr>
        <w:br w:type="page"/>
      </w:r>
    </w:p>
    <w:p w14:paraId="5DC8553F" w14:textId="77777777" w:rsidR="00C13931" w:rsidRPr="00C13931" w:rsidRDefault="00C13931" w:rsidP="008F5B00">
      <w:pPr>
        <w:spacing w:line="360" w:lineRule="auto"/>
        <w:jc w:val="center"/>
        <w:rPr>
          <w:rFonts w:ascii="Arial" w:hAnsi="Arial" w:cs="Arial"/>
          <w:b/>
          <w:bCs/>
          <w:sz w:val="24"/>
          <w:szCs w:val="24"/>
        </w:rPr>
      </w:pPr>
      <w:r w:rsidRPr="00C13931">
        <w:rPr>
          <w:rFonts w:ascii="Arial" w:hAnsi="Arial" w:cs="Arial"/>
          <w:b/>
          <w:bCs/>
          <w:sz w:val="24"/>
          <w:szCs w:val="24"/>
        </w:rPr>
        <w:lastRenderedPageBreak/>
        <w:t>Table of Contents</w:t>
      </w:r>
    </w:p>
    <w:p w14:paraId="697B2F65" w14:textId="4F416090"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Introduction</w:t>
      </w:r>
      <w:r>
        <w:rPr>
          <w:rFonts w:ascii="Arial" w:hAnsi="Arial" w:cs="Arial"/>
          <w:b/>
          <w:bCs/>
          <w:sz w:val="24"/>
          <w:szCs w:val="24"/>
        </w:rPr>
        <w:t>………………………………………………</w:t>
      </w:r>
      <w:r w:rsidR="00721AE2">
        <w:rPr>
          <w:rFonts w:ascii="Arial" w:hAnsi="Arial" w:cs="Arial"/>
          <w:b/>
          <w:bCs/>
          <w:sz w:val="24"/>
          <w:szCs w:val="24"/>
        </w:rPr>
        <w:t>3</w:t>
      </w:r>
    </w:p>
    <w:p w14:paraId="35D629E8" w14:textId="3E2C5C01"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Financial Health Diagnostics</w:t>
      </w:r>
      <w:r>
        <w:rPr>
          <w:rFonts w:ascii="Arial" w:hAnsi="Arial" w:cs="Arial"/>
          <w:b/>
          <w:bCs/>
          <w:sz w:val="24"/>
          <w:szCs w:val="24"/>
        </w:rPr>
        <w:t>…………………………</w:t>
      </w:r>
      <w:r w:rsidR="00721AE2">
        <w:rPr>
          <w:rFonts w:ascii="Arial" w:hAnsi="Arial" w:cs="Arial"/>
          <w:b/>
          <w:bCs/>
          <w:sz w:val="24"/>
          <w:szCs w:val="24"/>
        </w:rPr>
        <w:t>3-8</w:t>
      </w:r>
    </w:p>
    <w:p w14:paraId="7412788D" w14:textId="79177CA6"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Working Capital Management</w:t>
      </w:r>
      <w:r>
        <w:rPr>
          <w:rFonts w:ascii="Arial" w:hAnsi="Arial" w:cs="Arial"/>
          <w:b/>
          <w:bCs/>
          <w:sz w:val="24"/>
          <w:szCs w:val="24"/>
        </w:rPr>
        <w:t>………………………..</w:t>
      </w:r>
      <w:r w:rsidR="00721AE2">
        <w:rPr>
          <w:rFonts w:ascii="Arial" w:hAnsi="Arial" w:cs="Arial"/>
          <w:b/>
          <w:bCs/>
          <w:sz w:val="24"/>
          <w:szCs w:val="24"/>
        </w:rPr>
        <w:t>8-12</w:t>
      </w:r>
    </w:p>
    <w:p w14:paraId="03A7C02C" w14:textId="07B184CE"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Strategic Financial Restructuring Plan</w:t>
      </w:r>
      <w:r>
        <w:rPr>
          <w:rFonts w:ascii="Arial" w:hAnsi="Arial" w:cs="Arial"/>
          <w:b/>
          <w:bCs/>
          <w:sz w:val="24"/>
          <w:szCs w:val="24"/>
        </w:rPr>
        <w:t>……………..</w:t>
      </w:r>
      <w:r w:rsidR="00721AE2">
        <w:rPr>
          <w:rFonts w:ascii="Arial" w:hAnsi="Arial" w:cs="Arial"/>
          <w:b/>
          <w:bCs/>
          <w:sz w:val="24"/>
          <w:szCs w:val="24"/>
        </w:rPr>
        <w:t>12-17</w:t>
      </w:r>
    </w:p>
    <w:p w14:paraId="558410B4" w14:textId="756AA3EC"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Investment Appraisal and Capital Budgeting</w:t>
      </w:r>
      <w:r>
        <w:rPr>
          <w:rFonts w:ascii="Arial" w:hAnsi="Arial" w:cs="Arial"/>
          <w:b/>
          <w:bCs/>
          <w:sz w:val="24"/>
          <w:szCs w:val="24"/>
        </w:rPr>
        <w:t>……..</w:t>
      </w:r>
      <w:r w:rsidR="00721AE2">
        <w:rPr>
          <w:rFonts w:ascii="Arial" w:hAnsi="Arial" w:cs="Arial"/>
          <w:b/>
          <w:bCs/>
          <w:sz w:val="24"/>
          <w:szCs w:val="24"/>
        </w:rPr>
        <w:t>17-23</w:t>
      </w:r>
    </w:p>
    <w:p w14:paraId="4681B67C" w14:textId="2E181599"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Conclusion</w:t>
      </w:r>
      <w:r>
        <w:rPr>
          <w:rFonts w:ascii="Arial" w:hAnsi="Arial" w:cs="Arial"/>
          <w:b/>
          <w:bCs/>
          <w:sz w:val="24"/>
          <w:szCs w:val="24"/>
        </w:rPr>
        <w:t>……………………………………………….</w:t>
      </w:r>
      <w:r w:rsidR="00721AE2">
        <w:rPr>
          <w:rFonts w:ascii="Arial" w:hAnsi="Arial" w:cs="Arial"/>
          <w:b/>
          <w:bCs/>
          <w:sz w:val="24"/>
          <w:szCs w:val="24"/>
        </w:rPr>
        <w:t>23</w:t>
      </w:r>
    </w:p>
    <w:p w14:paraId="79429EDE" w14:textId="33598CEC" w:rsidR="00C13931" w:rsidRPr="00C13931" w:rsidRDefault="00C13931" w:rsidP="008F5B00">
      <w:pPr>
        <w:numPr>
          <w:ilvl w:val="0"/>
          <w:numId w:val="39"/>
        </w:numPr>
        <w:spacing w:line="360" w:lineRule="auto"/>
        <w:rPr>
          <w:rFonts w:ascii="Arial" w:hAnsi="Arial" w:cs="Arial"/>
          <w:b/>
          <w:bCs/>
          <w:sz w:val="24"/>
          <w:szCs w:val="24"/>
        </w:rPr>
      </w:pPr>
      <w:r w:rsidRPr="00C13931">
        <w:rPr>
          <w:rFonts w:ascii="Arial" w:hAnsi="Arial" w:cs="Arial"/>
          <w:b/>
          <w:bCs/>
          <w:sz w:val="24"/>
          <w:szCs w:val="24"/>
        </w:rPr>
        <w:t>References</w:t>
      </w:r>
      <w:r>
        <w:rPr>
          <w:rFonts w:ascii="Arial" w:hAnsi="Arial" w:cs="Arial"/>
          <w:b/>
          <w:bCs/>
          <w:sz w:val="24"/>
          <w:szCs w:val="24"/>
        </w:rPr>
        <w:t>……………………………………………….</w:t>
      </w:r>
      <w:r w:rsidR="00721AE2">
        <w:rPr>
          <w:rFonts w:ascii="Arial" w:hAnsi="Arial" w:cs="Arial"/>
          <w:b/>
          <w:bCs/>
          <w:sz w:val="24"/>
          <w:szCs w:val="24"/>
        </w:rPr>
        <w:t>24-25</w:t>
      </w:r>
    </w:p>
    <w:p w14:paraId="4B383FC0" w14:textId="77777777" w:rsidR="00C13931" w:rsidRDefault="00C13931" w:rsidP="008F5B00">
      <w:pPr>
        <w:spacing w:line="360" w:lineRule="auto"/>
        <w:rPr>
          <w:rFonts w:ascii="Arial" w:hAnsi="Arial" w:cs="Arial"/>
          <w:b/>
          <w:bCs/>
          <w:sz w:val="24"/>
          <w:szCs w:val="24"/>
        </w:rPr>
      </w:pPr>
      <w:r>
        <w:rPr>
          <w:rFonts w:ascii="Arial" w:hAnsi="Arial" w:cs="Arial"/>
          <w:b/>
          <w:bCs/>
          <w:sz w:val="24"/>
          <w:szCs w:val="24"/>
        </w:rPr>
        <w:br w:type="page"/>
      </w:r>
    </w:p>
    <w:p w14:paraId="32C7C000" w14:textId="20A3E942"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lastRenderedPageBreak/>
        <w:t>Introduction</w:t>
      </w:r>
    </w:p>
    <w:p w14:paraId="52773978" w14:textId="4A27AF34" w:rsidR="00EC4AE9" w:rsidRPr="003B40C6" w:rsidRDefault="00EC4AE9" w:rsidP="007A6B89">
      <w:pPr>
        <w:spacing w:line="360" w:lineRule="auto"/>
        <w:jc w:val="both"/>
        <w:rPr>
          <w:rFonts w:ascii="Arial" w:hAnsi="Arial" w:cs="Arial"/>
          <w:sz w:val="24"/>
          <w:szCs w:val="24"/>
        </w:rPr>
      </w:pPr>
      <w:r w:rsidRPr="00EC4AE9">
        <w:rPr>
          <w:rFonts w:ascii="Arial" w:hAnsi="Arial" w:cs="Arial"/>
          <w:sz w:val="24"/>
          <w:szCs w:val="24"/>
        </w:rPr>
        <w:t>The consumer electronics market in the world is experiencing a highly volatile state where innovation speeds up, consumer behaviour changes and the value chain experiences a compression of the margins (PwC, 2024). General electronics (GE) which was a model of operational excellence has had declining financial performance in the last five years. My remit as the incoming Chief Financial Officer (CFO) is to identify the deep roots of distress, develop a consistent and ethically sound turnaround strategy, and develop an investment agenda that will put GE into a competitive position and still provide it with adequate capital bases. In this report, integrated financial statement analysis, ratio comparisons to the industry standards, and the principles of corporate restructuring have been utilized to present a sound recovery strategy. There is the use of established tools of analysis: the Altman Z-Score is used to assess the risk of bankruptcy (Altman and Hotchkiss, 2020), and discounted cash flow methods, such as Net Present Value (NPV) and Internal Rate of Return (IRR) and Profitability Index (PI) are used to select investments under capital rationing. These methods are enhanced by working-capital diagnostics and a stage-by-stage restructuring plan. Ethical and ESG are integrated to balance the interest of the stakeholders with long-term resiliency. Unless stated otherwise, all monetary data are in PS million (GBP m). The analysis shows that profitability, liquidity and asset utilisation are immediate areas of weakness; suggests specific working-capital reforms: and suggests financial restructuring lever to rebalance the balance sheet; and evaluates growth investments within a PS60 million budget constraint. Taken together, the recommendations would help to regain some solvency headroom, recover investor confidence, and put GE on a slow but long-lasting recovery path.</w:t>
      </w:r>
    </w:p>
    <w:p w14:paraId="61BED547" w14:textId="77777777" w:rsidR="003B40C6" w:rsidRPr="003B40C6" w:rsidRDefault="003B40C6" w:rsidP="008F5B00">
      <w:pPr>
        <w:numPr>
          <w:ilvl w:val="0"/>
          <w:numId w:val="2"/>
        </w:numPr>
        <w:tabs>
          <w:tab w:val="clear" w:pos="360"/>
          <w:tab w:val="num" w:pos="720"/>
        </w:tabs>
        <w:spacing w:line="360" w:lineRule="auto"/>
        <w:rPr>
          <w:rFonts w:ascii="Arial" w:hAnsi="Arial" w:cs="Arial"/>
          <w:b/>
          <w:bCs/>
          <w:sz w:val="24"/>
          <w:szCs w:val="24"/>
        </w:rPr>
      </w:pPr>
      <w:r w:rsidRPr="003B40C6">
        <w:rPr>
          <w:rFonts w:ascii="Arial" w:hAnsi="Arial" w:cs="Arial"/>
          <w:b/>
          <w:bCs/>
          <w:sz w:val="24"/>
          <w:szCs w:val="24"/>
        </w:rPr>
        <w:t>Financial Health Diagnostics</w:t>
      </w:r>
    </w:p>
    <w:p w14:paraId="7108F6E8" w14:textId="7777777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2.1 Profitability review</w:t>
      </w:r>
    </w:p>
    <w:p w14:paraId="04DBBF03"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The profitability of GE has been materially damaged during the period between 2020 and 2024. Minimal profits in 2020-2022 have been replaced by net losses in 2023 and a further loss in 2024, which has been caused by cost inflation, inefficiencies in operations, impairment, and restructuring costs (KPMG, 2023). The essential indicators are summarised below:</w:t>
      </w:r>
    </w:p>
    <w:p w14:paraId="7824F8CA" w14:textId="34AA506A"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1: Profitability overview</w:t>
      </w:r>
    </w:p>
    <w:tbl>
      <w:tblPr>
        <w:tblStyle w:val="TableGrid"/>
        <w:tblW w:w="9979" w:type="dxa"/>
        <w:tblLook w:val="04A0" w:firstRow="1" w:lastRow="0" w:firstColumn="1" w:lastColumn="0" w:noHBand="0" w:noVBand="1"/>
      </w:tblPr>
      <w:tblGrid>
        <w:gridCol w:w="750"/>
        <w:gridCol w:w="1870"/>
        <w:gridCol w:w="2084"/>
        <w:gridCol w:w="1176"/>
        <w:gridCol w:w="2203"/>
        <w:gridCol w:w="1896"/>
      </w:tblGrid>
      <w:tr w:rsidR="003B40C6" w:rsidRPr="003B40C6" w14:paraId="7BE260B7" w14:textId="77777777" w:rsidTr="00EC4AE9">
        <w:tc>
          <w:tcPr>
            <w:tcW w:w="0" w:type="auto"/>
            <w:noWrap/>
            <w:hideMark/>
          </w:tcPr>
          <w:p w14:paraId="3D696647"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lastRenderedPageBreak/>
              <w:t>Year</w:t>
            </w:r>
          </w:p>
        </w:tc>
        <w:tc>
          <w:tcPr>
            <w:tcW w:w="0" w:type="auto"/>
            <w:noWrap/>
            <w:hideMark/>
          </w:tcPr>
          <w:p w14:paraId="0F85863E"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Net Sales (£m)</w:t>
            </w:r>
          </w:p>
        </w:tc>
        <w:tc>
          <w:tcPr>
            <w:tcW w:w="0" w:type="auto"/>
            <w:noWrap/>
            <w:hideMark/>
          </w:tcPr>
          <w:p w14:paraId="107BA0D7"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Net Income (£m)</w:t>
            </w:r>
          </w:p>
        </w:tc>
        <w:tc>
          <w:tcPr>
            <w:tcW w:w="0" w:type="auto"/>
            <w:noWrap/>
            <w:hideMark/>
          </w:tcPr>
          <w:p w14:paraId="71D600F0"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ROE (%)</w:t>
            </w:r>
          </w:p>
        </w:tc>
        <w:tc>
          <w:tcPr>
            <w:tcW w:w="0" w:type="auto"/>
            <w:noWrap/>
            <w:hideMark/>
          </w:tcPr>
          <w:p w14:paraId="39EEF72A"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Gross Margin (%)</w:t>
            </w:r>
          </w:p>
        </w:tc>
        <w:tc>
          <w:tcPr>
            <w:tcW w:w="0" w:type="auto"/>
            <w:noWrap/>
            <w:hideMark/>
          </w:tcPr>
          <w:p w14:paraId="1F8CE964"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Net Margin (%)</w:t>
            </w:r>
          </w:p>
        </w:tc>
      </w:tr>
      <w:tr w:rsidR="003B40C6" w:rsidRPr="003B40C6" w14:paraId="27CF5DFC" w14:textId="77777777" w:rsidTr="00EC4AE9">
        <w:tc>
          <w:tcPr>
            <w:tcW w:w="0" w:type="auto"/>
            <w:hideMark/>
          </w:tcPr>
          <w:p w14:paraId="36A53FF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2020</w:t>
            </w:r>
          </w:p>
        </w:tc>
        <w:tc>
          <w:tcPr>
            <w:tcW w:w="0" w:type="auto"/>
            <w:hideMark/>
          </w:tcPr>
          <w:p w14:paraId="7C92FD4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614,680</w:t>
            </w:r>
          </w:p>
        </w:tc>
        <w:tc>
          <w:tcPr>
            <w:tcW w:w="0" w:type="auto"/>
            <w:hideMark/>
          </w:tcPr>
          <w:p w14:paraId="2E0C83B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38,572</w:t>
            </w:r>
          </w:p>
        </w:tc>
        <w:tc>
          <w:tcPr>
            <w:tcW w:w="0" w:type="auto"/>
            <w:hideMark/>
          </w:tcPr>
          <w:p w14:paraId="31269A7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12.3</w:t>
            </w:r>
          </w:p>
        </w:tc>
        <w:tc>
          <w:tcPr>
            <w:tcW w:w="0" w:type="auto"/>
            <w:hideMark/>
          </w:tcPr>
          <w:p w14:paraId="30FF9E0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28.7</w:t>
            </w:r>
          </w:p>
        </w:tc>
        <w:tc>
          <w:tcPr>
            <w:tcW w:w="0" w:type="auto"/>
            <w:hideMark/>
          </w:tcPr>
          <w:p w14:paraId="595EE04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6.3</w:t>
            </w:r>
          </w:p>
        </w:tc>
      </w:tr>
      <w:tr w:rsidR="003B40C6" w:rsidRPr="003B40C6" w14:paraId="7B3452D7" w14:textId="77777777" w:rsidTr="00EC4AE9">
        <w:tc>
          <w:tcPr>
            <w:tcW w:w="0" w:type="auto"/>
            <w:hideMark/>
          </w:tcPr>
          <w:p w14:paraId="595563F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2021</w:t>
            </w:r>
          </w:p>
        </w:tc>
        <w:tc>
          <w:tcPr>
            <w:tcW w:w="0" w:type="auto"/>
            <w:hideMark/>
          </w:tcPr>
          <w:p w14:paraId="3BE9B9C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601,602</w:t>
            </w:r>
          </w:p>
        </w:tc>
        <w:tc>
          <w:tcPr>
            <w:tcW w:w="0" w:type="auto"/>
            <w:hideMark/>
          </w:tcPr>
          <w:p w14:paraId="1088CB1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5,301</w:t>
            </w:r>
          </w:p>
        </w:tc>
        <w:tc>
          <w:tcPr>
            <w:tcW w:w="0" w:type="auto"/>
            <w:hideMark/>
          </w:tcPr>
          <w:p w14:paraId="6AE48D0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1.6</w:t>
            </w:r>
          </w:p>
        </w:tc>
        <w:tc>
          <w:tcPr>
            <w:tcW w:w="0" w:type="auto"/>
            <w:hideMark/>
          </w:tcPr>
          <w:p w14:paraId="5D03CEB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28.8</w:t>
            </w:r>
          </w:p>
        </w:tc>
        <w:tc>
          <w:tcPr>
            <w:tcW w:w="0" w:type="auto"/>
            <w:hideMark/>
          </w:tcPr>
          <w:p w14:paraId="761E15B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0.9</w:t>
            </w:r>
          </w:p>
        </w:tc>
      </w:tr>
      <w:tr w:rsidR="003B40C6" w:rsidRPr="003B40C6" w14:paraId="44028913" w14:textId="77777777" w:rsidTr="00EC4AE9">
        <w:tc>
          <w:tcPr>
            <w:tcW w:w="0" w:type="auto"/>
            <w:hideMark/>
          </w:tcPr>
          <w:p w14:paraId="215AED08"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2022</w:t>
            </w:r>
          </w:p>
        </w:tc>
        <w:tc>
          <w:tcPr>
            <w:tcW w:w="0" w:type="auto"/>
            <w:hideMark/>
          </w:tcPr>
          <w:p w14:paraId="3844072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542,751</w:t>
            </w:r>
          </w:p>
        </w:tc>
        <w:tc>
          <w:tcPr>
            <w:tcW w:w="0" w:type="auto"/>
            <w:hideMark/>
          </w:tcPr>
          <w:p w14:paraId="24D416D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407</w:t>
            </w:r>
          </w:p>
        </w:tc>
        <w:tc>
          <w:tcPr>
            <w:tcW w:w="0" w:type="auto"/>
            <w:hideMark/>
          </w:tcPr>
          <w:p w14:paraId="777C6F7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0.1</w:t>
            </w:r>
          </w:p>
        </w:tc>
        <w:tc>
          <w:tcPr>
            <w:tcW w:w="0" w:type="auto"/>
            <w:hideMark/>
          </w:tcPr>
          <w:p w14:paraId="7BCC5D9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28.1</w:t>
            </w:r>
          </w:p>
        </w:tc>
        <w:tc>
          <w:tcPr>
            <w:tcW w:w="0" w:type="auto"/>
            <w:hideMark/>
          </w:tcPr>
          <w:p w14:paraId="6A2FBA1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0.07</w:t>
            </w:r>
          </w:p>
        </w:tc>
      </w:tr>
      <w:tr w:rsidR="003B40C6" w:rsidRPr="003B40C6" w14:paraId="56343C9A" w14:textId="77777777" w:rsidTr="00EC4AE9">
        <w:tc>
          <w:tcPr>
            <w:tcW w:w="0" w:type="auto"/>
            <w:hideMark/>
          </w:tcPr>
          <w:p w14:paraId="305188C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2023</w:t>
            </w:r>
          </w:p>
        </w:tc>
        <w:tc>
          <w:tcPr>
            <w:tcW w:w="0" w:type="auto"/>
            <w:hideMark/>
          </w:tcPr>
          <w:p w14:paraId="42F8085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420,457</w:t>
            </w:r>
          </w:p>
        </w:tc>
        <w:tc>
          <w:tcPr>
            <w:tcW w:w="0" w:type="auto"/>
            <w:hideMark/>
          </w:tcPr>
          <w:p w14:paraId="4064BC3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–98,238</w:t>
            </w:r>
          </w:p>
        </w:tc>
        <w:tc>
          <w:tcPr>
            <w:tcW w:w="0" w:type="auto"/>
            <w:hideMark/>
          </w:tcPr>
          <w:p w14:paraId="7396205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–54.9</w:t>
            </w:r>
          </w:p>
        </w:tc>
        <w:tc>
          <w:tcPr>
            <w:tcW w:w="0" w:type="auto"/>
            <w:hideMark/>
          </w:tcPr>
          <w:p w14:paraId="61637B9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23.2</w:t>
            </w:r>
          </w:p>
        </w:tc>
        <w:tc>
          <w:tcPr>
            <w:tcW w:w="0" w:type="auto"/>
            <w:hideMark/>
          </w:tcPr>
          <w:p w14:paraId="4088ABD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–23.4</w:t>
            </w:r>
          </w:p>
        </w:tc>
      </w:tr>
      <w:tr w:rsidR="003B40C6" w:rsidRPr="003B40C6" w14:paraId="6ABA2104" w14:textId="77777777" w:rsidTr="00EC4AE9">
        <w:tc>
          <w:tcPr>
            <w:tcW w:w="0" w:type="auto"/>
            <w:hideMark/>
          </w:tcPr>
          <w:p w14:paraId="2D05CB5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2024</w:t>
            </w:r>
          </w:p>
        </w:tc>
        <w:tc>
          <w:tcPr>
            <w:tcW w:w="0" w:type="auto"/>
            <w:hideMark/>
          </w:tcPr>
          <w:p w14:paraId="5255C76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394,879</w:t>
            </w:r>
          </w:p>
        </w:tc>
        <w:tc>
          <w:tcPr>
            <w:tcW w:w="0" w:type="auto"/>
            <w:hideMark/>
          </w:tcPr>
          <w:p w14:paraId="3FD09B1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–24,029</w:t>
            </w:r>
          </w:p>
        </w:tc>
        <w:tc>
          <w:tcPr>
            <w:tcW w:w="0" w:type="auto"/>
            <w:hideMark/>
          </w:tcPr>
          <w:p w14:paraId="40DB33F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–15.7</w:t>
            </w:r>
          </w:p>
        </w:tc>
        <w:tc>
          <w:tcPr>
            <w:tcW w:w="0" w:type="auto"/>
            <w:hideMark/>
          </w:tcPr>
          <w:p w14:paraId="3465B72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28.9</w:t>
            </w:r>
          </w:p>
        </w:tc>
        <w:tc>
          <w:tcPr>
            <w:tcW w:w="0" w:type="auto"/>
            <w:hideMark/>
          </w:tcPr>
          <w:p w14:paraId="3D2FB83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–6.1</w:t>
            </w:r>
          </w:p>
        </w:tc>
      </w:tr>
    </w:tbl>
    <w:p w14:paraId="1CA1BD94" w14:textId="77777777" w:rsidR="00EC4AE9" w:rsidRPr="00EC4AE9" w:rsidRDefault="00EC4AE9" w:rsidP="008F5B00">
      <w:pPr>
        <w:spacing w:line="360" w:lineRule="auto"/>
        <w:rPr>
          <w:rFonts w:ascii="Arial" w:hAnsi="Arial" w:cs="Arial"/>
          <w:sz w:val="24"/>
          <w:szCs w:val="24"/>
        </w:rPr>
      </w:pPr>
      <w:r w:rsidRPr="00EC4AE9">
        <w:rPr>
          <w:rFonts w:ascii="Arial" w:hAnsi="Arial" w:cs="Arial"/>
          <w:sz w:val="24"/>
          <w:szCs w:val="24"/>
        </w:rPr>
        <w:t>Gross margins have been widely stable at around 28-29% with the exception of 2023 which saw the gross margin fall to 23.2% as a result of pricing and supply chain dislocation. This gross level stability means that GE still has some level of scale benefits and procurement discipline even though revenue is shrinking. The operating margin trend is however negative, with about 6.2% in 2020 giving way to about -3.9% in 2024, overhead cost creep, restructuring outlays and asset write-downs are some of the provisions that are breaking down the operating leverage.</w:t>
      </w:r>
    </w:p>
    <w:p w14:paraId="2E28C9C3"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The returns to the equity holders have been severely impacted: ROE has fallen to -15.7% (2024) after being 12.3% (2020). It is the extreme loss in 2023 that addresses structural problems in the cost baselines, product-mix profitability, and asset quality. Although the loss is less as compared to 2023, the general momentum is negative and corrective action is needed in time to prevent more losses to the capital.</w:t>
      </w:r>
    </w:p>
    <w:p w14:paraId="6A854B11" w14:textId="0B469758"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2.2 Liquidity position</w:t>
      </w:r>
    </w:p>
    <w:p w14:paraId="73B9BBC1"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The short-term solvency is becoming less robust, and the company increasingly relies on inventory to settle its debts. Core ratios are as follows:</w:t>
      </w:r>
    </w:p>
    <w:p w14:paraId="3A7CA8DB" w14:textId="520061EE"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2: Liquidity ratios</w:t>
      </w:r>
    </w:p>
    <w:tbl>
      <w:tblPr>
        <w:tblStyle w:val="TableGrid"/>
        <w:tblW w:w="9360" w:type="dxa"/>
        <w:tblLook w:val="04A0" w:firstRow="1" w:lastRow="0" w:firstColumn="1" w:lastColumn="0" w:noHBand="0" w:noVBand="1"/>
      </w:tblPr>
      <w:tblGrid>
        <w:gridCol w:w="1272"/>
        <w:gridCol w:w="2967"/>
        <w:gridCol w:w="2628"/>
        <w:gridCol w:w="2493"/>
      </w:tblGrid>
      <w:tr w:rsidR="003B40C6" w:rsidRPr="003B40C6" w14:paraId="05733CA7" w14:textId="77777777" w:rsidTr="003B40C6">
        <w:tc>
          <w:tcPr>
            <w:tcW w:w="0" w:type="auto"/>
            <w:noWrap/>
            <w:hideMark/>
          </w:tcPr>
          <w:p w14:paraId="5B66B2B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w:t>
            </w:r>
          </w:p>
        </w:tc>
        <w:tc>
          <w:tcPr>
            <w:tcW w:w="0" w:type="auto"/>
            <w:noWrap/>
            <w:hideMark/>
          </w:tcPr>
          <w:p w14:paraId="0DE342E5"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Current Ratio</w:t>
            </w:r>
          </w:p>
        </w:tc>
        <w:tc>
          <w:tcPr>
            <w:tcW w:w="0" w:type="auto"/>
            <w:noWrap/>
            <w:hideMark/>
          </w:tcPr>
          <w:p w14:paraId="6289FCF1"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Quick Ratio</w:t>
            </w:r>
          </w:p>
        </w:tc>
        <w:tc>
          <w:tcPr>
            <w:tcW w:w="0" w:type="auto"/>
            <w:noWrap/>
            <w:hideMark/>
          </w:tcPr>
          <w:p w14:paraId="62B99AC4"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Cash Ratio</w:t>
            </w:r>
          </w:p>
        </w:tc>
      </w:tr>
      <w:tr w:rsidR="003B40C6" w:rsidRPr="003B40C6" w14:paraId="7EF04D59" w14:textId="77777777" w:rsidTr="003B40C6">
        <w:tc>
          <w:tcPr>
            <w:tcW w:w="0" w:type="auto"/>
            <w:hideMark/>
          </w:tcPr>
          <w:p w14:paraId="30EA984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2020</w:t>
            </w:r>
          </w:p>
        </w:tc>
        <w:tc>
          <w:tcPr>
            <w:tcW w:w="0" w:type="auto"/>
            <w:hideMark/>
          </w:tcPr>
          <w:p w14:paraId="32E0ABD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1.82</w:t>
            </w:r>
          </w:p>
        </w:tc>
        <w:tc>
          <w:tcPr>
            <w:tcW w:w="0" w:type="auto"/>
            <w:hideMark/>
          </w:tcPr>
          <w:p w14:paraId="702C4A7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1.15</w:t>
            </w:r>
          </w:p>
        </w:tc>
        <w:tc>
          <w:tcPr>
            <w:tcW w:w="0" w:type="auto"/>
            <w:hideMark/>
          </w:tcPr>
          <w:p w14:paraId="6E31936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0.32</w:t>
            </w:r>
          </w:p>
        </w:tc>
      </w:tr>
      <w:tr w:rsidR="003B40C6" w:rsidRPr="003B40C6" w14:paraId="6D1FC52C" w14:textId="77777777" w:rsidTr="003B40C6">
        <w:tc>
          <w:tcPr>
            <w:tcW w:w="0" w:type="auto"/>
            <w:hideMark/>
          </w:tcPr>
          <w:p w14:paraId="63D4506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2021</w:t>
            </w:r>
          </w:p>
        </w:tc>
        <w:tc>
          <w:tcPr>
            <w:tcW w:w="0" w:type="auto"/>
            <w:hideMark/>
          </w:tcPr>
          <w:p w14:paraId="631E8AF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1.56</w:t>
            </w:r>
          </w:p>
        </w:tc>
        <w:tc>
          <w:tcPr>
            <w:tcW w:w="0" w:type="auto"/>
            <w:hideMark/>
          </w:tcPr>
          <w:p w14:paraId="25C5FB0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0.94</w:t>
            </w:r>
          </w:p>
        </w:tc>
        <w:tc>
          <w:tcPr>
            <w:tcW w:w="0" w:type="auto"/>
            <w:hideMark/>
          </w:tcPr>
          <w:p w14:paraId="373AFD9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0.18</w:t>
            </w:r>
          </w:p>
        </w:tc>
      </w:tr>
      <w:tr w:rsidR="003B40C6" w:rsidRPr="003B40C6" w14:paraId="46E5980A" w14:textId="77777777" w:rsidTr="003B40C6">
        <w:tc>
          <w:tcPr>
            <w:tcW w:w="0" w:type="auto"/>
            <w:hideMark/>
          </w:tcPr>
          <w:p w14:paraId="76DC2D1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2022</w:t>
            </w:r>
          </w:p>
        </w:tc>
        <w:tc>
          <w:tcPr>
            <w:tcW w:w="0" w:type="auto"/>
            <w:hideMark/>
          </w:tcPr>
          <w:p w14:paraId="77BA6175"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1.56</w:t>
            </w:r>
          </w:p>
        </w:tc>
        <w:tc>
          <w:tcPr>
            <w:tcW w:w="0" w:type="auto"/>
            <w:hideMark/>
          </w:tcPr>
          <w:p w14:paraId="4439B5D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0.91</w:t>
            </w:r>
          </w:p>
        </w:tc>
        <w:tc>
          <w:tcPr>
            <w:tcW w:w="0" w:type="auto"/>
            <w:hideMark/>
          </w:tcPr>
          <w:p w14:paraId="75011DE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0.20</w:t>
            </w:r>
          </w:p>
        </w:tc>
      </w:tr>
      <w:tr w:rsidR="003B40C6" w:rsidRPr="003B40C6" w14:paraId="5A184F3A" w14:textId="77777777" w:rsidTr="003B40C6">
        <w:tc>
          <w:tcPr>
            <w:tcW w:w="0" w:type="auto"/>
            <w:hideMark/>
          </w:tcPr>
          <w:p w14:paraId="71067F3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2023</w:t>
            </w:r>
          </w:p>
        </w:tc>
        <w:tc>
          <w:tcPr>
            <w:tcW w:w="0" w:type="auto"/>
            <w:hideMark/>
          </w:tcPr>
          <w:p w14:paraId="214A403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1.61</w:t>
            </w:r>
          </w:p>
        </w:tc>
        <w:tc>
          <w:tcPr>
            <w:tcW w:w="0" w:type="auto"/>
            <w:hideMark/>
          </w:tcPr>
          <w:p w14:paraId="388D2CB5"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0.91</w:t>
            </w:r>
          </w:p>
        </w:tc>
        <w:tc>
          <w:tcPr>
            <w:tcW w:w="0" w:type="auto"/>
            <w:hideMark/>
          </w:tcPr>
          <w:p w14:paraId="1AF8E93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0.26</w:t>
            </w:r>
          </w:p>
        </w:tc>
      </w:tr>
      <w:tr w:rsidR="003B40C6" w:rsidRPr="003B40C6" w14:paraId="678D147E" w14:textId="77777777" w:rsidTr="003B40C6">
        <w:tc>
          <w:tcPr>
            <w:tcW w:w="0" w:type="auto"/>
            <w:hideMark/>
          </w:tcPr>
          <w:p w14:paraId="71A4594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lastRenderedPageBreak/>
              <w:t>2024</w:t>
            </w:r>
          </w:p>
        </w:tc>
        <w:tc>
          <w:tcPr>
            <w:tcW w:w="0" w:type="auto"/>
            <w:hideMark/>
          </w:tcPr>
          <w:p w14:paraId="4901161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1.53</w:t>
            </w:r>
          </w:p>
        </w:tc>
        <w:tc>
          <w:tcPr>
            <w:tcW w:w="0" w:type="auto"/>
            <w:hideMark/>
          </w:tcPr>
          <w:p w14:paraId="49BA27F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0.84</w:t>
            </w:r>
          </w:p>
        </w:tc>
        <w:tc>
          <w:tcPr>
            <w:tcW w:w="0" w:type="auto"/>
            <w:hideMark/>
          </w:tcPr>
          <w:p w14:paraId="059CB30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0.17</w:t>
            </w:r>
          </w:p>
        </w:tc>
      </w:tr>
    </w:tbl>
    <w:p w14:paraId="2A5816C4" w14:textId="46F944D7" w:rsidR="003B40C6" w:rsidRPr="003B40C6" w:rsidRDefault="00EC4AE9" w:rsidP="008F5B00">
      <w:pPr>
        <w:spacing w:line="360" w:lineRule="auto"/>
        <w:rPr>
          <w:rFonts w:ascii="Arial" w:hAnsi="Arial" w:cs="Arial"/>
          <w:sz w:val="24"/>
          <w:szCs w:val="24"/>
        </w:rPr>
      </w:pPr>
      <w:r w:rsidRPr="00EC4AE9">
        <w:rPr>
          <w:rFonts w:ascii="Arial" w:hAnsi="Arial" w:cs="Arial"/>
          <w:sz w:val="24"/>
          <w:szCs w:val="24"/>
        </w:rPr>
        <w:t>The current ratio dropped to 1.53 (2024) against 1.82 (2020), which is an indication of a smaller liquidity cushion (Investopedia, 2024). The decrease in the quick ratio to 0.84 indicates an increasing dependence in the conversion of inventory and limited liquid assets to pay the immediate liabilities. It is worth noting that cash balances also decreased as compared to around PS57 billion to PS27 billion during the period though operating cash flow is positive in 2024- no indication of this, a variance likely to suggest high working-capital absorption and capital expenditures. The gap between profitability and operating cash generation indicates the intensity of receivables and underlines the necessity of the strict working-capital governance (Brigham and Ehrhardt, 2022).</w:t>
      </w:r>
    </w:p>
    <w:p w14:paraId="106E33C0" w14:textId="7777777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2.3 Efficiency and asset utilisation</w:t>
      </w:r>
    </w:p>
    <w:p w14:paraId="5CD0D032"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The conversion of assets into revenues and cash is an urgent problem. The efficiency indicators are given below:</w:t>
      </w:r>
    </w:p>
    <w:p w14:paraId="6F1BB052" w14:textId="5B0EAB5C"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3: Efficiency metrics</w:t>
      </w:r>
    </w:p>
    <w:tbl>
      <w:tblPr>
        <w:tblStyle w:val="TableGrid"/>
        <w:tblW w:w="10086" w:type="dxa"/>
        <w:tblLook w:val="04A0" w:firstRow="1" w:lastRow="0" w:firstColumn="1" w:lastColumn="0" w:noHBand="0" w:noVBand="1"/>
      </w:tblPr>
      <w:tblGrid>
        <w:gridCol w:w="750"/>
        <w:gridCol w:w="2764"/>
        <w:gridCol w:w="2111"/>
        <w:gridCol w:w="1764"/>
        <w:gridCol w:w="2697"/>
      </w:tblGrid>
      <w:tr w:rsidR="003B40C6" w:rsidRPr="003B40C6" w14:paraId="58AF45A9" w14:textId="77777777" w:rsidTr="00EC4AE9">
        <w:tc>
          <w:tcPr>
            <w:tcW w:w="0" w:type="auto"/>
            <w:noWrap/>
            <w:hideMark/>
          </w:tcPr>
          <w:p w14:paraId="14481DF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w:t>
            </w:r>
          </w:p>
        </w:tc>
        <w:tc>
          <w:tcPr>
            <w:tcW w:w="0" w:type="auto"/>
            <w:noWrap/>
            <w:hideMark/>
          </w:tcPr>
          <w:p w14:paraId="2DB28764"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Inventory Turnover (x)</w:t>
            </w:r>
          </w:p>
        </w:tc>
        <w:tc>
          <w:tcPr>
            <w:tcW w:w="0" w:type="auto"/>
            <w:noWrap/>
            <w:hideMark/>
          </w:tcPr>
          <w:p w14:paraId="3500C811"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Receivable Days</w:t>
            </w:r>
          </w:p>
        </w:tc>
        <w:tc>
          <w:tcPr>
            <w:tcW w:w="0" w:type="auto"/>
            <w:noWrap/>
            <w:hideMark/>
          </w:tcPr>
          <w:p w14:paraId="7A080B9D"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Payable Days</w:t>
            </w:r>
          </w:p>
        </w:tc>
        <w:tc>
          <w:tcPr>
            <w:tcW w:w="0" w:type="auto"/>
            <w:noWrap/>
            <w:hideMark/>
          </w:tcPr>
          <w:p w14:paraId="21B28544"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Working-Capital Days</w:t>
            </w:r>
          </w:p>
        </w:tc>
      </w:tr>
      <w:tr w:rsidR="003B40C6" w:rsidRPr="003B40C6" w14:paraId="3EDFBBB8" w14:textId="77777777" w:rsidTr="00EC4AE9">
        <w:tc>
          <w:tcPr>
            <w:tcW w:w="0" w:type="auto"/>
            <w:hideMark/>
          </w:tcPr>
          <w:p w14:paraId="57105AE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2020</w:t>
            </w:r>
          </w:p>
        </w:tc>
        <w:tc>
          <w:tcPr>
            <w:tcW w:w="0" w:type="auto"/>
            <w:hideMark/>
          </w:tcPr>
          <w:p w14:paraId="297D43F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3.64</w:t>
            </w:r>
          </w:p>
        </w:tc>
        <w:tc>
          <w:tcPr>
            <w:tcW w:w="0" w:type="auto"/>
            <w:hideMark/>
          </w:tcPr>
          <w:p w14:paraId="45A4221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77</w:t>
            </w:r>
          </w:p>
        </w:tc>
        <w:tc>
          <w:tcPr>
            <w:tcW w:w="0" w:type="auto"/>
            <w:hideMark/>
          </w:tcPr>
          <w:p w14:paraId="44BD506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48</w:t>
            </w:r>
          </w:p>
        </w:tc>
        <w:tc>
          <w:tcPr>
            <w:tcW w:w="0" w:type="auto"/>
            <w:hideMark/>
          </w:tcPr>
          <w:p w14:paraId="2DC3780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+29</w:t>
            </w:r>
          </w:p>
        </w:tc>
      </w:tr>
      <w:tr w:rsidR="003B40C6" w:rsidRPr="003B40C6" w14:paraId="62C2EE89" w14:textId="77777777" w:rsidTr="00EC4AE9">
        <w:tc>
          <w:tcPr>
            <w:tcW w:w="0" w:type="auto"/>
            <w:hideMark/>
          </w:tcPr>
          <w:p w14:paraId="2831574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2021</w:t>
            </w:r>
          </w:p>
        </w:tc>
        <w:tc>
          <w:tcPr>
            <w:tcW w:w="0" w:type="auto"/>
            <w:hideMark/>
          </w:tcPr>
          <w:p w14:paraId="07ED81E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3.19</w:t>
            </w:r>
          </w:p>
        </w:tc>
        <w:tc>
          <w:tcPr>
            <w:tcW w:w="0" w:type="auto"/>
            <w:hideMark/>
          </w:tcPr>
          <w:p w14:paraId="3D9C54B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78</w:t>
            </w:r>
          </w:p>
        </w:tc>
        <w:tc>
          <w:tcPr>
            <w:tcW w:w="0" w:type="auto"/>
            <w:hideMark/>
          </w:tcPr>
          <w:p w14:paraId="316B420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56</w:t>
            </w:r>
          </w:p>
        </w:tc>
        <w:tc>
          <w:tcPr>
            <w:tcW w:w="0" w:type="auto"/>
            <w:hideMark/>
          </w:tcPr>
          <w:p w14:paraId="7AD1EEC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+22</w:t>
            </w:r>
          </w:p>
        </w:tc>
      </w:tr>
      <w:tr w:rsidR="003B40C6" w:rsidRPr="003B40C6" w14:paraId="3292F021" w14:textId="77777777" w:rsidTr="00EC4AE9">
        <w:tc>
          <w:tcPr>
            <w:tcW w:w="0" w:type="auto"/>
            <w:hideMark/>
          </w:tcPr>
          <w:p w14:paraId="6B45E34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2022</w:t>
            </w:r>
          </w:p>
        </w:tc>
        <w:tc>
          <w:tcPr>
            <w:tcW w:w="0" w:type="auto"/>
            <w:hideMark/>
          </w:tcPr>
          <w:p w14:paraId="732DB92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2.79</w:t>
            </w:r>
          </w:p>
        </w:tc>
        <w:tc>
          <w:tcPr>
            <w:tcW w:w="0" w:type="auto"/>
            <w:hideMark/>
          </w:tcPr>
          <w:p w14:paraId="3C25897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75</w:t>
            </w:r>
          </w:p>
        </w:tc>
        <w:tc>
          <w:tcPr>
            <w:tcW w:w="0" w:type="auto"/>
            <w:hideMark/>
          </w:tcPr>
          <w:p w14:paraId="0716F11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65</w:t>
            </w:r>
          </w:p>
        </w:tc>
        <w:tc>
          <w:tcPr>
            <w:tcW w:w="0" w:type="auto"/>
            <w:hideMark/>
          </w:tcPr>
          <w:p w14:paraId="162C0A4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w:t>
            </w:r>
          </w:p>
        </w:tc>
      </w:tr>
      <w:tr w:rsidR="003B40C6" w:rsidRPr="003B40C6" w14:paraId="5BAADD24" w14:textId="77777777" w:rsidTr="00EC4AE9">
        <w:tc>
          <w:tcPr>
            <w:tcW w:w="0" w:type="auto"/>
            <w:hideMark/>
          </w:tcPr>
          <w:p w14:paraId="4A12ED8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2023</w:t>
            </w:r>
          </w:p>
        </w:tc>
        <w:tc>
          <w:tcPr>
            <w:tcW w:w="0" w:type="auto"/>
            <w:hideMark/>
          </w:tcPr>
          <w:p w14:paraId="532EBE6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3.65</w:t>
            </w:r>
          </w:p>
        </w:tc>
        <w:tc>
          <w:tcPr>
            <w:tcW w:w="0" w:type="auto"/>
            <w:hideMark/>
          </w:tcPr>
          <w:p w14:paraId="434AC93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98</w:t>
            </w:r>
          </w:p>
        </w:tc>
        <w:tc>
          <w:tcPr>
            <w:tcW w:w="0" w:type="auto"/>
            <w:hideMark/>
          </w:tcPr>
          <w:p w14:paraId="2715F00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61</w:t>
            </w:r>
          </w:p>
        </w:tc>
        <w:tc>
          <w:tcPr>
            <w:tcW w:w="0" w:type="auto"/>
            <w:hideMark/>
          </w:tcPr>
          <w:p w14:paraId="0FA5834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+37</w:t>
            </w:r>
          </w:p>
        </w:tc>
      </w:tr>
      <w:tr w:rsidR="003B40C6" w:rsidRPr="003B40C6" w14:paraId="35454965" w14:textId="77777777" w:rsidTr="00EC4AE9">
        <w:tc>
          <w:tcPr>
            <w:tcW w:w="0" w:type="auto"/>
            <w:hideMark/>
          </w:tcPr>
          <w:p w14:paraId="44F2827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2024</w:t>
            </w:r>
          </w:p>
        </w:tc>
        <w:tc>
          <w:tcPr>
            <w:tcW w:w="0" w:type="auto"/>
            <w:hideMark/>
          </w:tcPr>
          <w:p w14:paraId="26833D7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3.54</w:t>
            </w:r>
          </w:p>
        </w:tc>
        <w:tc>
          <w:tcPr>
            <w:tcW w:w="0" w:type="auto"/>
            <w:hideMark/>
          </w:tcPr>
          <w:p w14:paraId="13DA915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105</w:t>
            </w:r>
          </w:p>
        </w:tc>
        <w:tc>
          <w:tcPr>
            <w:tcW w:w="0" w:type="auto"/>
            <w:hideMark/>
          </w:tcPr>
          <w:p w14:paraId="43079C6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67</w:t>
            </w:r>
          </w:p>
        </w:tc>
        <w:tc>
          <w:tcPr>
            <w:tcW w:w="0" w:type="auto"/>
            <w:hideMark/>
          </w:tcPr>
          <w:p w14:paraId="1607689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+38</w:t>
            </w:r>
          </w:p>
        </w:tc>
      </w:tr>
    </w:tbl>
    <w:p w14:paraId="2882DA0F" w14:textId="494584D1" w:rsidR="00C94466" w:rsidRDefault="00EC4AE9" w:rsidP="008F5B00">
      <w:pPr>
        <w:spacing w:line="360" w:lineRule="auto"/>
        <w:rPr>
          <w:rFonts w:ascii="Arial" w:hAnsi="Arial" w:cs="Arial"/>
          <w:b/>
          <w:bCs/>
          <w:sz w:val="24"/>
          <w:szCs w:val="24"/>
        </w:rPr>
      </w:pPr>
      <w:r w:rsidRPr="00EC4AE9">
        <w:rPr>
          <w:rFonts w:ascii="Arial" w:hAnsi="Arial" w:cs="Arial"/>
          <w:sz w:val="24"/>
          <w:szCs w:val="24"/>
        </w:rPr>
        <w:t>Collection period worsened to 105 days (2024) versus 77 days (2020), which is an indication of loose credit discipline or/and customer strain. The inventory turnover of 3.54x is lower than peer benchmarks implying slow-moving inventory and poor demand adjustment. The Working-Capital Days extension and wider cash conversion cycle as a whole indicate that cash is stuck within operating assets, which causes external financing requirements and burden on the balance sheet.</w:t>
      </w:r>
    </w:p>
    <w:p w14:paraId="0ACE894D" w14:textId="4D96AD4A"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2.4 Gearing and capital structure</w:t>
      </w:r>
    </w:p>
    <w:p w14:paraId="07DBF969"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lastRenderedPageBreak/>
        <w:t>Increasing leverage and negative interest coverage indicate increase in financial risk:</w:t>
      </w:r>
    </w:p>
    <w:p w14:paraId="39E9EBB8" w14:textId="57E1ADF8"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4: Capital structure and coverage</w:t>
      </w:r>
    </w:p>
    <w:tbl>
      <w:tblPr>
        <w:tblStyle w:val="TableGrid"/>
        <w:tblW w:w="9360" w:type="dxa"/>
        <w:tblLook w:val="04A0" w:firstRow="1" w:lastRow="0" w:firstColumn="1" w:lastColumn="0" w:noHBand="0" w:noVBand="1"/>
      </w:tblPr>
      <w:tblGrid>
        <w:gridCol w:w="1118"/>
        <w:gridCol w:w="2787"/>
        <w:gridCol w:w="2110"/>
        <w:gridCol w:w="3345"/>
      </w:tblGrid>
      <w:tr w:rsidR="003B40C6" w:rsidRPr="003B40C6" w14:paraId="556EB01F" w14:textId="77777777" w:rsidTr="003B40C6">
        <w:tc>
          <w:tcPr>
            <w:tcW w:w="0" w:type="auto"/>
            <w:noWrap/>
            <w:hideMark/>
          </w:tcPr>
          <w:p w14:paraId="5E04B9C6"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w:t>
            </w:r>
          </w:p>
        </w:tc>
        <w:tc>
          <w:tcPr>
            <w:tcW w:w="0" w:type="auto"/>
            <w:noWrap/>
            <w:hideMark/>
          </w:tcPr>
          <w:p w14:paraId="7657C927"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Debt-to-Equity</w:t>
            </w:r>
          </w:p>
        </w:tc>
        <w:tc>
          <w:tcPr>
            <w:tcW w:w="0" w:type="auto"/>
            <w:noWrap/>
            <w:hideMark/>
          </w:tcPr>
          <w:p w14:paraId="20CCD06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Debt Ratio</w:t>
            </w:r>
          </w:p>
        </w:tc>
        <w:tc>
          <w:tcPr>
            <w:tcW w:w="0" w:type="auto"/>
            <w:noWrap/>
            <w:hideMark/>
          </w:tcPr>
          <w:p w14:paraId="6C640DB4"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Interest Coverage</w:t>
            </w:r>
          </w:p>
        </w:tc>
      </w:tr>
      <w:tr w:rsidR="003B40C6" w:rsidRPr="003B40C6" w14:paraId="7361FA8C" w14:textId="77777777" w:rsidTr="003B40C6">
        <w:tc>
          <w:tcPr>
            <w:tcW w:w="0" w:type="auto"/>
            <w:hideMark/>
          </w:tcPr>
          <w:p w14:paraId="1267675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2020</w:t>
            </w:r>
          </w:p>
        </w:tc>
        <w:tc>
          <w:tcPr>
            <w:tcW w:w="0" w:type="auto"/>
            <w:hideMark/>
          </w:tcPr>
          <w:p w14:paraId="23F3179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0.63</w:t>
            </w:r>
          </w:p>
        </w:tc>
        <w:tc>
          <w:tcPr>
            <w:tcW w:w="0" w:type="auto"/>
            <w:hideMark/>
          </w:tcPr>
          <w:p w14:paraId="3FDBF5A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0.39</w:t>
            </w:r>
          </w:p>
        </w:tc>
        <w:tc>
          <w:tcPr>
            <w:tcW w:w="0" w:type="auto"/>
            <w:hideMark/>
          </w:tcPr>
          <w:p w14:paraId="746C2204"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26.2</w:t>
            </w:r>
          </w:p>
        </w:tc>
      </w:tr>
      <w:tr w:rsidR="003B40C6" w:rsidRPr="003B40C6" w14:paraId="70DCDA50" w14:textId="77777777" w:rsidTr="003B40C6">
        <w:tc>
          <w:tcPr>
            <w:tcW w:w="0" w:type="auto"/>
            <w:hideMark/>
          </w:tcPr>
          <w:p w14:paraId="10D5B9E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2021</w:t>
            </w:r>
          </w:p>
        </w:tc>
        <w:tc>
          <w:tcPr>
            <w:tcW w:w="0" w:type="auto"/>
            <w:hideMark/>
          </w:tcPr>
          <w:p w14:paraId="7248D1A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0.71</w:t>
            </w:r>
          </w:p>
        </w:tc>
        <w:tc>
          <w:tcPr>
            <w:tcW w:w="0" w:type="auto"/>
            <w:hideMark/>
          </w:tcPr>
          <w:p w14:paraId="6EA05A4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0.46</w:t>
            </w:r>
          </w:p>
        </w:tc>
        <w:tc>
          <w:tcPr>
            <w:tcW w:w="0" w:type="auto"/>
            <w:hideMark/>
          </w:tcPr>
          <w:p w14:paraId="18B4F30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12.1</w:t>
            </w:r>
          </w:p>
        </w:tc>
      </w:tr>
      <w:tr w:rsidR="003B40C6" w:rsidRPr="003B40C6" w14:paraId="05B384F2" w14:textId="77777777" w:rsidTr="003B40C6">
        <w:tc>
          <w:tcPr>
            <w:tcW w:w="0" w:type="auto"/>
            <w:hideMark/>
          </w:tcPr>
          <w:p w14:paraId="63B02FC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2022</w:t>
            </w:r>
          </w:p>
        </w:tc>
        <w:tc>
          <w:tcPr>
            <w:tcW w:w="0" w:type="auto"/>
            <w:hideMark/>
          </w:tcPr>
          <w:p w14:paraId="7926349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0.88</w:t>
            </w:r>
          </w:p>
        </w:tc>
        <w:tc>
          <w:tcPr>
            <w:tcW w:w="0" w:type="auto"/>
            <w:hideMark/>
          </w:tcPr>
          <w:p w14:paraId="49BD823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0.47</w:t>
            </w:r>
          </w:p>
        </w:tc>
        <w:tc>
          <w:tcPr>
            <w:tcW w:w="0" w:type="auto"/>
            <w:hideMark/>
          </w:tcPr>
          <w:p w14:paraId="063A4D48"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6.6</w:t>
            </w:r>
          </w:p>
        </w:tc>
      </w:tr>
      <w:tr w:rsidR="003B40C6" w:rsidRPr="003B40C6" w14:paraId="3807AC43" w14:textId="77777777" w:rsidTr="003B40C6">
        <w:tc>
          <w:tcPr>
            <w:tcW w:w="0" w:type="auto"/>
            <w:hideMark/>
          </w:tcPr>
          <w:p w14:paraId="52FFFDD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2023</w:t>
            </w:r>
          </w:p>
        </w:tc>
        <w:tc>
          <w:tcPr>
            <w:tcW w:w="0" w:type="auto"/>
            <w:hideMark/>
          </w:tcPr>
          <w:p w14:paraId="41B94D3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0.99</w:t>
            </w:r>
          </w:p>
        </w:tc>
        <w:tc>
          <w:tcPr>
            <w:tcW w:w="0" w:type="auto"/>
            <w:hideMark/>
          </w:tcPr>
          <w:p w14:paraId="7CD2F37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0.50</w:t>
            </w:r>
          </w:p>
        </w:tc>
        <w:tc>
          <w:tcPr>
            <w:tcW w:w="0" w:type="auto"/>
            <w:hideMark/>
          </w:tcPr>
          <w:p w14:paraId="43D4066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–0.16</w:t>
            </w:r>
          </w:p>
        </w:tc>
      </w:tr>
      <w:tr w:rsidR="003B40C6" w:rsidRPr="003B40C6" w14:paraId="1B26A746" w14:textId="77777777" w:rsidTr="003B40C6">
        <w:tc>
          <w:tcPr>
            <w:tcW w:w="0" w:type="auto"/>
            <w:hideMark/>
          </w:tcPr>
          <w:p w14:paraId="19685B5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2024</w:t>
            </w:r>
          </w:p>
        </w:tc>
        <w:tc>
          <w:tcPr>
            <w:tcW w:w="0" w:type="auto"/>
            <w:hideMark/>
          </w:tcPr>
          <w:p w14:paraId="5383BEC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1.11</w:t>
            </w:r>
          </w:p>
        </w:tc>
        <w:tc>
          <w:tcPr>
            <w:tcW w:w="0" w:type="auto"/>
            <w:hideMark/>
          </w:tcPr>
          <w:p w14:paraId="003B241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0.53</w:t>
            </w:r>
          </w:p>
        </w:tc>
        <w:tc>
          <w:tcPr>
            <w:tcW w:w="0" w:type="auto"/>
            <w:hideMark/>
          </w:tcPr>
          <w:p w14:paraId="77E4AF5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–4.6</w:t>
            </w:r>
          </w:p>
        </w:tc>
      </w:tr>
    </w:tbl>
    <w:p w14:paraId="76E05B52"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Its debt-equity ratio increased to 1.11 in 2024, which means that the company depends more on borrowed funds (EY, 2024). In 2023 and 2024, interest coverage became negative as a result of operating losses, and the likelihood of covenant breach increased, as well as prevented the ability to access incremental credit. High leverage and low profitability combine to increase the weighted average cost of capital (WACC), as well as squeeze financial flexibility, of the firm.</w:t>
      </w:r>
    </w:p>
    <w:p w14:paraId="56F2E9DE" w14:textId="09D2CBC8"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2.5 Cash flow and investment profile</w:t>
      </w:r>
    </w:p>
    <w:p w14:paraId="558DA85D" w14:textId="77777777" w:rsidR="00EC4AE9" w:rsidRDefault="00EC4AE9" w:rsidP="008F5B00">
      <w:pPr>
        <w:spacing w:line="360" w:lineRule="auto"/>
        <w:rPr>
          <w:rFonts w:ascii="Arial" w:hAnsi="Arial" w:cs="Arial"/>
          <w:sz w:val="24"/>
          <w:szCs w:val="24"/>
        </w:rPr>
      </w:pPr>
      <w:r w:rsidRPr="00EC4AE9">
        <w:rPr>
          <w:rFonts w:ascii="Arial" w:hAnsi="Arial" w:cs="Arial"/>
          <w:sz w:val="24"/>
          <w:szCs w:val="24"/>
        </w:rPr>
        <w:t>GE has recorded itself as a strength, despite the pressure on the income-statement, which recorded positive operating cash flow in 2024 of PS14.8 billion. But capital expenditures on cash outlays (PS4.6 billion) and decreased external funding were among the factors contributing to the decrease in net cash holdings (Bloomberg, 2024). To maintain liquidity, the management has abrogated dividends, which is in line with the practice of navigating through crisis (Deloitte, 2023). There is still tension between the short-term liquidity maintenance and selective investment to grow in the future- an optimisation problem that is dealt with in subsequent sections by rationalizing capital.</w:t>
      </w:r>
    </w:p>
    <w:p w14:paraId="4579DF6D" w14:textId="2555543F"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2.6 Strengths, risk factors, and structural themes</w:t>
      </w:r>
    </w:p>
    <w:p w14:paraId="12DDE5BE" w14:textId="77777777" w:rsidR="00EC4AE9" w:rsidRPr="00EC4AE9" w:rsidRDefault="00EC4AE9" w:rsidP="008F5B00">
      <w:pPr>
        <w:spacing w:line="360" w:lineRule="auto"/>
        <w:rPr>
          <w:rFonts w:ascii="Arial" w:hAnsi="Arial" w:cs="Arial"/>
          <w:sz w:val="24"/>
          <w:szCs w:val="24"/>
        </w:rPr>
      </w:pPr>
      <w:r w:rsidRPr="00EC4AE9">
        <w:rPr>
          <w:rFonts w:ascii="Arial" w:hAnsi="Arial" w:cs="Arial"/>
          <w:sz w:val="24"/>
          <w:szCs w:val="24"/>
        </w:rPr>
        <w:t>Strengths:</w:t>
      </w:r>
    </w:p>
    <w:p w14:paraId="65C36C2F" w14:textId="77777777" w:rsidR="00EC4AE9" w:rsidRPr="00EC4AE9" w:rsidRDefault="00EC4AE9" w:rsidP="008F5B00">
      <w:pPr>
        <w:pStyle w:val="ListParagraph"/>
        <w:numPr>
          <w:ilvl w:val="0"/>
          <w:numId w:val="41"/>
        </w:numPr>
        <w:spacing w:line="360" w:lineRule="auto"/>
        <w:rPr>
          <w:rFonts w:ascii="Arial" w:hAnsi="Arial" w:cs="Arial"/>
          <w:sz w:val="24"/>
          <w:szCs w:val="24"/>
        </w:rPr>
      </w:pPr>
      <w:r w:rsidRPr="00EC4AE9">
        <w:rPr>
          <w:rFonts w:ascii="Arial" w:hAnsi="Arial" w:cs="Arial"/>
          <w:sz w:val="24"/>
          <w:szCs w:val="24"/>
        </w:rPr>
        <w:t>The high cost-of-sales management and scale of procurement is resilient as indicated by its durable gross margin in most years (~28-29).</w:t>
      </w:r>
    </w:p>
    <w:p w14:paraId="151A2FD4" w14:textId="77777777" w:rsidR="00EC4AE9" w:rsidRPr="00EC4AE9" w:rsidRDefault="00EC4AE9" w:rsidP="008F5B00">
      <w:pPr>
        <w:pStyle w:val="ListParagraph"/>
        <w:numPr>
          <w:ilvl w:val="0"/>
          <w:numId w:val="41"/>
        </w:numPr>
        <w:spacing w:line="360" w:lineRule="auto"/>
        <w:rPr>
          <w:rFonts w:ascii="Arial" w:hAnsi="Arial" w:cs="Arial"/>
          <w:sz w:val="24"/>
          <w:szCs w:val="24"/>
        </w:rPr>
      </w:pPr>
      <w:r w:rsidRPr="00EC4AE9">
        <w:rPr>
          <w:rFonts w:ascii="Arial" w:hAnsi="Arial" w:cs="Arial"/>
          <w:sz w:val="24"/>
          <w:szCs w:val="24"/>
        </w:rPr>
        <w:lastRenderedPageBreak/>
        <w:t>The positive operating cash flow in 2024 indicates the existence of the underlying cash-generative capacity even at the time of income pressure.</w:t>
      </w:r>
    </w:p>
    <w:p w14:paraId="28A988F2" w14:textId="77777777" w:rsidR="00EC4AE9" w:rsidRPr="00EC4AE9" w:rsidRDefault="00EC4AE9" w:rsidP="008F5B00">
      <w:pPr>
        <w:pStyle w:val="ListParagraph"/>
        <w:numPr>
          <w:ilvl w:val="0"/>
          <w:numId w:val="41"/>
        </w:numPr>
        <w:spacing w:line="360" w:lineRule="auto"/>
        <w:rPr>
          <w:rFonts w:ascii="Arial" w:hAnsi="Arial" w:cs="Arial"/>
          <w:sz w:val="24"/>
          <w:szCs w:val="24"/>
        </w:rPr>
      </w:pPr>
      <w:r w:rsidRPr="00EC4AE9">
        <w:rPr>
          <w:rFonts w:ascii="Arial" w:hAnsi="Arial" w:cs="Arial"/>
          <w:sz w:val="24"/>
          <w:szCs w:val="24"/>
        </w:rPr>
        <w:t>Large asset base offers collateral possibility and flexibility of debt renegotiation and selective asset sales.</w:t>
      </w:r>
    </w:p>
    <w:p w14:paraId="0AF776D9" w14:textId="77777777" w:rsidR="00EC4AE9" w:rsidRPr="00EC4AE9" w:rsidRDefault="00EC4AE9" w:rsidP="008F5B00">
      <w:pPr>
        <w:spacing w:line="360" w:lineRule="auto"/>
        <w:rPr>
          <w:rFonts w:ascii="Arial" w:hAnsi="Arial" w:cs="Arial"/>
          <w:sz w:val="24"/>
          <w:szCs w:val="24"/>
        </w:rPr>
      </w:pPr>
      <w:r w:rsidRPr="00EC4AE9">
        <w:rPr>
          <w:rFonts w:ascii="Arial" w:hAnsi="Arial" w:cs="Arial"/>
          <w:sz w:val="24"/>
          <w:szCs w:val="24"/>
        </w:rPr>
        <w:t>Threats and pressure points:</w:t>
      </w:r>
    </w:p>
    <w:p w14:paraId="52970885" w14:textId="77777777" w:rsidR="00EC4AE9" w:rsidRPr="00EC4AE9" w:rsidRDefault="00EC4AE9" w:rsidP="008F5B00">
      <w:pPr>
        <w:pStyle w:val="ListParagraph"/>
        <w:numPr>
          <w:ilvl w:val="0"/>
          <w:numId w:val="40"/>
        </w:numPr>
        <w:spacing w:line="360" w:lineRule="auto"/>
        <w:rPr>
          <w:rFonts w:ascii="Arial" w:hAnsi="Arial" w:cs="Arial"/>
          <w:sz w:val="24"/>
          <w:szCs w:val="24"/>
        </w:rPr>
      </w:pPr>
      <w:r w:rsidRPr="00EC4AE9">
        <w:rPr>
          <w:rFonts w:ascii="Arial" w:hAnsi="Arial" w:cs="Arial"/>
          <w:sz w:val="24"/>
          <w:szCs w:val="24"/>
        </w:rPr>
        <w:t>The compression of top-line of about 36% since 2020 compromises the operating leverage and the scale economies.</w:t>
      </w:r>
    </w:p>
    <w:p w14:paraId="072EBE2C" w14:textId="77777777" w:rsidR="00EC4AE9" w:rsidRPr="00EC4AE9" w:rsidRDefault="00EC4AE9" w:rsidP="008F5B00">
      <w:pPr>
        <w:pStyle w:val="ListParagraph"/>
        <w:numPr>
          <w:ilvl w:val="0"/>
          <w:numId w:val="40"/>
        </w:numPr>
        <w:spacing w:line="360" w:lineRule="auto"/>
        <w:rPr>
          <w:rFonts w:ascii="Arial" w:hAnsi="Arial" w:cs="Arial"/>
          <w:sz w:val="24"/>
          <w:szCs w:val="24"/>
        </w:rPr>
      </w:pPr>
      <w:r w:rsidRPr="00EC4AE9">
        <w:rPr>
          <w:rFonts w:ascii="Arial" w:hAnsi="Arial" w:cs="Arial"/>
          <w:sz w:val="24"/>
          <w:szCs w:val="24"/>
        </w:rPr>
        <w:t>Retained earnings and equity are undermined by accumulated losses to contribute to less shock-absorption capacity.</w:t>
      </w:r>
    </w:p>
    <w:p w14:paraId="27424805" w14:textId="77777777" w:rsidR="00EC4AE9" w:rsidRPr="00EC4AE9" w:rsidRDefault="00EC4AE9" w:rsidP="008F5B00">
      <w:pPr>
        <w:pStyle w:val="ListParagraph"/>
        <w:numPr>
          <w:ilvl w:val="0"/>
          <w:numId w:val="40"/>
        </w:numPr>
        <w:spacing w:line="360" w:lineRule="auto"/>
        <w:rPr>
          <w:rFonts w:ascii="Arial" w:hAnsi="Arial" w:cs="Arial"/>
          <w:sz w:val="24"/>
          <w:szCs w:val="24"/>
        </w:rPr>
      </w:pPr>
      <w:r w:rsidRPr="00EC4AE9">
        <w:rPr>
          <w:rFonts w:ascii="Arial" w:hAnsi="Arial" w:cs="Arial"/>
          <w:sz w:val="24"/>
          <w:szCs w:val="24"/>
        </w:rPr>
        <w:t>The increased negative interest cover and gearing increases solvency and refinancing risks.</w:t>
      </w:r>
    </w:p>
    <w:p w14:paraId="76CF895A" w14:textId="77777777" w:rsidR="00EC4AE9" w:rsidRPr="00EC4AE9" w:rsidRDefault="00EC4AE9" w:rsidP="008F5B00">
      <w:pPr>
        <w:pStyle w:val="ListParagraph"/>
        <w:numPr>
          <w:ilvl w:val="0"/>
          <w:numId w:val="40"/>
        </w:numPr>
        <w:spacing w:line="360" w:lineRule="auto"/>
        <w:rPr>
          <w:rFonts w:ascii="Arial" w:hAnsi="Arial" w:cs="Arial"/>
          <w:sz w:val="24"/>
          <w:szCs w:val="24"/>
        </w:rPr>
      </w:pPr>
      <w:r w:rsidRPr="00EC4AE9">
        <w:rPr>
          <w:rFonts w:ascii="Arial" w:hAnsi="Arial" w:cs="Arial"/>
          <w:sz w:val="24"/>
          <w:szCs w:val="24"/>
        </w:rPr>
        <w:t>Poor performance in the receivables and inventory dynamics undermine the liquidity, increasing the dependence on outside financing.</w:t>
      </w:r>
    </w:p>
    <w:p w14:paraId="18DED236" w14:textId="6D6C824C"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2.7 Corporate failure risk: Altman Z-Score</w:t>
      </w:r>
    </w:p>
    <w:p w14:paraId="37331C10" w14:textId="4F09338A" w:rsidR="003B40C6" w:rsidRPr="003B40C6" w:rsidRDefault="00EC4AE9" w:rsidP="008F5B00">
      <w:pPr>
        <w:spacing w:line="360" w:lineRule="auto"/>
        <w:rPr>
          <w:rFonts w:ascii="Arial" w:hAnsi="Arial" w:cs="Arial"/>
          <w:sz w:val="24"/>
          <w:szCs w:val="24"/>
        </w:rPr>
      </w:pPr>
      <w:r w:rsidRPr="00EC4AE9">
        <w:rPr>
          <w:rFonts w:ascii="Arial" w:hAnsi="Arial" w:cs="Arial"/>
          <w:sz w:val="24"/>
          <w:szCs w:val="24"/>
        </w:rPr>
        <w:t>The Altman Z-Score is used to estimate the risk of bankruptcy of manufacturing-type companies (Altman, 1968; Altman and Hotchkiss, 2020):</w:t>
      </w:r>
    </w:p>
    <w:p w14:paraId="3EC85F5D" w14:textId="77777777"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Z = 1.2X1 + 1.4X2 + 3.3X3 + 0.6X4 + 1.0X5</w:t>
      </w:r>
    </w:p>
    <w:p w14:paraId="27FF4C8D" w14:textId="77777777"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Where:</w:t>
      </w:r>
    </w:p>
    <w:p w14:paraId="082887EE" w14:textId="77777777" w:rsidR="003B40C6" w:rsidRPr="003B40C6" w:rsidRDefault="003B40C6" w:rsidP="008F5B00">
      <w:pPr>
        <w:numPr>
          <w:ilvl w:val="0"/>
          <w:numId w:val="5"/>
        </w:numPr>
        <w:spacing w:line="360" w:lineRule="auto"/>
        <w:rPr>
          <w:rFonts w:ascii="Arial" w:hAnsi="Arial" w:cs="Arial"/>
          <w:sz w:val="24"/>
          <w:szCs w:val="24"/>
        </w:rPr>
      </w:pPr>
      <w:r w:rsidRPr="003B40C6">
        <w:rPr>
          <w:rFonts w:ascii="Arial" w:hAnsi="Arial" w:cs="Arial"/>
          <w:sz w:val="24"/>
          <w:szCs w:val="24"/>
        </w:rPr>
        <w:t>X1 = Working Capital / Total Assets</w:t>
      </w:r>
    </w:p>
    <w:p w14:paraId="15F36C9C" w14:textId="77777777" w:rsidR="003B40C6" w:rsidRPr="003B40C6" w:rsidRDefault="003B40C6" w:rsidP="008F5B00">
      <w:pPr>
        <w:numPr>
          <w:ilvl w:val="0"/>
          <w:numId w:val="5"/>
        </w:numPr>
        <w:spacing w:line="360" w:lineRule="auto"/>
        <w:rPr>
          <w:rFonts w:ascii="Arial" w:hAnsi="Arial" w:cs="Arial"/>
          <w:sz w:val="24"/>
          <w:szCs w:val="24"/>
        </w:rPr>
      </w:pPr>
      <w:r w:rsidRPr="003B40C6">
        <w:rPr>
          <w:rFonts w:ascii="Arial" w:hAnsi="Arial" w:cs="Arial"/>
          <w:sz w:val="24"/>
          <w:szCs w:val="24"/>
        </w:rPr>
        <w:t>X2 = Retained Earnings / Total Assets</w:t>
      </w:r>
    </w:p>
    <w:p w14:paraId="369A6A86" w14:textId="77777777" w:rsidR="003B40C6" w:rsidRPr="003B40C6" w:rsidRDefault="003B40C6" w:rsidP="008F5B00">
      <w:pPr>
        <w:numPr>
          <w:ilvl w:val="0"/>
          <w:numId w:val="5"/>
        </w:numPr>
        <w:spacing w:line="360" w:lineRule="auto"/>
        <w:rPr>
          <w:rFonts w:ascii="Arial" w:hAnsi="Arial" w:cs="Arial"/>
          <w:sz w:val="24"/>
          <w:szCs w:val="24"/>
        </w:rPr>
      </w:pPr>
      <w:r w:rsidRPr="003B40C6">
        <w:rPr>
          <w:rFonts w:ascii="Arial" w:hAnsi="Arial" w:cs="Arial"/>
          <w:sz w:val="24"/>
          <w:szCs w:val="24"/>
        </w:rPr>
        <w:t>X3 = EBIT / Total Assets</w:t>
      </w:r>
    </w:p>
    <w:p w14:paraId="5CF565F4" w14:textId="77777777" w:rsidR="003B40C6" w:rsidRPr="003B40C6" w:rsidRDefault="003B40C6" w:rsidP="008F5B00">
      <w:pPr>
        <w:numPr>
          <w:ilvl w:val="0"/>
          <w:numId w:val="5"/>
        </w:numPr>
        <w:spacing w:line="360" w:lineRule="auto"/>
        <w:rPr>
          <w:rFonts w:ascii="Arial" w:hAnsi="Arial" w:cs="Arial"/>
          <w:sz w:val="24"/>
          <w:szCs w:val="24"/>
        </w:rPr>
      </w:pPr>
      <w:r w:rsidRPr="003B40C6">
        <w:rPr>
          <w:rFonts w:ascii="Arial" w:hAnsi="Arial" w:cs="Arial"/>
          <w:sz w:val="24"/>
          <w:szCs w:val="24"/>
        </w:rPr>
        <w:t>X4 = Market Value of Equity / Total Liabilities</w:t>
      </w:r>
    </w:p>
    <w:p w14:paraId="4D552239" w14:textId="77777777" w:rsidR="003B40C6" w:rsidRPr="003B40C6" w:rsidRDefault="003B40C6" w:rsidP="008F5B00">
      <w:pPr>
        <w:numPr>
          <w:ilvl w:val="0"/>
          <w:numId w:val="5"/>
        </w:numPr>
        <w:spacing w:line="360" w:lineRule="auto"/>
        <w:rPr>
          <w:rFonts w:ascii="Arial" w:hAnsi="Arial" w:cs="Arial"/>
          <w:sz w:val="24"/>
          <w:szCs w:val="24"/>
        </w:rPr>
      </w:pPr>
      <w:r w:rsidRPr="003B40C6">
        <w:rPr>
          <w:rFonts w:ascii="Arial" w:hAnsi="Arial" w:cs="Arial"/>
          <w:sz w:val="24"/>
          <w:szCs w:val="24"/>
        </w:rPr>
        <w:t>X5 = Sales / Total Assets</w:t>
      </w:r>
    </w:p>
    <w:p w14:paraId="560EC3B7" w14:textId="77777777"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2024 inputs:</w:t>
      </w:r>
    </w:p>
    <w:p w14:paraId="0F77299C"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Working capital = £242,494 – £158,291 = £84,203</w:t>
      </w:r>
    </w:p>
    <w:p w14:paraId="69840F40"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Total assets = £323,354</w:t>
      </w:r>
    </w:p>
    <w:p w14:paraId="0A49F254"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Retained earnings = £208,431</w:t>
      </w:r>
    </w:p>
    <w:p w14:paraId="51E23F74"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lastRenderedPageBreak/>
        <w:t>EBIT ≈ –£15,297</w:t>
      </w:r>
    </w:p>
    <w:p w14:paraId="6FA93528"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Market value of equity ≈ £153,105</w:t>
      </w:r>
    </w:p>
    <w:p w14:paraId="49692E93"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Total liabilities = £170,249</w:t>
      </w:r>
    </w:p>
    <w:p w14:paraId="632C9EBB" w14:textId="77777777" w:rsidR="003B40C6" w:rsidRPr="003B40C6" w:rsidRDefault="003B40C6" w:rsidP="008F5B00">
      <w:pPr>
        <w:numPr>
          <w:ilvl w:val="0"/>
          <w:numId w:val="6"/>
        </w:numPr>
        <w:spacing w:line="360" w:lineRule="auto"/>
        <w:rPr>
          <w:rFonts w:ascii="Arial" w:hAnsi="Arial" w:cs="Arial"/>
          <w:sz w:val="24"/>
          <w:szCs w:val="24"/>
        </w:rPr>
      </w:pPr>
      <w:r w:rsidRPr="003B40C6">
        <w:rPr>
          <w:rFonts w:ascii="Arial" w:hAnsi="Arial" w:cs="Arial"/>
          <w:sz w:val="24"/>
          <w:szCs w:val="24"/>
        </w:rPr>
        <w:t>Sales = £394,879</w:t>
      </w:r>
    </w:p>
    <w:p w14:paraId="41D26A43" w14:textId="7777777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Z ≈ 1.2(0.26) + 1.4(0.64) + 3.3(–0.047) + 0.6(0.90) + 1(1.22) ≈ 2.19</w:t>
      </w:r>
    </w:p>
    <w:p w14:paraId="4D30DF98" w14:textId="66FEAEFF" w:rsidR="008F5B00" w:rsidRDefault="00EC4AE9" w:rsidP="008F5B00">
      <w:pPr>
        <w:spacing w:line="360" w:lineRule="auto"/>
        <w:rPr>
          <w:rFonts w:ascii="Arial" w:hAnsi="Arial" w:cs="Arial"/>
          <w:sz w:val="24"/>
          <w:szCs w:val="24"/>
        </w:rPr>
      </w:pPr>
      <w:r w:rsidRPr="00EC4AE9">
        <w:rPr>
          <w:rFonts w:ascii="Arial" w:hAnsi="Arial" w:cs="Arial"/>
          <w:sz w:val="24"/>
          <w:szCs w:val="24"/>
        </w:rPr>
        <w:t>The Z-score of 2.2 puts GE in the grey area- there is increased risk of distress but not acute yet. The visible decline of a less risky position before 2021 to the present level highlights the serious necessity of the radical reorganization and improvement of performance.</w:t>
      </w:r>
    </w:p>
    <w:p w14:paraId="761DF416" w14:textId="6646BBC4"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2.8 Synthesis of financial position</w:t>
      </w:r>
    </w:p>
    <w:p w14:paraId="376D9E5E" w14:textId="51688E48"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Synthesis of financial position refers to the process of creating the financial statements out of the analysis.</w:t>
      </w:r>
    </w:p>
    <w:p w14:paraId="03613B9E"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GE is maneuvering against sharp financial distress but it is not bankrupt. The frequent losses, increased liquidity restraint and increased leverage are all indicators that the business requires operating discipline and balance sheet mending. Favorable operating cash flow is a lifeline, but will not be adequate unless it addresses cost structure, working capital, and capital structure. The short-term priorities must include:</w:t>
      </w:r>
    </w:p>
    <w:p w14:paraId="4438CA1B" w14:textId="77777777" w:rsidR="008F5B00" w:rsidRPr="008F5B00" w:rsidRDefault="008F5B00" w:rsidP="008F5B00">
      <w:pPr>
        <w:pStyle w:val="ListParagraph"/>
        <w:numPr>
          <w:ilvl w:val="1"/>
          <w:numId w:val="42"/>
        </w:numPr>
        <w:spacing w:line="360" w:lineRule="auto"/>
        <w:rPr>
          <w:rFonts w:ascii="Arial" w:hAnsi="Arial" w:cs="Arial"/>
          <w:sz w:val="24"/>
          <w:szCs w:val="24"/>
        </w:rPr>
      </w:pPr>
      <w:r w:rsidRPr="008F5B00">
        <w:rPr>
          <w:rFonts w:ascii="Arial" w:hAnsi="Arial" w:cs="Arial"/>
          <w:sz w:val="24"/>
          <w:szCs w:val="24"/>
        </w:rPr>
        <w:t>Improved operating model effectiveness and cost control aggressiveness.</w:t>
      </w:r>
    </w:p>
    <w:p w14:paraId="51AE4001" w14:textId="77777777" w:rsidR="008F5B00" w:rsidRPr="008F5B00" w:rsidRDefault="008F5B00" w:rsidP="008F5B00">
      <w:pPr>
        <w:pStyle w:val="ListParagraph"/>
        <w:numPr>
          <w:ilvl w:val="1"/>
          <w:numId w:val="42"/>
        </w:numPr>
        <w:spacing w:line="360" w:lineRule="auto"/>
        <w:rPr>
          <w:rFonts w:ascii="Arial" w:hAnsi="Arial" w:cs="Arial"/>
          <w:sz w:val="24"/>
          <w:szCs w:val="24"/>
        </w:rPr>
      </w:pPr>
      <w:r w:rsidRPr="008F5B00">
        <w:rPr>
          <w:rFonts w:ascii="Arial" w:hAnsi="Arial" w:cs="Arial"/>
          <w:sz w:val="24"/>
          <w:szCs w:val="24"/>
        </w:rPr>
        <w:t>Restructuring of debts to alleviate servicing pressure and increase maturity patterns.</w:t>
      </w:r>
    </w:p>
    <w:p w14:paraId="24DA4A2B" w14:textId="77777777" w:rsidR="008F5B00" w:rsidRPr="008F5B00" w:rsidRDefault="008F5B00" w:rsidP="008F5B00">
      <w:pPr>
        <w:pStyle w:val="ListParagraph"/>
        <w:numPr>
          <w:ilvl w:val="1"/>
          <w:numId w:val="42"/>
        </w:numPr>
        <w:spacing w:line="360" w:lineRule="auto"/>
        <w:rPr>
          <w:rFonts w:ascii="Arial" w:hAnsi="Arial" w:cs="Arial"/>
          <w:sz w:val="24"/>
          <w:szCs w:val="24"/>
        </w:rPr>
      </w:pPr>
      <w:r w:rsidRPr="008F5B00">
        <w:rPr>
          <w:rFonts w:ascii="Arial" w:hAnsi="Arial" w:cs="Arial"/>
          <w:sz w:val="24"/>
          <w:szCs w:val="24"/>
        </w:rPr>
        <w:t>Inventory and receivables optimisation to shorten cash conversion cycle.</w:t>
      </w:r>
    </w:p>
    <w:p w14:paraId="22A20CFD" w14:textId="655C2B5C" w:rsidR="008F5B00" w:rsidRPr="008F5B00" w:rsidRDefault="008F5B00" w:rsidP="008F5B00">
      <w:pPr>
        <w:pStyle w:val="ListParagraph"/>
        <w:numPr>
          <w:ilvl w:val="1"/>
          <w:numId w:val="42"/>
        </w:numPr>
        <w:spacing w:line="360" w:lineRule="auto"/>
        <w:rPr>
          <w:rFonts w:ascii="Arial" w:hAnsi="Arial" w:cs="Arial"/>
          <w:sz w:val="24"/>
          <w:szCs w:val="24"/>
        </w:rPr>
      </w:pPr>
      <w:r w:rsidRPr="008F5B00">
        <w:rPr>
          <w:rFonts w:ascii="Arial" w:hAnsi="Arial" w:cs="Arial"/>
          <w:sz w:val="24"/>
          <w:szCs w:val="24"/>
        </w:rPr>
        <w:t>Selective, capital-restricted investment in fast-paying, risk-averse investment.</w:t>
      </w:r>
    </w:p>
    <w:p w14:paraId="5CA40510" w14:textId="77777777" w:rsidR="003B40C6" w:rsidRPr="003B40C6" w:rsidRDefault="003B40C6" w:rsidP="008F5B00">
      <w:pPr>
        <w:numPr>
          <w:ilvl w:val="0"/>
          <w:numId w:val="8"/>
        </w:numPr>
        <w:tabs>
          <w:tab w:val="clear" w:pos="360"/>
          <w:tab w:val="num" w:pos="720"/>
        </w:tabs>
        <w:spacing w:line="360" w:lineRule="auto"/>
        <w:rPr>
          <w:rFonts w:ascii="Arial" w:hAnsi="Arial" w:cs="Arial"/>
          <w:b/>
          <w:bCs/>
          <w:sz w:val="24"/>
          <w:szCs w:val="24"/>
        </w:rPr>
      </w:pPr>
      <w:r w:rsidRPr="003B40C6">
        <w:rPr>
          <w:rFonts w:ascii="Arial" w:hAnsi="Arial" w:cs="Arial"/>
          <w:b/>
          <w:bCs/>
          <w:sz w:val="24"/>
          <w:szCs w:val="24"/>
        </w:rPr>
        <w:t>Working Capital Management Deep Dive</w:t>
      </w:r>
    </w:p>
    <w:p w14:paraId="2F1F6053"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 xml:space="preserve">At General Electronics plc (GE), gross margins have stood at relative steady levels of about 28-29 percent in the majority of years except in 2023 where gross margin dropped drastically to 23.2 percent because of pricing pressure and widespread supply-chain disruption. Such stability indicates GE continues to enjoy procurement </w:t>
      </w:r>
      <w:r w:rsidRPr="008F5B00">
        <w:rPr>
          <w:rFonts w:ascii="Arial" w:hAnsi="Arial" w:cs="Arial"/>
          <w:sz w:val="24"/>
          <w:szCs w:val="24"/>
        </w:rPr>
        <w:lastRenderedPageBreak/>
        <w:t>discipline, scale efficiencies but gross level stability is not yet being converted into operating profitability. The operating margin has decreased since the year 2020 when it was around 6.2 percent to the current -3.9 percent of 2024. The drop in operating leverage is due to the rising overheads, restructuring expenses and write-downs, which, together with any gross-margin strength, are counterbalanced. The same has been the case with return on equity (ROE), which has declined to 12.3 percent in 2020 to -15.7 percent in 2024. The dismal 2023 performance is an indicator of structural flaws in the cost base and product-mix economics of GE, which cannot be addressed by using a single-off shift. Supply-chain shocks are also empirically associated with extreme deterioration of the margins in manufacturing companies (McKinsey, 2024), which supports the idea that more radical operational changes are required.</w:t>
      </w:r>
    </w:p>
    <w:p w14:paraId="41D63019" w14:textId="7D292939"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3.1 Cash conversion cycle (CCC)</w:t>
      </w:r>
    </w:p>
    <w:p w14:paraId="7142D897"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Cash operating cycle is a measure of the length of time that the business takes to pay money to the production and money to the customer (Gitman and Zutter, 2019):</w:t>
      </w:r>
    </w:p>
    <w:p w14:paraId="0BE13AB3" w14:textId="76107AC5"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CCC = DIO + DSO – DPO</w:t>
      </w:r>
    </w:p>
    <w:p w14:paraId="5A959DE6" w14:textId="77777777"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5: CCC components and trend</w:t>
      </w:r>
    </w:p>
    <w:tbl>
      <w:tblPr>
        <w:tblStyle w:val="TableGrid"/>
        <w:tblW w:w="9360" w:type="dxa"/>
        <w:tblLook w:val="04A0" w:firstRow="1" w:lastRow="0" w:firstColumn="1" w:lastColumn="0" w:noHBand="0" w:noVBand="1"/>
      </w:tblPr>
      <w:tblGrid>
        <w:gridCol w:w="1604"/>
        <w:gridCol w:w="1375"/>
        <w:gridCol w:w="1576"/>
        <w:gridCol w:w="1576"/>
        <w:gridCol w:w="3229"/>
      </w:tblGrid>
      <w:tr w:rsidR="003B40C6" w:rsidRPr="003B40C6" w14:paraId="3532C7F7" w14:textId="77777777" w:rsidTr="003B40C6">
        <w:tc>
          <w:tcPr>
            <w:tcW w:w="0" w:type="auto"/>
            <w:noWrap/>
            <w:hideMark/>
          </w:tcPr>
          <w:p w14:paraId="38D7553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w:t>
            </w:r>
          </w:p>
        </w:tc>
        <w:tc>
          <w:tcPr>
            <w:tcW w:w="0" w:type="auto"/>
            <w:noWrap/>
            <w:hideMark/>
          </w:tcPr>
          <w:p w14:paraId="37ED4F4A"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DIO</w:t>
            </w:r>
          </w:p>
        </w:tc>
        <w:tc>
          <w:tcPr>
            <w:tcW w:w="0" w:type="auto"/>
            <w:noWrap/>
            <w:hideMark/>
          </w:tcPr>
          <w:p w14:paraId="26078CB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DSO</w:t>
            </w:r>
          </w:p>
        </w:tc>
        <w:tc>
          <w:tcPr>
            <w:tcW w:w="0" w:type="auto"/>
            <w:noWrap/>
            <w:hideMark/>
          </w:tcPr>
          <w:p w14:paraId="0AAE4996"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DPO</w:t>
            </w:r>
          </w:p>
        </w:tc>
        <w:tc>
          <w:tcPr>
            <w:tcW w:w="0" w:type="auto"/>
            <w:noWrap/>
            <w:hideMark/>
          </w:tcPr>
          <w:p w14:paraId="5B49B1B1"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CCC (days)</w:t>
            </w:r>
          </w:p>
        </w:tc>
      </w:tr>
      <w:tr w:rsidR="003B40C6" w:rsidRPr="003B40C6" w14:paraId="507DF800" w14:textId="77777777" w:rsidTr="003B40C6">
        <w:tc>
          <w:tcPr>
            <w:tcW w:w="0" w:type="auto"/>
            <w:hideMark/>
          </w:tcPr>
          <w:p w14:paraId="782E217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2020</w:t>
            </w:r>
          </w:p>
        </w:tc>
        <w:tc>
          <w:tcPr>
            <w:tcW w:w="0" w:type="auto"/>
            <w:hideMark/>
          </w:tcPr>
          <w:p w14:paraId="1CC6270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100</w:t>
            </w:r>
          </w:p>
        </w:tc>
        <w:tc>
          <w:tcPr>
            <w:tcW w:w="0" w:type="auto"/>
            <w:hideMark/>
          </w:tcPr>
          <w:p w14:paraId="78D2E5F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77</w:t>
            </w:r>
          </w:p>
        </w:tc>
        <w:tc>
          <w:tcPr>
            <w:tcW w:w="0" w:type="auto"/>
            <w:hideMark/>
          </w:tcPr>
          <w:p w14:paraId="4DCD330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48</w:t>
            </w:r>
          </w:p>
        </w:tc>
        <w:tc>
          <w:tcPr>
            <w:tcW w:w="0" w:type="auto"/>
            <w:hideMark/>
          </w:tcPr>
          <w:p w14:paraId="542CA9E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129</w:t>
            </w:r>
          </w:p>
        </w:tc>
      </w:tr>
      <w:tr w:rsidR="003B40C6" w:rsidRPr="003B40C6" w14:paraId="0DE69FB6" w14:textId="77777777" w:rsidTr="003B40C6">
        <w:tc>
          <w:tcPr>
            <w:tcW w:w="0" w:type="auto"/>
            <w:hideMark/>
          </w:tcPr>
          <w:p w14:paraId="0B9FFAF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2021</w:t>
            </w:r>
          </w:p>
        </w:tc>
        <w:tc>
          <w:tcPr>
            <w:tcW w:w="0" w:type="auto"/>
            <w:hideMark/>
          </w:tcPr>
          <w:p w14:paraId="136C470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114</w:t>
            </w:r>
          </w:p>
        </w:tc>
        <w:tc>
          <w:tcPr>
            <w:tcW w:w="0" w:type="auto"/>
            <w:hideMark/>
          </w:tcPr>
          <w:p w14:paraId="3BECA058"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78</w:t>
            </w:r>
          </w:p>
        </w:tc>
        <w:tc>
          <w:tcPr>
            <w:tcW w:w="0" w:type="auto"/>
            <w:hideMark/>
          </w:tcPr>
          <w:p w14:paraId="7FD0258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56</w:t>
            </w:r>
          </w:p>
        </w:tc>
        <w:tc>
          <w:tcPr>
            <w:tcW w:w="0" w:type="auto"/>
            <w:hideMark/>
          </w:tcPr>
          <w:p w14:paraId="6F3CE33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136</w:t>
            </w:r>
          </w:p>
        </w:tc>
      </w:tr>
      <w:tr w:rsidR="003B40C6" w:rsidRPr="003B40C6" w14:paraId="63FE9031" w14:textId="77777777" w:rsidTr="003B40C6">
        <w:tc>
          <w:tcPr>
            <w:tcW w:w="0" w:type="auto"/>
            <w:hideMark/>
          </w:tcPr>
          <w:p w14:paraId="6389C907"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2022</w:t>
            </w:r>
          </w:p>
        </w:tc>
        <w:tc>
          <w:tcPr>
            <w:tcW w:w="0" w:type="auto"/>
            <w:hideMark/>
          </w:tcPr>
          <w:p w14:paraId="37F20F6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131</w:t>
            </w:r>
          </w:p>
        </w:tc>
        <w:tc>
          <w:tcPr>
            <w:tcW w:w="0" w:type="auto"/>
            <w:hideMark/>
          </w:tcPr>
          <w:p w14:paraId="5C468211"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75</w:t>
            </w:r>
          </w:p>
        </w:tc>
        <w:tc>
          <w:tcPr>
            <w:tcW w:w="0" w:type="auto"/>
            <w:hideMark/>
          </w:tcPr>
          <w:p w14:paraId="17F8AC3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65</w:t>
            </w:r>
          </w:p>
        </w:tc>
        <w:tc>
          <w:tcPr>
            <w:tcW w:w="0" w:type="auto"/>
            <w:hideMark/>
          </w:tcPr>
          <w:p w14:paraId="39F4160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141</w:t>
            </w:r>
          </w:p>
        </w:tc>
      </w:tr>
      <w:tr w:rsidR="003B40C6" w:rsidRPr="003B40C6" w14:paraId="68F517FC" w14:textId="77777777" w:rsidTr="003B40C6">
        <w:tc>
          <w:tcPr>
            <w:tcW w:w="0" w:type="auto"/>
            <w:hideMark/>
          </w:tcPr>
          <w:p w14:paraId="37EE8CB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2023</w:t>
            </w:r>
          </w:p>
        </w:tc>
        <w:tc>
          <w:tcPr>
            <w:tcW w:w="0" w:type="auto"/>
            <w:hideMark/>
          </w:tcPr>
          <w:p w14:paraId="5599AF1C"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100</w:t>
            </w:r>
          </w:p>
        </w:tc>
        <w:tc>
          <w:tcPr>
            <w:tcW w:w="0" w:type="auto"/>
            <w:hideMark/>
          </w:tcPr>
          <w:p w14:paraId="03DFA27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98</w:t>
            </w:r>
          </w:p>
        </w:tc>
        <w:tc>
          <w:tcPr>
            <w:tcW w:w="0" w:type="auto"/>
            <w:hideMark/>
          </w:tcPr>
          <w:p w14:paraId="356841D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61</w:t>
            </w:r>
          </w:p>
        </w:tc>
        <w:tc>
          <w:tcPr>
            <w:tcW w:w="0" w:type="auto"/>
            <w:hideMark/>
          </w:tcPr>
          <w:p w14:paraId="7BB1A43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137</w:t>
            </w:r>
          </w:p>
        </w:tc>
      </w:tr>
      <w:tr w:rsidR="003B40C6" w:rsidRPr="003B40C6" w14:paraId="1D6504D3" w14:textId="77777777" w:rsidTr="003B40C6">
        <w:tc>
          <w:tcPr>
            <w:tcW w:w="0" w:type="auto"/>
            <w:hideMark/>
          </w:tcPr>
          <w:p w14:paraId="1DA6084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2024</w:t>
            </w:r>
          </w:p>
        </w:tc>
        <w:tc>
          <w:tcPr>
            <w:tcW w:w="0" w:type="auto"/>
            <w:hideMark/>
          </w:tcPr>
          <w:p w14:paraId="0598243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103</w:t>
            </w:r>
          </w:p>
        </w:tc>
        <w:tc>
          <w:tcPr>
            <w:tcW w:w="0" w:type="auto"/>
            <w:hideMark/>
          </w:tcPr>
          <w:p w14:paraId="38B25A6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105</w:t>
            </w:r>
          </w:p>
        </w:tc>
        <w:tc>
          <w:tcPr>
            <w:tcW w:w="0" w:type="auto"/>
            <w:hideMark/>
          </w:tcPr>
          <w:p w14:paraId="2D43D88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67</w:t>
            </w:r>
          </w:p>
        </w:tc>
        <w:tc>
          <w:tcPr>
            <w:tcW w:w="0" w:type="auto"/>
            <w:hideMark/>
          </w:tcPr>
          <w:p w14:paraId="1ED646C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141</w:t>
            </w:r>
          </w:p>
        </w:tc>
      </w:tr>
    </w:tbl>
    <w:p w14:paraId="0A3178F1"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The CCC has also moved to a level of almost 141days, which indicates slower collections and high inventory holding as compared to payables. The recent DSO spurt, 77-105 days, has been the major cause of the growth and augmented by the inefficiencies in inventory. Practically, GE has more than four months cash in operating cycle, which in effect makes them more dependent on the outside liquidity, and that the financing cost becomes high in a high-leverage environment.</w:t>
      </w:r>
    </w:p>
    <w:p w14:paraId="35AF4E3A" w14:textId="767BE5F2"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lastRenderedPageBreak/>
        <w:t>3.2 Trade receivables discipline</w:t>
      </w:r>
    </w:p>
    <w:p w14:paraId="2C00063E"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Even as sales are declining, receivables have increased by PS112.3- PS114.2billion, Days Sales Outstanding (DSO) has risen, and receivables-to-sales ratio (20.7-28.9%). This will mean lax credit vetting, loose payment conditions, and/or lax enforcement.</w:t>
      </w:r>
    </w:p>
    <w:p w14:paraId="6729B9CD" w14:textId="4B8798DC"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Recommended actions:</w:t>
      </w:r>
    </w:p>
    <w:p w14:paraId="38BBC85B" w14:textId="77777777" w:rsidR="008F5B00" w:rsidRPr="008F5B00" w:rsidRDefault="008F5B00" w:rsidP="008F5B00">
      <w:pPr>
        <w:pStyle w:val="ListParagraph"/>
        <w:numPr>
          <w:ilvl w:val="0"/>
          <w:numId w:val="8"/>
        </w:numPr>
        <w:spacing w:line="360" w:lineRule="auto"/>
        <w:rPr>
          <w:rFonts w:ascii="Arial" w:hAnsi="Arial" w:cs="Arial"/>
          <w:sz w:val="24"/>
          <w:szCs w:val="24"/>
        </w:rPr>
      </w:pPr>
      <w:r w:rsidRPr="008F5B00">
        <w:rPr>
          <w:rFonts w:ascii="Arial" w:hAnsi="Arial" w:cs="Arial"/>
          <w:sz w:val="24"/>
          <w:szCs w:val="24"/>
        </w:rPr>
        <w:t>Implement automated credit scoring and behavioural-based dynamic credit limits on behavioural payment analytics (Deloitte, 2023).</w:t>
      </w:r>
    </w:p>
    <w:p w14:paraId="17021A30" w14:textId="77777777" w:rsidR="008F5B00" w:rsidRPr="008F5B00" w:rsidRDefault="008F5B00" w:rsidP="008F5B00">
      <w:pPr>
        <w:pStyle w:val="ListParagraph"/>
        <w:numPr>
          <w:ilvl w:val="0"/>
          <w:numId w:val="8"/>
        </w:numPr>
        <w:spacing w:line="360" w:lineRule="auto"/>
        <w:rPr>
          <w:rFonts w:ascii="Arial" w:hAnsi="Arial" w:cs="Arial"/>
          <w:sz w:val="24"/>
          <w:szCs w:val="24"/>
        </w:rPr>
      </w:pPr>
      <w:r w:rsidRPr="008F5B00">
        <w:rPr>
          <w:rFonts w:ascii="Arial" w:hAnsi="Arial" w:cs="Arial"/>
          <w:sz w:val="24"/>
          <w:szCs w:val="24"/>
        </w:rPr>
        <w:t>Implement tiers of terms: restrict terms on high risk accounts, offer competitive terms on prime accounts and give incentives on timely payments.</w:t>
      </w:r>
    </w:p>
    <w:p w14:paraId="46B34FB8" w14:textId="77777777" w:rsidR="008F5B00" w:rsidRPr="008F5B00" w:rsidRDefault="008F5B00" w:rsidP="008F5B00">
      <w:pPr>
        <w:pStyle w:val="ListParagraph"/>
        <w:numPr>
          <w:ilvl w:val="0"/>
          <w:numId w:val="8"/>
        </w:numPr>
        <w:spacing w:line="360" w:lineRule="auto"/>
        <w:rPr>
          <w:rFonts w:ascii="Arial" w:hAnsi="Arial" w:cs="Arial"/>
          <w:sz w:val="24"/>
          <w:szCs w:val="24"/>
        </w:rPr>
      </w:pPr>
      <w:r w:rsidRPr="008F5B00">
        <w:rPr>
          <w:rFonts w:ascii="Arial" w:hAnsi="Arial" w:cs="Arial"/>
          <w:sz w:val="24"/>
          <w:szCs w:val="24"/>
        </w:rPr>
        <w:t>Early-pay-discounts should be employed on dynamic discounting tools and customer self-service portals to increase the speed of remittances (McKinsey, 2024).</w:t>
      </w:r>
    </w:p>
    <w:p w14:paraId="68062D18" w14:textId="77777777" w:rsidR="008F5B00" w:rsidRPr="008F5B00" w:rsidRDefault="008F5B00" w:rsidP="008F5B00">
      <w:pPr>
        <w:pStyle w:val="ListParagraph"/>
        <w:numPr>
          <w:ilvl w:val="0"/>
          <w:numId w:val="8"/>
        </w:numPr>
        <w:spacing w:line="360" w:lineRule="auto"/>
        <w:rPr>
          <w:rFonts w:ascii="Arial" w:hAnsi="Arial" w:cs="Arial"/>
          <w:sz w:val="24"/>
          <w:szCs w:val="24"/>
        </w:rPr>
      </w:pPr>
      <w:r w:rsidRPr="008F5B00">
        <w:rPr>
          <w:rFonts w:ascii="Arial" w:hAnsi="Arial" w:cs="Arial"/>
          <w:sz w:val="24"/>
          <w:szCs w:val="24"/>
        </w:rPr>
        <w:t>Create strong collections governance (KPI dashboards e.g. DSO, ageing buckets, dispute cycles time, etc.), and weekly action reviews.</w:t>
      </w:r>
    </w:p>
    <w:p w14:paraId="46A5A650"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Target outcome: 20-25 days to the decrease in DSO in the 9-12 months, which will open the door to massive cash and will keep a company out of the situation of having to rely on short-term borrow.</w:t>
      </w:r>
    </w:p>
    <w:p w14:paraId="6F2C850D" w14:textId="31D4AAB5"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3.3 Inventory strategy and demand alignment</w:t>
      </w:r>
    </w:p>
    <w:p w14:paraId="6F1CB100"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Inventory balances decreased to PS79 billion (2024) as compared to PS140 billion (2022), but it was achievable through write-downs and reduced output, and not through systematic efficiency improvements. The 3.5x turnover is behind that of the industry (PwC, 2024), indicating unsold products and poor end-to-end forecasting.</w:t>
      </w:r>
    </w:p>
    <w:p w14:paraId="3ABF3FB7"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Recommended actions:</w:t>
      </w:r>
    </w:p>
    <w:p w14:paraId="55FC2CEA" w14:textId="77777777" w:rsidR="008F5B00" w:rsidRPr="008F5B00" w:rsidRDefault="008F5B00" w:rsidP="008F5B00">
      <w:pPr>
        <w:pStyle w:val="ListParagraph"/>
        <w:numPr>
          <w:ilvl w:val="0"/>
          <w:numId w:val="43"/>
        </w:numPr>
        <w:spacing w:line="360" w:lineRule="auto"/>
        <w:rPr>
          <w:rFonts w:ascii="Arial" w:hAnsi="Arial" w:cs="Arial"/>
          <w:sz w:val="24"/>
          <w:szCs w:val="24"/>
        </w:rPr>
      </w:pPr>
      <w:r w:rsidRPr="008F5B00">
        <w:rPr>
          <w:rFonts w:ascii="Arial" w:hAnsi="Arial" w:cs="Arial"/>
          <w:sz w:val="24"/>
          <w:szCs w:val="24"/>
        </w:rPr>
        <w:t>Operating practices (Lean based, to fluctuation in demand), such as: JIT pull signals, smaller batch sizes and faster changeovers (Christopher, 2016).</w:t>
      </w:r>
    </w:p>
    <w:p w14:paraId="4653FA41" w14:textId="77777777" w:rsidR="008F5B00" w:rsidRPr="008F5B00" w:rsidRDefault="008F5B00" w:rsidP="008F5B00">
      <w:pPr>
        <w:pStyle w:val="ListParagraph"/>
        <w:numPr>
          <w:ilvl w:val="0"/>
          <w:numId w:val="43"/>
        </w:numPr>
        <w:spacing w:line="360" w:lineRule="auto"/>
        <w:rPr>
          <w:rFonts w:ascii="Arial" w:hAnsi="Arial" w:cs="Arial"/>
          <w:sz w:val="24"/>
          <w:szCs w:val="24"/>
        </w:rPr>
      </w:pPr>
      <w:r w:rsidRPr="008F5B00">
        <w:rPr>
          <w:rFonts w:ascii="Arial" w:hAnsi="Arial" w:cs="Arial"/>
          <w:sz w:val="24"/>
          <w:szCs w:val="24"/>
        </w:rPr>
        <w:t>Enhancing Sales and Operations Planning (S&amp;OP) to calibrate commercial forecasts, supply plans and inventory objectives towards clear service level and cash objectives.</w:t>
      </w:r>
    </w:p>
    <w:p w14:paraId="1EB46303" w14:textId="77777777" w:rsidR="008F5B00" w:rsidRPr="008F5B00" w:rsidRDefault="008F5B00" w:rsidP="008F5B00">
      <w:pPr>
        <w:pStyle w:val="ListParagraph"/>
        <w:numPr>
          <w:ilvl w:val="0"/>
          <w:numId w:val="43"/>
        </w:numPr>
        <w:spacing w:line="360" w:lineRule="auto"/>
        <w:rPr>
          <w:rFonts w:ascii="Arial" w:hAnsi="Arial" w:cs="Arial"/>
          <w:sz w:val="24"/>
          <w:szCs w:val="24"/>
        </w:rPr>
      </w:pPr>
      <w:r w:rsidRPr="008F5B00">
        <w:rPr>
          <w:rFonts w:ascii="Arial" w:hAnsi="Arial" w:cs="Arial"/>
          <w:sz w:val="24"/>
          <w:szCs w:val="24"/>
        </w:rPr>
        <w:lastRenderedPageBreak/>
        <w:t>Forecasting based on AI/ML can identify the effects of seasonality, promo-lift, and cannibalisation: particularly critical in short-lift, high-moving electronics (Accenture, 2024).</w:t>
      </w:r>
    </w:p>
    <w:p w14:paraId="094723F0" w14:textId="77777777" w:rsidR="008F5B00" w:rsidRPr="008F5B00" w:rsidRDefault="008F5B00" w:rsidP="008F5B00">
      <w:pPr>
        <w:pStyle w:val="ListParagraph"/>
        <w:numPr>
          <w:ilvl w:val="0"/>
          <w:numId w:val="43"/>
        </w:numPr>
        <w:spacing w:line="360" w:lineRule="auto"/>
        <w:rPr>
          <w:rFonts w:ascii="Arial" w:hAnsi="Arial" w:cs="Arial"/>
          <w:sz w:val="24"/>
          <w:szCs w:val="24"/>
        </w:rPr>
      </w:pPr>
      <w:r w:rsidRPr="008F5B00">
        <w:rPr>
          <w:rFonts w:ascii="Arial" w:hAnsi="Arial" w:cs="Arial"/>
          <w:sz w:val="24"/>
          <w:szCs w:val="24"/>
        </w:rPr>
        <w:t>Streamline the SKU line, focus on high velocity, high margin lines and eliminate the marginal SKUs to reduce holding and obsolescence costs.</w:t>
      </w:r>
    </w:p>
    <w:p w14:paraId="157D3DAA" w14:textId="093A6A5C" w:rsidR="003B40C6" w:rsidRPr="003B40C6" w:rsidRDefault="008F5B00" w:rsidP="008F5B00">
      <w:pPr>
        <w:spacing w:line="360" w:lineRule="auto"/>
        <w:rPr>
          <w:rFonts w:ascii="Arial" w:hAnsi="Arial" w:cs="Arial"/>
          <w:sz w:val="24"/>
          <w:szCs w:val="24"/>
        </w:rPr>
      </w:pPr>
      <w:r w:rsidRPr="008F5B00">
        <w:rPr>
          <w:rFonts w:ascii="Arial" w:hAnsi="Arial" w:cs="Arial"/>
          <w:sz w:val="24"/>
          <w:szCs w:val="24"/>
        </w:rPr>
        <w:t>Target outcome: increase the turnover to 4.5-5.0x in 1218 months, reduce the DIO by 20-30 days and alleviate the write-down risk.</w:t>
      </w:r>
    </w:p>
    <w:p w14:paraId="00B356B0" w14:textId="7777777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3.4 Payables management and supplier partnerships</w:t>
      </w:r>
    </w:p>
    <w:p w14:paraId="2796CE23"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It has risen by 67 days with Payables growing between PS57 billion (2023) to PS72 billion (2024). Although the increase in the payment terms gives a short-term liquidity buffer, the unilateral stretching undermines supplier confidence and introduces the possibility of supply disruption, which is especially detrimental to electronics components where supply is limited worldwide.</w:t>
      </w:r>
    </w:p>
    <w:p w14:paraId="5F6EE676"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Recommended actions:</w:t>
      </w:r>
    </w:p>
    <w:p w14:paraId="3C8C1D3A" w14:textId="77777777" w:rsidR="008F5B00" w:rsidRPr="008F5B00" w:rsidRDefault="008F5B00" w:rsidP="008F5B00">
      <w:pPr>
        <w:pStyle w:val="ListParagraph"/>
        <w:numPr>
          <w:ilvl w:val="0"/>
          <w:numId w:val="44"/>
        </w:numPr>
        <w:spacing w:line="360" w:lineRule="auto"/>
        <w:rPr>
          <w:rFonts w:ascii="Arial" w:hAnsi="Arial" w:cs="Arial"/>
          <w:sz w:val="24"/>
          <w:szCs w:val="24"/>
        </w:rPr>
      </w:pPr>
      <w:r w:rsidRPr="008F5B00">
        <w:rPr>
          <w:rFonts w:ascii="Arial" w:hAnsi="Arial" w:cs="Arial"/>
          <w:sz w:val="24"/>
          <w:szCs w:val="24"/>
        </w:rPr>
        <w:t>Implement supply chain finance (reverse factoring) to provide suppliers with early payments at favourable discount rates whilst maintaining GE own DPO (EY, 2024).</w:t>
      </w:r>
    </w:p>
    <w:p w14:paraId="664A042C" w14:textId="77777777" w:rsidR="008F5B00" w:rsidRPr="008F5B00" w:rsidRDefault="008F5B00" w:rsidP="008F5B00">
      <w:pPr>
        <w:pStyle w:val="ListParagraph"/>
        <w:numPr>
          <w:ilvl w:val="0"/>
          <w:numId w:val="44"/>
        </w:numPr>
        <w:spacing w:line="360" w:lineRule="auto"/>
        <w:rPr>
          <w:rFonts w:ascii="Arial" w:hAnsi="Arial" w:cs="Arial"/>
          <w:sz w:val="24"/>
          <w:szCs w:val="24"/>
        </w:rPr>
      </w:pPr>
      <w:r w:rsidRPr="008F5B00">
        <w:rPr>
          <w:rFonts w:ascii="Arial" w:hAnsi="Arial" w:cs="Arial"/>
          <w:sz w:val="24"/>
          <w:szCs w:val="24"/>
        </w:rPr>
        <w:t>Control the suppliers in terms of criticality and match the bargaining power with relationship value: negotiate systematic term extensions of commoditised inputs; offer VMI or collaborative planning of strategic components.</w:t>
      </w:r>
    </w:p>
    <w:p w14:paraId="63A66B8E" w14:textId="77777777" w:rsidR="008F5B00" w:rsidRPr="008F5B00" w:rsidRDefault="008F5B00" w:rsidP="008F5B00">
      <w:pPr>
        <w:pStyle w:val="ListParagraph"/>
        <w:numPr>
          <w:ilvl w:val="0"/>
          <w:numId w:val="44"/>
        </w:numPr>
        <w:spacing w:line="360" w:lineRule="auto"/>
        <w:rPr>
          <w:rFonts w:ascii="Arial" w:hAnsi="Arial" w:cs="Arial"/>
          <w:b/>
          <w:bCs/>
          <w:sz w:val="24"/>
          <w:szCs w:val="24"/>
        </w:rPr>
      </w:pPr>
      <w:r w:rsidRPr="008F5B00">
        <w:rPr>
          <w:rFonts w:ascii="Arial" w:hAnsi="Arial" w:cs="Arial"/>
          <w:sz w:val="24"/>
          <w:szCs w:val="24"/>
        </w:rPr>
        <w:t>Manage supplier performance: on-time, NCR (non-conformance rate), lead-time variability and cost-to-serve institute this in order to enhance predictability.</w:t>
      </w:r>
    </w:p>
    <w:p w14:paraId="72444475" w14:textId="3D46E405" w:rsidR="003B40C6" w:rsidRPr="008F5B00" w:rsidRDefault="003B40C6" w:rsidP="008F5B00">
      <w:pPr>
        <w:spacing w:line="360" w:lineRule="auto"/>
        <w:rPr>
          <w:rFonts w:ascii="Arial" w:hAnsi="Arial" w:cs="Arial"/>
          <w:b/>
          <w:bCs/>
          <w:sz w:val="24"/>
          <w:szCs w:val="24"/>
        </w:rPr>
      </w:pPr>
      <w:r w:rsidRPr="008F5B00">
        <w:rPr>
          <w:rFonts w:ascii="Arial" w:hAnsi="Arial" w:cs="Arial"/>
          <w:b/>
          <w:bCs/>
          <w:sz w:val="24"/>
          <w:szCs w:val="24"/>
        </w:rPr>
        <w:t>3.5 Working capital financing levers</w:t>
      </w:r>
    </w:p>
    <w:p w14:paraId="6076E923"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 xml:space="preserve">The flexible funding should be used to supplement operational fixes: Short-term: daily liquidity revolving credit; monetising receivables in invoice discounting or factoring; selective bank overdrafts (KPMG, 2023). Medium term: medium-term loans to fund transformation; convertible to lower cash interest cost, and share upside; and in case necessary, equity raises to deleverage. A combined strategy is wise considering that GE has a limited credit headroom: retain a dedicated RCF to </w:t>
      </w:r>
      <w:r w:rsidRPr="008F5B00">
        <w:rPr>
          <w:rFonts w:ascii="Arial" w:hAnsi="Arial" w:cs="Arial"/>
          <w:sz w:val="24"/>
          <w:szCs w:val="24"/>
        </w:rPr>
        <w:lastRenderedPageBreak/>
        <w:t>address seasonal liquidity needs; a small-scale equity raise as the first turnaround indicators become evident.</w:t>
      </w:r>
    </w:p>
    <w:p w14:paraId="01DDD8CC" w14:textId="3BB9C2E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3.6 Working capital reform blueprint</w:t>
      </w:r>
    </w:p>
    <w:p w14:paraId="07B0783E" w14:textId="77777777" w:rsidR="008F5B00" w:rsidRPr="008F5B00" w:rsidRDefault="008F5B00" w:rsidP="008F5B00">
      <w:pPr>
        <w:spacing w:line="360" w:lineRule="auto"/>
        <w:rPr>
          <w:rFonts w:ascii="Arial" w:hAnsi="Arial" w:cs="Arial"/>
          <w:sz w:val="24"/>
          <w:szCs w:val="24"/>
        </w:rPr>
      </w:pPr>
      <w:r w:rsidRPr="008F5B00">
        <w:rPr>
          <w:rFonts w:ascii="Arial" w:hAnsi="Arial" w:cs="Arial"/>
          <w:sz w:val="24"/>
          <w:szCs w:val="24"/>
        </w:rPr>
        <w:t>Priority initiatives:</w:t>
      </w:r>
    </w:p>
    <w:p w14:paraId="55E75C5B" w14:textId="77777777" w:rsidR="00E066D2" w:rsidRDefault="00E066D2" w:rsidP="008F5B00">
      <w:pPr>
        <w:pStyle w:val="ListParagraph"/>
        <w:numPr>
          <w:ilvl w:val="0"/>
          <w:numId w:val="45"/>
        </w:numPr>
        <w:spacing w:line="360" w:lineRule="auto"/>
        <w:rPr>
          <w:rFonts w:ascii="Arial" w:hAnsi="Arial" w:cs="Arial"/>
          <w:sz w:val="24"/>
          <w:szCs w:val="24"/>
        </w:rPr>
      </w:pPr>
      <w:r w:rsidRPr="00E066D2">
        <w:rPr>
          <w:rFonts w:ascii="Arial" w:hAnsi="Arial" w:cs="Arial"/>
          <w:sz w:val="24"/>
          <w:szCs w:val="24"/>
        </w:rPr>
        <w:t>Receivables: real time credit data; better terms; early payment incentive; better collections management.</w:t>
      </w:r>
    </w:p>
    <w:p w14:paraId="0FA7F264" w14:textId="01347E8B" w:rsidR="008F5B00" w:rsidRPr="008F5B00" w:rsidRDefault="008F5B00" w:rsidP="008F5B00">
      <w:pPr>
        <w:pStyle w:val="ListParagraph"/>
        <w:numPr>
          <w:ilvl w:val="0"/>
          <w:numId w:val="45"/>
        </w:numPr>
        <w:spacing w:line="360" w:lineRule="auto"/>
        <w:rPr>
          <w:rFonts w:ascii="Arial" w:hAnsi="Arial" w:cs="Arial"/>
          <w:sz w:val="24"/>
          <w:szCs w:val="24"/>
        </w:rPr>
      </w:pPr>
      <w:r w:rsidRPr="008F5B00">
        <w:rPr>
          <w:rFonts w:ascii="Arial" w:hAnsi="Arial" w:cs="Arial"/>
          <w:sz w:val="24"/>
          <w:szCs w:val="24"/>
        </w:rPr>
        <w:t>Inventory AI- Based forecasting; lean implementation; SKU rationalisation; S&amp;OP discipline and cash targets.</w:t>
      </w:r>
    </w:p>
    <w:p w14:paraId="7838D53A" w14:textId="77777777" w:rsidR="00E066D2" w:rsidRDefault="008F5B00" w:rsidP="00E066D2">
      <w:pPr>
        <w:pStyle w:val="ListParagraph"/>
        <w:numPr>
          <w:ilvl w:val="0"/>
          <w:numId w:val="45"/>
        </w:numPr>
        <w:spacing w:line="360" w:lineRule="auto"/>
        <w:rPr>
          <w:rFonts w:ascii="Arial" w:hAnsi="Arial" w:cs="Arial"/>
          <w:sz w:val="24"/>
          <w:szCs w:val="24"/>
        </w:rPr>
      </w:pPr>
      <w:r w:rsidRPr="008F5B00">
        <w:rPr>
          <w:rFonts w:ascii="Arial" w:hAnsi="Arial" w:cs="Arial"/>
          <w:sz w:val="24"/>
          <w:szCs w:val="24"/>
        </w:rPr>
        <w:t>Payables: reverse factoring of the tier-1 suppliers; negotiated terms in a structured manner with the non-critical inputs; monitoring supplier risk.</w:t>
      </w:r>
    </w:p>
    <w:p w14:paraId="1946A995" w14:textId="7AF3DB81" w:rsidR="00E066D2" w:rsidRPr="00E066D2" w:rsidRDefault="00E066D2" w:rsidP="00E066D2">
      <w:pPr>
        <w:pStyle w:val="ListParagraph"/>
        <w:numPr>
          <w:ilvl w:val="0"/>
          <w:numId w:val="45"/>
        </w:numPr>
        <w:spacing w:line="360" w:lineRule="auto"/>
        <w:rPr>
          <w:rFonts w:ascii="Arial" w:hAnsi="Arial" w:cs="Arial"/>
          <w:sz w:val="24"/>
          <w:szCs w:val="24"/>
        </w:rPr>
      </w:pPr>
      <w:r w:rsidRPr="00E066D2">
        <w:rPr>
          <w:rFonts w:ascii="Arial" w:hAnsi="Arial" w:cs="Arial"/>
          <w:sz w:val="24"/>
          <w:szCs w:val="24"/>
        </w:rPr>
        <w:t>Cash control: weekly rolling 13-week cash-flow modelling with scenario overlays reconciled to actuals (Grant Thornton, 2023).</w:t>
      </w:r>
    </w:p>
    <w:p w14:paraId="08DE0BC2" w14:textId="77777777" w:rsidR="008F5B00" w:rsidRDefault="008F5B00" w:rsidP="008F5B00">
      <w:pPr>
        <w:spacing w:line="360" w:lineRule="auto"/>
        <w:rPr>
          <w:rFonts w:ascii="Arial" w:hAnsi="Arial" w:cs="Arial"/>
          <w:sz w:val="24"/>
          <w:szCs w:val="24"/>
        </w:rPr>
      </w:pPr>
      <w:r w:rsidRPr="008F5B00">
        <w:rPr>
          <w:rFonts w:ascii="Arial" w:hAnsi="Arial" w:cs="Arial"/>
          <w:sz w:val="24"/>
          <w:szCs w:val="24"/>
        </w:rPr>
        <w:t>Projected effect: squeeze the CCC by 25-30 days, allowing approximately PS25-30 billion of liquidity out - needed to service debts and turnaround investments.</w:t>
      </w:r>
    </w:p>
    <w:p w14:paraId="39EF2634" w14:textId="697000DD"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3.7 Strategic implications</w:t>
      </w:r>
    </w:p>
    <w:p w14:paraId="0EBB0F8D" w14:textId="7AE791F1" w:rsidR="008F5B00" w:rsidRPr="003B40C6" w:rsidRDefault="008F5B00" w:rsidP="008F5B00">
      <w:pPr>
        <w:spacing w:line="360" w:lineRule="auto"/>
        <w:rPr>
          <w:rFonts w:ascii="Arial" w:hAnsi="Arial" w:cs="Arial"/>
          <w:sz w:val="24"/>
          <w:szCs w:val="24"/>
        </w:rPr>
      </w:pPr>
      <w:r w:rsidRPr="008F5B00">
        <w:rPr>
          <w:rFonts w:ascii="Arial" w:hAnsi="Arial" w:cs="Arial"/>
          <w:sz w:val="24"/>
          <w:szCs w:val="24"/>
        </w:rPr>
        <w:t>The restructuring and growth trajectory is based on better working-capital discipline. Liquidity that is liberated by DSO/DIO enhancements means that the high cost of borrowing does not have to be relied upon, priority capex is financed, and relationships are fixed with creditors. Other protection of margins and cash conversion is global cash management: hedging the exposures to FX and integration of inflation indices into contracts with suppliers (World Bank, 2024). Similarly, an announcement of a greater level of cash discipline will also help market confidence in the recovery direction of GE.</w:t>
      </w:r>
    </w:p>
    <w:p w14:paraId="678B64D6" w14:textId="77777777" w:rsidR="003B40C6" w:rsidRPr="003B40C6" w:rsidRDefault="003B40C6" w:rsidP="008F5B00">
      <w:pPr>
        <w:numPr>
          <w:ilvl w:val="0"/>
          <w:numId w:val="14"/>
        </w:numPr>
        <w:tabs>
          <w:tab w:val="clear" w:pos="360"/>
          <w:tab w:val="num" w:pos="720"/>
        </w:tabs>
        <w:spacing w:line="360" w:lineRule="auto"/>
        <w:rPr>
          <w:rFonts w:ascii="Arial" w:hAnsi="Arial" w:cs="Arial"/>
          <w:b/>
          <w:bCs/>
          <w:sz w:val="24"/>
          <w:szCs w:val="24"/>
        </w:rPr>
      </w:pPr>
      <w:r w:rsidRPr="003B40C6">
        <w:rPr>
          <w:rFonts w:ascii="Arial" w:hAnsi="Arial" w:cs="Arial"/>
          <w:b/>
          <w:bCs/>
          <w:sz w:val="24"/>
          <w:szCs w:val="24"/>
        </w:rPr>
        <w:t>Strategic Financial Restructuring Plan</w:t>
      </w:r>
    </w:p>
    <w:p w14:paraId="69A8596E" w14:textId="77777777"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4.1 Rationale and objectives</w:t>
      </w:r>
    </w:p>
    <w:p w14:paraId="6B6D2634"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 xml:space="preserve">The key aspect of pre-rebuilding solvency headroom, reducing the WACC, and restoring strategic flexibility is restructuring (Altman and Hotchkiss, 2020). GE has a high debt burden (D/E 1.11), low retained earnings and a negative interest coverage- which is unsustainable. The suggested plan incorporates liability management, </w:t>
      </w:r>
      <w:r w:rsidRPr="00AE3DF3">
        <w:rPr>
          <w:rFonts w:ascii="Arial" w:hAnsi="Arial" w:cs="Arial"/>
          <w:sz w:val="24"/>
          <w:szCs w:val="24"/>
        </w:rPr>
        <w:lastRenderedPageBreak/>
        <w:t>equity actions, asset portfolio optimisation, and partnerships, and it is governed by a framework of actions that are more focused on transparency and ethics.</w:t>
      </w:r>
    </w:p>
    <w:p w14:paraId="555F9139"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Objectives:</w:t>
      </w:r>
    </w:p>
    <w:p w14:paraId="4E532D1E" w14:textId="77777777" w:rsidR="00AE3DF3" w:rsidRPr="00AE3DF3" w:rsidRDefault="00AE3DF3" w:rsidP="00AE3DF3">
      <w:pPr>
        <w:pStyle w:val="ListParagraph"/>
        <w:numPr>
          <w:ilvl w:val="0"/>
          <w:numId w:val="46"/>
        </w:numPr>
        <w:spacing w:line="360" w:lineRule="auto"/>
        <w:rPr>
          <w:rFonts w:ascii="Arial" w:hAnsi="Arial" w:cs="Arial"/>
          <w:sz w:val="24"/>
          <w:szCs w:val="24"/>
        </w:rPr>
      </w:pPr>
      <w:r w:rsidRPr="00AE3DF3">
        <w:rPr>
          <w:rFonts w:ascii="Arial" w:hAnsi="Arial" w:cs="Arial"/>
          <w:sz w:val="24"/>
          <w:szCs w:val="24"/>
        </w:rPr>
        <w:t>Decrease debt-service ratio, increase maturity.</w:t>
      </w:r>
    </w:p>
    <w:p w14:paraId="67F6C9F0" w14:textId="77777777" w:rsidR="00AE3DF3" w:rsidRPr="00AE3DF3" w:rsidRDefault="00AE3DF3" w:rsidP="00AE3DF3">
      <w:pPr>
        <w:pStyle w:val="ListParagraph"/>
        <w:numPr>
          <w:ilvl w:val="0"/>
          <w:numId w:val="46"/>
        </w:numPr>
        <w:spacing w:line="360" w:lineRule="auto"/>
        <w:rPr>
          <w:rFonts w:ascii="Arial" w:hAnsi="Arial" w:cs="Arial"/>
          <w:sz w:val="24"/>
          <w:szCs w:val="24"/>
        </w:rPr>
      </w:pPr>
      <w:r w:rsidRPr="00AE3DF3">
        <w:rPr>
          <w:rFonts w:ascii="Arial" w:hAnsi="Arial" w:cs="Arial"/>
          <w:sz w:val="24"/>
          <w:szCs w:val="24"/>
        </w:rPr>
        <w:t>Gratify equity so that it can take in shocks and priority investments.</w:t>
      </w:r>
    </w:p>
    <w:p w14:paraId="01ADE790" w14:textId="77777777" w:rsidR="00AE3DF3" w:rsidRPr="00AE3DF3" w:rsidRDefault="00AE3DF3" w:rsidP="00AE3DF3">
      <w:pPr>
        <w:pStyle w:val="ListParagraph"/>
        <w:numPr>
          <w:ilvl w:val="0"/>
          <w:numId w:val="46"/>
        </w:numPr>
        <w:spacing w:line="360" w:lineRule="auto"/>
        <w:rPr>
          <w:rFonts w:ascii="Arial" w:hAnsi="Arial" w:cs="Arial"/>
          <w:sz w:val="24"/>
          <w:szCs w:val="24"/>
        </w:rPr>
      </w:pPr>
      <w:r w:rsidRPr="00AE3DF3">
        <w:rPr>
          <w:rFonts w:ascii="Arial" w:hAnsi="Arial" w:cs="Arial"/>
          <w:sz w:val="24"/>
          <w:szCs w:val="24"/>
        </w:rPr>
        <w:t>Streamline the portfolio to concentrate on businesses that grow and have higher returns.</w:t>
      </w:r>
    </w:p>
    <w:p w14:paraId="07993DF5" w14:textId="77777777" w:rsidR="00AE3DF3" w:rsidRPr="00AE3DF3" w:rsidRDefault="00AE3DF3" w:rsidP="00AE3DF3">
      <w:pPr>
        <w:pStyle w:val="ListParagraph"/>
        <w:numPr>
          <w:ilvl w:val="0"/>
          <w:numId w:val="46"/>
        </w:numPr>
        <w:spacing w:line="360" w:lineRule="auto"/>
        <w:rPr>
          <w:rFonts w:ascii="Arial" w:hAnsi="Arial" w:cs="Arial"/>
          <w:sz w:val="24"/>
          <w:szCs w:val="24"/>
        </w:rPr>
      </w:pPr>
      <w:r w:rsidRPr="00AE3DF3">
        <w:rPr>
          <w:rFonts w:ascii="Arial" w:hAnsi="Arial" w:cs="Arial"/>
          <w:sz w:val="24"/>
          <w:szCs w:val="24"/>
        </w:rPr>
        <w:t>Develop external alliances in terms of technology and market penetration.</w:t>
      </w:r>
    </w:p>
    <w:p w14:paraId="6F33D414" w14:textId="77777777" w:rsidR="00AE3DF3" w:rsidRPr="00AE3DF3" w:rsidRDefault="00AE3DF3" w:rsidP="00AE3DF3">
      <w:pPr>
        <w:pStyle w:val="ListParagraph"/>
        <w:numPr>
          <w:ilvl w:val="0"/>
          <w:numId w:val="46"/>
        </w:numPr>
        <w:spacing w:line="360" w:lineRule="auto"/>
        <w:rPr>
          <w:rFonts w:ascii="Arial" w:hAnsi="Arial" w:cs="Arial"/>
          <w:sz w:val="24"/>
          <w:szCs w:val="24"/>
        </w:rPr>
      </w:pPr>
      <w:r w:rsidRPr="00AE3DF3">
        <w:rPr>
          <w:rFonts w:ascii="Arial" w:hAnsi="Arial" w:cs="Arial"/>
          <w:sz w:val="24"/>
          <w:szCs w:val="24"/>
        </w:rPr>
        <w:t>Integrate ESG and stakeholder concerns to contribute towards sustainable value creation.</w:t>
      </w:r>
    </w:p>
    <w:p w14:paraId="68EC8690" w14:textId="6D4E482D" w:rsidR="003B40C6" w:rsidRPr="003B40C6" w:rsidRDefault="003B40C6" w:rsidP="00AE3DF3">
      <w:pPr>
        <w:spacing w:line="360" w:lineRule="auto"/>
        <w:rPr>
          <w:rFonts w:ascii="Arial" w:hAnsi="Arial" w:cs="Arial"/>
          <w:b/>
          <w:bCs/>
          <w:sz w:val="24"/>
          <w:szCs w:val="24"/>
        </w:rPr>
      </w:pPr>
      <w:r w:rsidRPr="003B40C6">
        <w:rPr>
          <w:rFonts w:ascii="Arial" w:hAnsi="Arial" w:cs="Arial"/>
          <w:b/>
          <w:bCs/>
          <w:sz w:val="24"/>
          <w:szCs w:val="24"/>
        </w:rPr>
        <w:t>4.2 Liabilities management: debt restructuring</w:t>
      </w:r>
    </w:p>
    <w:p w14:paraId="6D99738E"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Re-profile maturities -negotiate with the banks and bondholders to roll over maturities shorter in duration and amortise consistent with estimated cash flows (IMF, 2024).</w:t>
      </w:r>
    </w:p>
    <w:p w14:paraId="32F303B3"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Consider reducing margins or converting floating rates to fixed where necessary; consider interest deferral covenants which are tied to operational KPIs at the stabilisation stage.</w:t>
      </w:r>
    </w:p>
    <w:p w14:paraId="2FE1C045"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Carry out a partial debt to equity swap (~PS20 billion) to achieve a decrease in D/E of between 1.11 to about 0.9 to increase solvency ratios and covenant headroom.</w:t>
      </w:r>
    </w:p>
    <w:p w14:paraId="0299F388"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Issue convertible bonds to reduce the amount of cash interest payments in the short term and provide the investor with optionality of upside (Damodaran, 2023).</w:t>
      </w:r>
    </w:p>
    <w:p w14:paraId="6720616D" w14:textId="77777777" w:rsidR="00AE3DF3" w:rsidRPr="00AE3DF3" w:rsidRDefault="00AE3DF3" w:rsidP="00AE3DF3">
      <w:pPr>
        <w:spacing w:line="360" w:lineRule="auto"/>
        <w:rPr>
          <w:rFonts w:ascii="Arial" w:hAnsi="Arial" w:cs="Arial"/>
          <w:sz w:val="24"/>
          <w:szCs w:val="24"/>
        </w:rPr>
      </w:pPr>
      <w:r w:rsidRPr="00AE3DF3">
        <w:rPr>
          <w:rFonts w:ascii="Arial" w:hAnsi="Arial" w:cs="Arial"/>
          <w:sz w:val="24"/>
          <w:szCs w:val="24"/>
        </w:rPr>
        <w:t>Guiding principles:</w:t>
      </w:r>
    </w:p>
    <w:p w14:paraId="60467534" w14:textId="77777777" w:rsidR="00AE3DF3" w:rsidRPr="00AE3DF3" w:rsidRDefault="00AE3DF3" w:rsidP="00AE3DF3">
      <w:pPr>
        <w:pStyle w:val="ListParagraph"/>
        <w:numPr>
          <w:ilvl w:val="0"/>
          <w:numId w:val="47"/>
        </w:numPr>
        <w:spacing w:line="360" w:lineRule="auto"/>
        <w:rPr>
          <w:rFonts w:ascii="Arial" w:hAnsi="Arial" w:cs="Arial"/>
          <w:sz w:val="24"/>
          <w:szCs w:val="24"/>
        </w:rPr>
      </w:pPr>
      <w:r w:rsidRPr="00AE3DF3">
        <w:rPr>
          <w:rFonts w:ascii="Arial" w:hAnsi="Arial" w:cs="Arial"/>
          <w:sz w:val="24"/>
          <w:szCs w:val="24"/>
        </w:rPr>
        <w:t>Ensure that there is open and frequent communication with lenders to build goodwill and perceived counterparty risk can be minimized.</w:t>
      </w:r>
    </w:p>
    <w:p w14:paraId="1CE67DF3" w14:textId="77777777" w:rsidR="00AE3DF3" w:rsidRPr="00AE3DF3" w:rsidRDefault="00AE3DF3" w:rsidP="00AE3DF3">
      <w:pPr>
        <w:pStyle w:val="ListParagraph"/>
        <w:numPr>
          <w:ilvl w:val="0"/>
          <w:numId w:val="47"/>
        </w:numPr>
        <w:spacing w:line="360" w:lineRule="auto"/>
        <w:rPr>
          <w:rFonts w:ascii="Arial" w:hAnsi="Arial" w:cs="Arial"/>
          <w:sz w:val="24"/>
          <w:szCs w:val="24"/>
        </w:rPr>
      </w:pPr>
      <w:r w:rsidRPr="00AE3DF3">
        <w:rPr>
          <w:rFonts w:ascii="Arial" w:hAnsi="Arial" w:cs="Arial"/>
          <w:sz w:val="24"/>
          <w:szCs w:val="24"/>
        </w:rPr>
        <w:t>Rebate obligations to clear, operational goals (e.g. CCC reduction, SG&amp;A savings, completion of inventory write-downs).</w:t>
      </w:r>
    </w:p>
    <w:p w14:paraId="42557194" w14:textId="77777777" w:rsidR="00AE3DF3" w:rsidRDefault="00AE3DF3" w:rsidP="00AE3DF3">
      <w:pPr>
        <w:spacing w:line="360" w:lineRule="auto"/>
        <w:rPr>
          <w:rFonts w:ascii="Arial" w:hAnsi="Arial" w:cs="Arial"/>
          <w:b/>
          <w:bCs/>
          <w:sz w:val="24"/>
          <w:szCs w:val="24"/>
        </w:rPr>
      </w:pPr>
    </w:p>
    <w:p w14:paraId="246FB8B4" w14:textId="77777777" w:rsidR="00AE3DF3" w:rsidRDefault="00AE3DF3" w:rsidP="00AE3DF3">
      <w:pPr>
        <w:spacing w:line="360" w:lineRule="auto"/>
        <w:rPr>
          <w:rFonts w:ascii="Arial" w:hAnsi="Arial" w:cs="Arial"/>
          <w:b/>
          <w:bCs/>
          <w:sz w:val="24"/>
          <w:szCs w:val="24"/>
        </w:rPr>
      </w:pPr>
    </w:p>
    <w:p w14:paraId="36FE0879" w14:textId="62F32217" w:rsidR="003B40C6" w:rsidRPr="003B40C6" w:rsidRDefault="003B40C6" w:rsidP="00AE3DF3">
      <w:pPr>
        <w:spacing w:line="360" w:lineRule="auto"/>
        <w:rPr>
          <w:rFonts w:ascii="Arial" w:hAnsi="Arial" w:cs="Arial"/>
          <w:b/>
          <w:bCs/>
          <w:sz w:val="24"/>
          <w:szCs w:val="24"/>
        </w:rPr>
      </w:pPr>
      <w:r w:rsidRPr="003B40C6">
        <w:rPr>
          <w:rFonts w:ascii="Arial" w:hAnsi="Arial" w:cs="Arial"/>
          <w:b/>
          <w:bCs/>
          <w:sz w:val="24"/>
          <w:szCs w:val="24"/>
        </w:rPr>
        <w:t>4.3 Equity recapitalisation</w:t>
      </w:r>
    </w:p>
    <w:p w14:paraId="6B5497B2" w14:textId="77777777" w:rsidR="0007076A" w:rsidRPr="0007076A" w:rsidRDefault="0007076A" w:rsidP="0007076A">
      <w:pPr>
        <w:spacing w:line="360" w:lineRule="auto"/>
        <w:rPr>
          <w:rFonts w:ascii="Arial" w:hAnsi="Arial" w:cs="Arial"/>
          <w:sz w:val="24"/>
          <w:szCs w:val="24"/>
        </w:rPr>
      </w:pPr>
      <w:r w:rsidRPr="0007076A">
        <w:rPr>
          <w:rFonts w:ascii="Arial" w:hAnsi="Arial" w:cs="Arial"/>
          <w:sz w:val="24"/>
          <w:szCs w:val="24"/>
        </w:rPr>
        <w:lastRenderedPageBreak/>
        <w:t>The timely raising of equity may offer sustainable capital to both deleverage and buffer working capital:</w:t>
      </w:r>
    </w:p>
    <w:p w14:paraId="274C7D01" w14:textId="77777777" w:rsidR="0007076A" w:rsidRPr="0007076A" w:rsidRDefault="0007076A" w:rsidP="0007076A">
      <w:pPr>
        <w:pStyle w:val="ListParagraph"/>
        <w:numPr>
          <w:ilvl w:val="0"/>
          <w:numId w:val="48"/>
        </w:numPr>
        <w:spacing w:line="360" w:lineRule="auto"/>
        <w:rPr>
          <w:rFonts w:ascii="Arial" w:hAnsi="Arial" w:cs="Arial"/>
          <w:sz w:val="24"/>
          <w:szCs w:val="24"/>
        </w:rPr>
      </w:pPr>
      <w:r w:rsidRPr="0007076A">
        <w:rPr>
          <w:rFonts w:ascii="Arial" w:hAnsi="Arial" w:cs="Arial"/>
          <w:sz w:val="24"/>
          <w:szCs w:val="24"/>
        </w:rPr>
        <w:t>A rights issue should be used to reduce interference of control and to reward shareholders who are loyal. An issue of 1 billion shares at PS10 per share would result in an increase in the amount of approximately PS10 billion.</w:t>
      </w:r>
    </w:p>
    <w:p w14:paraId="3C645439" w14:textId="77777777" w:rsidR="0007076A" w:rsidRPr="0007076A" w:rsidRDefault="0007076A" w:rsidP="0007076A">
      <w:pPr>
        <w:pStyle w:val="ListParagraph"/>
        <w:numPr>
          <w:ilvl w:val="0"/>
          <w:numId w:val="48"/>
        </w:numPr>
        <w:spacing w:line="360" w:lineRule="auto"/>
        <w:rPr>
          <w:rFonts w:ascii="Arial" w:hAnsi="Arial" w:cs="Arial"/>
          <w:sz w:val="24"/>
          <w:szCs w:val="24"/>
        </w:rPr>
      </w:pPr>
      <w:r w:rsidRPr="0007076A">
        <w:rPr>
          <w:rFonts w:ascii="Arial" w:hAnsi="Arial" w:cs="Arial"/>
          <w:sz w:val="24"/>
          <w:szCs w:val="24"/>
        </w:rPr>
        <w:t>Deploy is retiring expensive high-cost debt tranches, investing in normalising working-capital, and co-investment in the selected projects whose payback is near term.</w:t>
      </w:r>
    </w:p>
    <w:p w14:paraId="6FFFE5C5" w14:textId="77777777" w:rsidR="0007076A" w:rsidRPr="0007076A" w:rsidRDefault="0007076A" w:rsidP="0007076A">
      <w:pPr>
        <w:pStyle w:val="ListParagraph"/>
        <w:numPr>
          <w:ilvl w:val="0"/>
          <w:numId w:val="48"/>
        </w:numPr>
        <w:spacing w:line="360" w:lineRule="auto"/>
        <w:rPr>
          <w:rFonts w:ascii="Arial" w:hAnsi="Arial" w:cs="Arial"/>
          <w:sz w:val="24"/>
          <w:szCs w:val="24"/>
        </w:rPr>
      </w:pPr>
      <w:r w:rsidRPr="0007076A">
        <w:rPr>
          <w:rFonts w:ascii="Arial" w:hAnsi="Arial" w:cs="Arial"/>
          <w:sz w:val="24"/>
          <w:szCs w:val="24"/>
        </w:rPr>
        <w:t>Timing equity raise upon proven early victories (e.g., accepted debt extensions, first cost-out delivery), which ought to underpin the valuation as well as minimize dilution (EY, 2024).</w:t>
      </w:r>
    </w:p>
    <w:p w14:paraId="35396EB4" w14:textId="77777777" w:rsidR="0007076A" w:rsidRDefault="0007076A" w:rsidP="0007076A">
      <w:pPr>
        <w:spacing w:line="360" w:lineRule="auto"/>
        <w:rPr>
          <w:rFonts w:ascii="Arial" w:hAnsi="Arial" w:cs="Arial"/>
          <w:sz w:val="24"/>
          <w:szCs w:val="24"/>
        </w:rPr>
      </w:pPr>
      <w:r w:rsidRPr="0007076A">
        <w:rPr>
          <w:rFonts w:ascii="Arial" w:hAnsi="Arial" w:cs="Arial"/>
          <w:sz w:val="24"/>
          <w:szCs w:val="24"/>
        </w:rPr>
        <w:t>In theory, capital structure optimisation will decrease the WACC and increase the enterprise value, as the probability of bankruptcy decreases and the performance of the enterprise can be improved (Modigliani and Miller, 1963; Brigham and Ehrhardt, 2022). In practice, the market discourse on a successful rights issue can be reestablished by the signalling effect of a successful rights issue.</w:t>
      </w:r>
    </w:p>
    <w:p w14:paraId="613A2C4B" w14:textId="00B830EC" w:rsidR="003B40C6" w:rsidRPr="003B40C6" w:rsidRDefault="003B40C6" w:rsidP="0007076A">
      <w:pPr>
        <w:spacing w:line="360" w:lineRule="auto"/>
        <w:rPr>
          <w:rFonts w:ascii="Arial" w:hAnsi="Arial" w:cs="Arial"/>
          <w:b/>
          <w:bCs/>
          <w:sz w:val="24"/>
          <w:szCs w:val="24"/>
        </w:rPr>
      </w:pPr>
      <w:r w:rsidRPr="003B40C6">
        <w:rPr>
          <w:rFonts w:ascii="Arial" w:hAnsi="Arial" w:cs="Arial"/>
          <w:b/>
          <w:bCs/>
          <w:sz w:val="24"/>
          <w:szCs w:val="24"/>
        </w:rPr>
        <w:t>4.4 Portfolio pruning: asset divestitures</w:t>
      </w:r>
    </w:p>
    <w:p w14:paraId="298F39F0" w14:textId="77777777" w:rsidR="0007076A" w:rsidRDefault="0007076A" w:rsidP="008F5B00">
      <w:pPr>
        <w:spacing w:line="360" w:lineRule="auto"/>
        <w:rPr>
          <w:rFonts w:ascii="Arial" w:hAnsi="Arial" w:cs="Arial"/>
          <w:sz w:val="24"/>
          <w:szCs w:val="24"/>
        </w:rPr>
      </w:pPr>
      <w:r w:rsidRPr="0007076A">
        <w:rPr>
          <w:rFonts w:ascii="Arial" w:hAnsi="Arial" w:cs="Arial"/>
          <w:sz w:val="24"/>
          <w:szCs w:val="24"/>
        </w:rPr>
        <w:t>The evident discrepancy in the accounting profitability and operating cash flow at GE points to a working-capital intensity issue, which is most probably caused by sluggish receivables collection and high inventory levels. Although GE records weak or negative net income in certain years, operating cash flows are always utilized irregularly in manner to indicate timing effects and wasteful working-capital cycles as opposed to operational mightiness itself. It has been found that companies that have long collections of receivables and lots of inventories tend to lack a correlation between earnings and money-generating (Journal of Corporate Finance, 2021; Atrill and McLaney, 2022), which implies that they require more severe credit management, tightened inventory planning and better cash-conversion governance.</w:t>
      </w:r>
    </w:p>
    <w:p w14:paraId="64B8C0D5" w14:textId="3620F622"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4.5 Partnerships, alliances, and M&amp;A options</w:t>
      </w:r>
    </w:p>
    <w:p w14:paraId="56A56044" w14:textId="77777777" w:rsidR="0007076A" w:rsidRPr="0007076A" w:rsidRDefault="0007076A" w:rsidP="0007076A">
      <w:pPr>
        <w:spacing w:line="360" w:lineRule="auto"/>
        <w:rPr>
          <w:rFonts w:ascii="Arial" w:hAnsi="Arial" w:cs="Arial"/>
          <w:sz w:val="24"/>
          <w:szCs w:val="24"/>
        </w:rPr>
      </w:pPr>
      <w:r w:rsidRPr="0007076A">
        <w:rPr>
          <w:rFonts w:ascii="Arial" w:hAnsi="Arial" w:cs="Arial"/>
          <w:sz w:val="24"/>
          <w:szCs w:val="24"/>
        </w:rPr>
        <w:t>In order to speed up capability change:</w:t>
      </w:r>
    </w:p>
    <w:p w14:paraId="1C2583FE" w14:textId="77777777" w:rsidR="00E066D2" w:rsidRDefault="00E066D2" w:rsidP="0007076A">
      <w:pPr>
        <w:pStyle w:val="ListParagraph"/>
        <w:numPr>
          <w:ilvl w:val="0"/>
          <w:numId w:val="49"/>
        </w:numPr>
        <w:spacing w:line="360" w:lineRule="auto"/>
        <w:rPr>
          <w:rFonts w:ascii="Arial" w:hAnsi="Arial" w:cs="Arial"/>
          <w:sz w:val="24"/>
          <w:szCs w:val="24"/>
        </w:rPr>
      </w:pPr>
      <w:r w:rsidRPr="00E066D2">
        <w:rPr>
          <w:rFonts w:ascii="Arial" w:hAnsi="Arial" w:cs="Arial"/>
          <w:sz w:val="24"/>
          <w:szCs w:val="24"/>
        </w:rPr>
        <w:lastRenderedPageBreak/>
        <w:t>Cultivate alliance with software and semiconductor affiliates to achieve access to IP, reduce the time-to-market and co-develop the platforms, a mixture of software and hardware (KPMG, 2023).</w:t>
      </w:r>
    </w:p>
    <w:p w14:paraId="7F98E3A2" w14:textId="77777777" w:rsidR="00E066D2" w:rsidRDefault="00E066D2" w:rsidP="0007076A">
      <w:pPr>
        <w:pStyle w:val="ListParagraph"/>
        <w:numPr>
          <w:ilvl w:val="0"/>
          <w:numId w:val="49"/>
        </w:numPr>
        <w:spacing w:line="360" w:lineRule="auto"/>
        <w:rPr>
          <w:rFonts w:ascii="Arial" w:hAnsi="Arial" w:cs="Arial"/>
          <w:sz w:val="24"/>
          <w:szCs w:val="24"/>
        </w:rPr>
      </w:pPr>
      <w:r w:rsidRPr="00E066D2">
        <w:rPr>
          <w:rFonts w:ascii="Arial" w:hAnsi="Arial" w:cs="Arial"/>
          <w:sz w:val="24"/>
          <w:szCs w:val="24"/>
        </w:rPr>
        <w:t>Make minority or joint investments to separate capex investment into new categories (e.g. connected home hubs, AI enabled appliances).</w:t>
      </w:r>
    </w:p>
    <w:p w14:paraId="7797C50A" w14:textId="3FAD8A21" w:rsidR="0007076A" w:rsidRPr="0007076A" w:rsidRDefault="0007076A" w:rsidP="0007076A">
      <w:pPr>
        <w:pStyle w:val="ListParagraph"/>
        <w:numPr>
          <w:ilvl w:val="0"/>
          <w:numId w:val="49"/>
        </w:numPr>
        <w:spacing w:line="360" w:lineRule="auto"/>
        <w:rPr>
          <w:rFonts w:ascii="Arial" w:hAnsi="Arial" w:cs="Arial"/>
          <w:sz w:val="24"/>
          <w:szCs w:val="24"/>
        </w:rPr>
      </w:pPr>
      <w:r w:rsidRPr="0007076A">
        <w:rPr>
          <w:rFonts w:ascii="Arial" w:hAnsi="Arial" w:cs="Arial"/>
          <w:sz w:val="24"/>
          <w:szCs w:val="24"/>
        </w:rPr>
        <w:t>Assess bolt-on acquisitions that have a good valuation and integration is not complex, and plans to realise cultural compatibility and synergy are good.</w:t>
      </w:r>
    </w:p>
    <w:p w14:paraId="1E459FBF" w14:textId="77777777" w:rsidR="0007076A" w:rsidRDefault="0007076A" w:rsidP="0007076A">
      <w:pPr>
        <w:spacing w:line="360" w:lineRule="auto"/>
        <w:rPr>
          <w:rFonts w:ascii="Arial" w:hAnsi="Arial" w:cs="Arial"/>
          <w:sz w:val="24"/>
          <w:szCs w:val="24"/>
        </w:rPr>
      </w:pPr>
      <w:r w:rsidRPr="0007076A">
        <w:rPr>
          <w:rFonts w:ascii="Arial" w:hAnsi="Arial" w:cs="Arial"/>
          <w:sz w:val="24"/>
          <w:szCs w:val="24"/>
        </w:rPr>
        <w:t>These channels can transform GE into a platform-based player with more switching costs and recurring revenue components and balance the risk of execution.</w:t>
      </w:r>
    </w:p>
    <w:p w14:paraId="3FE5699E" w14:textId="032ADBF9" w:rsidR="003B40C6" w:rsidRPr="003B40C6" w:rsidRDefault="003B40C6" w:rsidP="0007076A">
      <w:pPr>
        <w:spacing w:line="360" w:lineRule="auto"/>
        <w:rPr>
          <w:rFonts w:ascii="Arial" w:hAnsi="Arial" w:cs="Arial"/>
          <w:b/>
          <w:bCs/>
          <w:sz w:val="24"/>
          <w:szCs w:val="24"/>
        </w:rPr>
      </w:pPr>
      <w:r w:rsidRPr="003B40C6">
        <w:rPr>
          <w:rFonts w:ascii="Arial" w:hAnsi="Arial" w:cs="Arial"/>
          <w:b/>
          <w:bCs/>
          <w:sz w:val="24"/>
          <w:szCs w:val="24"/>
        </w:rPr>
        <w:t>4.6 Ethics, sustainability, and global risk hygiene</w:t>
      </w:r>
    </w:p>
    <w:p w14:paraId="76964622" w14:textId="77777777" w:rsidR="0007076A" w:rsidRDefault="0007076A" w:rsidP="008F5B00">
      <w:pPr>
        <w:spacing w:line="360" w:lineRule="auto"/>
        <w:rPr>
          <w:rFonts w:ascii="Arial" w:hAnsi="Arial" w:cs="Arial"/>
          <w:sz w:val="24"/>
          <w:szCs w:val="24"/>
        </w:rPr>
      </w:pPr>
      <w:r w:rsidRPr="0007076A">
        <w:rPr>
          <w:rFonts w:ascii="Arial" w:hAnsi="Arial" w:cs="Arial"/>
          <w:sz w:val="24"/>
          <w:szCs w:val="24"/>
        </w:rPr>
        <w:t>General Electronics plc has to base its restructuring on responsible governance instead of basing it on financial optimisation. Organisational knowledge that is deemed important should be retained through workforce decisions such that reskilling and internal mobility are explored first before considering redundancy. Fairness and transparency and sufficient severance should be employed where reduction of headcounts is inevitable to shield the reputation of GE and preserve future talent reserves. It is also important that the company maintains a conservative and transparent tax and reporting practice; tax aggressive practices in the turnaround period will harm the credibility of the firm and are also contrary to the OECD requirements on responsible tax practices. GE should also have a stern macro-risk management. Due to the risk of liquidity being compromised by fluctuation in interest and foreign-exchange rate, the introduction of the structured hedging frameworks, as defined by the World Bank, will enhance the financial stability. Lastly, the environment, social and governance (ESG) priorities should be entrenched in any capital allocation in the process of restructuring. Energy-efficient production, responsible sourcing of raw materials and product circularity, which are encouraged through investments, reduce long-term risk as well as appeal to investors who are more interested in sustainable finance. Ethical governance as a system is a stabilising mechanism that facilitates a long-term resilience, confidence of stakeholders and access to capital markets.</w:t>
      </w:r>
    </w:p>
    <w:p w14:paraId="049FC11F" w14:textId="7112BAD4"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4.7 Shareholder value implications</w:t>
      </w:r>
    </w:p>
    <w:p w14:paraId="3A413B62" w14:textId="4EF1B50C" w:rsidR="00605F46" w:rsidRDefault="0007076A" w:rsidP="008F5B00">
      <w:pPr>
        <w:spacing w:line="360" w:lineRule="auto"/>
        <w:rPr>
          <w:rFonts w:ascii="Arial" w:hAnsi="Arial" w:cs="Arial"/>
          <w:sz w:val="24"/>
          <w:szCs w:val="24"/>
        </w:rPr>
      </w:pPr>
      <w:r w:rsidRPr="0007076A">
        <w:rPr>
          <w:rFonts w:ascii="Arial" w:hAnsi="Arial" w:cs="Arial"/>
          <w:sz w:val="24"/>
          <w:szCs w:val="24"/>
        </w:rPr>
        <w:lastRenderedPageBreak/>
        <w:t>Properly designed turnaround which minimises leverage and normalises cash flow can help to decrease the weighted average cost of capital (WACC) at GE and boost the present value of future free cash flows. But, speculations regarding material WACC decreases should be approached with a sense of caution: the gains of low debt ratios could be counterbalanced during the short-term through equity dilution in rights issues or debt-to-equity conversions. Empirical data in the market demonstrates that restructuring can only result in positive abnormal returns when milestones are believable and are reported openly (Financial Times, 2024). Thus, the capital-market strategy in GE ought to be based on earlier verifiable gains, such as quantifiable decreases in overheads, decreases in the days outstanding and secured medium-term financing, and then attract attention to long-term value creation. Within three years, healed margins, decreased leverage and enhanced operating discipline is capable of serving to recover ROE and cut credit spreads, but these results will rely on steadfast performance as opposed to presumed market goodwill.</w:t>
      </w:r>
    </w:p>
    <w:p w14:paraId="19277686" w14:textId="77777777" w:rsidR="0007076A" w:rsidRDefault="0007076A" w:rsidP="008F5B00">
      <w:pPr>
        <w:spacing w:line="360" w:lineRule="auto"/>
        <w:rPr>
          <w:rFonts w:ascii="Arial" w:hAnsi="Arial" w:cs="Arial"/>
          <w:sz w:val="24"/>
          <w:szCs w:val="24"/>
        </w:rPr>
      </w:pPr>
    </w:p>
    <w:p w14:paraId="6DC58884" w14:textId="57783976"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4.8 Phased execution roadmap</w:t>
      </w:r>
    </w:p>
    <w:p w14:paraId="45F6BA10" w14:textId="7AD1A325" w:rsidR="004125CC" w:rsidRPr="003B40C6" w:rsidRDefault="004125CC" w:rsidP="008F5B00">
      <w:pPr>
        <w:spacing w:line="360" w:lineRule="auto"/>
        <w:rPr>
          <w:rFonts w:ascii="Arial" w:hAnsi="Arial" w:cs="Arial"/>
          <w:sz w:val="24"/>
          <w:szCs w:val="24"/>
        </w:rPr>
      </w:pPr>
      <w:r w:rsidRPr="004125CC">
        <w:rPr>
          <w:rFonts w:ascii="Arial" w:hAnsi="Arial" w:cs="Arial"/>
          <w:sz w:val="24"/>
          <w:szCs w:val="24"/>
        </w:rPr>
        <w:t xml:space="preserve">The implementation of the GE restructuring process must be done in a road map, which has a sequence and controlled risks. The six months stabilisation phase must be concentrated on enhancing liquidity through focusing on negotiating maturity extensions, obtaining committed revolving credit facility and introducing stringent short-term cash controls like a 13-week cash-flow framework. There will be early cost rationalisation, especially in SG&amp;A and indirect procurement with a view of creating quick wins that will be communicated to creditors and investors. The second stage that stretches between months six and eighteen should be aimed at repairing the balance sheets. This involves the conversion of some part of the debt to equity where possible, a rights offering with proper timing to coincide with the early operational gains and disposing non-core assets in order to lower leverage and recovery financing capability. The last stage eighteen to thirty-six months should be changed to selective strategic renewal, such as technology alliances, focused R&amp;D in related or intelligent products, and performance-management systems that tie management rewards to cash-conversion and margin recovery. This incremental </w:t>
      </w:r>
      <w:r w:rsidRPr="004125CC">
        <w:rPr>
          <w:rFonts w:ascii="Arial" w:hAnsi="Arial" w:cs="Arial"/>
          <w:sz w:val="24"/>
          <w:szCs w:val="24"/>
        </w:rPr>
        <w:lastRenderedPageBreak/>
        <w:t>architecture minimises implementation risk, increases the level of transparency and introduces natural review points at which changes can be made.</w:t>
      </w:r>
    </w:p>
    <w:p w14:paraId="32BF2D7F" w14:textId="77777777" w:rsidR="003B40C6" w:rsidRPr="003B40C6" w:rsidRDefault="003B40C6" w:rsidP="008F5B00">
      <w:pPr>
        <w:numPr>
          <w:ilvl w:val="0"/>
          <w:numId w:val="27"/>
        </w:numPr>
        <w:tabs>
          <w:tab w:val="clear" w:pos="360"/>
          <w:tab w:val="num" w:pos="720"/>
        </w:tabs>
        <w:spacing w:line="360" w:lineRule="auto"/>
        <w:rPr>
          <w:rFonts w:ascii="Arial" w:hAnsi="Arial" w:cs="Arial"/>
          <w:b/>
          <w:bCs/>
          <w:sz w:val="24"/>
          <w:szCs w:val="24"/>
        </w:rPr>
      </w:pPr>
      <w:r w:rsidRPr="003B40C6">
        <w:rPr>
          <w:rFonts w:ascii="Arial" w:hAnsi="Arial" w:cs="Arial"/>
          <w:b/>
          <w:bCs/>
          <w:sz w:val="24"/>
          <w:szCs w:val="24"/>
        </w:rPr>
        <w:t>Investment Appraisal and Capital Budgeting</w:t>
      </w:r>
    </w:p>
    <w:p w14:paraId="18571920" w14:textId="77777777" w:rsidR="004125CC" w:rsidRDefault="004125CC" w:rsidP="008F5B00">
      <w:pPr>
        <w:spacing w:line="360" w:lineRule="auto"/>
        <w:rPr>
          <w:rFonts w:ascii="Arial" w:hAnsi="Arial" w:cs="Arial"/>
          <w:sz w:val="24"/>
          <w:szCs w:val="24"/>
        </w:rPr>
      </w:pPr>
      <w:r w:rsidRPr="004125CC">
        <w:rPr>
          <w:rFonts w:ascii="Arial" w:hAnsi="Arial" w:cs="Arial"/>
          <w:sz w:val="24"/>
          <w:szCs w:val="24"/>
        </w:rPr>
        <w:t>General Electronics plc has very rigid capital limits and has a PS60 million limit on new investments. The three project possibilities available should hence be evaluated not only in terms of technical merit, but also in terms of being compatible with the overall turnaround strategy. This aims at depositing capital to near-term liquidity, core business competitiveness and risk-adjusted high returns without investing in projects that would burden the already weak balance sheet of GE.</w:t>
      </w:r>
    </w:p>
    <w:p w14:paraId="3CE883E1" w14:textId="08C568EE"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Project proposals:</w:t>
      </w:r>
    </w:p>
    <w:p w14:paraId="3F18104D" w14:textId="22B6564F" w:rsidR="003B40C6" w:rsidRPr="003B40C6" w:rsidRDefault="003B40C6" w:rsidP="008F5B00">
      <w:pPr>
        <w:spacing w:line="360" w:lineRule="auto"/>
        <w:rPr>
          <w:rFonts w:ascii="Arial" w:hAnsi="Arial" w:cs="Arial"/>
          <w:sz w:val="24"/>
          <w:szCs w:val="24"/>
        </w:rPr>
      </w:pPr>
      <w:r w:rsidRPr="003B40C6">
        <w:rPr>
          <w:rFonts w:ascii="Arial" w:hAnsi="Arial" w:cs="Arial"/>
          <w:sz w:val="24"/>
          <w:szCs w:val="24"/>
        </w:rPr>
        <w:t>Table 6: Project cash flow profiles</w:t>
      </w:r>
    </w:p>
    <w:tbl>
      <w:tblPr>
        <w:tblStyle w:val="TableGrid"/>
        <w:tblW w:w="9360" w:type="dxa"/>
        <w:tblLook w:val="04A0" w:firstRow="1" w:lastRow="0" w:firstColumn="1" w:lastColumn="0" w:noHBand="0" w:noVBand="1"/>
      </w:tblPr>
      <w:tblGrid>
        <w:gridCol w:w="1139"/>
        <w:gridCol w:w="3041"/>
        <w:gridCol w:w="1036"/>
        <w:gridCol w:w="1036"/>
        <w:gridCol w:w="1036"/>
        <w:gridCol w:w="1036"/>
        <w:gridCol w:w="1036"/>
      </w:tblGrid>
      <w:tr w:rsidR="003B40C6" w:rsidRPr="003B40C6" w14:paraId="305A5302" w14:textId="77777777" w:rsidTr="003B40C6">
        <w:tc>
          <w:tcPr>
            <w:tcW w:w="0" w:type="auto"/>
            <w:noWrap/>
            <w:hideMark/>
          </w:tcPr>
          <w:p w14:paraId="19363157"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Project</w:t>
            </w:r>
          </w:p>
        </w:tc>
        <w:tc>
          <w:tcPr>
            <w:tcW w:w="0" w:type="auto"/>
            <w:noWrap/>
            <w:hideMark/>
          </w:tcPr>
          <w:p w14:paraId="4F0FA880"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Initial Investment (£m)</w:t>
            </w:r>
          </w:p>
        </w:tc>
        <w:tc>
          <w:tcPr>
            <w:tcW w:w="0" w:type="auto"/>
            <w:noWrap/>
            <w:hideMark/>
          </w:tcPr>
          <w:p w14:paraId="26C024CC"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 1</w:t>
            </w:r>
          </w:p>
        </w:tc>
        <w:tc>
          <w:tcPr>
            <w:tcW w:w="0" w:type="auto"/>
            <w:noWrap/>
            <w:hideMark/>
          </w:tcPr>
          <w:p w14:paraId="345067F9"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 2</w:t>
            </w:r>
          </w:p>
        </w:tc>
        <w:tc>
          <w:tcPr>
            <w:tcW w:w="0" w:type="auto"/>
            <w:noWrap/>
            <w:hideMark/>
          </w:tcPr>
          <w:p w14:paraId="0BB18856"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 3</w:t>
            </w:r>
          </w:p>
        </w:tc>
        <w:tc>
          <w:tcPr>
            <w:tcW w:w="0" w:type="auto"/>
            <w:noWrap/>
            <w:hideMark/>
          </w:tcPr>
          <w:p w14:paraId="34C80CA8"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 4</w:t>
            </w:r>
          </w:p>
        </w:tc>
        <w:tc>
          <w:tcPr>
            <w:tcW w:w="0" w:type="auto"/>
            <w:noWrap/>
            <w:hideMark/>
          </w:tcPr>
          <w:p w14:paraId="799A5275" w14:textId="77777777" w:rsidR="003B40C6" w:rsidRPr="003B40C6" w:rsidRDefault="003B40C6" w:rsidP="008F5B00">
            <w:pPr>
              <w:spacing w:after="160" w:line="360" w:lineRule="auto"/>
              <w:rPr>
                <w:rFonts w:ascii="Arial" w:hAnsi="Arial" w:cs="Arial"/>
                <w:b/>
                <w:bCs/>
                <w:sz w:val="24"/>
                <w:szCs w:val="24"/>
              </w:rPr>
            </w:pPr>
            <w:r w:rsidRPr="003B40C6">
              <w:rPr>
                <w:rFonts w:ascii="Arial" w:hAnsi="Arial" w:cs="Arial"/>
                <w:b/>
                <w:bCs/>
                <w:sz w:val="24"/>
                <w:szCs w:val="24"/>
              </w:rPr>
              <w:t>Year 5</w:t>
            </w:r>
          </w:p>
        </w:tc>
      </w:tr>
      <w:tr w:rsidR="003B40C6" w:rsidRPr="003B40C6" w14:paraId="6EFEEBF1" w14:textId="77777777" w:rsidTr="003B40C6">
        <w:tc>
          <w:tcPr>
            <w:tcW w:w="0" w:type="auto"/>
            <w:hideMark/>
          </w:tcPr>
          <w:p w14:paraId="142F3AF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A</w:t>
            </w:r>
          </w:p>
        </w:tc>
        <w:tc>
          <w:tcPr>
            <w:tcW w:w="0" w:type="auto"/>
            <w:hideMark/>
          </w:tcPr>
          <w:p w14:paraId="72F6A56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40</w:t>
            </w:r>
          </w:p>
        </w:tc>
        <w:tc>
          <w:tcPr>
            <w:tcW w:w="0" w:type="auto"/>
            <w:hideMark/>
          </w:tcPr>
          <w:p w14:paraId="7B34EBD5"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w:t>
            </w:r>
          </w:p>
        </w:tc>
        <w:tc>
          <w:tcPr>
            <w:tcW w:w="0" w:type="auto"/>
            <w:hideMark/>
          </w:tcPr>
          <w:p w14:paraId="38485539"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12</w:t>
            </w:r>
          </w:p>
        </w:tc>
        <w:tc>
          <w:tcPr>
            <w:tcW w:w="0" w:type="auto"/>
            <w:hideMark/>
          </w:tcPr>
          <w:p w14:paraId="49FA358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14</w:t>
            </w:r>
          </w:p>
        </w:tc>
        <w:tc>
          <w:tcPr>
            <w:tcW w:w="0" w:type="auto"/>
            <w:hideMark/>
          </w:tcPr>
          <w:p w14:paraId="1EE3B936"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w:t>
            </w:r>
          </w:p>
        </w:tc>
        <w:tc>
          <w:tcPr>
            <w:tcW w:w="0" w:type="auto"/>
            <w:hideMark/>
          </w:tcPr>
          <w:p w14:paraId="2144FF32"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8</w:t>
            </w:r>
          </w:p>
        </w:tc>
      </w:tr>
      <w:tr w:rsidR="003B40C6" w:rsidRPr="003B40C6" w14:paraId="1CACCAD9" w14:textId="77777777" w:rsidTr="003B40C6">
        <w:tc>
          <w:tcPr>
            <w:tcW w:w="0" w:type="auto"/>
            <w:hideMark/>
          </w:tcPr>
          <w:p w14:paraId="44AE6108"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B</w:t>
            </w:r>
          </w:p>
        </w:tc>
        <w:tc>
          <w:tcPr>
            <w:tcW w:w="0" w:type="auto"/>
            <w:hideMark/>
          </w:tcPr>
          <w:p w14:paraId="70CD39B5"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30</w:t>
            </w:r>
          </w:p>
        </w:tc>
        <w:tc>
          <w:tcPr>
            <w:tcW w:w="0" w:type="auto"/>
            <w:hideMark/>
          </w:tcPr>
          <w:p w14:paraId="0C2BD1BD"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w:t>
            </w:r>
          </w:p>
        </w:tc>
        <w:tc>
          <w:tcPr>
            <w:tcW w:w="0" w:type="auto"/>
            <w:hideMark/>
          </w:tcPr>
          <w:p w14:paraId="0819F23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w:t>
            </w:r>
          </w:p>
        </w:tc>
        <w:tc>
          <w:tcPr>
            <w:tcW w:w="0" w:type="auto"/>
            <w:hideMark/>
          </w:tcPr>
          <w:p w14:paraId="666ED8F0"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w:t>
            </w:r>
          </w:p>
        </w:tc>
        <w:tc>
          <w:tcPr>
            <w:tcW w:w="0" w:type="auto"/>
            <w:hideMark/>
          </w:tcPr>
          <w:p w14:paraId="458553AB"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w:t>
            </w:r>
          </w:p>
        </w:tc>
        <w:tc>
          <w:tcPr>
            <w:tcW w:w="0" w:type="auto"/>
            <w:hideMark/>
          </w:tcPr>
          <w:p w14:paraId="26E790DA"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6</w:t>
            </w:r>
          </w:p>
        </w:tc>
      </w:tr>
      <w:tr w:rsidR="003B40C6" w:rsidRPr="003B40C6" w14:paraId="00462274" w14:textId="77777777" w:rsidTr="003B40C6">
        <w:tc>
          <w:tcPr>
            <w:tcW w:w="0" w:type="auto"/>
            <w:hideMark/>
          </w:tcPr>
          <w:p w14:paraId="2BEE9D88"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C</w:t>
            </w:r>
          </w:p>
        </w:tc>
        <w:tc>
          <w:tcPr>
            <w:tcW w:w="0" w:type="auto"/>
            <w:hideMark/>
          </w:tcPr>
          <w:p w14:paraId="7C1E34C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50</w:t>
            </w:r>
          </w:p>
        </w:tc>
        <w:tc>
          <w:tcPr>
            <w:tcW w:w="0" w:type="auto"/>
            <w:hideMark/>
          </w:tcPr>
          <w:p w14:paraId="2DDCD133"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5</w:t>
            </w:r>
          </w:p>
        </w:tc>
        <w:tc>
          <w:tcPr>
            <w:tcW w:w="0" w:type="auto"/>
            <w:hideMark/>
          </w:tcPr>
          <w:p w14:paraId="0B526FD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10</w:t>
            </w:r>
          </w:p>
        </w:tc>
        <w:tc>
          <w:tcPr>
            <w:tcW w:w="0" w:type="auto"/>
            <w:hideMark/>
          </w:tcPr>
          <w:p w14:paraId="749A3F0F"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20</w:t>
            </w:r>
          </w:p>
        </w:tc>
        <w:tc>
          <w:tcPr>
            <w:tcW w:w="0" w:type="auto"/>
            <w:hideMark/>
          </w:tcPr>
          <w:p w14:paraId="5C72111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25</w:t>
            </w:r>
          </w:p>
        </w:tc>
        <w:tc>
          <w:tcPr>
            <w:tcW w:w="0" w:type="auto"/>
            <w:hideMark/>
          </w:tcPr>
          <w:p w14:paraId="1F0790AE" w14:textId="77777777" w:rsidR="003B40C6" w:rsidRPr="003B40C6" w:rsidRDefault="003B40C6" w:rsidP="008F5B00">
            <w:pPr>
              <w:spacing w:after="160" w:line="360" w:lineRule="auto"/>
              <w:rPr>
                <w:rFonts w:ascii="Arial" w:hAnsi="Arial" w:cs="Arial"/>
                <w:sz w:val="24"/>
                <w:szCs w:val="24"/>
              </w:rPr>
            </w:pPr>
            <w:r w:rsidRPr="003B40C6">
              <w:rPr>
                <w:rFonts w:ascii="Arial" w:hAnsi="Arial" w:cs="Arial"/>
                <w:sz w:val="24"/>
                <w:szCs w:val="24"/>
              </w:rPr>
              <w:t>15</w:t>
            </w:r>
          </w:p>
        </w:tc>
      </w:tr>
    </w:tbl>
    <w:p w14:paraId="391F3D93" w14:textId="77777777" w:rsidR="003B40C6" w:rsidRPr="00C94466" w:rsidRDefault="003B40C6" w:rsidP="008F5B00">
      <w:pPr>
        <w:spacing w:line="360" w:lineRule="auto"/>
        <w:rPr>
          <w:rFonts w:ascii="Arial" w:hAnsi="Arial" w:cs="Arial"/>
          <w:sz w:val="24"/>
          <w:szCs w:val="24"/>
        </w:rPr>
      </w:pPr>
    </w:p>
    <w:p w14:paraId="5D38E64A" w14:textId="77777777" w:rsidR="004125CC" w:rsidRDefault="004125CC" w:rsidP="008F5B00">
      <w:pPr>
        <w:spacing w:line="360" w:lineRule="auto"/>
        <w:rPr>
          <w:rFonts w:ascii="Arial" w:hAnsi="Arial" w:cs="Arial"/>
          <w:sz w:val="24"/>
          <w:szCs w:val="24"/>
        </w:rPr>
      </w:pPr>
      <w:r w:rsidRPr="004125CC">
        <w:rPr>
          <w:rFonts w:ascii="Arial" w:hAnsi="Arial" w:cs="Arial"/>
          <w:sz w:val="24"/>
          <w:szCs w:val="24"/>
        </w:rPr>
        <w:t xml:space="preserve">Project A is an incremental update in an already existing line of consumer electronics; Project B is the expansion of mid-range appliances into other markets; Project C creates an up-market smart-device environment. Some of these methods are Payback Period (PBP), Accounting Rate of Return (ARR), NPV, IRR, and PI with a 10% discount as an approximation of WACC (Damodaran, 2023; Brigham and Ehrhardt, 2022 ). </w:t>
      </w:r>
    </w:p>
    <w:p w14:paraId="4A1B3DE6" w14:textId="2CD75DDE"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5.1 Payback Period (PBP)</w:t>
      </w:r>
    </w:p>
    <w:p w14:paraId="49998CFC"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A: break even in 3.3 years, PS40m.</w:t>
      </w:r>
    </w:p>
    <w:p w14:paraId="22C27CD6"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B: recoups PS30m in 5.0 years</w:t>
      </w:r>
    </w:p>
    <w:p w14:paraId="1A3BD6B1"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C: breaks even with PS50m over a period of 3.6 years.</w:t>
      </w:r>
    </w:p>
    <w:p w14:paraId="16B6F080" w14:textId="77777777" w:rsidR="004125CC" w:rsidRDefault="004125CC" w:rsidP="004125CC">
      <w:pPr>
        <w:spacing w:line="360" w:lineRule="auto"/>
        <w:rPr>
          <w:rFonts w:ascii="Arial" w:hAnsi="Arial" w:cs="Arial"/>
          <w:sz w:val="24"/>
          <w:szCs w:val="24"/>
        </w:rPr>
      </w:pPr>
      <w:r w:rsidRPr="004125CC">
        <w:rPr>
          <w:rFonts w:ascii="Arial" w:hAnsi="Arial" w:cs="Arial"/>
          <w:sz w:val="24"/>
          <w:szCs w:val="24"/>
        </w:rPr>
        <w:t xml:space="preserve">PBP focuses on the liquidity speed that is critical to a financially constrained GE (Gitman and Zutter, 2019). Project A offers the quickest recovery and complements </w:t>
      </w:r>
      <w:r w:rsidRPr="004125CC">
        <w:rPr>
          <w:rFonts w:ascii="Arial" w:hAnsi="Arial" w:cs="Arial"/>
          <w:sz w:val="24"/>
          <w:szCs w:val="24"/>
        </w:rPr>
        <w:lastRenderedPageBreak/>
        <w:t>almost-term cash-prioritisation. Project B has the lowest payback of five years in an unstable sector. C is agreeable on payback speed, but its increased initial capital increases strain at the start up. PBP has been left out by time value and after payback flows, but it is an effective pre-screen in a distress situation (Arnold and Lewis, 2019).</w:t>
      </w:r>
    </w:p>
    <w:p w14:paraId="09EEED9F" w14:textId="3B1E5BDD" w:rsidR="003B40C6" w:rsidRPr="003B40C6" w:rsidRDefault="003B40C6" w:rsidP="004125CC">
      <w:pPr>
        <w:spacing w:line="360" w:lineRule="auto"/>
        <w:rPr>
          <w:rFonts w:ascii="Arial" w:hAnsi="Arial" w:cs="Arial"/>
          <w:b/>
          <w:bCs/>
          <w:sz w:val="24"/>
          <w:szCs w:val="24"/>
        </w:rPr>
      </w:pPr>
      <w:r w:rsidRPr="003B40C6">
        <w:rPr>
          <w:rFonts w:ascii="Arial" w:hAnsi="Arial" w:cs="Arial"/>
          <w:b/>
          <w:bCs/>
          <w:sz w:val="24"/>
          <w:szCs w:val="24"/>
        </w:rPr>
        <w:t>5.2 Accounting Rate of Return (ARR)</w:t>
      </w:r>
    </w:p>
    <w:p w14:paraId="7F4EDA0C" w14:textId="77777777" w:rsidR="00605F46" w:rsidRPr="00605F46" w:rsidRDefault="00605F46" w:rsidP="008F5B00">
      <w:pPr>
        <w:spacing w:line="360" w:lineRule="auto"/>
        <w:rPr>
          <w:rFonts w:ascii="Arial" w:hAnsi="Arial" w:cs="Arial"/>
          <w:sz w:val="24"/>
          <w:szCs w:val="24"/>
        </w:rPr>
      </w:pPr>
      <w:r w:rsidRPr="00605F46">
        <w:rPr>
          <w:rFonts w:ascii="Arial" w:hAnsi="Arial" w:cs="Arial"/>
          <w:sz w:val="24"/>
          <w:szCs w:val="24"/>
        </w:rPr>
        <w:t>ARR is calculated using average accounting profit divided by the initial investment. The steps are:</w:t>
      </w:r>
    </w:p>
    <w:p w14:paraId="0F100E00" w14:textId="77777777" w:rsidR="00605F46" w:rsidRPr="00605F46" w:rsidRDefault="00605F46" w:rsidP="008F5B00">
      <w:pPr>
        <w:spacing w:line="360" w:lineRule="auto"/>
        <w:rPr>
          <w:rFonts w:ascii="Arial" w:hAnsi="Arial" w:cs="Arial"/>
          <w:sz w:val="24"/>
          <w:szCs w:val="24"/>
        </w:rPr>
      </w:pPr>
      <w:r w:rsidRPr="00605F46">
        <w:rPr>
          <w:rFonts w:ascii="Arial" w:hAnsi="Arial" w:cs="Arial"/>
          <w:b/>
          <w:bCs/>
          <w:sz w:val="24"/>
          <w:szCs w:val="24"/>
        </w:rPr>
        <w:t>Step 1:</w:t>
      </w:r>
    </w:p>
    <w:p w14:paraId="75F5D16A" w14:textId="3D182B11"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Average annual cash inflow</m:t>
          </m:r>
          <m:r>
            <w:rPr>
              <w:rFonts w:ascii="Cambria Math" w:hAnsi="Cambria Math" w:cs="Arial"/>
              <w:sz w:val="24"/>
              <w:szCs w:val="24"/>
            </w:rPr>
            <m:t>=</m:t>
          </m:r>
          <m:f>
            <m:fPr>
              <m:ctrlPr>
                <w:rPr>
                  <w:rFonts w:ascii="Cambria Math" w:hAnsi="Cambria Math" w:cs="Arial"/>
                  <w:sz w:val="24"/>
                  <w:szCs w:val="24"/>
                </w:rPr>
              </m:ctrlPr>
            </m:fPr>
            <m:num>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t</m:t>
                  </m:r>
                </m:sub>
              </m:sSub>
            </m:num>
            <m:den>
              <m:r>
                <w:rPr>
                  <w:rFonts w:ascii="Cambria Math" w:hAnsi="Cambria Math" w:cs="Arial"/>
                  <w:sz w:val="24"/>
                  <w:szCs w:val="24"/>
                </w:rPr>
                <m:t>5</m:t>
              </m:r>
            </m:den>
          </m:f>
          <m:r>
            <m:rPr>
              <m:sty m:val="p"/>
            </m:rPr>
            <w:rPr>
              <w:rFonts w:ascii="Arial" w:hAnsi="Arial" w:cs="Arial"/>
              <w:sz w:val="24"/>
              <w:szCs w:val="24"/>
            </w:rPr>
            <w:br/>
          </m:r>
        </m:oMath>
      </m:oMathPara>
    </w:p>
    <w:p w14:paraId="726FD148" w14:textId="77777777" w:rsidR="00605F46" w:rsidRPr="00605F46" w:rsidRDefault="00605F46" w:rsidP="008F5B00">
      <w:pPr>
        <w:spacing w:line="360" w:lineRule="auto"/>
        <w:rPr>
          <w:rFonts w:ascii="Arial" w:hAnsi="Arial" w:cs="Arial"/>
          <w:sz w:val="24"/>
          <w:szCs w:val="24"/>
        </w:rPr>
      </w:pPr>
      <w:r w:rsidRPr="00605F46">
        <w:rPr>
          <w:rFonts w:ascii="Arial" w:hAnsi="Arial" w:cs="Arial"/>
          <w:b/>
          <w:bCs/>
          <w:sz w:val="24"/>
          <w:szCs w:val="24"/>
        </w:rPr>
        <w:t>Step 2:</w:t>
      </w:r>
    </w:p>
    <w:p w14:paraId="46BCA813" w14:textId="7E2E220F"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Depreciation (straight-line)</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Initial cost</m:t>
              </m:r>
            </m:num>
            <m:den>
              <m:r>
                <w:rPr>
                  <w:rFonts w:ascii="Cambria Math" w:hAnsi="Cambria Math" w:cs="Arial"/>
                  <w:sz w:val="24"/>
                  <w:szCs w:val="24"/>
                </w:rPr>
                <m:t>5</m:t>
              </m:r>
            </m:den>
          </m:f>
          <m:r>
            <m:rPr>
              <m:sty m:val="p"/>
            </m:rPr>
            <w:rPr>
              <w:rFonts w:ascii="Arial" w:hAnsi="Arial" w:cs="Arial"/>
              <w:sz w:val="24"/>
              <w:szCs w:val="24"/>
            </w:rPr>
            <w:br/>
          </m:r>
        </m:oMath>
      </m:oMathPara>
    </w:p>
    <w:p w14:paraId="4E88B08D" w14:textId="77777777" w:rsidR="00605F46" w:rsidRPr="00605F46" w:rsidRDefault="00605F46" w:rsidP="008F5B00">
      <w:pPr>
        <w:spacing w:line="360" w:lineRule="auto"/>
        <w:rPr>
          <w:rFonts w:ascii="Arial" w:hAnsi="Arial" w:cs="Arial"/>
          <w:sz w:val="24"/>
          <w:szCs w:val="24"/>
        </w:rPr>
      </w:pPr>
      <w:r w:rsidRPr="00605F46">
        <w:rPr>
          <w:rFonts w:ascii="Arial" w:hAnsi="Arial" w:cs="Arial"/>
          <w:b/>
          <w:bCs/>
          <w:sz w:val="24"/>
          <w:szCs w:val="24"/>
        </w:rPr>
        <w:t>Step 3:</w:t>
      </w:r>
    </w:p>
    <w:p w14:paraId="6CE9EE48" w14:textId="047AD18E"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Average accounting profit</m:t>
          </m:r>
          <m:r>
            <w:rPr>
              <w:rFonts w:ascii="Cambria Math" w:hAnsi="Cambria Math" w:cs="Arial"/>
              <w:sz w:val="24"/>
              <w:szCs w:val="24"/>
            </w:rPr>
            <m:t>=</m:t>
          </m:r>
          <m:r>
            <m:rPr>
              <m:nor/>
            </m:rPr>
            <w:rPr>
              <w:rFonts w:ascii="Arial" w:hAnsi="Arial" w:cs="Arial"/>
              <w:sz w:val="24"/>
              <w:szCs w:val="24"/>
            </w:rPr>
            <m:t>Average cash inflow</m:t>
          </m:r>
          <m:r>
            <w:rPr>
              <w:rFonts w:ascii="Cambria Math" w:hAnsi="Cambria Math" w:cs="Arial"/>
              <w:sz w:val="24"/>
              <w:szCs w:val="24"/>
            </w:rPr>
            <m:t>-</m:t>
          </m:r>
          <m:r>
            <m:rPr>
              <m:nor/>
            </m:rPr>
            <w:rPr>
              <w:rFonts w:ascii="Arial" w:hAnsi="Arial" w:cs="Arial"/>
              <w:sz w:val="24"/>
              <w:szCs w:val="24"/>
            </w:rPr>
            <m:t>Depreciation</m:t>
          </m:r>
          <m:r>
            <m:rPr>
              <m:sty m:val="p"/>
            </m:rPr>
            <w:rPr>
              <w:rFonts w:ascii="Arial" w:hAnsi="Arial" w:cs="Arial"/>
              <w:sz w:val="24"/>
              <w:szCs w:val="24"/>
            </w:rPr>
            <w:br/>
          </m:r>
        </m:oMath>
      </m:oMathPara>
    </w:p>
    <w:p w14:paraId="656730EC" w14:textId="77777777" w:rsidR="00605F46" w:rsidRPr="00605F46" w:rsidRDefault="00605F46" w:rsidP="008F5B00">
      <w:pPr>
        <w:spacing w:line="360" w:lineRule="auto"/>
        <w:rPr>
          <w:rFonts w:ascii="Arial" w:hAnsi="Arial" w:cs="Arial"/>
          <w:sz w:val="24"/>
          <w:szCs w:val="24"/>
        </w:rPr>
      </w:pPr>
      <w:r w:rsidRPr="00605F46">
        <w:rPr>
          <w:rFonts w:ascii="Arial" w:hAnsi="Arial" w:cs="Arial"/>
          <w:b/>
          <w:bCs/>
          <w:sz w:val="24"/>
          <w:szCs w:val="24"/>
        </w:rPr>
        <w:t>Step 4:</w:t>
      </w:r>
    </w:p>
    <w:p w14:paraId="42CCB5CF" w14:textId="02C6AFE6"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ARR</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Average accounting profit</m:t>
              </m:r>
            </m:num>
            <m:den>
              <m:r>
                <m:rPr>
                  <m:nor/>
                </m:rPr>
                <w:rPr>
                  <w:rFonts w:ascii="Arial" w:hAnsi="Arial" w:cs="Arial"/>
                  <w:sz w:val="24"/>
                  <w:szCs w:val="24"/>
                </w:rPr>
                <m:t>Initial investment</m:t>
              </m:r>
            </m:den>
          </m:f>
          <m:r>
            <w:rPr>
              <w:rFonts w:ascii="Cambria Math" w:hAnsi="Cambria Math" w:cs="Arial"/>
              <w:sz w:val="24"/>
              <w:szCs w:val="24"/>
            </w:rPr>
            <m:t>×100</m:t>
          </m:r>
          <m:r>
            <w:rPr>
              <w:rFonts w:ascii="Arial" w:hAnsi="Arial" w:cs="Arial"/>
              <w:sz w:val="24"/>
              <w:szCs w:val="24"/>
            </w:rPr>
            <w:br/>
          </m:r>
        </m:oMath>
      </m:oMathPara>
    </w:p>
    <w:p w14:paraId="4267AB81"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A</w:t>
      </w:r>
    </w:p>
    <w:p w14:paraId="1E2B3D85" w14:textId="589BDA54"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m:t>∑CF=10+12+14+10+8=54</m:t>
          </m:r>
          <m:r>
            <w:rPr>
              <w:rFonts w:ascii="Arial" w:hAnsi="Arial" w:cs="Arial"/>
              <w:sz w:val="24"/>
              <w:szCs w:val="24"/>
            </w:rPr>
            <w:br/>
          </m:r>
        </m:oMath>
        <m:oMath>
          <m:r>
            <m:rPr>
              <m:nor/>
            </m:rPr>
            <w:rPr>
              <w:rFonts w:ascii="Arial" w:hAnsi="Arial" w:cs="Arial"/>
              <w:sz w:val="24"/>
              <w:szCs w:val="24"/>
            </w:rPr>
            <m:t>Avg cash inflow</m:t>
          </m:r>
          <m:r>
            <w:rPr>
              <w:rFonts w:ascii="Cambria Math" w:hAnsi="Cambria Math" w:cs="Arial"/>
              <w:sz w:val="24"/>
              <w:szCs w:val="24"/>
            </w:rPr>
            <m:t>=54</m:t>
          </m:r>
          <m:r>
            <m:rPr>
              <m:sty m:val="p"/>
            </m:rPr>
            <w:rPr>
              <w:rFonts w:ascii="Cambria Math" w:hAnsi="Cambria Math" w:cs="Arial"/>
              <w:sz w:val="24"/>
              <w:szCs w:val="24"/>
            </w:rPr>
            <m:t>/</m:t>
          </m:r>
          <m:r>
            <w:rPr>
              <w:rFonts w:ascii="Cambria Math" w:hAnsi="Cambria Math" w:cs="Arial"/>
              <w:sz w:val="24"/>
              <w:szCs w:val="24"/>
            </w:rPr>
            <m:t>5=10.8</m:t>
          </m:r>
          <m:r>
            <w:rPr>
              <w:rFonts w:ascii="Arial" w:hAnsi="Arial" w:cs="Arial"/>
              <w:sz w:val="24"/>
              <w:szCs w:val="24"/>
            </w:rPr>
            <w:br/>
          </m:r>
        </m:oMath>
        <m:oMath>
          <m:r>
            <m:rPr>
              <m:nor/>
            </m:rPr>
            <w:rPr>
              <w:rFonts w:ascii="Arial" w:hAnsi="Arial" w:cs="Arial"/>
              <w:sz w:val="24"/>
              <w:szCs w:val="24"/>
            </w:rPr>
            <m:t>Depreciation</m:t>
          </m:r>
          <m:r>
            <w:rPr>
              <w:rFonts w:ascii="Cambria Math" w:hAnsi="Cambria Math" w:cs="Arial"/>
              <w:sz w:val="24"/>
              <w:szCs w:val="24"/>
            </w:rPr>
            <m:t>=40</m:t>
          </m:r>
          <m:r>
            <m:rPr>
              <m:sty m:val="p"/>
            </m:rPr>
            <w:rPr>
              <w:rFonts w:ascii="Cambria Math" w:hAnsi="Cambria Math" w:cs="Arial"/>
              <w:sz w:val="24"/>
              <w:szCs w:val="24"/>
            </w:rPr>
            <m:t>/</m:t>
          </m:r>
          <m:r>
            <w:rPr>
              <w:rFonts w:ascii="Cambria Math" w:hAnsi="Cambria Math" w:cs="Arial"/>
              <w:sz w:val="24"/>
              <w:szCs w:val="24"/>
            </w:rPr>
            <m:t>5=8</m:t>
          </m:r>
          <m:r>
            <w:rPr>
              <w:rFonts w:ascii="Arial" w:hAnsi="Arial" w:cs="Arial"/>
              <w:sz w:val="24"/>
              <w:szCs w:val="24"/>
            </w:rPr>
            <w:br/>
          </m:r>
        </m:oMath>
        <m:oMath>
          <m:r>
            <m:rPr>
              <m:nor/>
            </m:rPr>
            <w:rPr>
              <w:rFonts w:ascii="Arial" w:hAnsi="Arial" w:cs="Arial"/>
              <w:sz w:val="24"/>
              <w:szCs w:val="24"/>
            </w:rPr>
            <m:t>Avg accounting profit</m:t>
          </m:r>
          <m:r>
            <w:rPr>
              <w:rFonts w:ascii="Cambria Math" w:hAnsi="Cambria Math" w:cs="Arial"/>
              <w:sz w:val="24"/>
              <w:szCs w:val="24"/>
            </w:rPr>
            <m:t>=10.8-8=2.8</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ARR</m:t>
              </m:r>
            </m:e>
            <m:sub>
              <m:r>
                <w:rPr>
                  <w:rFonts w:ascii="Cambria Math" w:hAnsi="Cambria Math" w:cs="Arial"/>
                  <w:sz w:val="24"/>
                  <w:szCs w:val="24"/>
                </w:rPr>
                <m:t>A</m:t>
              </m:r>
            </m:sub>
          </m:sSub>
          <m:r>
            <w:rPr>
              <w:rFonts w:ascii="Cambria Math" w:hAnsi="Cambria Math" w:cs="Arial"/>
              <w:sz w:val="24"/>
              <w:szCs w:val="24"/>
            </w:rPr>
            <m:t>=(2.8</m:t>
          </m:r>
          <m:r>
            <m:rPr>
              <m:sty m:val="p"/>
            </m:rPr>
            <w:rPr>
              <w:rFonts w:ascii="Cambria Math" w:hAnsi="Cambria Math" w:cs="Arial"/>
              <w:sz w:val="24"/>
              <w:szCs w:val="24"/>
            </w:rPr>
            <m:t>/</m:t>
          </m:r>
          <m:r>
            <w:rPr>
              <w:rFonts w:ascii="Cambria Math" w:hAnsi="Cambria Math" w:cs="Arial"/>
              <w:sz w:val="24"/>
              <w:szCs w:val="24"/>
            </w:rPr>
            <m:t>40)×100=7.0</m:t>
          </m:r>
          <m:r>
            <m:rPr>
              <m:sty m:val="p"/>
            </m:rPr>
            <w:rPr>
              <w:rFonts w:ascii="Cambria Math" w:hAnsi="Cambria Math" w:cs="Arial"/>
              <w:sz w:val="24"/>
              <w:szCs w:val="24"/>
            </w:rPr>
            <m:t>%</m:t>
          </m:r>
          <m:r>
            <m:rPr>
              <m:sty m:val="p"/>
            </m:rPr>
            <w:rPr>
              <w:rFonts w:ascii="Arial" w:hAnsi="Arial" w:cs="Arial"/>
              <w:sz w:val="24"/>
              <w:szCs w:val="24"/>
            </w:rPr>
            <w:br/>
          </m:r>
        </m:oMath>
      </m:oMathPara>
    </w:p>
    <w:p w14:paraId="7BE3DFFE"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lastRenderedPageBreak/>
        <w:t>Project B</w:t>
      </w:r>
    </w:p>
    <w:p w14:paraId="70151AD1" w14:textId="5E2E9DB4"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m:t>∑CF=6×5=30</m:t>
          </m:r>
          <m:r>
            <w:rPr>
              <w:rFonts w:ascii="Arial" w:hAnsi="Arial" w:cs="Arial"/>
              <w:sz w:val="24"/>
              <w:szCs w:val="24"/>
            </w:rPr>
            <w:br/>
          </m:r>
        </m:oMath>
        <m:oMath>
          <m:r>
            <m:rPr>
              <m:nor/>
            </m:rPr>
            <w:rPr>
              <w:rFonts w:ascii="Arial" w:hAnsi="Arial" w:cs="Arial"/>
              <w:sz w:val="24"/>
              <w:szCs w:val="24"/>
            </w:rPr>
            <m:t>Avg cash inflow</m:t>
          </m:r>
          <m:r>
            <w:rPr>
              <w:rFonts w:ascii="Cambria Math" w:hAnsi="Cambria Math" w:cs="Arial"/>
              <w:sz w:val="24"/>
              <w:szCs w:val="24"/>
            </w:rPr>
            <m:t>=6</m:t>
          </m:r>
          <m:r>
            <w:rPr>
              <w:rFonts w:ascii="Arial" w:hAnsi="Arial" w:cs="Arial"/>
              <w:sz w:val="24"/>
              <w:szCs w:val="24"/>
            </w:rPr>
            <w:br/>
          </m:r>
        </m:oMath>
        <m:oMath>
          <m:r>
            <m:rPr>
              <m:nor/>
            </m:rPr>
            <w:rPr>
              <w:rFonts w:ascii="Arial" w:hAnsi="Arial" w:cs="Arial"/>
              <w:sz w:val="24"/>
              <w:szCs w:val="24"/>
            </w:rPr>
            <m:t>Depreciation</m:t>
          </m:r>
          <m:r>
            <w:rPr>
              <w:rFonts w:ascii="Cambria Math" w:hAnsi="Cambria Math" w:cs="Arial"/>
              <w:sz w:val="24"/>
              <w:szCs w:val="24"/>
            </w:rPr>
            <m:t>=30</m:t>
          </m:r>
          <m:r>
            <m:rPr>
              <m:sty m:val="p"/>
            </m:rPr>
            <w:rPr>
              <w:rFonts w:ascii="Cambria Math" w:hAnsi="Cambria Math" w:cs="Arial"/>
              <w:sz w:val="24"/>
              <w:szCs w:val="24"/>
            </w:rPr>
            <m:t>/</m:t>
          </m:r>
          <m:r>
            <w:rPr>
              <w:rFonts w:ascii="Cambria Math" w:hAnsi="Cambria Math" w:cs="Arial"/>
              <w:sz w:val="24"/>
              <w:szCs w:val="24"/>
            </w:rPr>
            <m:t>5=6</m:t>
          </m:r>
          <m:r>
            <w:rPr>
              <w:rFonts w:ascii="Arial" w:hAnsi="Arial" w:cs="Arial"/>
              <w:sz w:val="24"/>
              <w:szCs w:val="24"/>
            </w:rPr>
            <w:br/>
          </m:r>
        </m:oMath>
        <m:oMath>
          <m:r>
            <m:rPr>
              <m:nor/>
            </m:rPr>
            <w:rPr>
              <w:rFonts w:ascii="Arial" w:hAnsi="Arial" w:cs="Arial"/>
              <w:sz w:val="24"/>
              <w:szCs w:val="24"/>
            </w:rPr>
            <m:t>Avg accounting profit</m:t>
          </m:r>
          <m:r>
            <w:rPr>
              <w:rFonts w:ascii="Cambria Math" w:hAnsi="Cambria Math" w:cs="Arial"/>
              <w:sz w:val="24"/>
              <w:szCs w:val="24"/>
            </w:rPr>
            <m:t>=6-6=0</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ARR</m:t>
              </m:r>
            </m:e>
            <m:sub>
              <m:r>
                <w:rPr>
                  <w:rFonts w:ascii="Cambria Math" w:hAnsi="Cambria Math" w:cs="Arial"/>
                  <w:sz w:val="24"/>
                  <w:szCs w:val="24"/>
                </w:rPr>
                <m:t>B</m:t>
              </m:r>
            </m:sub>
          </m:sSub>
          <m:r>
            <w:rPr>
              <w:rFonts w:ascii="Cambria Math" w:hAnsi="Cambria Math" w:cs="Arial"/>
              <w:sz w:val="24"/>
              <w:szCs w:val="24"/>
            </w:rPr>
            <m:t>=0</m:t>
          </m:r>
          <m:r>
            <m:rPr>
              <m:sty m:val="p"/>
            </m:rPr>
            <w:rPr>
              <w:rFonts w:ascii="Cambria Math" w:hAnsi="Cambria Math" w:cs="Arial"/>
              <w:sz w:val="24"/>
              <w:szCs w:val="24"/>
            </w:rPr>
            <m:t>%</m:t>
          </m:r>
          <m:r>
            <m:rPr>
              <m:sty m:val="p"/>
            </m:rPr>
            <w:rPr>
              <w:rFonts w:ascii="Arial" w:hAnsi="Arial" w:cs="Arial"/>
              <w:sz w:val="24"/>
              <w:szCs w:val="24"/>
            </w:rPr>
            <w:br/>
          </m:r>
        </m:oMath>
      </m:oMathPara>
    </w:p>
    <w:p w14:paraId="74B2B464"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C</w:t>
      </w:r>
    </w:p>
    <w:p w14:paraId="4C8FEB82" w14:textId="77777777" w:rsidR="00605F46" w:rsidRDefault="00605F46" w:rsidP="008F5B00">
      <w:pPr>
        <w:spacing w:line="360" w:lineRule="auto"/>
        <w:rPr>
          <w:rFonts w:ascii="Arial" w:hAnsi="Arial" w:cs="Arial"/>
          <w:b/>
          <w:bCs/>
          <w:sz w:val="24"/>
          <w:szCs w:val="24"/>
        </w:rPr>
      </w:pPr>
      <m:oMathPara>
        <m:oMath>
          <m:r>
            <w:rPr>
              <w:rFonts w:ascii="Cambria Math" w:hAnsi="Cambria Math" w:cs="Arial"/>
              <w:sz w:val="24"/>
              <w:szCs w:val="24"/>
            </w:rPr>
            <m:t>∑CF=75</m:t>
          </m:r>
          <m:r>
            <w:rPr>
              <w:rFonts w:ascii="Arial" w:hAnsi="Arial" w:cs="Arial"/>
              <w:sz w:val="24"/>
              <w:szCs w:val="24"/>
            </w:rPr>
            <w:br/>
          </m:r>
        </m:oMath>
        <m:oMath>
          <m:r>
            <m:rPr>
              <m:nor/>
            </m:rPr>
            <w:rPr>
              <w:rFonts w:ascii="Arial" w:hAnsi="Arial" w:cs="Arial"/>
              <w:sz w:val="24"/>
              <w:szCs w:val="24"/>
            </w:rPr>
            <m:t>Avg cash inflow</m:t>
          </m:r>
          <m:r>
            <w:rPr>
              <w:rFonts w:ascii="Cambria Math" w:hAnsi="Cambria Math" w:cs="Arial"/>
              <w:sz w:val="24"/>
              <w:szCs w:val="24"/>
            </w:rPr>
            <m:t>=15</m:t>
          </m:r>
          <m:r>
            <w:rPr>
              <w:rFonts w:ascii="Arial" w:hAnsi="Arial" w:cs="Arial"/>
              <w:sz w:val="24"/>
              <w:szCs w:val="24"/>
            </w:rPr>
            <w:br/>
          </m:r>
        </m:oMath>
        <m:oMath>
          <m:r>
            <m:rPr>
              <m:nor/>
            </m:rPr>
            <w:rPr>
              <w:rFonts w:ascii="Arial" w:hAnsi="Arial" w:cs="Arial"/>
              <w:sz w:val="24"/>
              <w:szCs w:val="24"/>
            </w:rPr>
            <m:t>Depreciation</m:t>
          </m:r>
          <m:r>
            <w:rPr>
              <w:rFonts w:ascii="Cambria Math" w:hAnsi="Cambria Math" w:cs="Arial"/>
              <w:sz w:val="24"/>
              <w:szCs w:val="24"/>
            </w:rPr>
            <m:t>=50</m:t>
          </m:r>
          <m:r>
            <m:rPr>
              <m:sty m:val="p"/>
            </m:rPr>
            <w:rPr>
              <w:rFonts w:ascii="Cambria Math" w:hAnsi="Cambria Math" w:cs="Arial"/>
              <w:sz w:val="24"/>
              <w:szCs w:val="24"/>
            </w:rPr>
            <m:t>/</m:t>
          </m:r>
          <m:r>
            <w:rPr>
              <w:rFonts w:ascii="Cambria Math" w:hAnsi="Cambria Math" w:cs="Arial"/>
              <w:sz w:val="24"/>
              <w:szCs w:val="24"/>
            </w:rPr>
            <m:t>5=10</m:t>
          </m:r>
          <m:r>
            <w:rPr>
              <w:rFonts w:ascii="Arial" w:hAnsi="Arial" w:cs="Arial"/>
              <w:sz w:val="24"/>
              <w:szCs w:val="24"/>
            </w:rPr>
            <w:br/>
          </m:r>
        </m:oMath>
        <m:oMath>
          <m:r>
            <m:rPr>
              <m:nor/>
            </m:rPr>
            <w:rPr>
              <w:rFonts w:ascii="Arial" w:hAnsi="Arial" w:cs="Arial"/>
              <w:sz w:val="24"/>
              <w:szCs w:val="24"/>
            </w:rPr>
            <m:t>Avg accounting profit</m:t>
          </m:r>
          <m:r>
            <w:rPr>
              <w:rFonts w:ascii="Cambria Math" w:hAnsi="Cambria Math" w:cs="Arial"/>
              <w:sz w:val="24"/>
              <w:szCs w:val="24"/>
            </w:rPr>
            <m:t>=15-10=5</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ARR</m:t>
              </m:r>
            </m:e>
            <m:sub>
              <m:r>
                <w:rPr>
                  <w:rFonts w:ascii="Cambria Math" w:hAnsi="Cambria Math" w:cs="Arial"/>
                  <w:sz w:val="24"/>
                  <w:szCs w:val="24"/>
                </w:rPr>
                <m:t>C</m:t>
              </m:r>
            </m:sub>
          </m:sSub>
          <m:r>
            <w:rPr>
              <w:rFonts w:ascii="Cambria Math" w:hAnsi="Cambria Math" w:cs="Arial"/>
              <w:sz w:val="24"/>
              <w:szCs w:val="24"/>
            </w:rPr>
            <m:t>=(5</m:t>
          </m:r>
          <m:r>
            <m:rPr>
              <m:sty m:val="p"/>
            </m:rPr>
            <w:rPr>
              <w:rFonts w:ascii="Cambria Math" w:hAnsi="Cambria Math" w:cs="Arial"/>
              <w:sz w:val="24"/>
              <w:szCs w:val="24"/>
            </w:rPr>
            <m:t>/</m:t>
          </m:r>
          <m:r>
            <w:rPr>
              <w:rFonts w:ascii="Cambria Math" w:hAnsi="Cambria Math" w:cs="Arial"/>
              <w:sz w:val="24"/>
              <w:szCs w:val="24"/>
            </w:rPr>
            <m:t>50)×100=10</m:t>
          </m:r>
          <m:r>
            <m:rPr>
              <m:sty m:val="p"/>
            </m:rPr>
            <w:rPr>
              <w:rFonts w:ascii="Cambria Math" w:hAnsi="Cambria Math" w:cs="Arial"/>
              <w:sz w:val="24"/>
              <w:szCs w:val="24"/>
            </w:rPr>
            <m:t>%</m:t>
          </m:r>
          <m:r>
            <m:rPr>
              <m:sty m:val="p"/>
            </m:rPr>
            <w:rPr>
              <w:rFonts w:ascii="Arial" w:hAnsi="Arial" w:cs="Arial"/>
              <w:sz w:val="24"/>
              <w:szCs w:val="24"/>
            </w:rPr>
            <w:br/>
          </m:r>
        </m:oMath>
      </m:oMathPara>
    </w:p>
    <w:p w14:paraId="77692205" w14:textId="76C3B1FB"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5.3 Net Present Value (NPV)</w:t>
      </w:r>
    </w:p>
    <w:p w14:paraId="2881C2D3" w14:textId="77777777" w:rsidR="00605F46" w:rsidRPr="00605F46" w:rsidRDefault="00605F46" w:rsidP="008F5B00">
      <w:pPr>
        <w:spacing w:line="360" w:lineRule="auto"/>
        <w:rPr>
          <w:rFonts w:ascii="Arial" w:hAnsi="Arial" w:cs="Arial"/>
          <w:sz w:val="24"/>
          <w:szCs w:val="24"/>
        </w:rPr>
      </w:pPr>
      <w:r w:rsidRPr="00605F46">
        <w:rPr>
          <w:rFonts w:ascii="Arial" w:hAnsi="Arial" w:cs="Arial"/>
          <w:sz w:val="24"/>
          <w:szCs w:val="24"/>
        </w:rPr>
        <w:t>The NPV of each project is calculated as:</w:t>
      </w:r>
    </w:p>
    <w:p w14:paraId="151BEC33" w14:textId="632FB4CF"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NPV</m:t>
          </m:r>
          <m:r>
            <w:rPr>
              <w:rFonts w:ascii="Cambria Math" w:hAnsi="Cambria Math" w:cs="Arial"/>
              <w:sz w:val="24"/>
              <w:szCs w:val="24"/>
            </w:rPr>
            <m:t>=-</m:t>
          </m:r>
          <m:r>
            <m:rPr>
              <m:nor/>
            </m:rPr>
            <w:rPr>
              <w:rFonts w:ascii="Arial" w:hAnsi="Arial" w:cs="Arial"/>
              <w:sz w:val="24"/>
              <w:szCs w:val="24"/>
            </w:rPr>
            <m:t>Initial investment</m:t>
          </m:r>
          <m:r>
            <w:rPr>
              <w:rFonts w:ascii="Cambria Math" w:hAnsi="Cambria Math" w:cs="Arial"/>
              <w:sz w:val="24"/>
              <w:szCs w:val="24"/>
            </w:rPr>
            <m:t>+</m:t>
          </m:r>
          <m:nary>
            <m:naryPr>
              <m:chr m:val="∑"/>
              <m:limLoc m:val="undOvr"/>
              <m:grow m:val="1"/>
              <m:ctrlPr>
                <w:rPr>
                  <w:rFonts w:ascii="Cambria Math" w:hAnsi="Cambria Math" w:cs="Arial"/>
                  <w:sz w:val="24"/>
                  <w:szCs w:val="24"/>
                </w:rPr>
              </m:ctrlPr>
            </m:naryPr>
            <m:sub>
              <m:r>
                <w:rPr>
                  <w:rFonts w:ascii="Cambria Math" w:hAnsi="Cambria Math" w:cs="Arial"/>
                  <w:sz w:val="24"/>
                  <w:szCs w:val="24"/>
                </w:rPr>
                <m:t>t=1</m:t>
              </m:r>
            </m:sub>
            <m:sup>
              <m:r>
                <w:rPr>
                  <w:rFonts w:ascii="Cambria Math" w:hAnsi="Cambria Math" w:cs="Arial"/>
                  <w:sz w:val="24"/>
                  <w:szCs w:val="24"/>
                </w:rPr>
                <m:t>5</m:t>
              </m:r>
            </m:sup>
            <m:e/>
          </m:nary>
          <m:f>
            <m:fPr>
              <m:ctrlPr>
                <w:rPr>
                  <w:rFonts w:ascii="Cambria Math" w:hAnsi="Cambria Math" w:cs="Arial"/>
                  <w:sz w:val="24"/>
                  <w:szCs w:val="24"/>
                </w:rPr>
              </m:ctrlPr>
            </m:fPr>
            <m:num>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t</m:t>
                  </m:r>
                </m:sub>
              </m:sSub>
            </m:num>
            <m:den>
              <m:r>
                <w:rPr>
                  <w:rFonts w:ascii="Cambria Math" w:hAnsi="Cambria Math" w:cs="Arial"/>
                  <w:sz w:val="24"/>
                  <w:szCs w:val="24"/>
                </w:rPr>
                <m:t>(1+0.10</m:t>
              </m:r>
              <m:sSup>
                <m:sSupPr>
                  <m:ctrlPr>
                    <w:rPr>
                      <w:rFonts w:ascii="Cambria Math" w:hAnsi="Cambria Math" w:cs="Arial"/>
                      <w:sz w:val="24"/>
                      <w:szCs w:val="24"/>
                    </w:rPr>
                  </m:ctrlPr>
                </m:sSupPr>
                <m:e>
                  <m:r>
                    <w:rPr>
                      <w:rFonts w:ascii="Cambria Math" w:hAnsi="Cambria Math" w:cs="Arial"/>
                      <w:sz w:val="24"/>
                      <w:szCs w:val="24"/>
                    </w:rPr>
                    <m:t>)</m:t>
                  </m:r>
                </m:e>
                <m:sup>
                  <m:r>
                    <w:rPr>
                      <w:rFonts w:ascii="Cambria Math" w:hAnsi="Cambria Math" w:cs="Arial"/>
                      <w:sz w:val="24"/>
                      <w:szCs w:val="24"/>
                    </w:rPr>
                    <m:t>t</m:t>
                  </m:r>
                </m:sup>
              </m:sSup>
            </m:den>
          </m:f>
          <m:r>
            <m:rPr>
              <m:sty m:val="p"/>
            </m:rPr>
            <w:rPr>
              <w:rFonts w:ascii="Arial" w:hAnsi="Arial" w:cs="Arial"/>
              <w:sz w:val="24"/>
              <w:szCs w:val="24"/>
            </w:rPr>
            <w:br/>
          </m:r>
        </m:oMath>
      </m:oMathPara>
    </w:p>
    <w:p w14:paraId="6B41284E" w14:textId="77777777" w:rsidR="00605F46" w:rsidRPr="00605F46" w:rsidRDefault="00605F46" w:rsidP="008F5B00">
      <w:pPr>
        <w:spacing w:line="360" w:lineRule="auto"/>
        <w:rPr>
          <w:rFonts w:ascii="Arial" w:hAnsi="Arial" w:cs="Arial"/>
          <w:sz w:val="24"/>
          <w:szCs w:val="24"/>
        </w:rPr>
      </w:pPr>
      <w:r w:rsidRPr="00605F46">
        <w:rPr>
          <w:rFonts w:ascii="Arial" w:hAnsi="Arial" w:cs="Arial"/>
          <w:sz w:val="24"/>
          <w:szCs w:val="24"/>
        </w:rPr>
        <w:t>Discount factors:</w:t>
      </w:r>
      <w:r w:rsidRPr="00605F46">
        <w:rPr>
          <w:rFonts w:ascii="Arial" w:hAnsi="Arial" w:cs="Arial"/>
          <w:sz w:val="24"/>
          <w:szCs w:val="24"/>
        </w:rPr>
        <w:br/>
        <w:t>Year 1 = 0.90909</w:t>
      </w:r>
      <w:r w:rsidRPr="00605F46">
        <w:rPr>
          <w:rFonts w:ascii="Arial" w:hAnsi="Arial" w:cs="Arial"/>
          <w:sz w:val="24"/>
          <w:szCs w:val="24"/>
        </w:rPr>
        <w:br/>
        <w:t>Year 2 = 0.82645</w:t>
      </w:r>
      <w:r w:rsidRPr="00605F46">
        <w:rPr>
          <w:rFonts w:ascii="Arial" w:hAnsi="Arial" w:cs="Arial"/>
          <w:sz w:val="24"/>
          <w:szCs w:val="24"/>
        </w:rPr>
        <w:br/>
        <w:t>Year 3 = 0.75131</w:t>
      </w:r>
      <w:r w:rsidRPr="00605F46">
        <w:rPr>
          <w:rFonts w:ascii="Arial" w:hAnsi="Arial" w:cs="Arial"/>
          <w:sz w:val="24"/>
          <w:szCs w:val="24"/>
        </w:rPr>
        <w:br/>
        <w:t>Year 4 = 0.68301</w:t>
      </w:r>
      <w:r w:rsidRPr="00605F46">
        <w:rPr>
          <w:rFonts w:ascii="Arial" w:hAnsi="Arial" w:cs="Arial"/>
          <w:sz w:val="24"/>
          <w:szCs w:val="24"/>
        </w:rPr>
        <w:br/>
        <w:t>Year 5 = 0.62092</w:t>
      </w:r>
    </w:p>
    <w:p w14:paraId="3DB438FD" w14:textId="088ED45B" w:rsidR="00605F46" w:rsidRPr="00605F46" w:rsidRDefault="00605F46" w:rsidP="008F5B00">
      <w:pPr>
        <w:spacing w:line="360" w:lineRule="auto"/>
        <w:rPr>
          <w:rFonts w:ascii="Arial" w:hAnsi="Arial" w:cs="Arial"/>
          <w:sz w:val="24"/>
          <w:szCs w:val="24"/>
        </w:rPr>
      </w:pPr>
    </w:p>
    <w:p w14:paraId="45FB171B"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A</w:t>
      </w:r>
    </w:p>
    <w:p w14:paraId="4CB22E71" w14:textId="12A112F6"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w:lastRenderedPageBreak/>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1</m:t>
              </m:r>
            </m:sub>
          </m:sSub>
          <m:r>
            <w:rPr>
              <w:rFonts w:ascii="Cambria Math" w:hAnsi="Cambria Math" w:cs="Arial"/>
              <w:sz w:val="24"/>
              <w:szCs w:val="24"/>
            </w:rPr>
            <m:t>:10×0.90909=9.0909</m:t>
          </m:r>
          <m:r>
            <w:rPr>
              <w:rFonts w:ascii="Arial" w:hAnsi="Arial" w:cs="Arial"/>
              <w:sz w:val="24"/>
              <w:szCs w:val="24"/>
            </w:rPr>
            <w:br/>
          </m:r>
        </m:oMath>
        <m:oMath>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2</m:t>
              </m:r>
            </m:sub>
          </m:sSub>
          <m:r>
            <w:rPr>
              <w:rFonts w:ascii="Cambria Math" w:hAnsi="Cambria Math" w:cs="Arial"/>
              <w:sz w:val="24"/>
              <w:szCs w:val="24"/>
            </w:rPr>
            <m:t>:12×0.82645=9.9174</m:t>
          </m:r>
          <m:r>
            <w:rPr>
              <w:rFonts w:ascii="Arial" w:hAnsi="Arial" w:cs="Arial"/>
              <w:sz w:val="24"/>
              <w:szCs w:val="24"/>
            </w:rPr>
            <w:br/>
          </m:r>
        </m:oMath>
        <m:oMath>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3</m:t>
              </m:r>
            </m:sub>
          </m:sSub>
          <m:r>
            <w:rPr>
              <w:rFonts w:ascii="Cambria Math" w:hAnsi="Cambria Math" w:cs="Arial"/>
              <w:sz w:val="24"/>
              <w:szCs w:val="24"/>
            </w:rPr>
            <m:t>:14×0.75131=10.5183</m:t>
          </m:r>
          <m:r>
            <w:rPr>
              <w:rFonts w:ascii="Arial" w:hAnsi="Arial" w:cs="Arial"/>
              <w:sz w:val="24"/>
              <w:szCs w:val="24"/>
            </w:rPr>
            <w:br/>
          </m:r>
        </m:oMath>
        <m:oMath>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4</m:t>
              </m:r>
            </m:sub>
          </m:sSub>
          <m:r>
            <w:rPr>
              <w:rFonts w:ascii="Cambria Math" w:hAnsi="Cambria Math" w:cs="Arial"/>
              <w:sz w:val="24"/>
              <w:szCs w:val="24"/>
            </w:rPr>
            <m:t>:10×0.68301=6.8301</m:t>
          </m:r>
          <m:r>
            <w:rPr>
              <w:rFonts w:ascii="Arial" w:hAnsi="Arial" w:cs="Arial"/>
              <w:sz w:val="24"/>
              <w:szCs w:val="24"/>
            </w:rPr>
            <w:br/>
          </m:r>
        </m:oMath>
        <m:oMath>
          <m:r>
            <w:rPr>
              <w:rFonts w:ascii="Cambria Math" w:hAnsi="Cambria Math" w:cs="Arial"/>
              <w:sz w:val="24"/>
              <w:szCs w:val="24"/>
            </w:rPr>
            <m:t>C</m:t>
          </m:r>
          <m:sSub>
            <m:sSubPr>
              <m:ctrlPr>
                <w:rPr>
                  <w:rFonts w:ascii="Cambria Math" w:hAnsi="Cambria Math" w:cs="Arial"/>
                  <w:sz w:val="24"/>
                  <w:szCs w:val="24"/>
                </w:rPr>
              </m:ctrlPr>
            </m:sSubPr>
            <m:e>
              <m:r>
                <w:rPr>
                  <w:rFonts w:ascii="Cambria Math" w:hAnsi="Cambria Math" w:cs="Arial"/>
                  <w:sz w:val="24"/>
                  <w:szCs w:val="24"/>
                </w:rPr>
                <m:t>F</m:t>
              </m:r>
            </m:e>
            <m:sub>
              <m:r>
                <w:rPr>
                  <w:rFonts w:ascii="Cambria Math" w:hAnsi="Cambria Math" w:cs="Arial"/>
                  <w:sz w:val="24"/>
                  <w:szCs w:val="24"/>
                </w:rPr>
                <m:t>5</m:t>
              </m:r>
            </m:sub>
          </m:sSub>
          <m:r>
            <w:rPr>
              <w:rFonts w:ascii="Cambria Math" w:hAnsi="Cambria Math" w:cs="Arial"/>
              <w:sz w:val="24"/>
              <w:szCs w:val="24"/>
            </w:rPr>
            <m:t>:8×0.62092=4.9674</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PV inflows</m:t>
              </m:r>
            </m:e>
            <m:sub>
              <m:r>
                <w:rPr>
                  <w:rFonts w:ascii="Cambria Math" w:hAnsi="Cambria Math" w:cs="Arial"/>
                  <w:sz w:val="24"/>
                  <w:szCs w:val="24"/>
                </w:rPr>
                <m:t>A</m:t>
              </m:r>
            </m:sub>
          </m:sSub>
          <m:r>
            <w:rPr>
              <w:rFonts w:ascii="Cambria Math" w:hAnsi="Cambria Math" w:cs="Arial"/>
              <w:sz w:val="24"/>
              <w:szCs w:val="24"/>
            </w:rPr>
            <m:t>=41.3241</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NPV</m:t>
              </m:r>
            </m:e>
            <m:sub>
              <m:r>
                <w:rPr>
                  <w:rFonts w:ascii="Cambria Math" w:hAnsi="Cambria Math" w:cs="Arial"/>
                  <w:sz w:val="24"/>
                  <w:szCs w:val="24"/>
                </w:rPr>
                <m:t>A</m:t>
              </m:r>
            </m:sub>
          </m:sSub>
          <m:r>
            <w:rPr>
              <w:rFonts w:ascii="Cambria Math" w:hAnsi="Cambria Math" w:cs="Arial"/>
              <w:sz w:val="24"/>
              <w:szCs w:val="24"/>
            </w:rPr>
            <m:t>=41.3241-40=+1.3241</m:t>
          </m:r>
          <m:r>
            <m:rPr>
              <m:nor/>
            </m:rPr>
            <w:rPr>
              <w:rFonts w:ascii="Arial" w:hAnsi="Arial" w:cs="Arial"/>
              <w:sz w:val="24"/>
              <w:szCs w:val="24"/>
            </w:rPr>
            <m:t>  </m:t>
          </m:r>
          <m:r>
            <w:rPr>
              <w:rFonts w:ascii="Cambria Math" w:hAnsi="Cambria Math" w:cs="Arial"/>
              <w:sz w:val="24"/>
              <w:szCs w:val="24"/>
            </w:rPr>
            <m:t>(</m:t>
          </m:r>
          <m:r>
            <m:rPr>
              <m:sty m:val="p"/>
            </m:rPr>
            <w:rPr>
              <w:rFonts w:ascii="Cambria Math" w:hAnsi="Cambria Math" w:cs="Arial"/>
              <w:sz w:val="24"/>
              <w:szCs w:val="24"/>
            </w:rPr>
            <m:t>£</m:t>
          </m:r>
          <m:r>
            <w:rPr>
              <w:rFonts w:ascii="Cambria Math" w:hAnsi="Cambria Math" w:cs="Arial"/>
              <w:sz w:val="24"/>
              <w:szCs w:val="24"/>
            </w:rPr>
            <m:t>m)</m:t>
          </m:r>
          <m:r>
            <w:rPr>
              <w:rFonts w:ascii="Arial" w:hAnsi="Arial" w:cs="Arial"/>
              <w:sz w:val="24"/>
              <w:szCs w:val="24"/>
            </w:rPr>
            <w:br/>
          </m:r>
        </m:oMath>
      </m:oMathPara>
    </w:p>
    <w:p w14:paraId="6AAC7167" w14:textId="0F1DE2B4" w:rsidR="00605F46" w:rsidRPr="00605F46" w:rsidRDefault="00605F46" w:rsidP="008F5B00">
      <w:pPr>
        <w:spacing w:line="360" w:lineRule="auto"/>
        <w:rPr>
          <w:rFonts w:ascii="Arial" w:hAnsi="Arial" w:cs="Arial"/>
          <w:sz w:val="24"/>
          <w:szCs w:val="24"/>
        </w:rPr>
      </w:pPr>
    </w:p>
    <w:p w14:paraId="748759C7"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B</w:t>
      </w:r>
    </w:p>
    <w:p w14:paraId="078C0D93" w14:textId="0DCE6AD2"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Sum of discount factors</m:t>
          </m:r>
          <m:r>
            <w:rPr>
              <w:rFonts w:ascii="Cambria Math" w:hAnsi="Cambria Math" w:cs="Arial"/>
              <w:sz w:val="24"/>
              <w:szCs w:val="24"/>
            </w:rPr>
            <m:t>=3.79078</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PV inflows</m:t>
              </m:r>
            </m:e>
            <m:sub>
              <m:r>
                <w:rPr>
                  <w:rFonts w:ascii="Cambria Math" w:hAnsi="Cambria Math" w:cs="Arial"/>
                  <w:sz w:val="24"/>
                  <w:szCs w:val="24"/>
                </w:rPr>
                <m:t>B</m:t>
              </m:r>
            </m:sub>
          </m:sSub>
          <m:r>
            <w:rPr>
              <w:rFonts w:ascii="Cambria Math" w:hAnsi="Cambria Math" w:cs="Arial"/>
              <w:sz w:val="24"/>
              <w:szCs w:val="24"/>
            </w:rPr>
            <m:t>=6×3.79078=22.7447</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NPV</m:t>
              </m:r>
            </m:e>
            <m:sub>
              <m:r>
                <w:rPr>
                  <w:rFonts w:ascii="Cambria Math" w:hAnsi="Cambria Math" w:cs="Arial"/>
                  <w:sz w:val="24"/>
                  <w:szCs w:val="24"/>
                </w:rPr>
                <m:t>B</m:t>
              </m:r>
            </m:sub>
          </m:sSub>
          <m:r>
            <w:rPr>
              <w:rFonts w:ascii="Cambria Math" w:hAnsi="Cambria Math" w:cs="Arial"/>
              <w:sz w:val="24"/>
              <w:szCs w:val="24"/>
            </w:rPr>
            <m:t>=22.7447-30=-7.2553</m:t>
          </m:r>
          <m:r>
            <m:rPr>
              <m:nor/>
            </m:rPr>
            <w:rPr>
              <w:rFonts w:ascii="Arial" w:hAnsi="Arial" w:cs="Arial"/>
              <w:sz w:val="24"/>
              <w:szCs w:val="24"/>
            </w:rPr>
            <m:t>  </m:t>
          </m:r>
          <m:r>
            <w:rPr>
              <w:rFonts w:ascii="Cambria Math" w:hAnsi="Cambria Math" w:cs="Arial"/>
              <w:sz w:val="24"/>
              <w:szCs w:val="24"/>
            </w:rPr>
            <m:t>(</m:t>
          </m:r>
          <m:r>
            <m:rPr>
              <m:sty m:val="p"/>
            </m:rPr>
            <w:rPr>
              <w:rFonts w:ascii="Cambria Math" w:hAnsi="Cambria Math" w:cs="Arial"/>
              <w:sz w:val="24"/>
              <w:szCs w:val="24"/>
            </w:rPr>
            <m:t>£</m:t>
          </m:r>
          <m:r>
            <w:rPr>
              <w:rFonts w:ascii="Cambria Math" w:hAnsi="Cambria Math" w:cs="Arial"/>
              <w:sz w:val="24"/>
              <w:szCs w:val="24"/>
            </w:rPr>
            <m:t>m)</m:t>
          </m:r>
          <m:r>
            <w:rPr>
              <w:rFonts w:ascii="Arial" w:hAnsi="Arial" w:cs="Arial"/>
              <w:sz w:val="24"/>
              <w:szCs w:val="24"/>
            </w:rPr>
            <w:br/>
          </m:r>
        </m:oMath>
      </m:oMathPara>
    </w:p>
    <w:p w14:paraId="22F171A2" w14:textId="7EEC9973" w:rsidR="00605F46" w:rsidRPr="00605F46" w:rsidRDefault="00605F46" w:rsidP="008F5B00">
      <w:pPr>
        <w:spacing w:line="360" w:lineRule="auto"/>
        <w:rPr>
          <w:rFonts w:ascii="Arial" w:hAnsi="Arial" w:cs="Arial"/>
          <w:sz w:val="24"/>
          <w:szCs w:val="24"/>
        </w:rPr>
      </w:pPr>
    </w:p>
    <w:p w14:paraId="23A1144B"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C</w:t>
      </w:r>
    </w:p>
    <w:p w14:paraId="6F1EAE1E" w14:textId="77777777" w:rsidR="00605F46" w:rsidRDefault="00605F46" w:rsidP="008F5B00">
      <w:pPr>
        <w:spacing w:line="360" w:lineRule="auto"/>
        <w:rPr>
          <w:rFonts w:ascii="Arial" w:hAnsi="Arial" w:cs="Arial"/>
          <w:b/>
          <w:bCs/>
          <w:sz w:val="24"/>
          <w:szCs w:val="24"/>
        </w:rPr>
      </w:pPr>
      <m:oMathPara>
        <m:oMath>
          <m:r>
            <w:rPr>
              <w:rFonts w:ascii="Cambria Math" w:hAnsi="Cambria Math" w:cs="Arial"/>
              <w:sz w:val="24"/>
              <w:szCs w:val="24"/>
            </w:rPr>
            <m:t>5×0.90909=4.5455</m:t>
          </m:r>
          <m:r>
            <w:rPr>
              <w:rFonts w:ascii="Arial" w:hAnsi="Arial" w:cs="Arial"/>
              <w:sz w:val="24"/>
              <w:szCs w:val="24"/>
            </w:rPr>
            <w:br/>
          </m:r>
        </m:oMath>
        <m:oMath>
          <m:r>
            <w:rPr>
              <w:rFonts w:ascii="Cambria Math" w:hAnsi="Cambria Math" w:cs="Arial"/>
              <w:sz w:val="24"/>
              <w:szCs w:val="24"/>
            </w:rPr>
            <m:t>10×0.82645=8.2645</m:t>
          </m:r>
          <m:r>
            <w:rPr>
              <w:rFonts w:ascii="Arial" w:hAnsi="Arial" w:cs="Arial"/>
              <w:sz w:val="24"/>
              <w:szCs w:val="24"/>
            </w:rPr>
            <w:br/>
          </m:r>
        </m:oMath>
        <m:oMath>
          <m:r>
            <w:rPr>
              <w:rFonts w:ascii="Cambria Math" w:hAnsi="Cambria Math" w:cs="Arial"/>
              <w:sz w:val="24"/>
              <w:szCs w:val="24"/>
            </w:rPr>
            <m:t>20×0.75131=15.0262</m:t>
          </m:r>
          <m:r>
            <w:rPr>
              <w:rFonts w:ascii="Arial" w:hAnsi="Arial" w:cs="Arial"/>
              <w:sz w:val="24"/>
              <w:szCs w:val="24"/>
            </w:rPr>
            <w:br/>
          </m:r>
        </m:oMath>
        <m:oMath>
          <m:r>
            <w:rPr>
              <w:rFonts w:ascii="Cambria Math" w:hAnsi="Cambria Math" w:cs="Arial"/>
              <w:sz w:val="24"/>
              <w:szCs w:val="24"/>
            </w:rPr>
            <m:t>25×0.68301=17.0753</m:t>
          </m:r>
          <m:r>
            <w:rPr>
              <w:rFonts w:ascii="Arial" w:hAnsi="Arial" w:cs="Arial"/>
              <w:sz w:val="24"/>
              <w:szCs w:val="24"/>
            </w:rPr>
            <w:br/>
          </m:r>
        </m:oMath>
        <m:oMath>
          <m:r>
            <w:rPr>
              <w:rFonts w:ascii="Cambria Math" w:hAnsi="Cambria Math" w:cs="Arial"/>
              <w:sz w:val="24"/>
              <w:szCs w:val="24"/>
            </w:rPr>
            <m:t>15×0.62092=9.3138</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PV inflows</m:t>
              </m:r>
            </m:e>
            <m:sub>
              <m:r>
                <w:rPr>
                  <w:rFonts w:ascii="Cambria Math" w:hAnsi="Cambria Math" w:cs="Arial"/>
                  <w:sz w:val="24"/>
                  <w:szCs w:val="24"/>
                </w:rPr>
                <m:t>C</m:t>
              </m:r>
            </m:sub>
          </m:sSub>
          <m:r>
            <w:rPr>
              <w:rFonts w:ascii="Cambria Math" w:hAnsi="Cambria Math" w:cs="Arial"/>
              <w:sz w:val="24"/>
              <w:szCs w:val="24"/>
            </w:rPr>
            <m:t>=54.2253</m:t>
          </m:r>
          <m:r>
            <w:rPr>
              <w:rFonts w:ascii="Arial" w:hAnsi="Arial" w:cs="Arial"/>
              <w:sz w:val="24"/>
              <w:szCs w:val="24"/>
            </w:rPr>
            <w:br/>
          </m:r>
        </m:oMath>
        <m:oMath>
          <m:sSub>
            <m:sSubPr>
              <m:ctrlPr>
                <w:rPr>
                  <w:rFonts w:ascii="Cambria Math" w:hAnsi="Cambria Math" w:cs="Arial"/>
                  <w:sz w:val="24"/>
                  <w:szCs w:val="24"/>
                </w:rPr>
              </m:ctrlPr>
            </m:sSubPr>
            <m:e>
              <m:r>
                <m:rPr>
                  <m:nor/>
                </m:rPr>
                <w:rPr>
                  <w:rFonts w:ascii="Arial" w:hAnsi="Arial" w:cs="Arial"/>
                  <w:sz w:val="24"/>
                  <w:szCs w:val="24"/>
                </w:rPr>
                <m:t>NPV</m:t>
              </m:r>
            </m:e>
            <m:sub>
              <m:r>
                <w:rPr>
                  <w:rFonts w:ascii="Cambria Math" w:hAnsi="Cambria Math" w:cs="Arial"/>
                  <w:sz w:val="24"/>
                  <w:szCs w:val="24"/>
                </w:rPr>
                <m:t>C</m:t>
              </m:r>
            </m:sub>
          </m:sSub>
          <m:r>
            <w:rPr>
              <w:rFonts w:ascii="Cambria Math" w:hAnsi="Cambria Math" w:cs="Arial"/>
              <w:sz w:val="24"/>
              <w:szCs w:val="24"/>
            </w:rPr>
            <m:t>=54.2253-50=+4.2253</m:t>
          </m:r>
          <m:r>
            <m:rPr>
              <m:nor/>
            </m:rPr>
            <w:rPr>
              <w:rFonts w:ascii="Arial" w:hAnsi="Arial" w:cs="Arial"/>
              <w:sz w:val="24"/>
              <w:szCs w:val="24"/>
            </w:rPr>
            <m:t>  </m:t>
          </m:r>
          <m:r>
            <w:rPr>
              <w:rFonts w:ascii="Cambria Math" w:hAnsi="Cambria Math" w:cs="Arial"/>
              <w:sz w:val="24"/>
              <w:szCs w:val="24"/>
            </w:rPr>
            <m:t>(</m:t>
          </m:r>
          <m:r>
            <m:rPr>
              <m:sty m:val="p"/>
            </m:rPr>
            <w:rPr>
              <w:rFonts w:ascii="Cambria Math" w:hAnsi="Cambria Math" w:cs="Arial"/>
              <w:sz w:val="24"/>
              <w:szCs w:val="24"/>
            </w:rPr>
            <m:t>£</m:t>
          </m:r>
          <m:r>
            <w:rPr>
              <w:rFonts w:ascii="Cambria Math" w:hAnsi="Cambria Math" w:cs="Arial"/>
              <w:sz w:val="24"/>
              <w:szCs w:val="24"/>
            </w:rPr>
            <m:t>m)</m:t>
          </m:r>
          <m:r>
            <w:rPr>
              <w:rFonts w:ascii="Arial" w:hAnsi="Arial" w:cs="Arial"/>
              <w:sz w:val="24"/>
              <w:szCs w:val="24"/>
            </w:rPr>
            <w:br/>
          </m:r>
        </m:oMath>
      </m:oMathPara>
    </w:p>
    <w:p w14:paraId="36348C16" w14:textId="55C7DAB8"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5.4 Internal Rate of Return (IRR)</w:t>
      </w:r>
    </w:p>
    <w:p w14:paraId="57175694" w14:textId="77777777" w:rsidR="004125CC" w:rsidRDefault="004125CC" w:rsidP="004125CC">
      <w:pPr>
        <w:spacing w:line="360" w:lineRule="auto"/>
        <w:rPr>
          <w:rFonts w:ascii="Arial" w:hAnsi="Arial" w:cs="Arial"/>
          <w:sz w:val="24"/>
          <w:szCs w:val="24"/>
        </w:rPr>
      </w:pPr>
      <w:r w:rsidRPr="004125CC">
        <w:rPr>
          <w:rFonts w:ascii="Arial" w:hAnsi="Arial" w:cs="Arial"/>
          <w:sz w:val="24"/>
          <w:szCs w:val="24"/>
        </w:rPr>
        <w:t>The discount rate which gives NPV = 0 is called the IRR of any project. The IRRs are determined as:</w:t>
      </w:r>
    </w:p>
    <w:p w14:paraId="2E074490" w14:textId="456BE404" w:rsidR="00605F46" w:rsidRPr="00605F46" w:rsidRDefault="00605F46" w:rsidP="008F5B00">
      <w:pPr>
        <w:numPr>
          <w:ilvl w:val="0"/>
          <w:numId w:val="38"/>
        </w:numPr>
        <w:spacing w:line="360" w:lineRule="auto"/>
        <w:rPr>
          <w:rFonts w:ascii="Arial" w:hAnsi="Arial" w:cs="Arial"/>
          <w:sz w:val="24"/>
          <w:szCs w:val="24"/>
        </w:rPr>
      </w:pPr>
      <w:r w:rsidRPr="00605F46">
        <w:rPr>
          <w:rFonts w:ascii="Arial" w:hAnsi="Arial" w:cs="Arial"/>
          <w:b/>
          <w:bCs/>
          <w:sz w:val="24"/>
          <w:szCs w:val="24"/>
        </w:rPr>
        <w:t>Project A:</w:t>
      </w:r>
      <w:r w:rsidRPr="00605F46">
        <w:rPr>
          <w:rFonts w:ascii="Arial" w:hAnsi="Arial" w:cs="Arial"/>
          <w:sz w:val="24"/>
          <w:szCs w:val="24"/>
        </w:rPr>
        <w:t xml:space="preserve"> ≈ 13%</w:t>
      </w:r>
    </w:p>
    <w:p w14:paraId="67DE04ED" w14:textId="77777777" w:rsidR="00605F46" w:rsidRPr="00605F46" w:rsidRDefault="00605F46" w:rsidP="008F5B00">
      <w:pPr>
        <w:numPr>
          <w:ilvl w:val="0"/>
          <w:numId w:val="38"/>
        </w:numPr>
        <w:spacing w:line="360" w:lineRule="auto"/>
        <w:rPr>
          <w:rFonts w:ascii="Arial" w:hAnsi="Arial" w:cs="Arial"/>
          <w:sz w:val="24"/>
          <w:szCs w:val="24"/>
        </w:rPr>
      </w:pPr>
      <w:r w:rsidRPr="00605F46">
        <w:rPr>
          <w:rFonts w:ascii="Arial" w:hAnsi="Arial" w:cs="Arial"/>
          <w:b/>
          <w:bCs/>
          <w:sz w:val="24"/>
          <w:szCs w:val="24"/>
        </w:rPr>
        <w:t>Project B:</w:t>
      </w:r>
      <w:r w:rsidRPr="00605F46">
        <w:rPr>
          <w:rFonts w:ascii="Arial" w:hAnsi="Arial" w:cs="Arial"/>
          <w:sz w:val="24"/>
          <w:szCs w:val="24"/>
        </w:rPr>
        <w:t xml:space="preserve"> ≈ 8%</w:t>
      </w:r>
    </w:p>
    <w:p w14:paraId="4B6FF647" w14:textId="77777777" w:rsidR="00605F46" w:rsidRPr="00605F46" w:rsidRDefault="00605F46" w:rsidP="008F5B00">
      <w:pPr>
        <w:numPr>
          <w:ilvl w:val="0"/>
          <w:numId w:val="38"/>
        </w:numPr>
        <w:spacing w:line="360" w:lineRule="auto"/>
        <w:rPr>
          <w:rFonts w:ascii="Arial" w:hAnsi="Arial" w:cs="Arial"/>
          <w:sz w:val="24"/>
          <w:szCs w:val="24"/>
        </w:rPr>
      </w:pPr>
      <w:r w:rsidRPr="00605F46">
        <w:rPr>
          <w:rFonts w:ascii="Arial" w:hAnsi="Arial" w:cs="Arial"/>
          <w:b/>
          <w:bCs/>
          <w:sz w:val="24"/>
          <w:szCs w:val="24"/>
        </w:rPr>
        <w:t>Project C:</w:t>
      </w:r>
      <w:r w:rsidRPr="00605F46">
        <w:rPr>
          <w:rFonts w:ascii="Arial" w:hAnsi="Arial" w:cs="Arial"/>
          <w:sz w:val="24"/>
          <w:szCs w:val="24"/>
        </w:rPr>
        <w:t xml:space="preserve"> ≈ 16%</w:t>
      </w:r>
    </w:p>
    <w:p w14:paraId="5C7E5752" w14:textId="77777777" w:rsidR="004125CC" w:rsidRDefault="004125CC" w:rsidP="008F5B00">
      <w:pPr>
        <w:spacing w:line="360" w:lineRule="auto"/>
        <w:rPr>
          <w:rFonts w:ascii="Arial" w:hAnsi="Arial" w:cs="Arial"/>
          <w:sz w:val="24"/>
          <w:szCs w:val="24"/>
        </w:rPr>
      </w:pPr>
      <w:r w:rsidRPr="004125CC">
        <w:rPr>
          <w:rFonts w:ascii="Arial" w:hAnsi="Arial" w:cs="Arial"/>
          <w:sz w:val="24"/>
          <w:szCs w:val="24"/>
        </w:rPr>
        <w:lastRenderedPageBreak/>
        <w:t>Projects A and C have a higher level than 10% hurdle rate as compared to Project B. The higher IRR of project C indicates that the cash-flow is more back-loaded, thereby making it more risky to the execution risk. Since IRR is applicable in the comparison of projects to conventional cash flows, it should be used with caution because it makes assumptions about reinvestments.</w:t>
      </w:r>
    </w:p>
    <w:p w14:paraId="2B7D5FB2" w14:textId="3B198133"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5.5 Profitability Index (PI)</w:t>
      </w:r>
    </w:p>
    <w:p w14:paraId="16074513" w14:textId="77777777" w:rsidR="00605F46" w:rsidRPr="00605F46" w:rsidRDefault="00605F46" w:rsidP="008F5B00">
      <w:pPr>
        <w:spacing w:line="360" w:lineRule="auto"/>
        <w:rPr>
          <w:rFonts w:ascii="Arial" w:hAnsi="Arial" w:cs="Arial"/>
          <w:sz w:val="24"/>
          <w:szCs w:val="24"/>
        </w:rPr>
      </w:pPr>
      <w:r w:rsidRPr="00605F46">
        <w:rPr>
          <w:rFonts w:ascii="Arial" w:hAnsi="Arial" w:cs="Arial"/>
          <w:sz w:val="24"/>
          <w:szCs w:val="24"/>
        </w:rPr>
        <w:t>Profitability Index is calculated as:</w:t>
      </w:r>
    </w:p>
    <w:p w14:paraId="2FF1A865" w14:textId="3FD434F4" w:rsidR="00605F46" w:rsidRPr="00605F46" w:rsidRDefault="00605F46" w:rsidP="008F5B00">
      <w:pPr>
        <w:spacing w:line="360" w:lineRule="auto"/>
        <w:rPr>
          <w:rFonts w:ascii="Arial" w:hAnsi="Arial" w:cs="Arial"/>
          <w:sz w:val="24"/>
          <w:szCs w:val="24"/>
        </w:rPr>
      </w:pPr>
      <m:oMathPara>
        <m:oMath>
          <m:r>
            <m:rPr>
              <m:nor/>
            </m:rPr>
            <w:rPr>
              <w:rFonts w:ascii="Arial" w:hAnsi="Arial" w:cs="Arial"/>
              <w:sz w:val="24"/>
              <w:szCs w:val="24"/>
            </w:rPr>
            <m:t>PI</m:t>
          </m:r>
          <m:r>
            <w:rPr>
              <w:rFonts w:ascii="Cambria Math" w:hAnsi="Cambria Math" w:cs="Arial"/>
              <w:sz w:val="24"/>
              <w:szCs w:val="24"/>
            </w:rPr>
            <m:t>=</m:t>
          </m:r>
          <m:f>
            <m:fPr>
              <m:ctrlPr>
                <w:rPr>
                  <w:rFonts w:ascii="Cambria Math" w:hAnsi="Cambria Math" w:cs="Arial"/>
                  <w:sz w:val="24"/>
                  <w:szCs w:val="24"/>
                </w:rPr>
              </m:ctrlPr>
            </m:fPr>
            <m:num>
              <m:r>
                <m:rPr>
                  <m:nor/>
                </m:rPr>
                <w:rPr>
                  <w:rFonts w:ascii="Arial" w:hAnsi="Arial" w:cs="Arial"/>
                  <w:sz w:val="24"/>
                  <w:szCs w:val="24"/>
                </w:rPr>
                <m:t>PV of inflows</m:t>
              </m:r>
            </m:num>
            <m:den>
              <m:r>
                <m:rPr>
                  <m:nor/>
                </m:rPr>
                <w:rPr>
                  <w:rFonts w:ascii="Arial" w:hAnsi="Arial" w:cs="Arial"/>
                  <w:sz w:val="24"/>
                  <w:szCs w:val="24"/>
                </w:rPr>
                <m:t>Initial investment</m:t>
              </m:r>
            </m:den>
          </m:f>
          <m:r>
            <m:rPr>
              <m:sty m:val="p"/>
            </m:rPr>
            <w:rPr>
              <w:rFonts w:ascii="Arial" w:hAnsi="Arial" w:cs="Arial"/>
              <w:sz w:val="24"/>
              <w:szCs w:val="24"/>
            </w:rPr>
            <w:br/>
          </m:r>
        </m:oMath>
      </m:oMathPara>
    </w:p>
    <w:p w14:paraId="64D5F0E6" w14:textId="77777777" w:rsidR="00605F46" w:rsidRPr="00605F46" w:rsidRDefault="00605F46" w:rsidP="008F5B00">
      <w:pPr>
        <w:spacing w:line="360" w:lineRule="auto"/>
        <w:rPr>
          <w:rFonts w:ascii="Arial" w:hAnsi="Arial" w:cs="Arial"/>
          <w:sz w:val="24"/>
          <w:szCs w:val="24"/>
        </w:rPr>
      </w:pPr>
      <w:r w:rsidRPr="00605F46">
        <w:rPr>
          <w:rFonts w:ascii="Arial" w:hAnsi="Arial" w:cs="Arial"/>
          <w:sz w:val="24"/>
          <w:szCs w:val="24"/>
        </w:rPr>
        <w:t>Using the PVs computed in Section 5.3:</w:t>
      </w:r>
    </w:p>
    <w:p w14:paraId="7E8788F5"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A</w:t>
      </w:r>
    </w:p>
    <w:p w14:paraId="309E244D" w14:textId="3AED272D"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A</m:t>
              </m:r>
            </m:sub>
          </m:sSub>
          <m:r>
            <w:rPr>
              <w:rFonts w:ascii="Cambria Math" w:hAnsi="Cambria Math" w:cs="Arial"/>
              <w:sz w:val="24"/>
              <w:szCs w:val="24"/>
            </w:rPr>
            <m:t>=41.3241</m:t>
          </m:r>
          <m:r>
            <m:rPr>
              <m:sty m:val="p"/>
            </m:rPr>
            <w:rPr>
              <w:rFonts w:ascii="Cambria Math" w:hAnsi="Cambria Math" w:cs="Arial"/>
              <w:sz w:val="24"/>
              <w:szCs w:val="24"/>
            </w:rPr>
            <m:t>/</m:t>
          </m:r>
          <m:r>
            <w:rPr>
              <w:rFonts w:ascii="Cambria Math" w:hAnsi="Cambria Math" w:cs="Arial"/>
              <w:sz w:val="24"/>
              <w:szCs w:val="24"/>
            </w:rPr>
            <m:t>40=1.033</m:t>
          </m:r>
          <m:r>
            <w:rPr>
              <w:rFonts w:ascii="Arial" w:hAnsi="Arial" w:cs="Arial"/>
              <w:sz w:val="24"/>
              <w:szCs w:val="24"/>
            </w:rPr>
            <w:br/>
          </m:r>
        </m:oMath>
      </m:oMathPara>
    </w:p>
    <w:p w14:paraId="3DE37D35"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B</w:t>
      </w:r>
    </w:p>
    <w:p w14:paraId="5B472EEC" w14:textId="320332F2"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B</m:t>
              </m:r>
            </m:sub>
          </m:sSub>
          <m:r>
            <w:rPr>
              <w:rFonts w:ascii="Cambria Math" w:hAnsi="Cambria Math" w:cs="Arial"/>
              <w:sz w:val="24"/>
              <w:szCs w:val="24"/>
            </w:rPr>
            <m:t>=22.7447</m:t>
          </m:r>
          <m:r>
            <m:rPr>
              <m:sty m:val="p"/>
            </m:rPr>
            <w:rPr>
              <w:rFonts w:ascii="Cambria Math" w:hAnsi="Cambria Math" w:cs="Arial"/>
              <w:sz w:val="24"/>
              <w:szCs w:val="24"/>
            </w:rPr>
            <m:t>/</m:t>
          </m:r>
          <m:r>
            <w:rPr>
              <w:rFonts w:ascii="Cambria Math" w:hAnsi="Cambria Math" w:cs="Arial"/>
              <w:sz w:val="24"/>
              <w:szCs w:val="24"/>
            </w:rPr>
            <m:t>30=0.758</m:t>
          </m:r>
          <m:r>
            <w:rPr>
              <w:rFonts w:ascii="Arial" w:hAnsi="Arial" w:cs="Arial"/>
              <w:sz w:val="24"/>
              <w:szCs w:val="24"/>
            </w:rPr>
            <w:br/>
          </m:r>
        </m:oMath>
      </m:oMathPara>
    </w:p>
    <w:p w14:paraId="54DFF750" w14:textId="77777777" w:rsidR="00605F46" w:rsidRPr="00605F46" w:rsidRDefault="00605F46" w:rsidP="008F5B00">
      <w:pPr>
        <w:spacing w:line="360" w:lineRule="auto"/>
        <w:rPr>
          <w:rFonts w:ascii="Arial" w:hAnsi="Arial" w:cs="Arial"/>
          <w:b/>
          <w:bCs/>
          <w:sz w:val="24"/>
          <w:szCs w:val="24"/>
        </w:rPr>
      </w:pPr>
      <w:r w:rsidRPr="00605F46">
        <w:rPr>
          <w:rFonts w:ascii="Arial" w:hAnsi="Arial" w:cs="Arial"/>
          <w:b/>
          <w:bCs/>
          <w:sz w:val="24"/>
          <w:szCs w:val="24"/>
        </w:rPr>
        <w:t>Project C</w:t>
      </w:r>
    </w:p>
    <w:p w14:paraId="2F1FA143" w14:textId="49D595AA" w:rsidR="00605F46" w:rsidRPr="00605F46" w:rsidRDefault="00605F46" w:rsidP="008F5B00">
      <w:pPr>
        <w:spacing w:line="360" w:lineRule="auto"/>
        <w:rPr>
          <w:rFonts w:ascii="Arial" w:hAnsi="Arial" w:cs="Arial"/>
          <w:sz w:val="24"/>
          <w:szCs w:val="24"/>
        </w:rPr>
      </w:pPr>
      <m:oMathPara>
        <m:oMath>
          <m:r>
            <w:rPr>
              <w:rFonts w:ascii="Cambria Math" w:hAnsi="Cambria Math" w:cs="Arial"/>
              <w:sz w:val="24"/>
              <w:szCs w:val="24"/>
            </w:rPr>
            <m:t>P</m:t>
          </m:r>
          <m:sSub>
            <m:sSubPr>
              <m:ctrlPr>
                <w:rPr>
                  <w:rFonts w:ascii="Cambria Math" w:hAnsi="Cambria Math" w:cs="Arial"/>
                  <w:sz w:val="24"/>
                  <w:szCs w:val="24"/>
                </w:rPr>
              </m:ctrlPr>
            </m:sSubPr>
            <m:e>
              <m:r>
                <w:rPr>
                  <w:rFonts w:ascii="Cambria Math" w:hAnsi="Cambria Math" w:cs="Arial"/>
                  <w:sz w:val="24"/>
                  <w:szCs w:val="24"/>
                </w:rPr>
                <m:t>I</m:t>
              </m:r>
            </m:e>
            <m:sub>
              <m:r>
                <w:rPr>
                  <w:rFonts w:ascii="Cambria Math" w:hAnsi="Cambria Math" w:cs="Arial"/>
                  <w:sz w:val="24"/>
                  <w:szCs w:val="24"/>
                </w:rPr>
                <m:t>C</m:t>
              </m:r>
            </m:sub>
          </m:sSub>
          <m:r>
            <w:rPr>
              <w:rFonts w:ascii="Cambria Math" w:hAnsi="Cambria Math" w:cs="Arial"/>
              <w:sz w:val="24"/>
              <w:szCs w:val="24"/>
            </w:rPr>
            <m:t>=54.2253</m:t>
          </m:r>
          <m:r>
            <m:rPr>
              <m:sty m:val="p"/>
            </m:rPr>
            <w:rPr>
              <w:rFonts w:ascii="Cambria Math" w:hAnsi="Cambria Math" w:cs="Arial"/>
              <w:sz w:val="24"/>
              <w:szCs w:val="24"/>
            </w:rPr>
            <m:t>/</m:t>
          </m:r>
          <m:r>
            <w:rPr>
              <w:rFonts w:ascii="Cambria Math" w:hAnsi="Cambria Math" w:cs="Arial"/>
              <w:sz w:val="24"/>
              <w:szCs w:val="24"/>
            </w:rPr>
            <m:t>50=1.084</m:t>
          </m:r>
          <m:r>
            <w:rPr>
              <w:rFonts w:ascii="Arial" w:hAnsi="Arial" w:cs="Arial"/>
              <w:sz w:val="24"/>
              <w:szCs w:val="24"/>
            </w:rPr>
            <w:br/>
          </m:r>
        </m:oMath>
      </m:oMathPara>
    </w:p>
    <w:p w14:paraId="64AB58D4" w14:textId="77777777" w:rsidR="004125CC" w:rsidRDefault="004125CC" w:rsidP="008F5B00">
      <w:pPr>
        <w:spacing w:line="360" w:lineRule="auto"/>
        <w:rPr>
          <w:rFonts w:ascii="Arial" w:hAnsi="Arial" w:cs="Arial"/>
          <w:sz w:val="24"/>
          <w:szCs w:val="24"/>
        </w:rPr>
      </w:pPr>
      <w:r w:rsidRPr="004125CC">
        <w:rPr>
          <w:rFonts w:ascii="Arial" w:hAnsi="Arial" w:cs="Arial"/>
          <w:sz w:val="24"/>
          <w:szCs w:val="24"/>
        </w:rPr>
        <w:t xml:space="preserve">Projects A and C are above 1.0 and hence, value-creating, Project B is below 1.0. Considering the PS60m limit on investments, there is no complete combination of A, B and C within the limit. That is why the value-maximising allocation will be to invest PS40m in Project A and invest the remaining PS20m to a smaller Project B since it will offer diversification of the cash flows without going beyond the capital constraint. </w:t>
      </w:r>
    </w:p>
    <w:p w14:paraId="5D14A785" w14:textId="031556B0"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5.6 Sensitivity and risk analysis</w:t>
      </w:r>
    </w:p>
    <w:p w14:paraId="19A35121"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Stress-testing -20% changes in inflows:</w:t>
      </w:r>
    </w:p>
    <w:p w14:paraId="296C25B9"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A: NPV values lie between PS2.8m-PS9.8m; is positive--resistant to shocks.</w:t>
      </w:r>
    </w:p>
    <w:p w14:paraId="34EFEFAB" w14:textId="0D2BD33C"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lastRenderedPageBreak/>
        <w:t>B: The NPV at the baseline is negative; the loss is intensified by stressing down (</w:t>
      </w:r>
      <w:r w:rsidRPr="00605F46">
        <w:rPr>
          <w:rFonts w:ascii="Arial" w:hAnsi="Arial" w:cs="Arial"/>
          <w:sz w:val="24"/>
          <w:szCs w:val="24"/>
        </w:rPr>
        <w:t>≈</w:t>
      </w:r>
      <w:r>
        <w:rPr>
          <w:rFonts w:ascii="Arial" w:hAnsi="Arial" w:cs="Arial"/>
          <w:sz w:val="24"/>
          <w:szCs w:val="24"/>
        </w:rPr>
        <w:t xml:space="preserve"> </w:t>
      </w:r>
      <w:r w:rsidRPr="004125CC">
        <w:rPr>
          <w:rFonts w:ascii="Arial" w:hAnsi="Arial" w:cs="Arial"/>
          <w:sz w:val="24"/>
          <w:szCs w:val="24"/>
        </w:rPr>
        <w:t>-PS6m).</w:t>
      </w:r>
    </w:p>
    <w:p w14:paraId="73CA3534" w14:textId="77777777" w:rsidR="004125CC" w:rsidRPr="004125CC" w:rsidRDefault="004125CC" w:rsidP="004125CC">
      <w:pPr>
        <w:spacing w:line="360" w:lineRule="auto"/>
        <w:rPr>
          <w:rFonts w:ascii="Arial" w:hAnsi="Arial" w:cs="Arial"/>
          <w:sz w:val="24"/>
          <w:szCs w:val="24"/>
        </w:rPr>
      </w:pPr>
      <w:r w:rsidRPr="004125CC">
        <w:rPr>
          <w:rFonts w:ascii="Arial" w:hAnsi="Arial" w:cs="Arial"/>
          <w:sz w:val="24"/>
          <w:szCs w:val="24"/>
        </w:rPr>
        <w:t>C: NPV ranges between PS0m and PS21m- wide range of dispersion indicative of sensitivity of the market and execution.</w:t>
      </w:r>
    </w:p>
    <w:p w14:paraId="4CD53FEA" w14:textId="77777777" w:rsidR="004125CC" w:rsidRDefault="004125CC" w:rsidP="004125CC">
      <w:pPr>
        <w:spacing w:line="360" w:lineRule="auto"/>
        <w:rPr>
          <w:rFonts w:ascii="Arial" w:hAnsi="Arial" w:cs="Arial"/>
          <w:sz w:val="24"/>
          <w:szCs w:val="24"/>
        </w:rPr>
      </w:pPr>
      <w:r w:rsidRPr="004125CC">
        <w:rPr>
          <w:rFonts w:ascii="Arial" w:hAnsi="Arial" w:cs="Arial"/>
          <w:sz w:val="24"/>
          <w:szCs w:val="24"/>
        </w:rPr>
        <w:t>In addition to demand uncertainty, there are macro risks (imbalanced politics, weak supply chain, FX), which add variability (IMF, 2024). There are also mitigation measures such as phased gate spending, co-developing with the vendor to share the risk, and FX hedging to launch internationally (EY, 2024). The profile of Project C will indicate that it will not start committing on a full-scale basis until it gets strong on the balance sheet.</w:t>
      </w:r>
    </w:p>
    <w:p w14:paraId="2E60DE8D" w14:textId="65536EF9" w:rsidR="003B40C6" w:rsidRPr="003B40C6" w:rsidRDefault="003B40C6" w:rsidP="004125CC">
      <w:pPr>
        <w:spacing w:line="360" w:lineRule="auto"/>
        <w:rPr>
          <w:rFonts w:ascii="Arial" w:hAnsi="Arial" w:cs="Arial"/>
          <w:b/>
          <w:bCs/>
          <w:sz w:val="24"/>
          <w:szCs w:val="24"/>
        </w:rPr>
      </w:pPr>
      <w:r w:rsidRPr="003B40C6">
        <w:rPr>
          <w:rFonts w:ascii="Arial" w:hAnsi="Arial" w:cs="Arial"/>
          <w:b/>
          <w:bCs/>
          <w:sz w:val="24"/>
          <w:szCs w:val="24"/>
        </w:rPr>
        <w:t>5.7 Strategic and ethical coherence</w:t>
      </w:r>
    </w:p>
    <w:p w14:paraId="7D4972BA" w14:textId="77777777" w:rsidR="00E066D2" w:rsidRPr="00E066D2" w:rsidRDefault="00E066D2" w:rsidP="00E066D2">
      <w:pPr>
        <w:spacing w:line="360" w:lineRule="auto"/>
        <w:rPr>
          <w:rFonts w:ascii="Arial" w:hAnsi="Arial" w:cs="Arial"/>
          <w:sz w:val="24"/>
          <w:szCs w:val="24"/>
        </w:rPr>
      </w:pPr>
      <w:r w:rsidRPr="00E066D2">
        <w:rPr>
          <w:rFonts w:ascii="Arial" w:hAnsi="Arial" w:cs="Arial"/>
          <w:sz w:val="24"/>
          <w:szCs w:val="24"/>
        </w:rPr>
        <w:t>A provides the base franchise with a low-risk of diversification and timely cash-in--better in a recovery phase.</w:t>
      </w:r>
    </w:p>
    <w:p w14:paraId="05C34162" w14:textId="77777777" w:rsidR="00E066D2" w:rsidRPr="00E066D2" w:rsidRDefault="00E066D2" w:rsidP="00E066D2">
      <w:pPr>
        <w:spacing w:line="360" w:lineRule="auto"/>
        <w:rPr>
          <w:rFonts w:ascii="Arial" w:hAnsi="Arial" w:cs="Arial"/>
          <w:sz w:val="24"/>
          <w:szCs w:val="24"/>
        </w:rPr>
      </w:pPr>
      <w:r w:rsidRPr="00E066D2">
        <w:rPr>
          <w:rFonts w:ascii="Arial" w:hAnsi="Arial" w:cs="Arial"/>
          <w:sz w:val="24"/>
          <w:szCs w:val="24"/>
        </w:rPr>
        <w:t>B (scaled) is able to stretch into strong mid-tier markets and supplements the utilisation of the capacity of A.</w:t>
      </w:r>
    </w:p>
    <w:p w14:paraId="2EB0112A" w14:textId="77777777" w:rsidR="00E066D2" w:rsidRPr="00E066D2" w:rsidRDefault="00E066D2" w:rsidP="00E066D2">
      <w:pPr>
        <w:spacing w:line="360" w:lineRule="auto"/>
        <w:rPr>
          <w:rFonts w:ascii="Arial" w:hAnsi="Arial" w:cs="Arial"/>
          <w:sz w:val="24"/>
          <w:szCs w:val="24"/>
        </w:rPr>
      </w:pPr>
      <w:r w:rsidRPr="00E066D2">
        <w:rPr>
          <w:rFonts w:ascii="Arial" w:hAnsi="Arial" w:cs="Arial"/>
          <w:sz w:val="24"/>
          <w:szCs w:val="24"/>
        </w:rPr>
        <w:t>C is prospective and strategically attractive yet capital intensive in nature and is not within the present financial posture.</w:t>
      </w:r>
    </w:p>
    <w:p w14:paraId="30204A39" w14:textId="77777777" w:rsidR="00E066D2" w:rsidRDefault="00E066D2" w:rsidP="00E066D2">
      <w:pPr>
        <w:spacing w:line="360" w:lineRule="auto"/>
        <w:rPr>
          <w:rFonts w:ascii="Arial" w:hAnsi="Arial" w:cs="Arial"/>
          <w:sz w:val="24"/>
          <w:szCs w:val="24"/>
        </w:rPr>
      </w:pPr>
      <w:r w:rsidRPr="00E066D2">
        <w:rPr>
          <w:rFonts w:ascii="Arial" w:hAnsi="Arial" w:cs="Arial"/>
          <w:sz w:val="24"/>
          <w:szCs w:val="24"/>
        </w:rPr>
        <w:t>Regarding the ESG factor, the preference ought to be to go to smaller environmental footprint projects, good supplier due diligence, and low disruption of the work force (Carroll, 2016; OECD, 2023). A and scaled B are in accordance with these principles and enable restoration of the stakeholder trust.</w:t>
      </w:r>
    </w:p>
    <w:p w14:paraId="6295E86C" w14:textId="77777777" w:rsidR="00E066D2" w:rsidRPr="00E066D2" w:rsidRDefault="00E066D2" w:rsidP="00E066D2">
      <w:pPr>
        <w:spacing w:line="360" w:lineRule="auto"/>
        <w:rPr>
          <w:rFonts w:ascii="Arial" w:hAnsi="Arial" w:cs="Arial"/>
          <w:b/>
          <w:bCs/>
          <w:sz w:val="24"/>
          <w:szCs w:val="24"/>
        </w:rPr>
      </w:pPr>
      <w:r w:rsidRPr="00E066D2">
        <w:rPr>
          <w:rFonts w:ascii="Arial" w:hAnsi="Arial" w:cs="Arial"/>
          <w:b/>
          <w:bCs/>
          <w:sz w:val="24"/>
          <w:szCs w:val="24"/>
        </w:rPr>
        <w:t>5.8 Financial strategy integration.</w:t>
      </w:r>
    </w:p>
    <w:p w14:paraId="2C0261EF" w14:textId="77777777" w:rsidR="00E066D2" w:rsidRPr="00E066D2" w:rsidRDefault="00E066D2" w:rsidP="00E066D2">
      <w:pPr>
        <w:spacing w:line="360" w:lineRule="auto"/>
        <w:rPr>
          <w:rFonts w:ascii="Arial" w:hAnsi="Arial" w:cs="Arial"/>
          <w:sz w:val="24"/>
          <w:szCs w:val="24"/>
        </w:rPr>
      </w:pPr>
      <w:r w:rsidRPr="00E066D2">
        <w:rPr>
          <w:rFonts w:ascii="Arial" w:hAnsi="Arial" w:cs="Arial"/>
          <w:sz w:val="24"/>
          <w:szCs w:val="24"/>
        </w:rPr>
        <w:t>The suggested distribution coincides with the overall restructuring strategy. The advance receipts of A are used to stabilize working capital and reprofiled debt of service. Scaling B will be able to test new markets without taking up high risk posture. With higher structural metrics (CCC compression, deleveraging), GE will have an opportunity to re-evaluate higher-variance, high-IRR opportunities like C.</w:t>
      </w:r>
    </w:p>
    <w:p w14:paraId="7273DA79" w14:textId="77777777" w:rsidR="00E066D2" w:rsidRPr="00E066D2" w:rsidRDefault="00E066D2" w:rsidP="00E066D2">
      <w:pPr>
        <w:spacing w:line="360" w:lineRule="auto"/>
        <w:rPr>
          <w:rFonts w:ascii="Arial" w:hAnsi="Arial" w:cs="Arial"/>
          <w:b/>
          <w:bCs/>
          <w:sz w:val="24"/>
          <w:szCs w:val="24"/>
        </w:rPr>
      </w:pPr>
    </w:p>
    <w:p w14:paraId="3B629953" w14:textId="77777777" w:rsidR="00E066D2" w:rsidRDefault="00E066D2">
      <w:pPr>
        <w:rPr>
          <w:rFonts w:ascii="Arial" w:hAnsi="Arial" w:cs="Arial"/>
          <w:b/>
          <w:bCs/>
          <w:sz w:val="24"/>
          <w:szCs w:val="24"/>
        </w:rPr>
      </w:pPr>
      <w:r>
        <w:rPr>
          <w:rFonts w:ascii="Arial" w:hAnsi="Arial" w:cs="Arial"/>
          <w:b/>
          <w:bCs/>
          <w:sz w:val="24"/>
          <w:szCs w:val="24"/>
        </w:rPr>
        <w:br w:type="page"/>
      </w:r>
    </w:p>
    <w:p w14:paraId="61914D30" w14:textId="441A2DFA" w:rsidR="00E066D2" w:rsidRPr="00E066D2" w:rsidRDefault="00E066D2" w:rsidP="00E066D2">
      <w:pPr>
        <w:spacing w:line="360" w:lineRule="auto"/>
        <w:rPr>
          <w:rFonts w:ascii="Arial" w:hAnsi="Arial" w:cs="Arial"/>
          <w:b/>
          <w:bCs/>
          <w:sz w:val="24"/>
          <w:szCs w:val="24"/>
        </w:rPr>
      </w:pPr>
      <w:r w:rsidRPr="00E066D2">
        <w:rPr>
          <w:rFonts w:ascii="Arial" w:hAnsi="Arial" w:cs="Arial"/>
          <w:b/>
          <w:bCs/>
          <w:sz w:val="24"/>
          <w:szCs w:val="24"/>
        </w:rPr>
        <w:lastRenderedPageBreak/>
        <w:t>5.9 Investment appraisal conclusion.</w:t>
      </w:r>
    </w:p>
    <w:p w14:paraId="202FD62C" w14:textId="1E4B26BF" w:rsidR="003B40C6" w:rsidRPr="00E066D2" w:rsidRDefault="00E066D2" w:rsidP="00E066D2">
      <w:pPr>
        <w:spacing w:line="360" w:lineRule="auto"/>
        <w:rPr>
          <w:rFonts w:ascii="Arial" w:hAnsi="Arial" w:cs="Arial"/>
          <w:sz w:val="24"/>
          <w:szCs w:val="24"/>
        </w:rPr>
      </w:pPr>
      <w:r w:rsidRPr="00E066D2">
        <w:rPr>
          <w:rFonts w:ascii="Arial" w:hAnsi="Arial" w:cs="Arial"/>
          <w:sz w:val="24"/>
          <w:szCs w:val="24"/>
        </w:rPr>
        <w:t>The choice of Project A is the best option with the prevailing constraints since it has a good payback, positive NPV, and strategic fit. A decrease in Project B would help to spread the revenues and recover the brand without the violation of the PS60m limit. Project C can be put on hold or held back until the balance sheet is better and execution bandwidth is increased.</w:t>
      </w:r>
    </w:p>
    <w:p w14:paraId="0538AF64" w14:textId="3A052A83" w:rsidR="007A6B89" w:rsidRDefault="007A6B89" w:rsidP="008F5B00">
      <w:pPr>
        <w:spacing w:line="360" w:lineRule="auto"/>
        <w:rPr>
          <w:rFonts w:ascii="Arial" w:hAnsi="Arial" w:cs="Arial"/>
          <w:b/>
          <w:bCs/>
          <w:sz w:val="24"/>
          <w:szCs w:val="24"/>
        </w:rPr>
      </w:pPr>
      <w:r>
        <w:rPr>
          <w:rFonts w:ascii="Arial" w:hAnsi="Arial" w:cs="Arial"/>
          <w:b/>
          <w:bCs/>
          <w:sz w:val="24"/>
          <w:szCs w:val="24"/>
        </w:rPr>
        <w:t>6.0 Conclusion</w:t>
      </w:r>
    </w:p>
    <w:p w14:paraId="44F5D629" w14:textId="77777777" w:rsidR="007A6B89" w:rsidRDefault="007A6B89" w:rsidP="008F5B00">
      <w:pPr>
        <w:spacing w:line="360" w:lineRule="auto"/>
        <w:rPr>
          <w:rFonts w:ascii="Arial" w:hAnsi="Arial" w:cs="Arial"/>
          <w:sz w:val="24"/>
          <w:szCs w:val="24"/>
        </w:rPr>
      </w:pPr>
      <w:r w:rsidRPr="007A6B89">
        <w:rPr>
          <w:rFonts w:ascii="Arial" w:hAnsi="Arial" w:cs="Arial"/>
          <w:sz w:val="24"/>
          <w:szCs w:val="24"/>
        </w:rPr>
        <w:t xml:space="preserve">The data indicates a stressful company with physical recovery drivers. The historic gross-margin strength and 2024 operating cash flow of GE suggests that there is an engine of change to fund change-assuming that capital allocation is controlled and balance-sheet risk is reduced. The most acute issues, such as declining revenues, operating margins of a negative value, protracted accounts receivable, slow-moving inventory and a high level of leverage can be sorted out in a co-ordinated programme based on operational excellence and financial reorganization. </w:t>
      </w:r>
    </w:p>
    <w:p w14:paraId="0F1A9AAE" w14:textId="0429718D" w:rsidR="007A6B89" w:rsidRPr="007A6B89" w:rsidRDefault="007A6B89" w:rsidP="008F5B00">
      <w:pPr>
        <w:spacing w:line="360" w:lineRule="auto"/>
        <w:rPr>
          <w:rFonts w:ascii="Arial" w:hAnsi="Arial" w:cs="Arial"/>
          <w:sz w:val="24"/>
          <w:szCs w:val="24"/>
        </w:rPr>
      </w:pPr>
      <w:r w:rsidRPr="007A6B89">
        <w:rPr>
          <w:rFonts w:ascii="Arial" w:hAnsi="Arial" w:cs="Arial"/>
          <w:sz w:val="24"/>
          <w:szCs w:val="24"/>
        </w:rPr>
        <w:t>The turnaround thesis is based on four pillars that support each other: Excellence of working-capital: tightening of credit, better demand management, minimal inventory, supplier financing and rolling of cash governance to release PS25-30 billion of cash and reduce the CCC by 25-30 days. Restructuring of capital: extension of maturity, interest is not deductible, conversion of part of the debts to equity, and issue of rights issue to deleverage, regaining of interest coverage and lowering WACC. Portfolio sharpening: selling non-core or low-return portfolio, and investing selectively in scalable higher-margin portfolio and digital adjacency, supported by strategy alliances. Good governance ESG-oriented investment, labour skills training, ethical tax behaviour, and risk insurance to normalise profits and ensure stakeholder confidence in organisations. By being disciplined in its approach- open communications, well defined milestones, and strict performance controls, GE can realistically be back to a high ROE of over 8 percent and a debt ratio of less than 0.9 in three years. The way to being competitive again will not rely solely on the financial engineering but incorporate sustainable operations, sound risk management, and customer-focused innovation into the core of the business.</w:t>
      </w:r>
    </w:p>
    <w:p w14:paraId="21720FE0" w14:textId="77777777" w:rsidR="007A6B89" w:rsidRDefault="007A6B89" w:rsidP="008F5B00">
      <w:pPr>
        <w:spacing w:line="360" w:lineRule="auto"/>
        <w:rPr>
          <w:rFonts w:ascii="Arial" w:hAnsi="Arial" w:cs="Arial"/>
          <w:b/>
          <w:bCs/>
          <w:sz w:val="24"/>
          <w:szCs w:val="24"/>
        </w:rPr>
      </w:pPr>
    </w:p>
    <w:p w14:paraId="7AE02647" w14:textId="77777777" w:rsidR="007A6B89" w:rsidRDefault="007A6B89" w:rsidP="008F5B00">
      <w:pPr>
        <w:spacing w:line="360" w:lineRule="auto"/>
        <w:rPr>
          <w:rFonts w:ascii="Arial" w:hAnsi="Arial" w:cs="Arial"/>
          <w:b/>
          <w:bCs/>
          <w:sz w:val="24"/>
          <w:szCs w:val="24"/>
        </w:rPr>
      </w:pPr>
    </w:p>
    <w:p w14:paraId="540FDD68" w14:textId="733CB45C" w:rsidR="003B40C6" w:rsidRPr="003B40C6" w:rsidRDefault="003B40C6" w:rsidP="008F5B00">
      <w:pPr>
        <w:spacing w:line="360" w:lineRule="auto"/>
        <w:rPr>
          <w:rFonts w:ascii="Arial" w:hAnsi="Arial" w:cs="Arial"/>
          <w:b/>
          <w:bCs/>
          <w:sz w:val="24"/>
          <w:szCs w:val="24"/>
        </w:rPr>
      </w:pPr>
      <w:r w:rsidRPr="003B40C6">
        <w:rPr>
          <w:rFonts w:ascii="Arial" w:hAnsi="Arial" w:cs="Arial"/>
          <w:b/>
          <w:bCs/>
          <w:sz w:val="24"/>
          <w:szCs w:val="24"/>
        </w:rPr>
        <w:t>References</w:t>
      </w:r>
    </w:p>
    <w:p w14:paraId="1E54477E"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Accenture (2024) </w:t>
      </w:r>
      <w:r w:rsidRPr="0075159F">
        <w:rPr>
          <w:rFonts w:ascii="Arial" w:hAnsi="Arial" w:cs="Arial"/>
          <w:i/>
          <w:iCs/>
          <w:sz w:val="24"/>
          <w:szCs w:val="24"/>
        </w:rPr>
        <w:t>AI in Demand Forecasting: From Prediction to Prescription.</w:t>
      </w:r>
      <w:r w:rsidRPr="0075159F">
        <w:rPr>
          <w:rFonts w:ascii="Arial" w:hAnsi="Arial" w:cs="Arial"/>
          <w:sz w:val="24"/>
          <w:szCs w:val="24"/>
        </w:rPr>
        <w:t xml:space="preserve"> Accenture Research.</w:t>
      </w:r>
    </w:p>
    <w:p w14:paraId="22477741"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Altman, E.I. (1968) ‘Financial Ratios, Discriminant Analysis and the Prediction of Corporate Bankruptcy’, </w:t>
      </w:r>
      <w:r w:rsidRPr="0075159F">
        <w:rPr>
          <w:rFonts w:ascii="Arial" w:hAnsi="Arial" w:cs="Arial"/>
          <w:i/>
          <w:iCs/>
          <w:sz w:val="24"/>
          <w:szCs w:val="24"/>
        </w:rPr>
        <w:t>The Journal of Finance</w:t>
      </w:r>
      <w:r w:rsidRPr="0075159F">
        <w:rPr>
          <w:rFonts w:ascii="Arial" w:hAnsi="Arial" w:cs="Arial"/>
          <w:sz w:val="24"/>
          <w:szCs w:val="24"/>
        </w:rPr>
        <w:t>, 23(4), pp. 589–609.</w:t>
      </w:r>
    </w:p>
    <w:p w14:paraId="2AB6C138"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Altman, E.I. &amp; Hotchkiss, E. (2020) </w:t>
      </w:r>
      <w:r w:rsidRPr="0075159F">
        <w:rPr>
          <w:rFonts w:ascii="Arial" w:hAnsi="Arial" w:cs="Arial"/>
          <w:i/>
          <w:iCs/>
          <w:sz w:val="24"/>
          <w:szCs w:val="24"/>
        </w:rPr>
        <w:t>Corporate Financial Distress and Bankruptcy.</w:t>
      </w:r>
      <w:r w:rsidRPr="0075159F">
        <w:rPr>
          <w:rFonts w:ascii="Arial" w:hAnsi="Arial" w:cs="Arial"/>
          <w:sz w:val="24"/>
          <w:szCs w:val="24"/>
        </w:rPr>
        <w:t xml:space="preserve"> 4th ed. Wiley.</w:t>
      </w:r>
    </w:p>
    <w:p w14:paraId="401F5B8F"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Arnold, G. (2021) </w:t>
      </w:r>
      <w:r w:rsidRPr="0075159F">
        <w:rPr>
          <w:rFonts w:ascii="Arial" w:hAnsi="Arial" w:cs="Arial"/>
          <w:i/>
          <w:iCs/>
          <w:sz w:val="24"/>
          <w:szCs w:val="24"/>
        </w:rPr>
        <w:t>Corporate Financial Management.</w:t>
      </w:r>
      <w:r w:rsidRPr="0075159F">
        <w:rPr>
          <w:rFonts w:ascii="Arial" w:hAnsi="Arial" w:cs="Arial"/>
          <w:sz w:val="24"/>
          <w:szCs w:val="24"/>
        </w:rPr>
        <w:t xml:space="preserve"> 6th ed. Pearson.</w:t>
      </w:r>
    </w:p>
    <w:p w14:paraId="0E084B1A"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Arnold, G. &amp; Lewis, D. (2019) </w:t>
      </w:r>
      <w:r w:rsidRPr="0075159F">
        <w:rPr>
          <w:rFonts w:ascii="Arial" w:hAnsi="Arial" w:cs="Arial"/>
          <w:i/>
          <w:iCs/>
          <w:sz w:val="24"/>
          <w:szCs w:val="24"/>
        </w:rPr>
        <w:t>Corporate Financial Management.</w:t>
      </w:r>
      <w:r w:rsidRPr="0075159F">
        <w:rPr>
          <w:rFonts w:ascii="Arial" w:hAnsi="Arial" w:cs="Arial"/>
          <w:sz w:val="24"/>
          <w:szCs w:val="24"/>
        </w:rPr>
        <w:t xml:space="preserve"> 5th ed. Pearson.</w:t>
      </w:r>
    </w:p>
    <w:p w14:paraId="6F35E93A"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Atrill, P. &amp; McLaney, E. (2022) </w:t>
      </w:r>
      <w:r w:rsidRPr="0075159F">
        <w:rPr>
          <w:rFonts w:ascii="Arial" w:hAnsi="Arial" w:cs="Arial"/>
          <w:i/>
          <w:iCs/>
          <w:sz w:val="24"/>
          <w:szCs w:val="24"/>
        </w:rPr>
        <w:t>Accounting and Finance for Non-Specialists.</w:t>
      </w:r>
      <w:r w:rsidRPr="0075159F">
        <w:rPr>
          <w:rFonts w:ascii="Arial" w:hAnsi="Arial" w:cs="Arial"/>
          <w:sz w:val="24"/>
          <w:szCs w:val="24"/>
        </w:rPr>
        <w:t xml:space="preserve"> 12th ed. Pearson.</w:t>
      </w:r>
    </w:p>
    <w:p w14:paraId="02414C89"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BCG (2023) </w:t>
      </w:r>
      <w:r w:rsidRPr="0075159F">
        <w:rPr>
          <w:rFonts w:ascii="Arial" w:hAnsi="Arial" w:cs="Arial"/>
          <w:i/>
          <w:iCs/>
          <w:sz w:val="24"/>
          <w:szCs w:val="24"/>
        </w:rPr>
        <w:t>Global Consumer Electronics: Resetting for Growth.</w:t>
      </w:r>
      <w:r w:rsidRPr="0075159F">
        <w:rPr>
          <w:rFonts w:ascii="Arial" w:hAnsi="Arial" w:cs="Arial"/>
          <w:sz w:val="24"/>
          <w:szCs w:val="24"/>
        </w:rPr>
        <w:t xml:space="preserve"> Boston Consulting Group.</w:t>
      </w:r>
    </w:p>
    <w:p w14:paraId="1E21DDFE"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Bloomberg (2024) </w:t>
      </w:r>
      <w:r w:rsidRPr="0075159F">
        <w:rPr>
          <w:rFonts w:ascii="Arial" w:hAnsi="Arial" w:cs="Arial"/>
          <w:i/>
          <w:iCs/>
          <w:sz w:val="24"/>
          <w:szCs w:val="24"/>
        </w:rPr>
        <w:t>Electronics Sector Profitability Analysis.</w:t>
      </w:r>
      <w:r w:rsidRPr="0075159F">
        <w:rPr>
          <w:rFonts w:ascii="Arial" w:hAnsi="Arial" w:cs="Arial"/>
          <w:sz w:val="24"/>
          <w:szCs w:val="24"/>
        </w:rPr>
        <w:t xml:space="preserve"> Bloomberg Intelligence, June.</w:t>
      </w:r>
    </w:p>
    <w:p w14:paraId="144E11ED"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Brigham, E.F. &amp; Ehrhardt, M.C. (2022) </w:t>
      </w:r>
      <w:r w:rsidRPr="0075159F">
        <w:rPr>
          <w:rFonts w:ascii="Arial" w:hAnsi="Arial" w:cs="Arial"/>
          <w:i/>
          <w:iCs/>
          <w:sz w:val="24"/>
          <w:szCs w:val="24"/>
        </w:rPr>
        <w:t>Financial Management: Theory and Practice.</w:t>
      </w:r>
      <w:r w:rsidRPr="0075159F">
        <w:rPr>
          <w:rFonts w:ascii="Arial" w:hAnsi="Arial" w:cs="Arial"/>
          <w:sz w:val="24"/>
          <w:szCs w:val="24"/>
        </w:rPr>
        <w:t xml:space="preserve"> 17th ed. Cengage.</w:t>
      </w:r>
    </w:p>
    <w:p w14:paraId="12126181"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Carroll, A.B. (2016) ‘Corporate Social Responsibility: Evolution of a Definitional Construct’, </w:t>
      </w:r>
      <w:r w:rsidRPr="0075159F">
        <w:rPr>
          <w:rFonts w:ascii="Arial" w:hAnsi="Arial" w:cs="Arial"/>
          <w:i/>
          <w:iCs/>
          <w:sz w:val="24"/>
          <w:szCs w:val="24"/>
        </w:rPr>
        <w:t>Business &amp; Society</w:t>
      </w:r>
      <w:r w:rsidRPr="0075159F">
        <w:rPr>
          <w:rFonts w:ascii="Arial" w:hAnsi="Arial" w:cs="Arial"/>
          <w:sz w:val="24"/>
          <w:szCs w:val="24"/>
        </w:rPr>
        <w:t>, 38(3), pp. 268–295.</w:t>
      </w:r>
    </w:p>
    <w:p w14:paraId="66335260"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CFI (2023) </w:t>
      </w:r>
      <w:r w:rsidRPr="0075159F">
        <w:rPr>
          <w:rFonts w:ascii="Arial" w:hAnsi="Arial" w:cs="Arial"/>
          <w:i/>
          <w:iCs/>
          <w:sz w:val="24"/>
          <w:szCs w:val="24"/>
        </w:rPr>
        <w:t>Capital Rationing and Profitability Index.</w:t>
      </w:r>
      <w:r w:rsidRPr="0075159F">
        <w:rPr>
          <w:rFonts w:ascii="Arial" w:hAnsi="Arial" w:cs="Arial"/>
          <w:sz w:val="24"/>
          <w:szCs w:val="24"/>
        </w:rPr>
        <w:t xml:space="preserve"> Corporate Finance Institute.</w:t>
      </w:r>
    </w:p>
    <w:p w14:paraId="59EC15C6"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Christopher, M. (2016) </w:t>
      </w:r>
      <w:r w:rsidRPr="0075159F">
        <w:rPr>
          <w:rFonts w:ascii="Arial" w:hAnsi="Arial" w:cs="Arial"/>
          <w:i/>
          <w:iCs/>
          <w:sz w:val="24"/>
          <w:szCs w:val="24"/>
        </w:rPr>
        <w:t>Logistics and Supply Chain Management.</w:t>
      </w:r>
      <w:r w:rsidRPr="0075159F">
        <w:rPr>
          <w:rFonts w:ascii="Arial" w:hAnsi="Arial" w:cs="Arial"/>
          <w:sz w:val="24"/>
          <w:szCs w:val="24"/>
        </w:rPr>
        <w:t xml:space="preserve"> 5th ed. Pearson.</w:t>
      </w:r>
    </w:p>
    <w:p w14:paraId="510C3228"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Deloitte (2023) </w:t>
      </w:r>
      <w:r w:rsidRPr="0075159F">
        <w:rPr>
          <w:rFonts w:ascii="Arial" w:hAnsi="Arial" w:cs="Arial"/>
          <w:i/>
          <w:iCs/>
          <w:sz w:val="24"/>
          <w:szCs w:val="24"/>
        </w:rPr>
        <w:t>Working Capital Management Survey.</w:t>
      </w:r>
      <w:r w:rsidRPr="0075159F">
        <w:rPr>
          <w:rFonts w:ascii="Arial" w:hAnsi="Arial" w:cs="Arial"/>
          <w:sz w:val="24"/>
          <w:szCs w:val="24"/>
        </w:rPr>
        <w:t xml:space="preserve"> Deloitte Insights.</w:t>
      </w:r>
    </w:p>
    <w:p w14:paraId="5BED1194"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Damodaran, A. (2023) </w:t>
      </w:r>
      <w:r w:rsidRPr="0075159F">
        <w:rPr>
          <w:rFonts w:ascii="Arial" w:hAnsi="Arial" w:cs="Arial"/>
          <w:i/>
          <w:iCs/>
          <w:sz w:val="24"/>
          <w:szCs w:val="24"/>
        </w:rPr>
        <w:t>Applied Corporate Finance.</w:t>
      </w:r>
      <w:r w:rsidRPr="0075159F">
        <w:rPr>
          <w:rFonts w:ascii="Arial" w:hAnsi="Arial" w:cs="Arial"/>
          <w:sz w:val="24"/>
          <w:szCs w:val="24"/>
        </w:rPr>
        <w:t xml:space="preserve"> 6th ed. Wiley.</w:t>
      </w:r>
    </w:p>
    <w:p w14:paraId="30C84DEF"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EY (2024) </w:t>
      </w:r>
      <w:r w:rsidRPr="0075159F">
        <w:rPr>
          <w:rFonts w:ascii="Arial" w:hAnsi="Arial" w:cs="Arial"/>
          <w:i/>
          <w:iCs/>
          <w:sz w:val="24"/>
          <w:szCs w:val="24"/>
        </w:rPr>
        <w:t>Capital Structure and Financing Trends.</w:t>
      </w:r>
      <w:r w:rsidRPr="0075159F">
        <w:rPr>
          <w:rFonts w:ascii="Arial" w:hAnsi="Arial" w:cs="Arial"/>
          <w:sz w:val="24"/>
          <w:szCs w:val="24"/>
        </w:rPr>
        <w:t xml:space="preserve"> EY Global Research.</w:t>
      </w:r>
    </w:p>
    <w:p w14:paraId="0F628446"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Financial Times (2024) ‘Electronics Makers Grapple with Supply Chain Disruptions.’ FT, March.</w:t>
      </w:r>
    </w:p>
    <w:p w14:paraId="5179189E"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lastRenderedPageBreak/>
        <w:t xml:space="preserve">Gitman, L.J. &amp; Zutter, C.J. (2019) </w:t>
      </w:r>
      <w:r w:rsidRPr="0075159F">
        <w:rPr>
          <w:rFonts w:ascii="Arial" w:hAnsi="Arial" w:cs="Arial"/>
          <w:i/>
          <w:iCs/>
          <w:sz w:val="24"/>
          <w:szCs w:val="24"/>
        </w:rPr>
        <w:t>Principles of Managerial Finance.</w:t>
      </w:r>
      <w:r w:rsidRPr="0075159F">
        <w:rPr>
          <w:rFonts w:ascii="Arial" w:hAnsi="Arial" w:cs="Arial"/>
          <w:sz w:val="24"/>
          <w:szCs w:val="24"/>
        </w:rPr>
        <w:t xml:space="preserve"> 15th ed. Pearson.</w:t>
      </w:r>
    </w:p>
    <w:p w14:paraId="2DB23F2A"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Grant Thornton (2023) </w:t>
      </w:r>
      <w:r w:rsidRPr="0075159F">
        <w:rPr>
          <w:rFonts w:ascii="Arial" w:hAnsi="Arial" w:cs="Arial"/>
          <w:i/>
          <w:iCs/>
          <w:sz w:val="24"/>
          <w:szCs w:val="24"/>
        </w:rPr>
        <w:t>13-Week Cash Flow Forecasting Best Practices.</w:t>
      </w:r>
      <w:r w:rsidRPr="0075159F">
        <w:rPr>
          <w:rFonts w:ascii="Arial" w:hAnsi="Arial" w:cs="Arial"/>
          <w:sz w:val="24"/>
          <w:szCs w:val="24"/>
        </w:rPr>
        <w:t xml:space="preserve"> Grant Thornton Insights.</w:t>
      </w:r>
    </w:p>
    <w:p w14:paraId="2A2DF8F7"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IMF (2024) </w:t>
      </w:r>
      <w:r w:rsidRPr="0075159F">
        <w:rPr>
          <w:rFonts w:ascii="Arial" w:hAnsi="Arial" w:cs="Arial"/>
          <w:i/>
          <w:iCs/>
          <w:sz w:val="24"/>
          <w:szCs w:val="24"/>
        </w:rPr>
        <w:t>Global Financial Stability Report.</w:t>
      </w:r>
      <w:r w:rsidRPr="0075159F">
        <w:rPr>
          <w:rFonts w:ascii="Arial" w:hAnsi="Arial" w:cs="Arial"/>
          <w:sz w:val="24"/>
          <w:szCs w:val="24"/>
        </w:rPr>
        <w:t xml:space="preserve"> International Monetary Fund.</w:t>
      </w:r>
    </w:p>
    <w:p w14:paraId="40B4D2E1"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Investopedia (2024) ‘Liquidity Ratios Explained.’ Available at: https://www.investopedia.com</w:t>
      </w:r>
    </w:p>
    <w:p w14:paraId="740ACF96"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KPMG (2023) </w:t>
      </w:r>
      <w:r w:rsidRPr="0075159F">
        <w:rPr>
          <w:rFonts w:ascii="Arial" w:hAnsi="Arial" w:cs="Arial"/>
          <w:i/>
          <w:iCs/>
          <w:sz w:val="24"/>
          <w:szCs w:val="24"/>
        </w:rPr>
        <w:t>Operational Efficiency in Manufacturing.</w:t>
      </w:r>
      <w:r w:rsidRPr="0075159F">
        <w:rPr>
          <w:rFonts w:ascii="Arial" w:hAnsi="Arial" w:cs="Arial"/>
          <w:sz w:val="24"/>
          <w:szCs w:val="24"/>
        </w:rPr>
        <w:t xml:space="preserve"> KPMG Insights.</w:t>
      </w:r>
    </w:p>
    <w:p w14:paraId="5DCAA321"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McKinsey &amp; Company (2024) </w:t>
      </w:r>
      <w:r w:rsidRPr="0075159F">
        <w:rPr>
          <w:rFonts w:ascii="Arial" w:hAnsi="Arial" w:cs="Arial"/>
          <w:i/>
          <w:iCs/>
          <w:sz w:val="24"/>
          <w:szCs w:val="24"/>
        </w:rPr>
        <w:t>Reinventing the Electronics Industry.</w:t>
      </w:r>
      <w:r w:rsidRPr="0075159F">
        <w:rPr>
          <w:rFonts w:ascii="Arial" w:hAnsi="Arial" w:cs="Arial"/>
          <w:sz w:val="24"/>
          <w:szCs w:val="24"/>
        </w:rPr>
        <w:t xml:space="preserve"> McKinsey Global Institute.</w:t>
      </w:r>
    </w:p>
    <w:p w14:paraId="41E109B9"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Modigliani, F. &amp; Miller, M.H. (1963) ‘Corporate Income Taxes and the Cost of Capital: A Correction’, </w:t>
      </w:r>
      <w:r w:rsidRPr="0075159F">
        <w:rPr>
          <w:rFonts w:ascii="Arial" w:hAnsi="Arial" w:cs="Arial"/>
          <w:i/>
          <w:iCs/>
          <w:sz w:val="24"/>
          <w:szCs w:val="24"/>
        </w:rPr>
        <w:t>The American Economic Review</w:t>
      </w:r>
      <w:r w:rsidRPr="0075159F">
        <w:rPr>
          <w:rFonts w:ascii="Arial" w:hAnsi="Arial" w:cs="Arial"/>
          <w:sz w:val="24"/>
          <w:szCs w:val="24"/>
        </w:rPr>
        <w:t>, 53(3), pp. 433–443.</w:t>
      </w:r>
    </w:p>
    <w:p w14:paraId="713EC4C9"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OECD (2023) </w:t>
      </w:r>
      <w:r w:rsidRPr="0075159F">
        <w:rPr>
          <w:rFonts w:ascii="Arial" w:hAnsi="Arial" w:cs="Arial"/>
          <w:i/>
          <w:iCs/>
          <w:sz w:val="24"/>
          <w:szCs w:val="24"/>
        </w:rPr>
        <w:t>Corporate Restructuring Practices.</w:t>
      </w:r>
      <w:r w:rsidRPr="0075159F">
        <w:rPr>
          <w:rFonts w:ascii="Arial" w:hAnsi="Arial" w:cs="Arial"/>
          <w:sz w:val="24"/>
          <w:szCs w:val="24"/>
        </w:rPr>
        <w:t xml:space="preserve"> OECD Policy Paper.</w:t>
      </w:r>
    </w:p>
    <w:p w14:paraId="10105745"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Pike, R. &amp; Neale, B. (2021) </w:t>
      </w:r>
      <w:r w:rsidRPr="0075159F">
        <w:rPr>
          <w:rFonts w:ascii="Arial" w:hAnsi="Arial" w:cs="Arial"/>
          <w:i/>
          <w:iCs/>
          <w:sz w:val="24"/>
          <w:szCs w:val="24"/>
        </w:rPr>
        <w:t>Corporate Finance and Investment: Decisions and Strategies.</w:t>
      </w:r>
      <w:r w:rsidRPr="0075159F">
        <w:rPr>
          <w:rFonts w:ascii="Arial" w:hAnsi="Arial" w:cs="Arial"/>
          <w:sz w:val="24"/>
          <w:szCs w:val="24"/>
        </w:rPr>
        <w:t xml:space="preserve"> 9th ed. Pearson.</w:t>
      </w:r>
    </w:p>
    <w:p w14:paraId="5DF0BC78"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PwC (2024) </w:t>
      </w:r>
      <w:r w:rsidRPr="0075159F">
        <w:rPr>
          <w:rFonts w:ascii="Arial" w:hAnsi="Arial" w:cs="Arial"/>
          <w:i/>
          <w:iCs/>
          <w:sz w:val="24"/>
          <w:szCs w:val="24"/>
        </w:rPr>
        <w:t>Global Consumer Electronics Outlook.</w:t>
      </w:r>
      <w:r w:rsidRPr="0075159F">
        <w:rPr>
          <w:rFonts w:ascii="Arial" w:hAnsi="Arial" w:cs="Arial"/>
          <w:sz w:val="24"/>
          <w:szCs w:val="24"/>
        </w:rPr>
        <w:t xml:space="preserve"> PwC Strategy&amp;.</w:t>
      </w:r>
    </w:p>
    <w:p w14:paraId="777B2F97"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Reuters (2024) ‘Electronics Firms Face Margin Squeeze amid Inflation.’ Reuters Business.</w:t>
      </w:r>
    </w:p>
    <w:p w14:paraId="4BDDB88E"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UN Global Compact (2023) </w:t>
      </w:r>
      <w:r w:rsidRPr="0075159F">
        <w:rPr>
          <w:rFonts w:ascii="Arial" w:hAnsi="Arial" w:cs="Arial"/>
          <w:i/>
          <w:iCs/>
          <w:sz w:val="24"/>
          <w:szCs w:val="24"/>
        </w:rPr>
        <w:t>Sustainable Corporate Finance Principles.</w:t>
      </w:r>
      <w:r w:rsidRPr="0075159F">
        <w:rPr>
          <w:rFonts w:ascii="Arial" w:hAnsi="Arial" w:cs="Arial"/>
          <w:sz w:val="24"/>
          <w:szCs w:val="24"/>
        </w:rPr>
        <w:t xml:space="preserve"> UNGC.</w:t>
      </w:r>
    </w:p>
    <w:p w14:paraId="13FDED70" w14:textId="77777777" w:rsidR="0075159F" w:rsidRPr="0075159F" w:rsidRDefault="0075159F" w:rsidP="008F5B00">
      <w:pPr>
        <w:spacing w:line="360" w:lineRule="auto"/>
        <w:rPr>
          <w:rFonts w:ascii="Arial" w:hAnsi="Arial" w:cs="Arial"/>
          <w:sz w:val="24"/>
          <w:szCs w:val="24"/>
        </w:rPr>
      </w:pPr>
      <w:r w:rsidRPr="0075159F">
        <w:rPr>
          <w:rFonts w:ascii="Arial" w:hAnsi="Arial" w:cs="Arial"/>
          <w:sz w:val="24"/>
          <w:szCs w:val="24"/>
        </w:rPr>
        <w:t xml:space="preserve">World Bank (2024) </w:t>
      </w:r>
      <w:r w:rsidRPr="0075159F">
        <w:rPr>
          <w:rFonts w:ascii="Arial" w:hAnsi="Arial" w:cs="Arial"/>
          <w:i/>
          <w:iCs/>
          <w:sz w:val="24"/>
          <w:szCs w:val="24"/>
        </w:rPr>
        <w:t>Global Economic Prospects.</w:t>
      </w:r>
      <w:r w:rsidRPr="0075159F">
        <w:rPr>
          <w:rFonts w:ascii="Arial" w:hAnsi="Arial" w:cs="Arial"/>
          <w:sz w:val="24"/>
          <w:szCs w:val="24"/>
        </w:rPr>
        <w:t xml:space="preserve"> Washington, DC.</w:t>
      </w:r>
    </w:p>
    <w:p w14:paraId="6D58855E" w14:textId="77777777" w:rsidR="002A5174" w:rsidRPr="00C94466" w:rsidRDefault="002A5174" w:rsidP="008F5B00">
      <w:pPr>
        <w:spacing w:line="360" w:lineRule="auto"/>
        <w:rPr>
          <w:rFonts w:ascii="Arial" w:hAnsi="Arial" w:cs="Arial"/>
          <w:sz w:val="24"/>
          <w:szCs w:val="24"/>
        </w:rPr>
      </w:pPr>
    </w:p>
    <w:sectPr w:rsidR="002A5174" w:rsidRPr="00C94466" w:rsidSect="00954CC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16F4B" w14:textId="77777777" w:rsidR="00C07246" w:rsidRDefault="00C07246" w:rsidP="00C13931">
      <w:pPr>
        <w:spacing w:after="0" w:line="240" w:lineRule="auto"/>
      </w:pPr>
      <w:r>
        <w:separator/>
      </w:r>
    </w:p>
  </w:endnote>
  <w:endnote w:type="continuationSeparator" w:id="0">
    <w:p w14:paraId="270C5C31" w14:textId="77777777" w:rsidR="00C07246" w:rsidRDefault="00C07246" w:rsidP="00C1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161983"/>
      <w:docPartObj>
        <w:docPartGallery w:val="Page Numbers (Bottom of Page)"/>
        <w:docPartUnique/>
      </w:docPartObj>
    </w:sdtPr>
    <w:sdtEndPr>
      <w:rPr>
        <w:noProof/>
      </w:rPr>
    </w:sdtEndPr>
    <w:sdtContent>
      <w:p w14:paraId="0E317584" w14:textId="3D75A1B5" w:rsidR="00C13931" w:rsidRDefault="00C1393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430FF3" w14:textId="77777777" w:rsidR="00C13931" w:rsidRDefault="00C13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BFFB8" w14:textId="77777777" w:rsidR="00C07246" w:rsidRDefault="00C07246" w:rsidP="00C13931">
      <w:pPr>
        <w:spacing w:after="0" w:line="240" w:lineRule="auto"/>
      </w:pPr>
      <w:r>
        <w:separator/>
      </w:r>
    </w:p>
  </w:footnote>
  <w:footnote w:type="continuationSeparator" w:id="0">
    <w:p w14:paraId="5F17B302" w14:textId="77777777" w:rsidR="00C07246" w:rsidRDefault="00C07246" w:rsidP="00C13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3725F"/>
    <w:multiLevelType w:val="hybridMultilevel"/>
    <w:tmpl w:val="F740E3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87650"/>
    <w:multiLevelType w:val="multilevel"/>
    <w:tmpl w:val="78D4E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5F5E5E"/>
    <w:multiLevelType w:val="hybridMultilevel"/>
    <w:tmpl w:val="FB326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8E66B5"/>
    <w:multiLevelType w:val="multilevel"/>
    <w:tmpl w:val="086A356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C153A8A"/>
    <w:multiLevelType w:val="hybridMultilevel"/>
    <w:tmpl w:val="ECBCAE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BE3864"/>
    <w:multiLevelType w:val="multilevel"/>
    <w:tmpl w:val="1FC65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CE0A06"/>
    <w:multiLevelType w:val="multilevel"/>
    <w:tmpl w:val="6FC8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E0326E"/>
    <w:multiLevelType w:val="multilevel"/>
    <w:tmpl w:val="A2CCE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46C209D"/>
    <w:multiLevelType w:val="multilevel"/>
    <w:tmpl w:val="9C80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316E47"/>
    <w:multiLevelType w:val="multilevel"/>
    <w:tmpl w:val="CC624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95048D2"/>
    <w:multiLevelType w:val="multilevel"/>
    <w:tmpl w:val="8AEA96A8"/>
    <w:lvl w:ilvl="0">
      <w:start w:val="3"/>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1ABA0F35"/>
    <w:multiLevelType w:val="multilevel"/>
    <w:tmpl w:val="345E8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B402B83"/>
    <w:multiLevelType w:val="multilevel"/>
    <w:tmpl w:val="DEB0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DB14932"/>
    <w:multiLevelType w:val="hybridMultilevel"/>
    <w:tmpl w:val="6A4422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6D6C59"/>
    <w:multiLevelType w:val="multilevel"/>
    <w:tmpl w:val="A72CC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F34564C"/>
    <w:multiLevelType w:val="multilevel"/>
    <w:tmpl w:val="F8321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F003BB"/>
    <w:multiLevelType w:val="multilevel"/>
    <w:tmpl w:val="9FB0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B67438D"/>
    <w:multiLevelType w:val="multilevel"/>
    <w:tmpl w:val="6B5AD2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D861966"/>
    <w:multiLevelType w:val="multilevel"/>
    <w:tmpl w:val="4A82B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E4A0405"/>
    <w:multiLevelType w:val="multilevel"/>
    <w:tmpl w:val="DB2C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F3A0023"/>
    <w:multiLevelType w:val="multilevel"/>
    <w:tmpl w:val="EFA081B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30F8465C"/>
    <w:multiLevelType w:val="hybridMultilevel"/>
    <w:tmpl w:val="CFEAF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1F31DF"/>
    <w:multiLevelType w:val="multilevel"/>
    <w:tmpl w:val="F136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1ED0C47"/>
    <w:multiLevelType w:val="multilevel"/>
    <w:tmpl w:val="82BA8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521602B"/>
    <w:multiLevelType w:val="multilevel"/>
    <w:tmpl w:val="28326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5D15F9A"/>
    <w:multiLevelType w:val="multilevel"/>
    <w:tmpl w:val="C7269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6D65D74"/>
    <w:multiLevelType w:val="multilevel"/>
    <w:tmpl w:val="DA7AF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E6F66CD"/>
    <w:multiLevelType w:val="multilevel"/>
    <w:tmpl w:val="394E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0181CFC"/>
    <w:multiLevelType w:val="hybridMultilevel"/>
    <w:tmpl w:val="2A5A3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982D0B"/>
    <w:multiLevelType w:val="multilevel"/>
    <w:tmpl w:val="72B27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2B6664F"/>
    <w:multiLevelType w:val="multilevel"/>
    <w:tmpl w:val="7938D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9960767"/>
    <w:multiLevelType w:val="multilevel"/>
    <w:tmpl w:val="3C18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AAB272C"/>
    <w:multiLevelType w:val="multilevel"/>
    <w:tmpl w:val="D506F7DE"/>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5D6B15B8"/>
    <w:multiLevelType w:val="multilevel"/>
    <w:tmpl w:val="E3D0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0946598"/>
    <w:multiLevelType w:val="multilevel"/>
    <w:tmpl w:val="8AEA96A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5" w15:restartNumberingAfterBreak="0">
    <w:nsid w:val="63062110"/>
    <w:multiLevelType w:val="multilevel"/>
    <w:tmpl w:val="428E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3465171"/>
    <w:multiLevelType w:val="hybridMultilevel"/>
    <w:tmpl w:val="30ACBF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C723F1"/>
    <w:multiLevelType w:val="multilevel"/>
    <w:tmpl w:val="0EF4F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52B6AF9"/>
    <w:multiLevelType w:val="multilevel"/>
    <w:tmpl w:val="378A3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EB0789"/>
    <w:multiLevelType w:val="multilevel"/>
    <w:tmpl w:val="9ECA2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9774693"/>
    <w:multiLevelType w:val="multilevel"/>
    <w:tmpl w:val="8514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AE04F8B"/>
    <w:multiLevelType w:val="multilevel"/>
    <w:tmpl w:val="9E8E1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E714762"/>
    <w:multiLevelType w:val="multilevel"/>
    <w:tmpl w:val="58A0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6FB66726"/>
    <w:multiLevelType w:val="hybridMultilevel"/>
    <w:tmpl w:val="ED683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4DD111B"/>
    <w:multiLevelType w:val="hybridMultilevel"/>
    <w:tmpl w:val="FB4668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2752F9"/>
    <w:multiLevelType w:val="multilevel"/>
    <w:tmpl w:val="CC10179A"/>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79186230"/>
    <w:multiLevelType w:val="multilevel"/>
    <w:tmpl w:val="104EC544"/>
    <w:lvl w:ilvl="0">
      <w:start w:val="6"/>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7" w15:restartNumberingAfterBreak="0">
    <w:nsid w:val="7D0E5381"/>
    <w:multiLevelType w:val="multilevel"/>
    <w:tmpl w:val="A22CE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D9C2E1B"/>
    <w:multiLevelType w:val="multilevel"/>
    <w:tmpl w:val="06F4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54094500">
    <w:abstractNumId w:val="20"/>
  </w:num>
  <w:num w:numId="2" w16cid:durableId="1272124233">
    <w:abstractNumId w:val="32"/>
  </w:num>
  <w:num w:numId="3" w16cid:durableId="1156534699">
    <w:abstractNumId w:val="19"/>
  </w:num>
  <w:num w:numId="4" w16cid:durableId="454563208">
    <w:abstractNumId w:val="31"/>
  </w:num>
  <w:num w:numId="5" w16cid:durableId="1654262950">
    <w:abstractNumId w:val="27"/>
  </w:num>
  <w:num w:numId="6" w16cid:durableId="1239946778">
    <w:abstractNumId w:val="40"/>
  </w:num>
  <w:num w:numId="7" w16cid:durableId="1397973614">
    <w:abstractNumId w:val="9"/>
  </w:num>
  <w:num w:numId="8" w16cid:durableId="143550123">
    <w:abstractNumId w:val="34"/>
  </w:num>
  <w:num w:numId="9" w16cid:durableId="2026974784">
    <w:abstractNumId w:val="35"/>
  </w:num>
  <w:num w:numId="10" w16cid:durableId="265619585">
    <w:abstractNumId w:val="48"/>
  </w:num>
  <w:num w:numId="11" w16cid:durableId="276640878">
    <w:abstractNumId w:val="42"/>
  </w:num>
  <w:num w:numId="12" w16cid:durableId="1334800390">
    <w:abstractNumId w:val="11"/>
  </w:num>
  <w:num w:numId="13" w16cid:durableId="258147317">
    <w:abstractNumId w:val="37"/>
  </w:num>
  <w:num w:numId="14" w16cid:durableId="704257304">
    <w:abstractNumId w:val="3"/>
  </w:num>
  <w:num w:numId="15" w16cid:durableId="894005769">
    <w:abstractNumId w:val="38"/>
  </w:num>
  <w:num w:numId="16" w16cid:durableId="422189548">
    <w:abstractNumId w:val="12"/>
  </w:num>
  <w:num w:numId="17" w16cid:durableId="1112897712">
    <w:abstractNumId w:val="18"/>
  </w:num>
  <w:num w:numId="18" w16cid:durableId="1816991225">
    <w:abstractNumId w:val="33"/>
  </w:num>
  <w:num w:numId="19" w16cid:durableId="505681173">
    <w:abstractNumId w:val="14"/>
  </w:num>
  <w:num w:numId="20" w16cid:durableId="2104496656">
    <w:abstractNumId w:val="47"/>
  </w:num>
  <w:num w:numId="21" w16cid:durableId="750003336">
    <w:abstractNumId w:val="24"/>
  </w:num>
  <w:num w:numId="22" w16cid:durableId="1000039482">
    <w:abstractNumId w:val="16"/>
  </w:num>
  <w:num w:numId="23" w16cid:durableId="531573931">
    <w:abstractNumId w:val="30"/>
  </w:num>
  <w:num w:numId="24" w16cid:durableId="1440947763">
    <w:abstractNumId w:val="29"/>
  </w:num>
  <w:num w:numId="25" w16cid:durableId="757363300">
    <w:abstractNumId w:val="25"/>
  </w:num>
  <w:num w:numId="26" w16cid:durableId="1808669917">
    <w:abstractNumId w:val="22"/>
  </w:num>
  <w:num w:numId="27" w16cid:durableId="1800494096">
    <w:abstractNumId w:val="45"/>
  </w:num>
  <w:num w:numId="28" w16cid:durableId="350297561">
    <w:abstractNumId w:val="41"/>
  </w:num>
  <w:num w:numId="29" w16cid:durableId="1012142586">
    <w:abstractNumId w:val="26"/>
  </w:num>
  <w:num w:numId="30" w16cid:durableId="643661132">
    <w:abstractNumId w:val="15"/>
  </w:num>
  <w:num w:numId="31" w16cid:durableId="499541005">
    <w:abstractNumId w:val="7"/>
  </w:num>
  <w:num w:numId="32" w16cid:durableId="1469012581">
    <w:abstractNumId w:val="1"/>
  </w:num>
  <w:num w:numId="33" w16cid:durableId="972563067">
    <w:abstractNumId w:val="8"/>
  </w:num>
  <w:num w:numId="34" w16cid:durableId="624703228">
    <w:abstractNumId w:val="6"/>
  </w:num>
  <w:num w:numId="35" w16cid:durableId="410928689">
    <w:abstractNumId w:val="23"/>
  </w:num>
  <w:num w:numId="36" w16cid:durableId="994072797">
    <w:abstractNumId w:val="46"/>
  </w:num>
  <w:num w:numId="37" w16cid:durableId="1338313972">
    <w:abstractNumId w:val="39"/>
  </w:num>
  <w:num w:numId="38" w16cid:durableId="979847987">
    <w:abstractNumId w:val="5"/>
  </w:num>
  <w:num w:numId="39" w16cid:durableId="937103408">
    <w:abstractNumId w:val="17"/>
  </w:num>
  <w:num w:numId="40" w16cid:durableId="778334208">
    <w:abstractNumId w:val="0"/>
  </w:num>
  <w:num w:numId="41" w16cid:durableId="2069957376">
    <w:abstractNumId w:val="13"/>
  </w:num>
  <w:num w:numId="42" w16cid:durableId="901409445">
    <w:abstractNumId w:val="10"/>
  </w:num>
  <w:num w:numId="43" w16cid:durableId="404886628">
    <w:abstractNumId w:val="43"/>
  </w:num>
  <w:num w:numId="44" w16cid:durableId="1554728177">
    <w:abstractNumId w:val="2"/>
  </w:num>
  <w:num w:numId="45" w16cid:durableId="651833567">
    <w:abstractNumId w:val="4"/>
  </w:num>
  <w:num w:numId="46" w16cid:durableId="1082068273">
    <w:abstractNumId w:val="28"/>
  </w:num>
  <w:num w:numId="47" w16cid:durableId="1834953576">
    <w:abstractNumId w:val="36"/>
  </w:num>
  <w:num w:numId="48" w16cid:durableId="2061174509">
    <w:abstractNumId w:val="44"/>
  </w:num>
  <w:num w:numId="49" w16cid:durableId="17839525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22A"/>
    <w:rsid w:val="0007076A"/>
    <w:rsid w:val="000C1A39"/>
    <w:rsid w:val="00276BE9"/>
    <w:rsid w:val="002A5174"/>
    <w:rsid w:val="002C022A"/>
    <w:rsid w:val="00350C0E"/>
    <w:rsid w:val="003B40C6"/>
    <w:rsid w:val="004125CC"/>
    <w:rsid w:val="00605F46"/>
    <w:rsid w:val="00721AE2"/>
    <w:rsid w:val="0075159F"/>
    <w:rsid w:val="007751B0"/>
    <w:rsid w:val="0078225D"/>
    <w:rsid w:val="007A6B89"/>
    <w:rsid w:val="00852F26"/>
    <w:rsid w:val="00871B2E"/>
    <w:rsid w:val="008F5B00"/>
    <w:rsid w:val="008F6E50"/>
    <w:rsid w:val="00954CC6"/>
    <w:rsid w:val="00A72A50"/>
    <w:rsid w:val="00AE3DF3"/>
    <w:rsid w:val="00B36A69"/>
    <w:rsid w:val="00C07246"/>
    <w:rsid w:val="00C13931"/>
    <w:rsid w:val="00C1603D"/>
    <w:rsid w:val="00C94466"/>
    <w:rsid w:val="00E066D2"/>
    <w:rsid w:val="00EC4AE9"/>
    <w:rsid w:val="00F63C4C"/>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B26874"/>
  <w15:chartTrackingRefBased/>
  <w15:docId w15:val="{ED437572-00D0-4ACF-9D42-CAAD4F7E3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Vrinda"/>
    </w:rPr>
  </w:style>
  <w:style w:type="paragraph" w:styleId="Heading1">
    <w:name w:val="heading 1"/>
    <w:basedOn w:val="Normal"/>
    <w:next w:val="Normal"/>
    <w:link w:val="Heading1Char"/>
    <w:uiPriority w:val="9"/>
    <w:qFormat/>
    <w:rsid w:val="002C022A"/>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C022A"/>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C022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C02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2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2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2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2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2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22A"/>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C022A"/>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C022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C02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2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2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2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2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22A"/>
    <w:rPr>
      <w:rFonts w:eastAsiaTheme="majorEastAsia" w:cstheme="majorBidi"/>
      <w:color w:val="272727" w:themeColor="text1" w:themeTint="D8"/>
    </w:rPr>
  </w:style>
  <w:style w:type="paragraph" w:styleId="Title">
    <w:name w:val="Title"/>
    <w:basedOn w:val="Normal"/>
    <w:next w:val="Normal"/>
    <w:link w:val="TitleChar"/>
    <w:uiPriority w:val="10"/>
    <w:qFormat/>
    <w:rsid w:val="002C022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C022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C022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C022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C022A"/>
    <w:pPr>
      <w:spacing w:before="160"/>
      <w:jc w:val="center"/>
    </w:pPr>
    <w:rPr>
      <w:i/>
      <w:iCs/>
      <w:color w:val="404040" w:themeColor="text1" w:themeTint="BF"/>
    </w:rPr>
  </w:style>
  <w:style w:type="character" w:customStyle="1" w:styleId="QuoteChar">
    <w:name w:val="Quote Char"/>
    <w:basedOn w:val="DefaultParagraphFont"/>
    <w:link w:val="Quote"/>
    <w:uiPriority w:val="29"/>
    <w:rsid w:val="002C022A"/>
    <w:rPr>
      <w:rFonts w:cs="Vrinda"/>
      <w:i/>
      <w:iCs/>
      <w:color w:val="404040" w:themeColor="text1" w:themeTint="BF"/>
    </w:rPr>
  </w:style>
  <w:style w:type="paragraph" w:styleId="ListParagraph">
    <w:name w:val="List Paragraph"/>
    <w:basedOn w:val="Normal"/>
    <w:uiPriority w:val="34"/>
    <w:qFormat/>
    <w:rsid w:val="002C022A"/>
    <w:pPr>
      <w:ind w:left="720"/>
      <w:contextualSpacing/>
    </w:pPr>
  </w:style>
  <w:style w:type="character" w:styleId="IntenseEmphasis">
    <w:name w:val="Intense Emphasis"/>
    <w:basedOn w:val="DefaultParagraphFont"/>
    <w:uiPriority w:val="21"/>
    <w:qFormat/>
    <w:rsid w:val="002C022A"/>
    <w:rPr>
      <w:i/>
      <w:iCs/>
      <w:color w:val="0F4761" w:themeColor="accent1" w:themeShade="BF"/>
    </w:rPr>
  </w:style>
  <w:style w:type="paragraph" w:styleId="IntenseQuote">
    <w:name w:val="Intense Quote"/>
    <w:basedOn w:val="Normal"/>
    <w:next w:val="Normal"/>
    <w:link w:val="IntenseQuoteChar"/>
    <w:uiPriority w:val="30"/>
    <w:qFormat/>
    <w:rsid w:val="002C02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22A"/>
    <w:rPr>
      <w:rFonts w:cs="Vrinda"/>
      <w:i/>
      <w:iCs/>
      <w:color w:val="0F4761" w:themeColor="accent1" w:themeShade="BF"/>
    </w:rPr>
  </w:style>
  <w:style w:type="character" w:styleId="IntenseReference">
    <w:name w:val="Intense Reference"/>
    <w:basedOn w:val="DefaultParagraphFont"/>
    <w:uiPriority w:val="32"/>
    <w:qFormat/>
    <w:rsid w:val="002C022A"/>
    <w:rPr>
      <w:b/>
      <w:bCs/>
      <w:smallCaps/>
      <w:color w:val="0F4761" w:themeColor="accent1" w:themeShade="BF"/>
      <w:spacing w:val="5"/>
    </w:rPr>
  </w:style>
  <w:style w:type="table" w:styleId="TableGrid">
    <w:name w:val="Table Grid"/>
    <w:basedOn w:val="TableNormal"/>
    <w:uiPriority w:val="39"/>
    <w:rsid w:val="003B40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63C4C"/>
    <w:rPr>
      <w:sz w:val="16"/>
      <w:szCs w:val="16"/>
    </w:rPr>
  </w:style>
  <w:style w:type="paragraph" w:styleId="CommentText">
    <w:name w:val="annotation text"/>
    <w:basedOn w:val="Normal"/>
    <w:link w:val="CommentTextChar"/>
    <w:uiPriority w:val="99"/>
    <w:semiHidden/>
    <w:unhideWhenUsed/>
    <w:rsid w:val="00F63C4C"/>
    <w:pPr>
      <w:spacing w:line="240" w:lineRule="auto"/>
    </w:pPr>
    <w:rPr>
      <w:sz w:val="20"/>
      <w:szCs w:val="25"/>
    </w:rPr>
  </w:style>
  <w:style w:type="character" w:customStyle="1" w:styleId="CommentTextChar">
    <w:name w:val="Comment Text Char"/>
    <w:basedOn w:val="DefaultParagraphFont"/>
    <w:link w:val="CommentText"/>
    <w:uiPriority w:val="99"/>
    <w:semiHidden/>
    <w:rsid w:val="00F63C4C"/>
    <w:rPr>
      <w:rFonts w:cs="Vrinda"/>
      <w:sz w:val="20"/>
      <w:szCs w:val="25"/>
    </w:rPr>
  </w:style>
  <w:style w:type="paragraph" w:styleId="CommentSubject">
    <w:name w:val="annotation subject"/>
    <w:basedOn w:val="CommentText"/>
    <w:next w:val="CommentText"/>
    <w:link w:val="CommentSubjectChar"/>
    <w:uiPriority w:val="99"/>
    <w:semiHidden/>
    <w:unhideWhenUsed/>
    <w:rsid w:val="00F63C4C"/>
    <w:rPr>
      <w:b/>
      <w:bCs/>
    </w:rPr>
  </w:style>
  <w:style w:type="character" w:customStyle="1" w:styleId="CommentSubjectChar">
    <w:name w:val="Comment Subject Char"/>
    <w:basedOn w:val="CommentTextChar"/>
    <w:link w:val="CommentSubject"/>
    <w:uiPriority w:val="99"/>
    <w:semiHidden/>
    <w:rsid w:val="00F63C4C"/>
    <w:rPr>
      <w:rFonts w:cs="Vrinda"/>
      <w:b/>
      <w:bCs/>
      <w:sz w:val="20"/>
      <w:szCs w:val="25"/>
    </w:rPr>
  </w:style>
  <w:style w:type="paragraph" w:styleId="Header">
    <w:name w:val="header"/>
    <w:basedOn w:val="Normal"/>
    <w:link w:val="HeaderChar"/>
    <w:uiPriority w:val="99"/>
    <w:unhideWhenUsed/>
    <w:rsid w:val="00C13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3931"/>
    <w:rPr>
      <w:rFonts w:cs="Vrinda"/>
    </w:rPr>
  </w:style>
  <w:style w:type="paragraph" w:styleId="Footer">
    <w:name w:val="footer"/>
    <w:basedOn w:val="Normal"/>
    <w:link w:val="FooterChar"/>
    <w:uiPriority w:val="99"/>
    <w:unhideWhenUsed/>
    <w:rsid w:val="00C13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3931"/>
    <w:rPr>
      <w:rFonts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25</Pages>
  <Words>5656</Words>
  <Characters>32240</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Sumel</dc:creator>
  <cp:keywords/>
  <dc:description/>
  <cp:lastModifiedBy>Sykat Sen</cp:lastModifiedBy>
  <cp:revision>7</cp:revision>
  <dcterms:created xsi:type="dcterms:W3CDTF">2025-11-12T12:54:00Z</dcterms:created>
  <dcterms:modified xsi:type="dcterms:W3CDTF">2025-11-24T03:39:00Z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f6fbf420-0dde-4173-974e-8ad8128b3422</vt:lpwstr>
  </property>
</Properties>
</file>