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08A516" w14:textId="77777777" w:rsidR="001854D3" w:rsidRPr="001854D3" w:rsidRDefault="001854D3" w:rsidP="0026495B">
      <w:pPr>
        <w:jc w:val="center"/>
      </w:pPr>
      <w:bookmarkStart w:id="0" w:name="_qzg4r8qy80j7" w:colFirst="0" w:colLast="0"/>
      <w:bookmarkEnd w:id="0"/>
      <w:r w:rsidRPr="001854D3">
        <w:rPr>
          <w:noProof/>
          <w:lang w:val="en-US" w:eastAsia="en-US"/>
        </w:rPr>
        <w:drawing>
          <wp:inline distT="0" distB="0" distL="0" distR="0" wp14:anchorId="38A8EF3A" wp14:editId="43EE5FC8">
            <wp:extent cx="2905530" cy="1124107"/>
            <wp:effectExtent l="0" t="0" r="0" b="0"/>
            <wp:docPr id="1989386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386271" name=""/>
                    <pic:cNvPicPr/>
                  </pic:nvPicPr>
                  <pic:blipFill>
                    <a:blip r:embed="rId8"/>
                    <a:stretch>
                      <a:fillRect/>
                    </a:stretch>
                  </pic:blipFill>
                  <pic:spPr>
                    <a:xfrm>
                      <a:off x="0" y="0"/>
                      <a:ext cx="2905530" cy="1124107"/>
                    </a:xfrm>
                    <a:prstGeom prst="rect">
                      <a:avLst/>
                    </a:prstGeom>
                  </pic:spPr>
                </pic:pic>
              </a:graphicData>
            </a:graphic>
          </wp:inline>
        </w:drawing>
      </w:r>
    </w:p>
    <w:p w14:paraId="2D0CC126" w14:textId="77777777" w:rsidR="001854D3" w:rsidRPr="001854D3" w:rsidRDefault="001854D3" w:rsidP="0026495B">
      <w:pPr>
        <w:jc w:val="center"/>
      </w:pPr>
    </w:p>
    <w:p w14:paraId="1041C6DB" w14:textId="50E4FE56" w:rsidR="001854D3" w:rsidRPr="001854D3" w:rsidRDefault="001854D3" w:rsidP="0026495B">
      <w:pPr>
        <w:jc w:val="center"/>
        <w:rPr>
          <w:b/>
          <w:bCs/>
          <w:sz w:val="32"/>
          <w:szCs w:val="32"/>
        </w:rPr>
      </w:pPr>
      <w:r w:rsidRPr="001854D3">
        <w:rPr>
          <w:b/>
          <w:bCs/>
          <w:sz w:val="32"/>
          <w:szCs w:val="32"/>
        </w:rPr>
        <w:t>Programme: Master of Business Administration</w:t>
      </w:r>
    </w:p>
    <w:p w14:paraId="4A50049F" w14:textId="052DB86F" w:rsidR="001854D3" w:rsidRDefault="001854D3" w:rsidP="00377558"/>
    <w:p w14:paraId="46093B49" w14:textId="77777777" w:rsidR="00377558" w:rsidRPr="001854D3" w:rsidRDefault="00377558" w:rsidP="00377558"/>
    <w:p w14:paraId="3F59CB01" w14:textId="1D2DE8CC" w:rsidR="001854D3" w:rsidRPr="0026495B" w:rsidRDefault="001854D3" w:rsidP="0026495B">
      <w:pPr>
        <w:jc w:val="center"/>
        <w:rPr>
          <w:b/>
          <w:bCs/>
          <w:sz w:val="28"/>
          <w:szCs w:val="24"/>
        </w:rPr>
      </w:pPr>
      <w:r w:rsidRPr="0026495B">
        <w:rPr>
          <w:b/>
          <w:bCs/>
          <w:sz w:val="28"/>
          <w:szCs w:val="24"/>
        </w:rPr>
        <w:t>Module</w:t>
      </w:r>
      <w:r w:rsidR="0026495B">
        <w:rPr>
          <w:b/>
          <w:bCs/>
          <w:sz w:val="28"/>
          <w:szCs w:val="24"/>
        </w:rPr>
        <w:t xml:space="preserve"> Name</w:t>
      </w:r>
      <w:r w:rsidRPr="0026495B">
        <w:rPr>
          <w:b/>
          <w:bCs/>
          <w:sz w:val="28"/>
          <w:szCs w:val="24"/>
        </w:rPr>
        <w:t>: Financial Management</w:t>
      </w:r>
    </w:p>
    <w:p w14:paraId="2BD3851C" w14:textId="1854F621" w:rsidR="001854D3" w:rsidRPr="0026495B" w:rsidRDefault="001854D3" w:rsidP="0026495B">
      <w:pPr>
        <w:jc w:val="center"/>
        <w:rPr>
          <w:b/>
          <w:bCs/>
          <w:sz w:val="28"/>
          <w:szCs w:val="24"/>
        </w:rPr>
      </w:pPr>
      <w:r w:rsidRPr="0026495B">
        <w:rPr>
          <w:b/>
          <w:bCs/>
          <w:sz w:val="28"/>
          <w:szCs w:val="24"/>
        </w:rPr>
        <w:t xml:space="preserve">Module </w:t>
      </w:r>
      <w:r w:rsidR="0026495B">
        <w:rPr>
          <w:b/>
          <w:bCs/>
          <w:sz w:val="28"/>
          <w:szCs w:val="24"/>
        </w:rPr>
        <w:t>C</w:t>
      </w:r>
      <w:r w:rsidRPr="0026495B">
        <w:rPr>
          <w:b/>
          <w:bCs/>
          <w:sz w:val="28"/>
          <w:szCs w:val="24"/>
        </w:rPr>
        <w:t>ode: LCMB7002</w:t>
      </w:r>
    </w:p>
    <w:p w14:paraId="4270EE9C" w14:textId="1F1EB54F" w:rsidR="001854D3" w:rsidRPr="003E6227" w:rsidRDefault="00273C3E" w:rsidP="00273C3E">
      <w:r w:rsidRPr="003E6227">
        <w:t xml:space="preserve">                         Ass</w:t>
      </w:r>
      <w:r w:rsidR="003E6227" w:rsidRPr="003E6227">
        <w:t>ess</w:t>
      </w:r>
      <w:r w:rsidRPr="003E6227">
        <w:t>ment</w:t>
      </w:r>
      <w:r w:rsidR="003E6227" w:rsidRPr="003E6227">
        <w:t xml:space="preserve"> component:</w:t>
      </w:r>
      <w:r w:rsidR="003E6227">
        <w:t xml:space="preserve"> </w:t>
      </w:r>
      <w:r w:rsidR="003E6227" w:rsidRPr="003E6227">
        <w:t>Financial performance and management</w:t>
      </w:r>
    </w:p>
    <w:p w14:paraId="2570407A" w14:textId="77777777" w:rsidR="0026495B" w:rsidRPr="001854D3" w:rsidRDefault="0026495B" w:rsidP="0026495B">
      <w:pPr>
        <w:jc w:val="center"/>
      </w:pPr>
    </w:p>
    <w:p w14:paraId="57033ED3" w14:textId="28E55450" w:rsidR="001854D3" w:rsidRPr="001854D3" w:rsidRDefault="001854D3" w:rsidP="0026495B">
      <w:pPr>
        <w:jc w:val="center"/>
        <w:rPr>
          <w:szCs w:val="24"/>
        </w:rPr>
      </w:pPr>
      <w:r w:rsidRPr="001854D3">
        <w:rPr>
          <w:b/>
          <w:bCs/>
          <w:szCs w:val="24"/>
        </w:rPr>
        <w:t>Lecturer:</w:t>
      </w:r>
      <w:r w:rsidRPr="001854D3">
        <w:rPr>
          <w:szCs w:val="24"/>
        </w:rPr>
        <w:t xml:space="preserve"> </w:t>
      </w:r>
      <w:r w:rsidR="00273C3E">
        <w:rPr>
          <w:szCs w:val="24"/>
        </w:rPr>
        <w:t>Isaiah Oino</w:t>
      </w:r>
    </w:p>
    <w:p w14:paraId="0BA5823E" w14:textId="77777777" w:rsidR="001854D3" w:rsidRPr="001854D3" w:rsidRDefault="001854D3" w:rsidP="0026495B">
      <w:pPr>
        <w:jc w:val="center"/>
      </w:pPr>
    </w:p>
    <w:p w14:paraId="0B5A5647" w14:textId="77777777" w:rsidR="001854D3" w:rsidRPr="001854D3" w:rsidRDefault="001854D3" w:rsidP="0026495B">
      <w:pPr>
        <w:jc w:val="center"/>
      </w:pPr>
    </w:p>
    <w:p w14:paraId="2E2F5204" w14:textId="77777777" w:rsidR="001854D3" w:rsidRPr="001854D3" w:rsidRDefault="001854D3" w:rsidP="0026495B">
      <w:pPr>
        <w:jc w:val="center"/>
      </w:pPr>
    </w:p>
    <w:p w14:paraId="365238B0" w14:textId="5E402D1F" w:rsidR="001854D3" w:rsidRPr="001854D3" w:rsidRDefault="001854D3" w:rsidP="0026495B">
      <w:pPr>
        <w:jc w:val="center"/>
      </w:pPr>
      <w:r w:rsidRPr="001854D3">
        <w:t xml:space="preserve">Student </w:t>
      </w:r>
      <w:r w:rsidR="00DE7780">
        <w:t>N</w:t>
      </w:r>
      <w:r w:rsidRPr="001854D3">
        <w:t>ame:</w:t>
      </w:r>
      <w:r w:rsidR="00273C3E">
        <w:t xml:space="preserve"> Kazi Mahmud Ul Islam</w:t>
      </w:r>
    </w:p>
    <w:p w14:paraId="77761102" w14:textId="76E6D3AD" w:rsidR="001854D3" w:rsidRPr="001854D3" w:rsidRDefault="001854D3" w:rsidP="0026495B">
      <w:pPr>
        <w:jc w:val="center"/>
      </w:pPr>
      <w:r w:rsidRPr="001854D3">
        <w:t>Student ID number:</w:t>
      </w:r>
      <w:r w:rsidR="00273C3E">
        <w:t xml:space="preserve"> 2510576</w:t>
      </w:r>
    </w:p>
    <w:p w14:paraId="6CECDCBB" w14:textId="5FD5077B" w:rsidR="00747192" w:rsidRPr="001854D3" w:rsidRDefault="001854D3" w:rsidP="0026495B">
      <w:pPr>
        <w:jc w:val="center"/>
        <w:rPr>
          <w:b/>
          <w:bCs/>
          <w:sz w:val="28"/>
          <w:szCs w:val="28"/>
        </w:rPr>
      </w:pPr>
      <w:r w:rsidRPr="001854D3">
        <w:t>Word</w:t>
      </w:r>
      <w:r w:rsidR="00915E1D">
        <w:t xml:space="preserve"> C</w:t>
      </w:r>
      <w:r w:rsidRPr="001854D3">
        <w:t xml:space="preserve">ount: </w:t>
      </w:r>
      <w:r w:rsidR="00273C3E">
        <w:t>6220</w:t>
      </w:r>
      <w:r w:rsidR="00747192" w:rsidRPr="001854D3">
        <w:br w:type="page"/>
      </w:r>
    </w:p>
    <w:sdt>
      <w:sdtPr>
        <w:rPr>
          <w:rFonts w:ascii="Arial" w:eastAsia="Times New Roman" w:hAnsi="Arial" w:cs="Arial"/>
          <w:color w:val="auto"/>
          <w:sz w:val="24"/>
          <w:szCs w:val="24"/>
          <w:lang w:val="en-GB" w:eastAsia="en-IN"/>
        </w:rPr>
        <w:id w:val="1073244549"/>
        <w:docPartObj>
          <w:docPartGallery w:val="Table of Contents"/>
          <w:docPartUnique/>
        </w:docPartObj>
      </w:sdtPr>
      <w:sdtEndPr>
        <w:rPr>
          <w:b/>
          <w:bCs/>
          <w:noProof/>
          <w:color w:val="000000" w:themeColor="text1"/>
        </w:rPr>
      </w:sdtEndPr>
      <w:sdtContent>
        <w:p w14:paraId="5FFAF3AA" w14:textId="50884D85" w:rsidR="001854D3" w:rsidRPr="0025324E" w:rsidRDefault="001854D3" w:rsidP="001854D3">
          <w:pPr>
            <w:pStyle w:val="TOCHeading"/>
            <w:spacing w:line="360" w:lineRule="auto"/>
            <w:jc w:val="center"/>
            <w:rPr>
              <w:rFonts w:ascii="Arial" w:hAnsi="Arial" w:cs="Arial"/>
              <w:b/>
              <w:bCs/>
              <w:color w:val="000000" w:themeColor="text1"/>
              <w:sz w:val="24"/>
              <w:szCs w:val="24"/>
            </w:rPr>
          </w:pPr>
          <w:r w:rsidRPr="0025324E">
            <w:rPr>
              <w:rFonts w:ascii="Arial" w:hAnsi="Arial" w:cs="Arial"/>
              <w:b/>
              <w:bCs/>
              <w:color w:val="000000" w:themeColor="text1"/>
              <w:sz w:val="24"/>
              <w:szCs w:val="24"/>
            </w:rPr>
            <w:t>Table of Contents</w:t>
          </w:r>
        </w:p>
        <w:p w14:paraId="42DBCA67" w14:textId="0BBF2160" w:rsidR="00880193" w:rsidRDefault="001854D3">
          <w:pPr>
            <w:pStyle w:val="TOC1"/>
            <w:tabs>
              <w:tab w:val="right" w:leader="dot" w:pos="9019"/>
            </w:tabs>
            <w:rPr>
              <w:rFonts w:asciiTheme="minorHAnsi" w:eastAsiaTheme="minorEastAsia" w:hAnsiTheme="minorHAnsi" w:cstheme="minorBidi"/>
              <w:noProof/>
              <w:color w:val="auto"/>
              <w:sz w:val="22"/>
              <w:lang w:val="en-IN"/>
            </w:rPr>
          </w:pPr>
          <w:r w:rsidRPr="0025324E">
            <w:rPr>
              <w:rFonts w:cs="Arial"/>
              <w:szCs w:val="24"/>
            </w:rPr>
            <w:fldChar w:fldCharType="begin"/>
          </w:r>
          <w:r w:rsidRPr="0025324E">
            <w:rPr>
              <w:rFonts w:cs="Arial"/>
              <w:szCs w:val="24"/>
            </w:rPr>
            <w:instrText xml:space="preserve"> TOC \o "1-3" \h \z \u </w:instrText>
          </w:r>
          <w:r w:rsidRPr="0025324E">
            <w:rPr>
              <w:rFonts w:cs="Arial"/>
              <w:szCs w:val="24"/>
            </w:rPr>
            <w:fldChar w:fldCharType="separate"/>
          </w:r>
          <w:hyperlink w:anchor="_Toc216960947" w:history="1">
            <w:r w:rsidR="00880193" w:rsidRPr="00ED08D9">
              <w:rPr>
                <w:rStyle w:val="Hyperlink"/>
                <w:noProof/>
              </w:rPr>
              <w:t>1. Introduction</w:t>
            </w:r>
            <w:r w:rsidR="00880193">
              <w:rPr>
                <w:noProof/>
                <w:webHidden/>
              </w:rPr>
              <w:tab/>
            </w:r>
            <w:r w:rsidR="00880193">
              <w:rPr>
                <w:noProof/>
                <w:webHidden/>
              </w:rPr>
              <w:fldChar w:fldCharType="begin"/>
            </w:r>
            <w:r w:rsidR="00880193">
              <w:rPr>
                <w:noProof/>
                <w:webHidden/>
              </w:rPr>
              <w:instrText xml:space="preserve"> PAGEREF _Toc216960947 \h </w:instrText>
            </w:r>
            <w:r w:rsidR="00880193">
              <w:rPr>
                <w:noProof/>
                <w:webHidden/>
              </w:rPr>
            </w:r>
            <w:r w:rsidR="00880193">
              <w:rPr>
                <w:noProof/>
                <w:webHidden/>
              </w:rPr>
              <w:fldChar w:fldCharType="separate"/>
            </w:r>
            <w:r w:rsidR="00880193">
              <w:rPr>
                <w:noProof/>
                <w:webHidden/>
              </w:rPr>
              <w:t>3</w:t>
            </w:r>
            <w:r w:rsidR="00880193">
              <w:rPr>
                <w:noProof/>
                <w:webHidden/>
              </w:rPr>
              <w:fldChar w:fldCharType="end"/>
            </w:r>
          </w:hyperlink>
        </w:p>
        <w:p w14:paraId="04F0A26B" w14:textId="3D1EA24C" w:rsidR="00880193" w:rsidRDefault="00880193">
          <w:pPr>
            <w:pStyle w:val="TOC1"/>
            <w:tabs>
              <w:tab w:val="right" w:leader="dot" w:pos="9019"/>
            </w:tabs>
            <w:rPr>
              <w:rFonts w:asciiTheme="minorHAnsi" w:eastAsiaTheme="minorEastAsia" w:hAnsiTheme="minorHAnsi" w:cstheme="minorBidi"/>
              <w:noProof/>
              <w:color w:val="auto"/>
              <w:sz w:val="22"/>
              <w:lang w:val="en-IN"/>
            </w:rPr>
          </w:pPr>
          <w:hyperlink w:anchor="_Toc216960948" w:history="1">
            <w:r w:rsidRPr="00ED08D9">
              <w:rPr>
                <w:rStyle w:val="Hyperlink"/>
                <w:noProof/>
              </w:rPr>
              <w:t>1. Financial Health Check</w:t>
            </w:r>
            <w:r>
              <w:rPr>
                <w:noProof/>
                <w:webHidden/>
              </w:rPr>
              <w:tab/>
            </w:r>
            <w:r>
              <w:rPr>
                <w:noProof/>
                <w:webHidden/>
              </w:rPr>
              <w:fldChar w:fldCharType="begin"/>
            </w:r>
            <w:r>
              <w:rPr>
                <w:noProof/>
                <w:webHidden/>
              </w:rPr>
              <w:instrText xml:space="preserve"> PAGEREF _Toc216960948 \h </w:instrText>
            </w:r>
            <w:r>
              <w:rPr>
                <w:noProof/>
                <w:webHidden/>
              </w:rPr>
            </w:r>
            <w:r>
              <w:rPr>
                <w:noProof/>
                <w:webHidden/>
              </w:rPr>
              <w:fldChar w:fldCharType="separate"/>
            </w:r>
            <w:r>
              <w:rPr>
                <w:noProof/>
                <w:webHidden/>
              </w:rPr>
              <w:t>3</w:t>
            </w:r>
            <w:r>
              <w:rPr>
                <w:noProof/>
                <w:webHidden/>
              </w:rPr>
              <w:fldChar w:fldCharType="end"/>
            </w:r>
          </w:hyperlink>
        </w:p>
        <w:p w14:paraId="1E93A3E9" w14:textId="49F544F8" w:rsidR="00880193" w:rsidRDefault="00880193">
          <w:pPr>
            <w:pStyle w:val="TOC2"/>
            <w:tabs>
              <w:tab w:val="right" w:leader="dot" w:pos="9019"/>
            </w:tabs>
            <w:rPr>
              <w:rFonts w:asciiTheme="minorHAnsi" w:eastAsiaTheme="minorEastAsia" w:hAnsiTheme="minorHAnsi" w:cstheme="minorBidi"/>
              <w:noProof/>
              <w:color w:val="auto"/>
              <w:sz w:val="22"/>
              <w:lang w:val="en-IN"/>
            </w:rPr>
          </w:pPr>
          <w:hyperlink w:anchor="_Toc216960949" w:history="1">
            <w:r w:rsidRPr="00ED08D9">
              <w:rPr>
                <w:rStyle w:val="Hyperlink"/>
                <w:noProof/>
              </w:rPr>
              <w:t>1.1 Analysis of General electronics’ Financial Statement (2020-2024)</w:t>
            </w:r>
            <w:r>
              <w:rPr>
                <w:noProof/>
                <w:webHidden/>
              </w:rPr>
              <w:tab/>
            </w:r>
            <w:r>
              <w:rPr>
                <w:noProof/>
                <w:webHidden/>
              </w:rPr>
              <w:fldChar w:fldCharType="begin"/>
            </w:r>
            <w:r>
              <w:rPr>
                <w:noProof/>
                <w:webHidden/>
              </w:rPr>
              <w:instrText xml:space="preserve"> PAGEREF _Toc216960949 \h </w:instrText>
            </w:r>
            <w:r>
              <w:rPr>
                <w:noProof/>
                <w:webHidden/>
              </w:rPr>
            </w:r>
            <w:r>
              <w:rPr>
                <w:noProof/>
                <w:webHidden/>
              </w:rPr>
              <w:fldChar w:fldCharType="separate"/>
            </w:r>
            <w:r>
              <w:rPr>
                <w:noProof/>
                <w:webHidden/>
              </w:rPr>
              <w:t>3</w:t>
            </w:r>
            <w:r>
              <w:rPr>
                <w:noProof/>
                <w:webHidden/>
              </w:rPr>
              <w:fldChar w:fldCharType="end"/>
            </w:r>
          </w:hyperlink>
        </w:p>
        <w:p w14:paraId="2103EE99" w14:textId="185E4EC7" w:rsidR="00880193" w:rsidRDefault="00880193">
          <w:pPr>
            <w:pStyle w:val="TOC2"/>
            <w:tabs>
              <w:tab w:val="right" w:leader="dot" w:pos="9019"/>
            </w:tabs>
            <w:rPr>
              <w:rFonts w:asciiTheme="minorHAnsi" w:eastAsiaTheme="minorEastAsia" w:hAnsiTheme="minorHAnsi" w:cstheme="minorBidi"/>
              <w:noProof/>
              <w:color w:val="auto"/>
              <w:sz w:val="22"/>
              <w:lang w:val="en-IN"/>
            </w:rPr>
          </w:pPr>
          <w:hyperlink w:anchor="_Toc216960950" w:history="1">
            <w:r w:rsidRPr="00ED08D9">
              <w:rPr>
                <w:rStyle w:val="Hyperlink"/>
                <w:noProof/>
              </w:rPr>
              <w:t>1.2 Ratio Assessment</w:t>
            </w:r>
            <w:r>
              <w:rPr>
                <w:noProof/>
                <w:webHidden/>
              </w:rPr>
              <w:tab/>
            </w:r>
            <w:r>
              <w:rPr>
                <w:noProof/>
                <w:webHidden/>
              </w:rPr>
              <w:fldChar w:fldCharType="begin"/>
            </w:r>
            <w:r>
              <w:rPr>
                <w:noProof/>
                <w:webHidden/>
              </w:rPr>
              <w:instrText xml:space="preserve"> PAGEREF _Toc216960950 \h </w:instrText>
            </w:r>
            <w:r>
              <w:rPr>
                <w:noProof/>
                <w:webHidden/>
              </w:rPr>
            </w:r>
            <w:r>
              <w:rPr>
                <w:noProof/>
                <w:webHidden/>
              </w:rPr>
              <w:fldChar w:fldCharType="separate"/>
            </w:r>
            <w:r>
              <w:rPr>
                <w:noProof/>
                <w:webHidden/>
              </w:rPr>
              <w:t>5</w:t>
            </w:r>
            <w:r>
              <w:rPr>
                <w:noProof/>
                <w:webHidden/>
              </w:rPr>
              <w:fldChar w:fldCharType="end"/>
            </w:r>
          </w:hyperlink>
        </w:p>
        <w:p w14:paraId="2EE52BF7" w14:textId="7CBE1F77" w:rsidR="00880193" w:rsidRDefault="00880193">
          <w:pPr>
            <w:pStyle w:val="TOC2"/>
            <w:tabs>
              <w:tab w:val="right" w:leader="dot" w:pos="9019"/>
            </w:tabs>
            <w:rPr>
              <w:rFonts w:asciiTheme="minorHAnsi" w:eastAsiaTheme="minorEastAsia" w:hAnsiTheme="minorHAnsi" w:cstheme="minorBidi"/>
              <w:noProof/>
              <w:color w:val="auto"/>
              <w:sz w:val="22"/>
              <w:lang w:val="en-IN"/>
            </w:rPr>
          </w:pPr>
          <w:hyperlink w:anchor="_Toc216960951" w:history="1">
            <w:r w:rsidRPr="00ED08D9">
              <w:rPr>
                <w:rStyle w:val="Hyperlink"/>
                <w:noProof/>
              </w:rPr>
              <w:t>1.3 Identification of Trends, Strengths, and Threats</w:t>
            </w:r>
            <w:r>
              <w:rPr>
                <w:noProof/>
                <w:webHidden/>
              </w:rPr>
              <w:tab/>
            </w:r>
            <w:r>
              <w:rPr>
                <w:noProof/>
                <w:webHidden/>
              </w:rPr>
              <w:fldChar w:fldCharType="begin"/>
            </w:r>
            <w:r>
              <w:rPr>
                <w:noProof/>
                <w:webHidden/>
              </w:rPr>
              <w:instrText xml:space="preserve"> PAGEREF _Toc216960951 \h </w:instrText>
            </w:r>
            <w:r>
              <w:rPr>
                <w:noProof/>
                <w:webHidden/>
              </w:rPr>
            </w:r>
            <w:r>
              <w:rPr>
                <w:noProof/>
                <w:webHidden/>
              </w:rPr>
              <w:fldChar w:fldCharType="separate"/>
            </w:r>
            <w:r>
              <w:rPr>
                <w:noProof/>
                <w:webHidden/>
              </w:rPr>
              <w:t>7</w:t>
            </w:r>
            <w:r>
              <w:rPr>
                <w:noProof/>
                <w:webHidden/>
              </w:rPr>
              <w:fldChar w:fldCharType="end"/>
            </w:r>
          </w:hyperlink>
        </w:p>
        <w:p w14:paraId="28D4680A" w14:textId="18D1F8F6" w:rsidR="00880193" w:rsidRDefault="00880193">
          <w:pPr>
            <w:pStyle w:val="TOC2"/>
            <w:tabs>
              <w:tab w:val="right" w:leader="dot" w:pos="9019"/>
            </w:tabs>
            <w:rPr>
              <w:rFonts w:asciiTheme="minorHAnsi" w:eastAsiaTheme="minorEastAsia" w:hAnsiTheme="minorHAnsi" w:cstheme="minorBidi"/>
              <w:noProof/>
              <w:color w:val="auto"/>
              <w:sz w:val="22"/>
              <w:lang w:val="en-IN"/>
            </w:rPr>
          </w:pPr>
          <w:hyperlink w:anchor="_Toc216960952" w:history="1">
            <w:r w:rsidRPr="00ED08D9">
              <w:rPr>
                <w:rStyle w:val="Hyperlink"/>
                <w:noProof/>
                <w:lang w:val="en-IN"/>
              </w:rPr>
              <w:t>1.4 Application of Altman Z-score for assessing default risk</w:t>
            </w:r>
            <w:r>
              <w:rPr>
                <w:noProof/>
                <w:webHidden/>
              </w:rPr>
              <w:tab/>
            </w:r>
            <w:r>
              <w:rPr>
                <w:noProof/>
                <w:webHidden/>
              </w:rPr>
              <w:fldChar w:fldCharType="begin"/>
            </w:r>
            <w:r>
              <w:rPr>
                <w:noProof/>
                <w:webHidden/>
              </w:rPr>
              <w:instrText xml:space="preserve"> PAGEREF _Toc216960952 \h </w:instrText>
            </w:r>
            <w:r>
              <w:rPr>
                <w:noProof/>
                <w:webHidden/>
              </w:rPr>
            </w:r>
            <w:r>
              <w:rPr>
                <w:noProof/>
                <w:webHidden/>
              </w:rPr>
              <w:fldChar w:fldCharType="separate"/>
            </w:r>
            <w:r>
              <w:rPr>
                <w:noProof/>
                <w:webHidden/>
              </w:rPr>
              <w:t>8</w:t>
            </w:r>
            <w:r>
              <w:rPr>
                <w:noProof/>
                <w:webHidden/>
              </w:rPr>
              <w:fldChar w:fldCharType="end"/>
            </w:r>
          </w:hyperlink>
        </w:p>
        <w:p w14:paraId="77A82225" w14:textId="55D6BDC7" w:rsidR="00880193" w:rsidRDefault="00880193">
          <w:pPr>
            <w:pStyle w:val="TOC1"/>
            <w:tabs>
              <w:tab w:val="right" w:leader="dot" w:pos="9019"/>
            </w:tabs>
            <w:rPr>
              <w:rFonts w:asciiTheme="minorHAnsi" w:eastAsiaTheme="minorEastAsia" w:hAnsiTheme="minorHAnsi" w:cstheme="minorBidi"/>
              <w:noProof/>
              <w:color w:val="auto"/>
              <w:sz w:val="22"/>
              <w:lang w:val="en-IN"/>
            </w:rPr>
          </w:pPr>
          <w:hyperlink w:anchor="_Toc216960953" w:history="1">
            <w:r w:rsidRPr="00ED08D9">
              <w:rPr>
                <w:rStyle w:val="Hyperlink"/>
                <w:noProof/>
              </w:rPr>
              <w:t>3. Working Capital Management Analysis</w:t>
            </w:r>
            <w:r>
              <w:rPr>
                <w:noProof/>
                <w:webHidden/>
              </w:rPr>
              <w:tab/>
            </w:r>
            <w:r>
              <w:rPr>
                <w:noProof/>
                <w:webHidden/>
              </w:rPr>
              <w:fldChar w:fldCharType="begin"/>
            </w:r>
            <w:r>
              <w:rPr>
                <w:noProof/>
                <w:webHidden/>
              </w:rPr>
              <w:instrText xml:space="preserve"> PAGEREF _Toc216960953 \h </w:instrText>
            </w:r>
            <w:r>
              <w:rPr>
                <w:noProof/>
                <w:webHidden/>
              </w:rPr>
            </w:r>
            <w:r>
              <w:rPr>
                <w:noProof/>
                <w:webHidden/>
              </w:rPr>
              <w:fldChar w:fldCharType="separate"/>
            </w:r>
            <w:r>
              <w:rPr>
                <w:noProof/>
                <w:webHidden/>
              </w:rPr>
              <w:t>9</w:t>
            </w:r>
            <w:r>
              <w:rPr>
                <w:noProof/>
                <w:webHidden/>
              </w:rPr>
              <w:fldChar w:fldCharType="end"/>
            </w:r>
          </w:hyperlink>
        </w:p>
        <w:p w14:paraId="0832CF78" w14:textId="5AD89F2B" w:rsidR="00880193" w:rsidRDefault="00880193">
          <w:pPr>
            <w:pStyle w:val="TOC2"/>
            <w:tabs>
              <w:tab w:val="right" w:leader="dot" w:pos="9019"/>
            </w:tabs>
            <w:rPr>
              <w:rFonts w:asciiTheme="minorHAnsi" w:eastAsiaTheme="minorEastAsia" w:hAnsiTheme="minorHAnsi" w:cstheme="minorBidi"/>
              <w:noProof/>
              <w:color w:val="auto"/>
              <w:sz w:val="22"/>
              <w:lang w:val="en-IN"/>
            </w:rPr>
          </w:pPr>
          <w:hyperlink w:anchor="_Toc216960954" w:history="1">
            <w:r w:rsidRPr="00ED08D9">
              <w:rPr>
                <w:rStyle w:val="Hyperlink"/>
                <w:noProof/>
              </w:rPr>
              <w:t>3.1 Cash Operating Cycle</w:t>
            </w:r>
            <w:r>
              <w:rPr>
                <w:noProof/>
                <w:webHidden/>
              </w:rPr>
              <w:tab/>
            </w:r>
            <w:r>
              <w:rPr>
                <w:noProof/>
                <w:webHidden/>
              </w:rPr>
              <w:fldChar w:fldCharType="begin"/>
            </w:r>
            <w:r>
              <w:rPr>
                <w:noProof/>
                <w:webHidden/>
              </w:rPr>
              <w:instrText xml:space="preserve"> PAGEREF _Toc216960954 \h </w:instrText>
            </w:r>
            <w:r>
              <w:rPr>
                <w:noProof/>
                <w:webHidden/>
              </w:rPr>
            </w:r>
            <w:r>
              <w:rPr>
                <w:noProof/>
                <w:webHidden/>
              </w:rPr>
              <w:fldChar w:fldCharType="separate"/>
            </w:r>
            <w:r>
              <w:rPr>
                <w:noProof/>
                <w:webHidden/>
              </w:rPr>
              <w:t>9</w:t>
            </w:r>
            <w:r>
              <w:rPr>
                <w:noProof/>
                <w:webHidden/>
              </w:rPr>
              <w:fldChar w:fldCharType="end"/>
            </w:r>
          </w:hyperlink>
        </w:p>
        <w:p w14:paraId="204DE2F9" w14:textId="41472417" w:rsidR="00880193" w:rsidRDefault="00880193">
          <w:pPr>
            <w:pStyle w:val="TOC2"/>
            <w:tabs>
              <w:tab w:val="right" w:leader="dot" w:pos="9019"/>
            </w:tabs>
            <w:rPr>
              <w:rFonts w:asciiTheme="minorHAnsi" w:eastAsiaTheme="minorEastAsia" w:hAnsiTheme="minorHAnsi" w:cstheme="minorBidi"/>
              <w:noProof/>
              <w:color w:val="auto"/>
              <w:sz w:val="22"/>
              <w:lang w:val="en-IN"/>
            </w:rPr>
          </w:pPr>
          <w:hyperlink w:anchor="_Toc216960955" w:history="1">
            <w:r w:rsidRPr="00ED08D9">
              <w:rPr>
                <w:rStyle w:val="Hyperlink"/>
                <w:noProof/>
              </w:rPr>
              <w:t>3.2 Recommend Strategies to Improve Liquidity</w:t>
            </w:r>
            <w:r>
              <w:rPr>
                <w:noProof/>
                <w:webHidden/>
              </w:rPr>
              <w:tab/>
            </w:r>
            <w:r>
              <w:rPr>
                <w:noProof/>
                <w:webHidden/>
              </w:rPr>
              <w:fldChar w:fldCharType="begin"/>
            </w:r>
            <w:r>
              <w:rPr>
                <w:noProof/>
                <w:webHidden/>
              </w:rPr>
              <w:instrText xml:space="preserve"> PAGEREF _Toc216960955 \h </w:instrText>
            </w:r>
            <w:r>
              <w:rPr>
                <w:noProof/>
                <w:webHidden/>
              </w:rPr>
            </w:r>
            <w:r>
              <w:rPr>
                <w:noProof/>
                <w:webHidden/>
              </w:rPr>
              <w:fldChar w:fldCharType="separate"/>
            </w:r>
            <w:r>
              <w:rPr>
                <w:noProof/>
                <w:webHidden/>
              </w:rPr>
              <w:t>10</w:t>
            </w:r>
            <w:r>
              <w:rPr>
                <w:noProof/>
                <w:webHidden/>
              </w:rPr>
              <w:fldChar w:fldCharType="end"/>
            </w:r>
          </w:hyperlink>
        </w:p>
        <w:p w14:paraId="67091CA8" w14:textId="1C54D922" w:rsidR="00880193" w:rsidRDefault="00880193">
          <w:pPr>
            <w:pStyle w:val="TOC2"/>
            <w:tabs>
              <w:tab w:val="right" w:leader="dot" w:pos="9019"/>
            </w:tabs>
            <w:rPr>
              <w:rFonts w:asciiTheme="minorHAnsi" w:eastAsiaTheme="minorEastAsia" w:hAnsiTheme="minorHAnsi" w:cstheme="minorBidi"/>
              <w:noProof/>
              <w:color w:val="auto"/>
              <w:sz w:val="22"/>
              <w:lang w:val="en-IN"/>
            </w:rPr>
          </w:pPr>
          <w:hyperlink w:anchor="_Toc216960956" w:history="1">
            <w:r w:rsidRPr="00ED08D9">
              <w:rPr>
                <w:rStyle w:val="Hyperlink"/>
                <w:noProof/>
              </w:rPr>
              <w:t>3.3 Comparison of Short-Term vs Long-Term Financing</w:t>
            </w:r>
            <w:r>
              <w:rPr>
                <w:noProof/>
                <w:webHidden/>
              </w:rPr>
              <w:tab/>
            </w:r>
            <w:r>
              <w:rPr>
                <w:noProof/>
                <w:webHidden/>
              </w:rPr>
              <w:fldChar w:fldCharType="begin"/>
            </w:r>
            <w:r>
              <w:rPr>
                <w:noProof/>
                <w:webHidden/>
              </w:rPr>
              <w:instrText xml:space="preserve"> PAGEREF _Toc216960956 \h </w:instrText>
            </w:r>
            <w:r>
              <w:rPr>
                <w:noProof/>
                <w:webHidden/>
              </w:rPr>
            </w:r>
            <w:r>
              <w:rPr>
                <w:noProof/>
                <w:webHidden/>
              </w:rPr>
              <w:fldChar w:fldCharType="separate"/>
            </w:r>
            <w:r>
              <w:rPr>
                <w:noProof/>
                <w:webHidden/>
              </w:rPr>
              <w:t>12</w:t>
            </w:r>
            <w:r>
              <w:rPr>
                <w:noProof/>
                <w:webHidden/>
              </w:rPr>
              <w:fldChar w:fldCharType="end"/>
            </w:r>
          </w:hyperlink>
        </w:p>
        <w:p w14:paraId="639D4DB1" w14:textId="4BFE3E43" w:rsidR="00880193" w:rsidRDefault="00880193">
          <w:pPr>
            <w:pStyle w:val="TOC1"/>
            <w:tabs>
              <w:tab w:val="right" w:leader="dot" w:pos="9019"/>
            </w:tabs>
            <w:rPr>
              <w:rFonts w:asciiTheme="minorHAnsi" w:eastAsiaTheme="minorEastAsia" w:hAnsiTheme="minorHAnsi" w:cstheme="minorBidi"/>
              <w:noProof/>
              <w:color w:val="auto"/>
              <w:sz w:val="22"/>
              <w:lang w:val="en-IN"/>
            </w:rPr>
          </w:pPr>
          <w:hyperlink w:anchor="_Toc216960957" w:history="1">
            <w:r w:rsidRPr="00ED08D9">
              <w:rPr>
                <w:rStyle w:val="Hyperlink"/>
                <w:noProof/>
              </w:rPr>
              <w:t>4. Strategic Financial Restructuring Plan</w:t>
            </w:r>
            <w:r>
              <w:rPr>
                <w:noProof/>
                <w:webHidden/>
              </w:rPr>
              <w:tab/>
            </w:r>
            <w:r>
              <w:rPr>
                <w:noProof/>
                <w:webHidden/>
              </w:rPr>
              <w:fldChar w:fldCharType="begin"/>
            </w:r>
            <w:r>
              <w:rPr>
                <w:noProof/>
                <w:webHidden/>
              </w:rPr>
              <w:instrText xml:space="preserve"> PAGEREF _Toc216960957 \h </w:instrText>
            </w:r>
            <w:r>
              <w:rPr>
                <w:noProof/>
                <w:webHidden/>
              </w:rPr>
            </w:r>
            <w:r>
              <w:rPr>
                <w:noProof/>
                <w:webHidden/>
              </w:rPr>
              <w:fldChar w:fldCharType="separate"/>
            </w:r>
            <w:r>
              <w:rPr>
                <w:noProof/>
                <w:webHidden/>
              </w:rPr>
              <w:t>13</w:t>
            </w:r>
            <w:r>
              <w:rPr>
                <w:noProof/>
                <w:webHidden/>
              </w:rPr>
              <w:fldChar w:fldCharType="end"/>
            </w:r>
          </w:hyperlink>
        </w:p>
        <w:p w14:paraId="24BA7863" w14:textId="696ED9CC" w:rsidR="00880193" w:rsidRDefault="00880193">
          <w:pPr>
            <w:pStyle w:val="TOC2"/>
            <w:tabs>
              <w:tab w:val="right" w:leader="dot" w:pos="9019"/>
            </w:tabs>
            <w:rPr>
              <w:rFonts w:asciiTheme="minorHAnsi" w:eastAsiaTheme="minorEastAsia" w:hAnsiTheme="minorHAnsi" w:cstheme="minorBidi"/>
              <w:noProof/>
              <w:color w:val="auto"/>
              <w:sz w:val="22"/>
              <w:lang w:val="en-IN"/>
            </w:rPr>
          </w:pPr>
          <w:hyperlink w:anchor="_Toc216960958" w:history="1">
            <w:r w:rsidRPr="00ED08D9">
              <w:rPr>
                <w:rStyle w:val="Hyperlink"/>
                <w:noProof/>
              </w:rPr>
              <w:t>4.1 Financial Restructuring Options</w:t>
            </w:r>
            <w:r>
              <w:rPr>
                <w:noProof/>
                <w:webHidden/>
              </w:rPr>
              <w:tab/>
            </w:r>
            <w:r>
              <w:rPr>
                <w:noProof/>
                <w:webHidden/>
              </w:rPr>
              <w:fldChar w:fldCharType="begin"/>
            </w:r>
            <w:r>
              <w:rPr>
                <w:noProof/>
                <w:webHidden/>
              </w:rPr>
              <w:instrText xml:space="preserve"> PAGEREF _Toc216960958 \h </w:instrText>
            </w:r>
            <w:r>
              <w:rPr>
                <w:noProof/>
                <w:webHidden/>
              </w:rPr>
            </w:r>
            <w:r>
              <w:rPr>
                <w:noProof/>
                <w:webHidden/>
              </w:rPr>
              <w:fldChar w:fldCharType="separate"/>
            </w:r>
            <w:r>
              <w:rPr>
                <w:noProof/>
                <w:webHidden/>
              </w:rPr>
              <w:t>13</w:t>
            </w:r>
            <w:r>
              <w:rPr>
                <w:noProof/>
                <w:webHidden/>
              </w:rPr>
              <w:fldChar w:fldCharType="end"/>
            </w:r>
          </w:hyperlink>
        </w:p>
        <w:p w14:paraId="20A935D3" w14:textId="1495270B" w:rsidR="00880193" w:rsidRDefault="00880193">
          <w:pPr>
            <w:pStyle w:val="TOC2"/>
            <w:tabs>
              <w:tab w:val="right" w:leader="dot" w:pos="9019"/>
            </w:tabs>
            <w:rPr>
              <w:rFonts w:asciiTheme="minorHAnsi" w:eastAsiaTheme="minorEastAsia" w:hAnsiTheme="minorHAnsi" w:cstheme="minorBidi"/>
              <w:noProof/>
              <w:color w:val="auto"/>
              <w:sz w:val="22"/>
              <w:lang w:val="en-IN"/>
            </w:rPr>
          </w:pPr>
          <w:hyperlink w:anchor="_Toc216960959" w:history="1">
            <w:r w:rsidRPr="00ED08D9">
              <w:rPr>
                <w:rStyle w:val="Hyperlink"/>
                <w:noProof/>
              </w:rPr>
              <w:t>4.2 Impact on Shareholder Value, Operational Flexibility and Debt Structure</w:t>
            </w:r>
            <w:r>
              <w:rPr>
                <w:noProof/>
                <w:webHidden/>
              </w:rPr>
              <w:tab/>
            </w:r>
            <w:r>
              <w:rPr>
                <w:noProof/>
                <w:webHidden/>
              </w:rPr>
              <w:fldChar w:fldCharType="begin"/>
            </w:r>
            <w:r>
              <w:rPr>
                <w:noProof/>
                <w:webHidden/>
              </w:rPr>
              <w:instrText xml:space="preserve"> PAGEREF _Toc216960959 \h </w:instrText>
            </w:r>
            <w:r>
              <w:rPr>
                <w:noProof/>
                <w:webHidden/>
              </w:rPr>
            </w:r>
            <w:r>
              <w:rPr>
                <w:noProof/>
                <w:webHidden/>
              </w:rPr>
              <w:fldChar w:fldCharType="separate"/>
            </w:r>
            <w:r>
              <w:rPr>
                <w:noProof/>
                <w:webHidden/>
              </w:rPr>
              <w:t>14</w:t>
            </w:r>
            <w:r>
              <w:rPr>
                <w:noProof/>
                <w:webHidden/>
              </w:rPr>
              <w:fldChar w:fldCharType="end"/>
            </w:r>
          </w:hyperlink>
        </w:p>
        <w:p w14:paraId="16829A8D" w14:textId="1B3EA2A5" w:rsidR="00880193" w:rsidRDefault="00880193">
          <w:pPr>
            <w:pStyle w:val="TOC2"/>
            <w:tabs>
              <w:tab w:val="right" w:leader="dot" w:pos="9019"/>
            </w:tabs>
            <w:rPr>
              <w:rFonts w:asciiTheme="minorHAnsi" w:eastAsiaTheme="minorEastAsia" w:hAnsiTheme="minorHAnsi" w:cstheme="minorBidi"/>
              <w:noProof/>
              <w:color w:val="auto"/>
              <w:sz w:val="22"/>
              <w:lang w:val="en-IN"/>
            </w:rPr>
          </w:pPr>
          <w:hyperlink w:anchor="_Toc216960960" w:history="1">
            <w:r w:rsidRPr="00ED08D9">
              <w:rPr>
                <w:rStyle w:val="Hyperlink"/>
                <w:noProof/>
              </w:rPr>
              <w:t>4.3 International and Ethical Considerations</w:t>
            </w:r>
            <w:r>
              <w:rPr>
                <w:noProof/>
                <w:webHidden/>
              </w:rPr>
              <w:tab/>
            </w:r>
            <w:r>
              <w:rPr>
                <w:noProof/>
                <w:webHidden/>
              </w:rPr>
              <w:fldChar w:fldCharType="begin"/>
            </w:r>
            <w:r>
              <w:rPr>
                <w:noProof/>
                <w:webHidden/>
              </w:rPr>
              <w:instrText xml:space="preserve"> PAGEREF _Toc216960960 \h </w:instrText>
            </w:r>
            <w:r>
              <w:rPr>
                <w:noProof/>
                <w:webHidden/>
              </w:rPr>
            </w:r>
            <w:r>
              <w:rPr>
                <w:noProof/>
                <w:webHidden/>
              </w:rPr>
              <w:fldChar w:fldCharType="separate"/>
            </w:r>
            <w:r>
              <w:rPr>
                <w:noProof/>
                <w:webHidden/>
              </w:rPr>
              <w:t>15</w:t>
            </w:r>
            <w:r>
              <w:rPr>
                <w:noProof/>
                <w:webHidden/>
              </w:rPr>
              <w:fldChar w:fldCharType="end"/>
            </w:r>
          </w:hyperlink>
        </w:p>
        <w:p w14:paraId="2B6FBDDC" w14:textId="3C434518" w:rsidR="00880193" w:rsidRDefault="00880193">
          <w:pPr>
            <w:pStyle w:val="TOC1"/>
            <w:tabs>
              <w:tab w:val="right" w:leader="dot" w:pos="9019"/>
            </w:tabs>
            <w:rPr>
              <w:rFonts w:asciiTheme="minorHAnsi" w:eastAsiaTheme="minorEastAsia" w:hAnsiTheme="minorHAnsi" w:cstheme="minorBidi"/>
              <w:noProof/>
              <w:color w:val="auto"/>
              <w:sz w:val="22"/>
              <w:lang w:val="en-IN"/>
            </w:rPr>
          </w:pPr>
          <w:hyperlink w:anchor="_Toc216960961" w:history="1">
            <w:r w:rsidRPr="00ED08D9">
              <w:rPr>
                <w:rStyle w:val="Hyperlink"/>
                <w:noProof/>
              </w:rPr>
              <w:t>5. Investment Appraisal and Capital Budgeting</w:t>
            </w:r>
            <w:r>
              <w:rPr>
                <w:noProof/>
                <w:webHidden/>
              </w:rPr>
              <w:tab/>
            </w:r>
            <w:r>
              <w:rPr>
                <w:noProof/>
                <w:webHidden/>
              </w:rPr>
              <w:fldChar w:fldCharType="begin"/>
            </w:r>
            <w:r>
              <w:rPr>
                <w:noProof/>
                <w:webHidden/>
              </w:rPr>
              <w:instrText xml:space="preserve"> PAGEREF _Toc216960961 \h </w:instrText>
            </w:r>
            <w:r>
              <w:rPr>
                <w:noProof/>
                <w:webHidden/>
              </w:rPr>
            </w:r>
            <w:r>
              <w:rPr>
                <w:noProof/>
                <w:webHidden/>
              </w:rPr>
              <w:fldChar w:fldCharType="separate"/>
            </w:r>
            <w:r>
              <w:rPr>
                <w:noProof/>
                <w:webHidden/>
              </w:rPr>
              <w:t>16</w:t>
            </w:r>
            <w:r>
              <w:rPr>
                <w:noProof/>
                <w:webHidden/>
              </w:rPr>
              <w:fldChar w:fldCharType="end"/>
            </w:r>
          </w:hyperlink>
        </w:p>
        <w:p w14:paraId="78D361F5" w14:textId="6751F1E0" w:rsidR="00880193" w:rsidRDefault="00880193">
          <w:pPr>
            <w:pStyle w:val="TOC2"/>
            <w:tabs>
              <w:tab w:val="right" w:leader="dot" w:pos="9019"/>
            </w:tabs>
            <w:rPr>
              <w:rFonts w:asciiTheme="minorHAnsi" w:eastAsiaTheme="minorEastAsia" w:hAnsiTheme="minorHAnsi" w:cstheme="minorBidi"/>
              <w:noProof/>
              <w:color w:val="auto"/>
              <w:sz w:val="22"/>
              <w:lang w:val="en-IN"/>
            </w:rPr>
          </w:pPr>
          <w:hyperlink w:anchor="_Toc216960962" w:history="1">
            <w:r w:rsidRPr="00ED08D9">
              <w:rPr>
                <w:rStyle w:val="Hyperlink"/>
                <w:noProof/>
              </w:rPr>
              <w:t>5.1 Investment Appraisal</w:t>
            </w:r>
            <w:r>
              <w:rPr>
                <w:noProof/>
                <w:webHidden/>
              </w:rPr>
              <w:tab/>
            </w:r>
            <w:r>
              <w:rPr>
                <w:noProof/>
                <w:webHidden/>
              </w:rPr>
              <w:fldChar w:fldCharType="begin"/>
            </w:r>
            <w:r>
              <w:rPr>
                <w:noProof/>
                <w:webHidden/>
              </w:rPr>
              <w:instrText xml:space="preserve"> PAGEREF _Toc216960962 \h </w:instrText>
            </w:r>
            <w:r>
              <w:rPr>
                <w:noProof/>
                <w:webHidden/>
              </w:rPr>
            </w:r>
            <w:r>
              <w:rPr>
                <w:noProof/>
                <w:webHidden/>
              </w:rPr>
              <w:fldChar w:fldCharType="separate"/>
            </w:r>
            <w:r>
              <w:rPr>
                <w:noProof/>
                <w:webHidden/>
              </w:rPr>
              <w:t>16</w:t>
            </w:r>
            <w:r>
              <w:rPr>
                <w:noProof/>
                <w:webHidden/>
              </w:rPr>
              <w:fldChar w:fldCharType="end"/>
            </w:r>
          </w:hyperlink>
        </w:p>
        <w:p w14:paraId="6061E751" w14:textId="3E58F1B0" w:rsidR="00880193" w:rsidRDefault="00880193">
          <w:pPr>
            <w:pStyle w:val="TOC2"/>
            <w:tabs>
              <w:tab w:val="right" w:leader="dot" w:pos="9019"/>
            </w:tabs>
            <w:rPr>
              <w:rFonts w:asciiTheme="minorHAnsi" w:eastAsiaTheme="minorEastAsia" w:hAnsiTheme="minorHAnsi" w:cstheme="minorBidi"/>
              <w:noProof/>
              <w:color w:val="auto"/>
              <w:sz w:val="22"/>
              <w:lang w:val="en-IN"/>
            </w:rPr>
          </w:pPr>
          <w:hyperlink w:anchor="_Toc216960963" w:history="1">
            <w:r w:rsidRPr="00ED08D9">
              <w:rPr>
                <w:rStyle w:val="Hyperlink"/>
                <w:noProof/>
              </w:rPr>
              <w:t>5.2 Final Investment Recommendation</w:t>
            </w:r>
            <w:r>
              <w:rPr>
                <w:noProof/>
                <w:webHidden/>
              </w:rPr>
              <w:tab/>
            </w:r>
            <w:r>
              <w:rPr>
                <w:noProof/>
                <w:webHidden/>
              </w:rPr>
              <w:fldChar w:fldCharType="begin"/>
            </w:r>
            <w:r>
              <w:rPr>
                <w:noProof/>
                <w:webHidden/>
              </w:rPr>
              <w:instrText xml:space="preserve"> PAGEREF _Toc216960963 \h </w:instrText>
            </w:r>
            <w:r>
              <w:rPr>
                <w:noProof/>
                <w:webHidden/>
              </w:rPr>
            </w:r>
            <w:r>
              <w:rPr>
                <w:noProof/>
                <w:webHidden/>
              </w:rPr>
              <w:fldChar w:fldCharType="separate"/>
            </w:r>
            <w:r>
              <w:rPr>
                <w:noProof/>
                <w:webHidden/>
              </w:rPr>
              <w:t>18</w:t>
            </w:r>
            <w:r>
              <w:rPr>
                <w:noProof/>
                <w:webHidden/>
              </w:rPr>
              <w:fldChar w:fldCharType="end"/>
            </w:r>
          </w:hyperlink>
        </w:p>
        <w:p w14:paraId="26F3FD3F" w14:textId="316A8F27" w:rsidR="00880193" w:rsidRDefault="00880193">
          <w:pPr>
            <w:pStyle w:val="TOC2"/>
            <w:tabs>
              <w:tab w:val="right" w:leader="dot" w:pos="9019"/>
            </w:tabs>
            <w:rPr>
              <w:rFonts w:asciiTheme="minorHAnsi" w:eastAsiaTheme="minorEastAsia" w:hAnsiTheme="minorHAnsi" w:cstheme="minorBidi"/>
              <w:noProof/>
              <w:color w:val="auto"/>
              <w:sz w:val="22"/>
              <w:lang w:val="en-IN"/>
            </w:rPr>
          </w:pPr>
          <w:hyperlink w:anchor="_Toc216960964" w:history="1">
            <w:r w:rsidRPr="00ED08D9">
              <w:rPr>
                <w:rStyle w:val="Hyperlink"/>
                <w:noProof/>
              </w:rPr>
              <w:t>5.3 Justification of the Company’s Financial Performance and Project Risk Characteristics</w:t>
            </w:r>
            <w:r>
              <w:rPr>
                <w:noProof/>
                <w:webHidden/>
              </w:rPr>
              <w:tab/>
            </w:r>
            <w:r>
              <w:rPr>
                <w:noProof/>
                <w:webHidden/>
              </w:rPr>
              <w:fldChar w:fldCharType="begin"/>
            </w:r>
            <w:r>
              <w:rPr>
                <w:noProof/>
                <w:webHidden/>
              </w:rPr>
              <w:instrText xml:space="preserve"> PAGEREF _Toc216960964 \h </w:instrText>
            </w:r>
            <w:r>
              <w:rPr>
                <w:noProof/>
                <w:webHidden/>
              </w:rPr>
            </w:r>
            <w:r>
              <w:rPr>
                <w:noProof/>
                <w:webHidden/>
              </w:rPr>
              <w:fldChar w:fldCharType="separate"/>
            </w:r>
            <w:r>
              <w:rPr>
                <w:noProof/>
                <w:webHidden/>
              </w:rPr>
              <w:t>19</w:t>
            </w:r>
            <w:r>
              <w:rPr>
                <w:noProof/>
                <w:webHidden/>
              </w:rPr>
              <w:fldChar w:fldCharType="end"/>
            </w:r>
          </w:hyperlink>
        </w:p>
        <w:p w14:paraId="79472629" w14:textId="3FE70EAC" w:rsidR="00880193" w:rsidRDefault="00880193">
          <w:pPr>
            <w:pStyle w:val="TOC1"/>
            <w:tabs>
              <w:tab w:val="right" w:leader="dot" w:pos="9019"/>
            </w:tabs>
            <w:rPr>
              <w:rFonts w:asciiTheme="minorHAnsi" w:eastAsiaTheme="minorEastAsia" w:hAnsiTheme="minorHAnsi" w:cstheme="minorBidi"/>
              <w:noProof/>
              <w:color w:val="auto"/>
              <w:sz w:val="22"/>
              <w:lang w:val="en-IN"/>
            </w:rPr>
          </w:pPr>
          <w:hyperlink w:anchor="_Toc216960965" w:history="1">
            <w:r w:rsidRPr="00ED08D9">
              <w:rPr>
                <w:rStyle w:val="Hyperlink"/>
                <w:noProof/>
              </w:rPr>
              <w:t>6. Conclusion</w:t>
            </w:r>
            <w:r>
              <w:rPr>
                <w:noProof/>
                <w:webHidden/>
              </w:rPr>
              <w:tab/>
            </w:r>
            <w:r>
              <w:rPr>
                <w:noProof/>
                <w:webHidden/>
              </w:rPr>
              <w:fldChar w:fldCharType="begin"/>
            </w:r>
            <w:r>
              <w:rPr>
                <w:noProof/>
                <w:webHidden/>
              </w:rPr>
              <w:instrText xml:space="preserve"> PAGEREF _Toc216960965 \h </w:instrText>
            </w:r>
            <w:r>
              <w:rPr>
                <w:noProof/>
                <w:webHidden/>
              </w:rPr>
            </w:r>
            <w:r>
              <w:rPr>
                <w:noProof/>
                <w:webHidden/>
              </w:rPr>
              <w:fldChar w:fldCharType="separate"/>
            </w:r>
            <w:r>
              <w:rPr>
                <w:noProof/>
                <w:webHidden/>
              </w:rPr>
              <w:t>20</w:t>
            </w:r>
            <w:r>
              <w:rPr>
                <w:noProof/>
                <w:webHidden/>
              </w:rPr>
              <w:fldChar w:fldCharType="end"/>
            </w:r>
          </w:hyperlink>
        </w:p>
        <w:p w14:paraId="398FEFA7" w14:textId="5A16CF42" w:rsidR="00880193" w:rsidRDefault="00880193">
          <w:pPr>
            <w:pStyle w:val="TOC1"/>
            <w:tabs>
              <w:tab w:val="right" w:leader="dot" w:pos="9019"/>
            </w:tabs>
            <w:rPr>
              <w:rFonts w:asciiTheme="minorHAnsi" w:eastAsiaTheme="minorEastAsia" w:hAnsiTheme="minorHAnsi" w:cstheme="minorBidi"/>
              <w:noProof/>
              <w:color w:val="auto"/>
              <w:sz w:val="22"/>
              <w:lang w:val="en-IN"/>
            </w:rPr>
          </w:pPr>
          <w:hyperlink w:anchor="_Toc216960966" w:history="1">
            <w:r w:rsidRPr="00ED08D9">
              <w:rPr>
                <w:rStyle w:val="Hyperlink"/>
                <w:noProof/>
              </w:rPr>
              <w:t>7. References</w:t>
            </w:r>
            <w:r>
              <w:rPr>
                <w:noProof/>
                <w:webHidden/>
              </w:rPr>
              <w:tab/>
            </w:r>
            <w:r>
              <w:rPr>
                <w:noProof/>
                <w:webHidden/>
              </w:rPr>
              <w:fldChar w:fldCharType="begin"/>
            </w:r>
            <w:r>
              <w:rPr>
                <w:noProof/>
                <w:webHidden/>
              </w:rPr>
              <w:instrText xml:space="preserve"> PAGEREF _Toc216960966 \h </w:instrText>
            </w:r>
            <w:r>
              <w:rPr>
                <w:noProof/>
                <w:webHidden/>
              </w:rPr>
            </w:r>
            <w:r>
              <w:rPr>
                <w:noProof/>
                <w:webHidden/>
              </w:rPr>
              <w:fldChar w:fldCharType="separate"/>
            </w:r>
            <w:r>
              <w:rPr>
                <w:noProof/>
                <w:webHidden/>
              </w:rPr>
              <w:t>21</w:t>
            </w:r>
            <w:r>
              <w:rPr>
                <w:noProof/>
                <w:webHidden/>
              </w:rPr>
              <w:fldChar w:fldCharType="end"/>
            </w:r>
          </w:hyperlink>
        </w:p>
        <w:p w14:paraId="61E99DC7" w14:textId="57C36249" w:rsidR="00880193" w:rsidRDefault="00880193">
          <w:pPr>
            <w:pStyle w:val="TOC1"/>
            <w:tabs>
              <w:tab w:val="right" w:leader="dot" w:pos="9019"/>
            </w:tabs>
            <w:rPr>
              <w:rFonts w:asciiTheme="minorHAnsi" w:eastAsiaTheme="minorEastAsia" w:hAnsiTheme="minorHAnsi" w:cstheme="minorBidi"/>
              <w:noProof/>
              <w:color w:val="auto"/>
              <w:sz w:val="22"/>
              <w:lang w:val="en-IN"/>
            </w:rPr>
          </w:pPr>
          <w:hyperlink w:anchor="_Toc216960967" w:history="1">
            <w:r w:rsidRPr="00ED08D9">
              <w:rPr>
                <w:rStyle w:val="Hyperlink"/>
                <w:noProof/>
              </w:rPr>
              <w:t>8. Appendices</w:t>
            </w:r>
            <w:r>
              <w:rPr>
                <w:noProof/>
                <w:webHidden/>
              </w:rPr>
              <w:tab/>
            </w:r>
            <w:r>
              <w:rPr>
                <w:noProof/>
                <w:webHidden/>
              </w:rPr>
              <w:fldChar w:fldCharType="begin"/>
            </w:r>
            <w:r>
              <w:rPr>
                <w:noProof/>
                <w:webHidden/>
              </w:rPr>
              <w:instrText xml:space="preserve"> PAGEREF _Toc216960967 \h </w:instrText>
            </w:r>
            <w:r>
              <w:rPr>
                <w:noProof/>
                <w:webHidden/>
              </w:rPr>
            </w:r>
            <w:r>
              <w:rPr>
                <w:noProof/>
                <w:webHidden/>
              </w:rPr>
              <w:fldChar w:fldCharType="separate"/>
            </w:r>
            <w:r>
              <w:rPr>
                <w:noProof/>
                <w:webHidden/>
              </w:rPr>
              <w:t>24</w:t>
            </w:r>
            <w:r>
              <w:rPr>
                <w:noProof/>
                <w:webHidden/>
              </w:rPr>
              <w:fldChar w:fldCharType="end"/>
            </w:r>
          </w:hyperlink>
        </w:p>
        <w:p w14:paraId="5A56B967" w14:textId="04CDAB80" w:rsidR="00880193" w:rsidRDefault="00880193">
          <w:pPr>
            <w:pStyle w:val="TOC2"/>
            <w:tabs>
              <w:tab w:val="right" w:leader="dot" w:pos="9019"/>
            </w:tabs>
            <w:rPr>
              <w:rFonts w:asciiTheme="minorHAnsi" w:eastAsiaTheme="minorEastAsia" w:hAnsiTheme="minorHAnsi" w:cstheme="minorBidi"/>
              <w:noProof/>
              <w:color w:val="auto"/>
              <w:sz w:val="22"/>
              <w:lang w:val="en-IN"/>
            </w:rPr>
          </w:pPr>
          <w:hyperlink w:anchor="_Toc216960968" w:history="1">
            <w:r w:rsidRPr="00ED08D9">
              <w:rPr>
                <w:rStyle w:val="Hyperlink"/>
                <w:noProof/>
              </w:rPr>
              <w:t>Appendix 1: Ratio analysis</w:t>
            </w:r>
            <w:r>
              <w:rPr>
                <w:noProof/>
                <w:webHidden/>
              </w:rPr>
              <w:tab/>
            </w:r>
            <w:r>
              <w:rPr>
                <w:noProof/>
                <w:webHidden/>
              </w:rPr>
              <w:fldChar w:fldCharType="begin"/>
            </w:r>
            <w:r>
              <w:rPr>
                <w:noProof/>
                <w:webHidden/>
              </w:rPr>
              <w:instrText xml:space="preserve"> PAGEREF _Toc216960968 \h </w:instrText>
            </w:r>
            <w:r>
              <w:rPr>
                <w:noProof/>
                <w:webHidden/>
              </w:rPr>
            </w:r>
            <w:r>
              <w:rPr>
                <w:noProof/>
                <w:webHidden/>
              </w:rPr>
              <w:fldChar w:fldCharType="separate"/>
            </w:r>
            <w:r>
              <w:rPr>
                <w:noProof/>
                <w:webHidden/>
              </w:rPr>
              <w:t>24</w:t>
            </w:r>
            <w:r>
              <w:rPr>
                <w:noProof/>
                <w:webHidden/>
              </w:rPr>
              <w:fldChar w:fldCharType="end"/>
            </w:r>
          </w:hyperlink>
        </w:p>
        <w:p w14:paraId="4C1383A7" w14:textId="0795F25B" w:rsidR="00880193" w:rsidRDefault="00880193">
          <w:pPr>
            <w:pStyle w:val="TOC2"/>
            <w:tabs>
              <w:tab w:val="right" w:leader="dot" w:pos="9019"/>
            </w:tabs>
            <w:rPr>
              <w:rFonts w:asciiTheme="minorHAnsi" w:eastAsiaTheme="minorEastAsia" w:hAnsiTheme="minorHAnsi" w:cstheme="minorBidi"/>
              <w:noProof/>
              <w:color w:val="auto"/>
              <w:sz w:val="22"/>
              <w:lang w:val="en-IN"/>
            </w:rPr>
          </w:pPr>
          <w:hyperlink w:anchor="_Toc216960969" w:history="1">
            <w:r w:rsidRPr="00ED08D9">
              <w:rPr>
                <w:rStyle w:val="Hyperlink"/>
                <w:noProof/>
              </w:rPr>
              <w:t>Appendix 2: Investment Appraisal</w:t>
            </w:r>
            <w:r>
              <w:rPr>
                <w:noProof/>
                <w:webHidden/>
              </w:rPr>
              <w:tab/>
            </w:r>
            <w:r>
              <w:rPr>
                <w:noProof/>
                <w:webHidden/>
              </w:rPr>
              <w:fldChar w:fldCharType="begin"/>
            </w:r>
            <w:r>
              <w:rPr>
                <w:noProof/>
                <w:webHidden/>
              </w:rPr>
              <w:instrText xml:space="preserve"> PAGEREF _Toc216960969 \h </w:instrText>
            </w:r>
            <w:r>
              <w:rPr>
                <w:noProof/>
                <w:webHidden/>
              </w:rPr>
            </w:r>
            <w:r>
              <w:rPr>
                <w:noProof/>
                <w:webHidden/>
              </w:rPr>
              <w:fldChar w:fldCharType="separate"/>
            </w:r>
            <w:r>
              <w:rPr>
                <w:noProof/>
                <w:webHidden/>
              </w:rPr>
              <w:t>28</w:t>
            </w:r>
            <w:r>
              <w:rPr>
                <w:noProof/>
                <w:webHidden/>
              </w:rPr>
              <w:fldChar w:fldCharType="end"/>
            </w:r>
          </w:hyperlink>
        </w:p>
        <w:p w14:paraId="588AD637" w14:textId="7DA52079" w:rsidR="001854D3" w:rsidRPr="00D20B91" w:rsidRDefault="001854D3">
          <w:pPr>
            <w:rPr>
              <w:rFonts w:cs="Arial"/>
              <w:szCs w:val="24"/>
            </w:rPr>
          </w:pPr>
          <w:r w:rsidRPr="0025324E">
            <w:rPr>
              <w:rFonts w:cs="Arial"/>
              <w:b/>
              <w:bCs/>
              <w:noProof/>
              <w:szCs w:val="24"/>
            </w:rPr>
            <w:fldChar w:fldCharType="end"/>
          </w:r>
        </w:p>
      </w:sdtContent>
    </w:sdt>
    <w:p w14:paraId="2EF96DAA" w14:textId="7BF10A74" w:rsidR="001854D3" w:rsidRPr="003034B8" w:rsidRDefault="001854D3" w:rsidP="003034B8">
      <w:pPr>
        <w:jc w:val="center"/>
        <w:rPr>
          <w:b/>
        </w:rPr>
      </w:pPr>
      <w:r w:rsidRPr="003034B8">
        <w:rPr>
          <w:b/>
        </w:rPr>
        <w:lastRenderedPageBreak/>
        <w:t>List of Table</w:t>
      </w:r>
      <w:r w:rsidR="003D1B88" w:rsidRPr="003034B8">
        <w:rPr>
          <w:b/>
        </w:rPr>
        <w:t>s</w:t>
      </w:r>
    </w:p>
    <w:p w14:paraId="4E68D55B" w14:textId="70812378" w:rsidR="00880193" w:rsidRPr="00880193" w:rsidRDefault="002501B5">
      <w:pPr>
        <w:pStyle w:val="TableofFigures"/>
        <w:tabs>
          <w:tab w:val="right" w:leader="dot" w:pos="9019"/>
        </w:tabs>
        <w:rPr>
          <w:rFonts w:asciiTheme="minorHAnsi" w:eastAsiaTheme="minorEastAsia" w:hAnsiTheme="minorHAnsi" w:cstheme="minorBidi"/>
          <w:noProof/>
          <w:color w:val="auto"/>
          <w:sz w:val="22"/>
          <w:lang w:val="en-IN"/>
        </w:rPr>
      </w:pPr>
      <w:r>
        <w:rPr>
          <w:rFonts w:cs="Arial"/>
          <w:bCs/>
          <w:sz w:val="28"/>
          <w:szCs w:val="28"/>
        </w:rPr>
        <w:fldChar w:fldCharType="begin"/>
      </w:r>
      <w:r>
        <w:rPr>
          <w:rFonts w:cs="Arial"/>
          <w:bCs/>
          <w:sz w:val="28"/>
          <w:szCs w:val="28"/>
        </w:rPr>
        <w:instrText xml:space="preserve"> TOC \h \z \c "Table" </w:instrText>
      </w:r>
      <w:r>
        <w:rPr>
          <w:rFonts w:cs="Arial"/>
          <w:bCs/>
          <w:sz w:val="28"/>
          <w:szCs w:val="28"/>
        </w:rPr>
        <w:fldChar w:fldCharType="separate"/>
      </w:r>
      <w:hyperlink w:anchor="_Toc216960970" w:history="1">
        <w:r w:rsidR="00880193" w:rsidRPr="00880193">
          <w:rPr>
            <w:rStyle w:val="Hyperlink"/>
            <w:noProof/>
          </w:rPr>
          <w:t>Table 1: Profitability Ratios</w:t>
        </w:r>
        <w:r w:rsidR="00880193" w:rsidRPr="00880193">
          <w:rPr>
            <w:noProof/>
            <w:webHidden/>
          </w:rPr>
          <w:tab/>
        </w:r>
        <w:r w:rsidR="00880193" w:rsidRPr="00880193">
          <w:rPr>
            <w:noProof/>
            <w:webHidden/>
          </w:rPr>
          <w:fldChar w:fldCharType="begin"/>
        </w:r>
        <w:r w:rsidR="00880193" w:rsidRPr="00880193">
          <w:rPr>
            <w:noProof/>
            <w:webHidden/>
          </w:rPr>
          <w:instrText xml:space="preserve"> PAGEREF _Toc216960970 \h </w:instrText>
        </w:r>
        <w:r w:rsidR="00880193" w:rsidRPr="00880193">
          <w:rPr>
            <w:noProof/>
            <w:webHidden/>
          </w:rPr>
        </w:r>
        <w:r w:rsidR="00880193" w:rsidRPr="00880193">
          <w:rPr>
            <w:noProof/>
            <w:webHidden/>
          </w:rPr>
          <w:fldChar w:fldCharType="separate"/>
        </w:r>
        <w:r w:rsidR="00880193" w:rsidRPr="00880193">
          <w:rPr>
            <w:noProof/>
            <w:webHidden/>
          </w:rPr>
          <w:t>5</w:t>
        </w:r>
        <w:r w:rsidR="00880193" w:rsidRPr="00880193">
          <w:rPr>
            <w:noProof/>
            <w:webHidden/>
          </w:rPr>
          <w:fldChar w:fldCharType="end"/>
        </w:r>
      </w:hyperlink>
    </w:p>
    <w:p w14:paraId="26CDE2B2" w14:textId="3170F43D" w:rsidR="00880193" w:rsidRPr="00880193" w:rsidRDefault="00880193">
      <w:pPr>
        <w:pStyle w:val="TableofFigures"/>
        <w:tabs>
          <w:tab w:val="right" w:leader="dot" w:pos="9019"/>
        </w:tabs>
        <w:rPr>
          <w:rFonts w:asciiTheme="minorHAnsi" w:eastAsiaTheme="minorEastAsia" w:hAnsiTheme="minorHAnsi" w:cstheme="minorBidi"/>
          <w:noProof/>
          <w:color w:val="auto"/>
          <w:sz w:val="22"/>
          <w:lang w:val="en-IN"/>
        </w:rPr>
      </w:pPr>
      <w:hyperlink w:anchor="_Toc216960971" w:history="1">
        <w:r w:rsidRPr="00880193">
          <w:rPr>
            <w:rStyle w:val="Hyperlink"/>
            <w:noProof/>
          </w:rPr>
          <w:t>Table 2: Liquidity Ratios</w:t>
        </w:r>
        <w:r w:rsidRPr="00880193">
          <w:rPr>
            <w:noProof/>
            <w:webHidden/>
          </w:rPr>
          <w:tab/>
        </w:r>
        <w:r w:rsidRPr="00880193">
          <w:rPr>
            <w:noProof/>
            <w:webHidden/>
          </w:rPr>
          <w:fldChar w:fldCharType="begin"/>
        </w:r>
        <w:r w:rsidRPr="00880193">
          <w:rPr>
            <w:noProof/>
            <w:webHidden/>
          </w:rPr>
          <w:instrText xml:space="preserve"> PAGEREF _Toc216960971 \h </w:instrText>
        </w:r>
        <w:r w:rsidRPr="00880193">
          <w:rPr>
            <w:noProof/>
            <w:webHidden/>
          </w:rPr>
        </w:r>
        <w:r w:rsidRPr="00880193">
          <w:rPr>
            <w:noProof/>
            <w:webHidden/>
          </w:rPr>
          <w:fldChar w:fldCharType="separate"/>
        </w:r>
        <w:r w:rsidRPr="00880193">
          <w:rPr>
            <w:noProof/>
            <w:webHidden/>
          </w:rPr>
          <w:t>6</w:t>
        </w:r>
        <w:r w:rsidRPr="00880193">
          <w:rPr>
            <w:noProof/>
            <w:webHidden/>
          </w:rPr>
          <w:fldChar w:fldCharType="end"/>
        </w:r>
      </w:hyperlink>
    </w:p>
    <w:p w14:paraId="437E89F3" w14:textId="66CEA52A" w:rsidR="00880193" w:rsidRPr="00880193" w:rsidRDefault="00880193">
      <w:pPr>
        <w:pStyle w:val="TableofFigures"/>
        <w:tabs>
          <w:tab w:val="right" w:leader="dot" w:pos="9019"/>
        </w:tabs>
        <w:rPr>
          <w:rFonts w:asciiTheme="minorHAnsi" w:eastAsiaTheme="minorEastAsia" w:hAnsiTheme="minorHAnsi" w:cstheme="minorBidi"/>
          <w:noProof/>
          <w:color w:val="auto"/>
          <w:sz w:val="22"/>
          <w:lang w:val="en-IN"/>
        </w:rPr>
      </w:pPr>
      <w:hyperlink w:anchor="_Toc216960972" w:history="1">
        <w:r w:rsidRPr="00880193">
          <w:rPr>
            <w:rStyle w:val="Hyperlink"/>
            <w:noProof/>
          </w:rPr>
          <w:t>Table 3: Efficiency Ratios</w:t>
        </w:r>
        <w:r w:rsidRPr="00880193">
          <w:rPr>
            <w:noProof/>
            <w:webHidden/>
          </w:rPr>
          <w:tab/>
        </w:r>
        <w:r w:rsidRPr="00880193">
          <w:rPr>
            <w:noProof/>
            <w:webHidden/>
          </w:rPr>
          <w:fldChar w:fldCharType="begin"/>
        </w:r>
        <w:r w:rsidRPr="00880193">
          <w:rPr>
            <w:noProof/>
            <w:webHidden/>
          </w:rPr>
          <w:instrText xml:space="preserve"> PAGEREF _Toc216960972 \h </w:instrText>
        </w:r>
        <w:r w:rsidRPr="00880193">
          <w:rPr>
            <w:noProof/>
            <w:webHidden/>
          </w:rPr>
        </w:r>
        <w:r w:rsidRPr="00880193">
          <w:rPr>
            <w:noProof/>
            <w:webHidden/>
          </w:rPr>
          <w:fldChar w:fldCharType="separate"/>
        </w:r>
        <w:r w:rsidRPr="00880193">
          <w:rPr>
            <w:noProof/>
            <w:webHidden/>
          </w:rPr>
          <w:t>6</w:t>
        </w:r>
        <w:r w:rsidRPr="00880193">
          <w:rPr>
            <w:noProof/>
            <w:webHidden/>
          </w:rPr>
          <w:fldChar w:fldCharType="end"/>
        </w:r>
      </w:hyperlink>
    </w:p>
    <w:p w14:paraId="687F0D76" w14:textId="282589FF" w:rsidR="00880193" w:rsidRPr="00880193" w:rsidRDefault="00880193">
      <w:pPr>
        <w:pStyle w:val="TableofFigures"/>
        <w:tabs>
          <w:tab w:val="right" w:leader="dot" w:pos="9019"/>
        </w:tabs>
        <w:rPr>
          <w:rFonts w:asciiTheme="minorHAnsi" w:eastAsiaTheme="minorEastAsia" w:hAnsiTheme="minorHAnsi" w:cstheme="minorBidi"/>
          <w:noProof/>
          <w:color w:val="auto"/>
          <w:sz w:val="22"/>
          <w:lang w:val="en-IN"/>
        </w:rPr>
      </w:pPr>
      <w:hyperlink w:anchor="_Toc216960973" w:history="1">
        <w:r w:rsidRPr="00880193">
          <w:rPr>
            <w:rStyle w:val="Hyperlink"/>
            <w:noProof/>
          </w:rPr>
          <w:t>Table 4: Gearing / Leverage Ratios</w:t>
        </w:r>
        <w:r w:rsidRPr="00880193">
          <w:rPr>
            <w:noProof/>
            <w:webHidden/>
          </w:rPr>
          <w:tab/>
        </w:r>
        <w:r w:rsidRPr="00880193">
          <w:rPr>
            <w:noProof/>
            <w:webHidden/>
          </w:rPr>
          <w:fldChar w:fldCharType="begin"/>
        </w:r>
        <w:r w:rsidRPr="00880193">
          <w:rPr>
            <w:noProof/>
            <w:webHidden/>
          </w:rPr>
          <w:instrText xml:space="preserve"> PAGEREF _Toc216960973 \h </w:instrText>
        </w:r>
        <w:r w:rsidRPr="00880193">
          <w:rPr>
            <w:noProof/>
            <w:webHidden/>
          </w:rPr>
        </w:r>
        <w:r w:rsidRPr="00880193">
          <w:rPr>
            <w:noProof/>
            <w:webHidden/>
          </w:rPr>
          <w:fldChar w:fldCharType="separate"/>
        </w:r>
        <w:r w:rsidRPr="00880193">
          <w:rPr>
            <w:noProof/>
            <w:webHidden/>
          </w:rPr>
          <w:t>7</w:t>
        </w:r>
        <w:r w:rsidRPr="00880193">
          <w:rPr>
            <w:noProof/>
            <w:webHidden/>
          </w:rPr>
          <w:fldChar w:fldCharType="end"/>
        </w:r>
      </w:hyperlink>
    </w:p>
    <w:p w14:paraId="6D344E11" w14:textId="57EB29BA" w:rsidR="00880193" w:rsidRPr="00880193" w:rsidRDefault="00880193">
      <w:pPr>
        <w:pStyle w:val="TableofFigures"/>
        <w:tabs>
          <w:tab w:val="right" w:leader="dot" w:pos="9019"/>
        </w:tabs>
        <w:rPr>
          <w:rFonts w:asciiTheme="minorHAnsi" w:eastAsiaTheme="minorEastAsia" w:hAnsiTheme="minorHAnsi" w:cstheme="minorBidi"/>
          <w:noProof/>
          <w:color w:val="auto"/>
          <w:sz w:val="22"/>
          <w:lang w:val="en-IN"/>
        </w:rPr>
      </w:pPr>
      <w:hyperlink w:anchor="_Toc216960974" w:history="1">
        <w:r w:rsidRPr="00880193">
          <w:rPr>
            <w:rStyle w:val="Hyperlink"/>
            <w:noProof/>
          </w:rPr>
          <w:t>Table 5: Cash Flow Ratios</w:t>
        </w:r>
        <w:r w:rsidRPr="00880193">
          <w:rPr>
            <w:noProof/>
            <w:webHidden/>
          </w:rPr>
          <w:tab/>
        </w:r>
        <w:r w:rsidRPr="00880193">
          <w:rPr>
            <w:noProof/>
            <w:webHidden/>
          </w:rPr>
          <w:fldChar w:fldCharType="begin"/>
        </w:r>
        <w:r w:rsidRPr="00880193">
          <w:rPr>
            <w:noProof/>
            <w:webHidden/>
          </w:rPr>
          <w:instrText xml:space="preserve"> PAGEREF _Toc216960974 \h </w:instrText>
        </w:r>
        <w:r w:rsidRPr="00880193">
          <w:rPr>
            <w:noProof/>
            <w:webHidden/>
          </w:rPr>
        </w:r>
        <w:r w:rsidRPr="00880193">
          <w:rPr>
            <w:noProof/>
            <w:webHidden/>
          </w:rPr>
          <w:fldChar w:fldCharType="separate"/>
        </w:r>
        <w:r w:rsidRPr="00880193">
          <w:rPr>
            <w:noProof/>
            <w:webHidden/>
          </w:rPr>
          <w:t>7</w:t>
        </w:r>
        <w:r w:rsidRPr="00880193">
          <w:rPr>
            <w:noProof/>
            <w:webHidden/>
          </w:rPr>
          <w:fldChar w:fldCharType="end"/>
        </w:r>
      </w:hyperlink>
    </w:p>
    <w:p w14:paraId="0AA3D917" w14:textId="61FACA6D" w:rsidR="00880193" w:rsidRPr="00880193" w:rsidRDefault="00880193">
      <w:pPr>
        <w:pStyle w:val="TableofFigures"/>
        <w:tabs>
          <w:tab w:val="right" w:leader="dot" w:pos="9019"/>
        </w:tabs>
        <w:rPr>
          <w:rFonts w:asciiTheme="minorHAnsi" w:eastAsiaTheme="minorEastAsia" w:hAnsiTheme="minorHAnsi" w:cstheme="minorBidi"/>
          <w:noProof/>
          <w:color w:val="auto"/>
          <w:sz w:val="22"/>
          <w:lang w:val="en-IN"/>
        </w:rPr>
      </w:pPr>
      <w:hyperlink w:anchor="_Toc216960975" w:history="1">
        <w:r w:rsidRPr="00880193">
          <w:rPr>
            <w:rStyle w:val="Hyperlink"/>
            <w:noProof/>
          </w:rPr>
          <w:t>Table 6: Investment Ratios</w:t>
        </w:r>
        <w:r w:rsidRPr="00880193">
          <w:rPr>
            <w:noProof/>
            <w:webHidden/>
          </w:rPr>
          <w:tab/>
        </w:r>
        <w:r w:rsidRPr="00880193">
          <w:rPr>
            <w:noProof/>
            <w:webHidden/>
          </w:rPr>
          <w:fldChar w:fldCharType="begin"/>
        </w:r>
        <w:r w:rsidRPr="00880193">
          <w:rPr>
            <w:noProof/>
            <w:webHidden/>
          </w:rPr>
          <w:instrText xml:space="preserve"> PAGEREF _Toc216960975 \h </w:instrText>
        </w:r>
        <w:r w:rsidRPr="00880193">
          <w:rPr>
            <w:noProof/>
            <w:webHidden/>
          </w:rPr>
        </w:r>
        <w:r w:rsidRPr="00880193">
          <w:rPr>
            <w:noProof/>
            <w:webHidden/>
          </w:rPr>
          <w:fldChar w:fldCharType="separate"/>
        </w:r>
        <w:r w:rsidRPr="00880193">
          <w:rPr>
            <w:noProof/>
            <w:webHidden/>
          </w:rPr>
          <w:t>7</w:t>
        </w:r>
        <w:r w:rsidRPr="00880193">
          <w:rPr>
            <w:noProof/>
            <w:webHidden/>
          </w:rPr>
          <w:fldChar w:fldCharType="end"/>
        </w:r>
      </w:hyperlink>
    </w:p>
    <w:p w14:paraId="4ACC0505" w14:textId="69A0240D" w:rsidR="00880193" w:rsidRDefault="00880193">
      <w:pPr>
        <w:pStyle w:val="TableofFigures"/>
        <w:tabs>
          <w:tab w:val="right" w:leader="dot" w:pos="9019"/>
        </w:tabs>
        <w:rPr>
          <w:rFonts w:asciiTheme="minorHAnsi" w:eastAsiaTheme="minorEastAsia" w:hAnsiTheme="minorHAnsi" w:cstheme="minorBidi"/>
          <w:noProof/>
          <w:color w:val="auto"/>
          <w:sz w:val="22"/>
          <w:lang w:val="en-IN"/>
        </w:rPr>
      </w:pPr>
      <w:hyperlink w:anchor="_Toc216960976" w:history="1">
        <w:r w:rsidRPr="00880193">
          <w:rPr>
            <w:rStyle w:val="Hyperlink"/>
            <w:noProof/>
          </w:rPr>
          <w:t>Table 7: Cash Operating Cycle (COC)</w:t>
        </w:r>
        <w:r w:rsidRPr="00880193">
          <w:rPr>
            <w:noProof/>
            <w:webHidden/>
          </w:rPr>
          <w:tab/>
        </w:r>
        <w:r w:rsidRPr="00880193">
          <w:rPr>
            <w:noProof/>
            <w:webHidden/>
          </w:rPr>
          <w:fldChar w:fldCharType="begin"/>
        </w:r>
        <w:r w:rsidRPr="00880193">
          <w:rPr>
            <w:noProof/>
            <w:webHidden/>
          </w:rPr>
          <w:instrText xml:space="preserve"> PAGEREF _Toc216960976 \h </w:instrText>
        </w:r>
        <w:r w:rsidRPr="00880193">
          <w:rPr>
            <w:noProof/>
            <w:webHidden/>
          </w:rPr>
        </w:r>
        <w:r w:rsidRPr="00880193">
          <w:rPr>
            <w:noProof/>
            <w:webHidden/>
          </w:rPr>
          <w:fldChar w:fldCharType="separate"/>
        </w:r>
        <w:r w:rsidRPr="00880193">
          <w:rPr>
            <w:noProof/>
            <w:webHidden/>
          </w:rPr>
          <w:t>9</w:t>
        </w:r>
        <w:r w:rsidRPr="00880193">
          <w:rPr>
            <w:noProof/>
            <w:webHidden/>
          </w:rPr>
          <w:fldChar w:fldCharType="end"/>
        </w:r>
      </w:hyperlink>
    </w:p>
    <w:p w14:paraId="3A5D3B01" w14:textId="2D847AD4" w:rsidR="002501B5" w:rsidRPr="002501B5" w:rsidRDefault="002501B5" w:rsidP="001854D3">
      <w:pPr>
        <w:jc w:val="center"/>
        <w:rPr>
          <w:rFonts w:cs="Arial"/>
          <w:bCs/>
          <w:sz w:val="28"/>
          <w:szCs w:val="28"/>
        </w:rPr>
      </w:pPr>
      <w:r>
        <w:rPr>
          <w:rFonts w:cs="Arial"/>
          <w:bCs/>
          <w:sz w:val="28"/>
          <w:szCs w:val="28"/>
        </w:rPr>
        <w:fldChar w:fldCharType="end"/>
      </w:r>
    </w:p>
    <w:p w14:paraId="7A0721B9" w14:textId="46528427" w:rsidR="001854D3" w:rsidRPr="007B7171" w:rsidRDefault="001854D3" w:rsidP="007B7171">
      <w:pPr>
        <w:jc w:val="center"/>
        <w:rPr>
          <w:b/>
        </w:rPr>
      </w:pPr>
      <w:r w:rsidRPr="007B7171">
        <w:rPr>
          <w:b/>
        </w:rPr>
        <w:t>List of Figures</w:t>
      </w:r>
    </w:p>
    <w:p w14:paraId="31994735" w14:textId="1321B2F7" w:rsidR="00880193" w:rsidRDefault="001854D3">
      <w:pPr>
        <w:pStyle w:val="TableofFigures"/>
        <w:tabs>
          <w:tab w:val="right" w:leader="dot" w:pos="9019"/>
        </w:tabs>
        <w:rPr>
          <w:rFonts w:asciiTheme="minorHAnsi" w:eastAsiaTheme="minorEastAsia" w:hAnsiTheme="minorHAnsi" w:cstheme="minorBidi"/>
          <w:noProof/>
          <w:color w:val="auto"/>
          <w:sz w:val="22"/>
          <w:lang w:val="en-IN"/>
        </w:rPr>
      </w:pPr>
      <w:r w:rsidRPr="001854D3">
        <w:rPr>
          <w:rFonts w:cs="Arial"/>
          <w:b/>
          <w:bCs/>
          <w:szCs w:val="24"/>
        </w:rPr>
        <w:fldChar w:fldCharType="begin"/>
      </w:r>
      <w:r w:rsidRPr="001854D3">
        <w:rPr>
          <w:rFonts w:cs="Arial"/>
          <w:b/>
          <w:bCs/>
          <w:szCs w:val="24"/>
        </w:rPr>
        <w:instrText xml:space="preserve"> TOC \h \z \t "Heading 5" \c </w:instrText>
      </w:r>
      <w:r w:rsidRPr="001854D3">
        <w:rPr>
          <w:rFonts w:cs="Arial"/>
          <w:b/>
          <w:bCs/>
          <w:szCs w:val="24"/>
        </w:rPr>
        <w:fldChar w:fldCharType="separate"/>
      </w:r>
      <w:hyperlink w:anchor="_Toc216960977" w:history="1">
        <w:r w:rsidR="00880193" w:rsidRPr="0070004C">
          <w:rPr>
            <w:rStyle w:val="Hyperlink"/>
            <w:noProof/>
          </w:rPr>
          <w:t>Figure 1: Just-in-Time (JIT)</w:t>
        </w:r>
        <w:r w:rsidR="00880193">
          <w:rPr>
            <w:noProof/>
            <w:webHidden/>
          </w:rPr>
          <w:tab/>
        </w:r>
        <w:r w:rsidR="00880193">
          <w:rPr>
            <w:noProof/>
            <w:webHidden/>
          </w:rPr>
          <w:fldChar w:fldCharType="begin"/>
        </w:r>
        <w:r w:rsidR="00880193">
          <w:rPr>
            <w:noProof/>
            <w:webHidden/>
          </w:rPr>
          <w:instrText xml:space="preserve"> PAGEREF _Toc216960977 \h </w:instrText>
        </w:r>
        <w:r w:rsidR="00880193">
          <w:rPr>
            <w:noProof/>
            <w:webHidden/>
          </w:rPr>
        </w:r>
        <w:r w:rsidR="00880193">
          <w:rPr>
            <w:noProof/>
            <w:webHidden/>
          </w:rPr>
          <w:fldChar w:fldCharType="separate"/>
        </w:r>
        <w:r w:rsidR="00880193">
          <w:rPr>
            <w:noProof/>
            <w:webHidden/>
          </w:rPr>
          <w:t>11</w:t>
        </w:r>
        <w:r w:rsidR="00880193">
          <w:rPr>
            <w:noProof/>
            <w:webHidden/>
          </w:rPr>
          <w:fldChar w:fldCharType="end"/>
        </w:r>
      </w:hyperlink>
    </w:p>
    <w:p w14:paraId="604D7978" w14:textId="498FD255" w:rsidR="00880193" w:rsidRDefault="00880193">
      <w:pPr>
        <w:pStyle w:val="TableofFigures"/>
        <w:tabs>
          <w:tab w:val="right" w:leader="dot" w:pos="9019"/>
        </w:tabs>
        <w:rPr>
          <w:rFonts w:asciiTheme="minorHAnsi" w:eastAsiaTheme="minorEastAsia" w:hAnsiTheme="minorHAnsi" w:cstheme="minorBidi"/>
          <w:noProof/>
          <w:color w:val="auto"/>
          <w:sz w:val="22"/>
          <w:lang w:val="en-IN"/>
        </w:rPr>
      </w:pPr>
      <w:hyperlink w:anchor="_Toc216960978" w:history="1">
        <w:r w:rsidRPr="0070004C">
          <w:rPr>
            <w:rStyle w:val="Hyperlink"/>
            <w:noProof/>
          </w:rPr>
          <w:t>Figure 2: Long-Term Financing</w:t>
        </w:r>
        <w:r>
          <w:rPr>
            <w:noProof/>
            <w:webHidden/>
          </w:rPr>
          <w:tab/>
        </w:r>
        <w:r>
          <w:rPr>
            <w:noProof/>
            <w:webHidden/>
          </w:rPr>
          <w:fldChar w:fldCharType="begin"/>
        </w:r>
        <w:r>
          <w:rPr>
            <w:noProof/>
            <w:webHidden/>
          </w:rPr>
          <w:instrText xml:space="preserve"> PAGEREF _Toc216960978 \h </w:instrText>
        </w:r>
        <w:r>
          <w:rPr>
            <w:noProof/>
            <w:webHidden/>
          </w:rPr>
        </w:r>
        <w:r>
          <w:rPr>
            <w:noProof/>
            <w:webHidden/>
          </w:rPr>
          <w:fldChar w:fldCharType="separate"/>
        </w:r>
        <w:r>
          <w:rPr>
            <w:noProof/>
            <w:webHidden/>
          </w:rPr>
          <w:t>12</w:t>
        </w:r>
        <w:r>
          <w:rPr>
            <w:noProof/>
            <w:webHidden/>
          </w:rPr>
          <w:fldChar w:fldCharType="end"/>
        </w:r>
      </w:hyperlink>
    </w:p>
    <w:p w14:paraId="18789815" w14:textId="68B2E21C" w:rsidR="00747192" w:rsidRPr="001854D3" w:rsidRDefault="001854D3" w:rsidP="001854D3">
      <w:pPr>
        <w:rPr>
          <w:rFonts w:cs="Arial"/>
          <w:b/>
          <w:bCs/>
          <w:sz w:val="28"/>
          <w:szCs w:val="28"/>
        </w:rPr>
      </w:pPr>
      <w:r w:rsidRPr="001854D3">
        <w:rPr>
          <w:rFonts w:cs="Arial"/>
          <w:b/>
          <w:bCs/>
          <w:szCs w:val="24"/>
        </w:rPr>
        <w:fldChar w:fldCharType="end"/>
      </w:r>
      <w:r w:rsidR="00747192" w:rsidRPr="001854D3">
        <w:rPr>
          <w:rFonts w:cs="Arial"/>
          <w:b/>
          <w:bCs/>
        </w:rPr>
        <w:br w:type="page"/>
      </w:r>
    </w:p>
    <w:p w14:paraId="20BB01D8" w14:textId="55DCF38F" w:rsidR="00CB3B70" w:rsidRPr="001854D3" w:rsidRDefault="00CF5B81" w:rsidP="00302F58">
      <w:pPr>
        <w:pStyle w:val="Heading1"/>
      </w:pPr>
      <w:bookmarkStart w:id="1" w:name="_Toc216960947"/>
      <w:r w:rsidRPr="001854D3">
        <w:lastRenderedPageBreak/>
        <w:t xml:space="preserve">1. </w:t>
      </w:r>
      <w:r w:rsidRPr="00302F58">
        <w:t>Introduction</w:t>
      </w:r>
      <w:bookmarkEnd w:id="1"/>
    </w:p>
    <w:p w14:paraId="7CC80B0B" w14:textId="77777777" w:rsidR="000B67A2" w:rsidRDefault="00CF5B81" w:rsidP="00302F58">
      <w:r w:rsidRPr="001854D3">
        <w:t>Competition in the consumer electronics market has put General Electronics under heavy financial pressure. This report examines the company’s past performance and attempts to develop a plan that will revive it. To assess the health of the business, the report includes an analysis of financial ratios that indicate its profitability, liquidity, and debt over a 5-year period. It also includes the Altman Z-Score model to estimate the company’s risk of failure in the near future. The report also analyses the cash operating cycle, and it will help the company to know about its inventory to cash cycle.</w:t>
      </w:r>
    </w:p>
    <w:p w14:paraId="41427636" w14:textId="5AF8259E" w:rsidR="00CB3B70" w:rsidRDefault="00CF5B81" w:rsidP="00302F58">
      <w:r w:rsidRPr="001854D3">
        <w:t>After that, the report focuses on a restructuring plan to focus on increasing daily cash flow through improved management of working capital. It also highlights the importance of the disposal of underperforming assets or the issuance of new capital that will strengthen the balance sheet. The report also includes three project concepts with an investment capital of £60 million. This includes analysis of net present value and internal rate of return to select the most appropriate method of increasing shareholder wealth. Finally, it will show a strategy that is financially viable, globally scalable, and ethically sound.</w:t>
      </w:r>
    </w:p>
    <w:p w14:paraId="179FE1BB" w14:textId="67BBBB7C" w:rsidR="00716D54" w:rsidRDefault="00716D54" w:rsidP="006D16DD">
      <w:pPr>
        <w:pStyle w:val="Heading1"/>
      </w:pPr>
      <w:bookmarkStart w:id="2" w:name="_Toc216868104"/>
      <w:bookmarkStart w:id="3" w:name="_Toc216960948"/>
      <w:r w:rsidRPr="000A5C09">
        <w:t xml:space="preserve">1. Financial </w:t>
      </w:r>
      <w:r w:rsidRPr="008217B7">
        <w:t>Health</w:t>
      </w:r>
      <w:r w:rsidRPr="000A5C09">
        <w:t xml:space="preserve"> </w:t>
      </w:r>
      <w:r w:rsidRPr="006D16DD">
        <w:t>Check</w:t>
      </w:r>
      <w:bookmarkEnd w:id="2"/>
      <w:bookmarkEnd w:id="3"/>
    </w:p>
    <w:p w14:paraId="6BA3731C" w14:textId="77777777" w:rsidR="00716D54" w:rsidRDefault="00716D54" w:rsidP="006D16DD">
      <w:pPr>
        <w:pStyle w:val="Heading2"/>
      </w:pPr>
      <w:bookmarkStart w:id="4" w:name="_Toc216868105"/>
      <w:bookmarkStart w:id="5" w:name="_Toc216960949"/>
      <w:r w:rsidRPr="000A5C09">
        <w:t xml:space="preserve">1.1 Analysis of </w:t>
      </w:r>
      <w:r w:rsidRPr="008217B7">
        <w:t>General</w:t>
      </w:r>
      <w:r w:rsidRPr="000A5C09">
        <w:t xml:space="preserve"> electronics’ </w:t>
      </w:r>
      <w:r w:rsidRPr="006D16DD">
        <w:t>Financial</w:t>
      </w:r>
      <w:r w:rsidRPr="000A5C09">
        <w:t xml:space="preserve"> Statement (2020-2024)</w:t>
      </w:r>
      <w:bookmarkEnd w:id="4"/>
      <w:bookmarkEnd w:id="5"/>
    </w:p>
    <w:p w14:paraId="5FA582ED" w14:textId="54576CD6" w:rsidR="00133249" w:rsidRDefault="001906D2" w:rsidP="00F711B6">
      <w:r w:rsidRPr="001906D2">
        <w:t xml:space="preserve">The </w:t>
      </w:r>
      <w:r>
        <w:t xml:space="preserve">longitudinal assessment of the General Electronics’ financial statement during the last 5-years has addressed a highly persistent change and </w:t>
      </w:r>
      <w:r w:rsidRPr="001906D2">
        <w:t>deterioration</w:t>
      </w:r>
      <w:r>
        <w:t xml:space="preserve"> which moves beyond the cyclical volatility and strategic weaknesses. The combined evidences noted from the income statement, cash flow statement and balance sheet statement has addressed that the business is operating within a financially distressed state, with having eroding profitability and weakening liquidity including fragile solvency positions. </w:t>
      </w:r>
      <w:r w:rsidR="009D344A">
        <w:t xml:space="preserve">From assessing the </w:t>
      </w:r>
      <w:r w:rsidR="005B600F">
        <w:t>income statement, one of the most observable concern has been sustained contraction in the revenue that has declined materially between 2020 and 2024</w:t>
      </w:r>
      <w:r w:rsidR="003C2D28">
        <w:t xml:space="preserve"> (Russo, </w:t>
      </w:r>
      <w:r w:rsidR="003C2D28" w:rsidRPr="003C2D28">
        <w:t>2024</w:t>
      </w:r>
      <w:r w:rsidR="003C2D28">
        <w:t>)</w:t>
      </w:r>
      <w:r w:rsidR="005B600F">
        <w:t xml:space="preserve">. Such trend has addressed more than </w:t>
      </w:r>
      <w:r w:rsidR="00E36B6E">
        <w:t xml:space="preserve">declining competitiveness, with ineffective product </w:t>
      </w:r>
      <w:r w:rsidR="00E36B6E" w:rsidRPr="00E36B6E">
        <w:t>differentiation</w:t>
      </w:r>
      <w:r w:rsidR="00E36B6E">
        <w:t xml:space="preserve"> and failure for responding to the changing consumer and technological preferences. As the gross margin have </w:t>
      </w:r>
      <w:r w:rsidR="00C41D03">
        <w:t xml:space="preserve">remained stable at 29% </w:t>
      </w:r>
      <w:r w:rsidR="00E5793F">
        <w:t xml:space="preserve">during most of the recent years, while the apparent resilience has been misleading. </w:t>
      </w:r>
      <w:r w:rsidR="00CE6DF2">
        <w:t xml:space="preserve">The stable gross margin has implied that pricing power and direct cost </w:t>
      </w:r>
      <w:r w:rsidR="00CE6DF2">
        <w:lastRenderedPageBreak/>
        <w:t xml:space="preserve">control </w:t>
      </w:r>
      <w:r w:rsidR="00A45CE7">
        <w:t>aren’t</w:t>
      </w:r>
      <w:r w:rsidR="00CE6DF2">
        <w:t xml:space="preserve"> </w:t>
      </w:r>
      <w:r w:rsidR="00A45CE7">
        <w:t xml:space="preserve">noted as the core issues, besides the collapse in the operational performance has been driven by the inflated and poorly controlled operating cost base. </w:t>
      </w:r>
    </w:p>
    <w:p w14:paraId="3FA158C0" w14:textId="7803FAB7" w:rsidR="00703B89" w:rsidRDefault="00A87143" w:rsidP="00F711B6">
      <w:r>
        <w:t xml:space="preserve">Deteriorations in the net income has reinforced the assessment, where General Electronics has made a transition from profitable position in 2020 for deep losses by the end of 2023. This includes no meaningful recovery in the year 2024, while a substantial good will impairment has been identified in 2023. This can be noted as revealing, as it reflects the destructions of the value from the earlier acquisitions. </w:t>
      </w:r>
      <w:r w:rsidR="00456118">
        <w:t>This</w:t>
      </w:r>
      <w:r w:rsidR="00AD0288">
        <w:t xml:space="preserve"> </w:t>
      </w:r>
      <w:r w:rsidR="00456118">
        <w:t>addressed that past growth strategies ha</w:t>
      </w:r>
      <w:r w:rsidR="00AD0288">
        <w:t>ve</w:t>
      </w:r>
      <w:r w:rsidR="00456118">
        <w:t xml:space="preserve"> been either poorly executed or based on the optimistic assumptions, while burdening the firm with non-performing assets and undermining value of the shareholders</w:t>
      </w:r>
      <w:r w:rsidR="003C2D28">
        <w:t xml:space="preserve"> (Russo, </w:t>
      </w:r>
      <w:r w:rsidR="003C2D28" w:rsidRPr="003C2D28">
        <w:t>2024</w:t>
      </w:r>
      <w:r w:rsidR="003C2D28">
        <w:t>)</w:t>
      </w:r>
      <w:r w:rsidR="00456118">
        <w:t xml:space="preserve">. </w:t>
      </w:r>
    </w:p>
    <w:p w14:paraId="5B779128" w14:textId="461040F1" w:rsidR="00791C46" w:rsidRDefault="00703B89" w:rsidP="00F711B6">
      <w:r>
        <w:t>The cash flow statement has provided relevant insights into the distress of the firms, even though the operating cash flows have remained positive throughout the periods. In this case, their sharp decline addresses a weakening ability for converting the accounting profitability into cash and equivalents</w:t>
      </w:r>
      <w:r w:rsidR="003C2D28">
        <w:t xml:space="preserve"> (Russo, </w:t>
      </w:r>
      <w:r w:rsidR="003C2D28" w:rsidRPr="003C2D28">
        <w:t>2024</w:t>
      </w:r>
      <w:r w:rsidR="003C2D28">
        <w:t>)</w:t>
      </w:r>
      <w:r>
        <w:t xml:space="preserve">. The reduction observed in the operating cash flow is connected to the failing earnings and unfavourable working capital movements, specifically in terms of receivables and payable management. This has increased the concerns regarding credit control options, </w:t>
      </w:r>
      <w:r w:rsidRPr="00703B89">
        <w:t>bargaining power with suppliers, and overall working capital efficiency.</w:t>
      </w:r>
      <w:r>
        <w:t xml:space="preserve"> </w:t>
      </w:r>
      <w:r w:rsidR="00E77B7B">
        <w:t xml:space="preserve">The continued negative investment of the cash flows, while not being problematic, it can </w:t>
      </w:r>
      <w:r w:rsidR="00A8128D">
        <w:t>appear</w:t>
      </w:r>
      <w:r w:rsidR="00E77B7B">
        <w:t xml:space="preserve"> as less defensible regarding the context, as capital and intangible investment haven’t translated into the improvement of profitability. </w:t>
      </w:r>
    </w:p>
    <w:p w14:paraId="7CE2BE08" w14:textId="1CE9EEC6" w:rsidR="002361A2" w:rsidRPr="00F711B6" w:rsidRDefault="007E3CAA">
      <w:r>
        <w:t xml:space="preserve">The balance sheet statement has conformed a highly progressive erosion of the financial stability. Here, the total assets have contracted over the period, while being driven by the inventory reduction, including; asset impairment and </w:t>
      </w:r>
      <w:r w:rsidRPr="007E3CAA">
        <w:t>lower receivables</w:t>
      </w:r>
      <w:r>
        <w:t xml:space="preserve">. </w:t>
      </w:r>
      <w:r w:rsidR="00C57CB3">
        <w:t xml:space="preserve">As the utilisation of assets can address efficiency levels and improvement, that reflects contradiction and declining operational efficiency. </w:t>
      </w:r>
      <w:r w:rsidR="00E175A5">
        <w:t xml:space="preserve">The equity has weakened sharply due to the accumulated losses and negative retained earnings that undermined the solvency of the business and limits its financial flexibility.  </w:t>
      </w:r>
      <w:r w:rsidR="00C57CB3">
        <w:t xml:space="preserve"> </w:t>
      </w:r>
      <w:r>
        <w:t xml:space="preserve">   </w:t>
      </w:r>
      <w:r w:rsidR="00E77B7B">
        <w:t xml:space="preserve">    </w:t>
      </w:r>
      <w:r w:rsidR="00703B89">
        <w:t xml:space="preserve"> </w:t>
      </w:r>
      <w:r w:rsidR="00456118">
        <w:t xml:space="preserve">  </w:t>
      </w:r>
      <w:r w:rsidR="00A87143">
        <w:t xml:space="preserve">       </w:t>
      </w:r>
      <w:r w:rsidR="00A45CE7">
        <w:t xml:space="preserve"> </w:t>
      </w:r>
      <w:r w:rsidR="00E36B6E">
        <w:t xml:space="preserve">    </w:t>
      </w:r>
      <w:r w:rsidR="005B600F">
        <w:t xml:space="preserve">  </w:t>
      </w:r>
      <w:r w:rsidR="001906D2">
        <w:t xml:space="preserve">       </w:t>
      </w:r>
      <w:bookmarkStart w:id="6" w:name="_Toc216868106"/>
    </w:p>
    <w:p w14:paraId="416C60E1" w14:textId="2B9624ED" w:rsidR="00F711B6" w:rsidRDefault="00F711B6">
      <w:pPr>
        <w:spacing w:before="0" w:after="200"/>
        <w:rPr>
          <w:rFonts w:cs="Arial"/>
          <w:b/>
          <w:bCs/>
          <w:sz w:val="26"/>
          <w:szCs w:val="26"/>
        </w:rPr>
      </w:pPr>
    </w:p>
    <w:p w14:paraId="7883F181" w14:textId="663784AD" w:rsidR="00716D54" w:rsidRDefault="00716D54" w:rsidP="00716D54">
      <w:pPr>
        <w:pStyle w:val="Heading2"/>
      </w:pPr>
      <w:bookmarkStart w:id="7" w:name="_Toc216960950"/>
      <w:r w:rsidRPr="00626A93">
        <w:lastRenderedPageBreak/>
        <w:t xml:space="preserve">1.2 Ratio </w:t>
      </w:r>
      <w:r w:rsidR="00F711B6">
        <w:t>A</w:t>
      </w:r>
      <w:r w:rsidRPr="00626A93">
        <w:t>ssessment</w:t>
      </w:r>
      <w:bookmarkEnd w:id="6"/>
      <w:bookmarkEnd w:id="7"/>
    </w:p>
    <w:tbl>
      <w:tblPr>
        <w:tblW w:w="5000" w:type="pct"/>
        <w:tblLook w:val="04A0" w:firstRow="1" w:lastRow="0" w:firstColumn="1" w:lastColumn="0" w:noHBand="0" w:noVBand="1"/>
      </w:tblPr>
      <w:tblGrid>
        <w:gridCol w:w="1101"/>
        <w:gridCol w:w="1663"/>
        <w:gridCol w:w="1272"/>
        <w:gridCol w:w="1272"/>
        <w:gridCol w:w="1237"/>
        <w:gridCol w:w="1237"/>
        <w:gridCol w:w="1237"/>
      </w:tblGrid>
      <w:tr w:rsidR="00CB410F" w:rsidRPr="00CB410F" w14:paraId="0F54C0A6" w14:textId="77777777" w:rsidTr="00673BF2">
        <w:trPr>
          <w:trHeight w:val="737"/>
        </w:trPr>
        <w:tc>
          <w:tcPr>
            <w:tcW w:w="5000" w:type="pct"/>
            <w:gridSpan w:val="7"/>
            <w:tcBorders>
              <w:top w:val="single" w:sz="4" w:space="0" w:color="auto"/>
              <w:left w:val="single" w:sz="4" w:space="0" w:color="auto"/>
              <w:bottom w:val="single" w:sz="4" w:space="0" w:color="auto"/>
              <w:right w:val="single" w:sz="4" w:space="0" w:color="000000"/>
            </w:tcBorders>
            <w:noWrap/>
            <w:vAlign w:val="bottom"/>
            <w:hideMark/>
          </w:tcPr>
          <w:p w14:paraId="627721B3" w14:textId="77777777" w:rsidR="00CB410F" w:rsidRPr="00CB410F" w:rsidRDefault="00CB410F" w:rsidP="00673BF2">
            <w:pPr>
              <w:spacing w:after="0"/>
              <w:jc w:val="center"/>
              <w:rPr>
                <w:rFonts w:cs="Arial"/>
                <w:b/>
                <w:color w:val="000000"/>
                <w:szCs w:val="24"/>
              </w:rPr>
            </w:pPr>
            <w:r w:rsidRPr="00CB410F">
              <w:rPr>
                <w:rFonts w:cs="Arial"/>
                <w:b/>
                <w:color w:val="000000"/>
                <w:szCs w:val="24"/>
              </w:rPr>
              <w:t>Profitability Ratios</w:t>
            </w:r>
          </w:p>
        </w:tc>
      </w:tr>
      <w:tr w:rsidR="00CB410F" w:rsidRPr="00CB410F" w14:paraId="601BCB94" w14:textId="77777777" w:rsidTr="00673BF2">
        <w:trPr>
          <w:trHeight w:val="737"/>
        </w:trPr>
        <w:tc>
          <w:tcPr>
            <w:tcW w:w="563" w:type="pct"/>
            <w:tcBorders>
              <w:top w:val="nil"/>
              <w:left w:val="single" w:sz="4" w:space="0" w:color="auto"/>
              <w:bottom w:val="single" w:sz="4" w:space="0" w:color="auto"/>
              <w:right w:val="single" w:sz="4" w:space="0" w:color="auto"/>
            </w:tcBorders>
            <w:noWrap/>
            <w:vAlign w:val="bottom"/>
            <w:hideMark/>
          </w:tcPr>
          <w:p w14:paraId="416F5401" w14:textId="77777777" w:rsidR="00CB410F" w:rsidRPr="00CB410F" w:rsidRDefault="00CB410F" w:rsidP="00673BF2">
            <w:pPr>
              <w:spacing w:after="0"/>
              <w:jc w:val="center"/>
              <w:rPr>
                <w:rFonts w:cs="Arial"/>
                <w:b/>
                <w:bCs/>
                <w:color w:val="000000"/>
                <w:szCs w:val="24"/>
              </w:rPr>
            </w:pPr>
            <w:r w:rsidRPr="00CB410F">
              <w:rPr>
                <w:rFonts w:cs="Arial"/>
                <w:b/>
                <w:bCs/>
                <w:color w:val="000000"/>
                <w:szCs w:val="24"/>
              </w:rPr>
              <w:t>Ratio</w:t>
            </w:r>
          </w:p>
        </w:tc>
        <w:tc>
          <w:tcPr>
            <w:tcW w:w="979" w:type="pct"/>
            <w:tcBorders>
              <w:top w:val="nil"/>
              <w:left w:val="nil"/>
              <w:bottom w:val="single" w:sz="4" w:space="0" w:color="auto"/>
              <w:right w:val="single" w:sz="4" w:space="0" w:color="auto"/>
            </w:tcBorders>
            <w:noWrap/>
            <w:vAlign w:val="bottom"/>
            <w:hideMark/>
          </w:tcPr>
          <w:p w14:paraId="66F690F0" w14:textId="77777777" w:rsidR="00CB410F" w:rsidRPr="00CB410F" w:rsidRDefault="00CB410F" w:rsidP="00673BF2">
            <w:pPr>
              <w:spacing w:after="0"/>
              <w:jc w:val="center"/>
              <w:rPr>
                <w:rFonts w:cs="Arial"/>
                <w:b/>
                <w:bCs/>
                <w:color w:val="000000"/>
                <w:szCs w:val="24"/>
              </w:rPr>
            </w:pPr>
            <w:r w:rsidRPr="00CB410F">
              <w:rPr>
                <w:rFonts w:cs="Arial"/>
                <w:b/>
                <w:bCs/>
                <w:color w:val="000000"/>
                <w:szCs w:val="24"/>
              </w:rPr>
              <w:t>Formula</w:t>
            </w:r>
          </w:p>
        </w:tc>
        <w:tc>
          <w:tcPr>
            <w:tcW w:w="706" w:type="pct"/>
            <w:tcBorders>
              <w:top w:val="nil"/>
              <w:left w:val="nil"/>
              <w:bottom w:val="single" w:sz="4" w:space="0" w:color="auto"/>
              <w:right w:val="single" w:sz="4" w:space="0" w:color="auto"/>
            </w:tcBorders>
            <w:noWrap/>
            <w:vAlign w:val="bottom"/>
            <w:hideMark/>
          </w:tcPr>
          <w:p w14:paraId="1C233A94" w14:textId="77777777" w:rsidR="00CB410F" w:rsidRPr="00CB410F" w:rsidRDefault="00CB410F" w:rsidP="00673BF2">
            <w:pPr>
              <w:spacing w:after="0"/>
              <w:jc w:val="center"/>
              <w:rPr>
                <w:rFonts w:cs="Arial"/>
                <w:b/>
                <w:bCs/>
                <w:color w:val="000000"/>
                <w:szCs w:val="24"/>
              </w:rPr>
            </w:pPr>
            <w:r w:rsidRPr="00CB410F">
              <w:rPr>
                <w:rFonts w:cs="Arial"/>
                <w:b/>
                <w:bCs/>
                <w:color w:val="000000"/>
                <w:szCs w:val="24"/>
              </w:rPr>
              <w:t>2024 (Amount &amp; Result)</w:t>
            </w:r>
          </w:p>
        </w:tc>
        <w:tc>
          <w:tcPr>
            <w:tcW w:w="706" w:type="pct"/>
            <w:tcBorders>
              <w:top w:val="nil"/>
              <w:left w:val="nil"/>
              <w:bottom w:val="single" w:sz="4" w:space="0" w:color="auto"/>
              <w:right w:val="single" w:sz="4" w:space="0" w:color="auto"/>
            </w:tcBorders>
            <w:noWrap/>
            <w:vAlign w:val="bottom"/>
            <w:hideMark/>
          </w:tcPr>
          <w:p w14:paraId="0E8B0F1E" w14:textId="77777777" w:rsidR="00CB410F" w:rsidRPr="00CB410F" w:rsidRDefault="00CB410F" w:rsidP="00673BF2">
            <w:pPr>
              <w:spacing w:after="0"/>
              <w:jc w:val="center"/>
              <w:rPr>
                <w:rFonts w:cs="Arial"/>
                <w:b/>
                <w:bCs/>
                <w:color w:val="000000"/>
                <w:szCs w:val="24"/>
              </w:rPr>
            </w:pPr>
            <w:r w:rsidRPr="00CB410F">
              <w:rPr>
                <w:rFonts w:cs="Arial"/>
                <w:b/>
                <w:bCs/>
                <w:color w:val="000000"/>
                <w:szCs w:val="24"/>
              </w:rPr>
              <w:t>2023</w:t>
            </w:r>
          </w:p>
        </w:tc>
        <w:tc>
          <w:tcPr>
            <w:tcW w:w="682" w:type="pct"/>
            <w:tcBorders>
              <w:top w:val="nil"/>
              <w:left w:val="nil"/>
              <w:bottom w:val="single" w:sz="4" w:space="0" w:color="auto"/>
              <w:right w:val="single" w:sz="4" w:space="0" w:color="auto"/>
            </w:tcBorders>
            <w:noWrap/>
            <w:vAlign w:val="bottom"/>
            <w:hideMark/>
          </w:tcPr>
          <w:p w14:paraId="07CFB317" w14:textId="77777777" w:rsidR="00CB410F" w:rsidRPr="00CB410F" w:rsidRDefault="00CB410F" w:rsidP="00673BF2">
            <w:pPr>
              <w:spacing w:after="0"/>
              <w:jc w:val="center"/>
              <w:rPr>
                <w:rFonts w:cs="Arial"/>
                <w:b/>
                <w:bCs/>
                <w:color w:val="000000"/>
                <w:szCs w:val="24"/>
              </w:rPr>
            </w:pPr>
            <w:r w:rsidRPr="00CB410F">
              <w:rPr>
                <w:rFonts w:cs="Arial"/>
                <w:b/>
                <w:bCs/>
                <w:color w:val="000000"/>
                <w:szCs w:val="24"/>
              </w:rPr>
              <w:t>2022</w:t>
            </w:r>
          </w:p>
        </w:tc>
        <w:tc>
          <w:tcPr>
            <w:tcW w:w="682" w:type="pct"/>
            <w:tcBorders>
              <w:top w:val="nil"/>
              <w:left w:val="nil"/>
              <w:bottom w:val="single" w:sz="4" w:space="0" w:color="auto"/>
              <w:right w:val="single" w:sz="4" w:space="0" w:color="auto"/>
            </w:tcBorders>
            <w:noWrap/>
            <w:vAlign w:val="bottom"/>
            <w:hideMark/>
          </w:tcPr>
          <w:p w14:paraId="46162DE1" w14:textId="77777777" w:rsidR="00CB410F" w:rsidRPr="00CB410F" w:rsidRDefault="00CB410F" w:rsidP="00673BF2">
            <w:pPr>
              <w:spacing w:after="0"/>
              <w:jc w:val="center"/>
              <w:rPr>
                <w:rFonts w:cs="Arial"/>
                <w:b/>
                <w:bCs/>
                <w:color w:val="000000"/>
                <w:szCs w:val="24"/>
              </w:rPr>
            </w:pPr>
            <w:r w:rsidRPr="00CB410F">
              <w:rPr>
                <w:rFonts w:cs="Arial"/>
                <w:b/>
                <w:bCs/>
                <w:color w:val="000000"/>
                <w:szCs w:val="24"/>
              </w:rPr>
              <w:t>2021</w:t>
            </w:r>
          </w:p>
        </w:tc>
        <w:tc>
          <w:tcPr>
            <w:tcW w:w="682" w:type="pct"/>
            <w:tcBorders>
              <w:top w:val="nil"/>
              <w:left w:val="nil"/>
              <w:bottom w:val="single" w:sz="4" w:space="0" w:color="auto"/>
              <w:right w:val="single" w:sz="4" w:space="0" w:color="auto"/>
            </w:tcBorders>
            <w:noWrap/>
            <w:vAlign w:val="bottom"/>
            <w:hideMark/>
          </w:tcPr>
          <w:p w14:paraId="5BEAF73D" w14:textId="77777777" w:rsidR="00CB410F" w:rsidRPr="00CB410F" w:rsidRDefault="00CB410F" w:rsidP="00673BF2">
            <w:pPr>
              <w:spacing w:after="0"/>
              <w:jc w:val="center"/>
              <w:rPr>
                <w:rFonts w:cs="Arial"/>
                <w:b/>
                <w:bCs/>
                <w:color w:val="000000"/>
                <w:szCs w:val="24"/>
              </w:rPr>
            </w:pPr>
            <w:r w:rsidRPr="00CB410F">
              <w:rPr>
                <w:rFonts w:cs="Arial"/>
                <w:b/>
                <w:bCs/>
                <w:color w:val="000000"/>
                <w:szCs w:val="24"/>
              </w:rPr>
              <w:t>2020</w:t>
            </w:r>
          </w:p>
        </w:tc>
      </w:tr>
      <w:tr w:rsidR="00CB410F" w:rsidRPr="00CB410F" w14:paraId="2E90BB4A" w14:textId="77777777" w:rsidTr="00673BF2">
        <w:trPr>
          <w:trHeight w:val="737"/>
        </w:trPr>
        <w:tc>
          <w:tcPr>
            <w:tcW w:w="563" w:type="pct"/>
            <w:tcBorders>
              <w:top w:val="nil"/>
              <w:left w:val="single" w:sz="4" w:space="0" w:color="auto"/>
              <w:bottom w:val="single" w:sz="4" w:space="0" w:color="auto"/>
              <w:right w:val="single" w:sz="4" w:space="0" w:color="auto"/>
            </w:tcBorders>
            <w:noWrap/>
            <w:vAlign w:val="bottom"/>
            <w:hideMark/>
          </w:tcPr>
          <w:p w14:paraId="255DE69A" w14:textId="77777777" w:rsidR="00CB410F" w:rsidRPr="00CB410F" w:rsidRDefault="00CB410F" w:rsidP="00673BF2">
            <w:pPr>
              <w:spacing w:after="0"/>
              <w:jc w:val="left"/>
              <w:rPr>
                <w:rFonts w:cs="Arial"/>
                <w:b/>
                <w:i/>
                <w:color w:val="000000"/>
                <w:szCs w:val="24"/>
              </w:rPr>
            </w:pPr>
            <w:r w:rsidRPr="00CB410F">
              <w:rPr>
                <w:rFonts w:cs="Arial"/>
                <w:b/>
                <w:i/>
                <w:color w:val="000000"/>
                <w:szCs w:val="24"/>
              </w:rPr>
              <w:t>Gross Profit Margin (%)</w:t>
            </w:r>
          </w:p>
        </w:tc>
        <w:tc>
          <w:tcPr>
            <w:tcW w:w="979" w:type="pct"/>
            <w:tcBorders>
              <w:top w:val="nil"/>
              <w:left w:val="nil"/>
              <w:bottom w:val="single" w:sz="4" w:space="0" w:color="auto"/>
              <w:right w:val="single" w:sz="4" w:space="0" w:color="auto"/>
            </w:tcBorders>
            <w:noWrap/>
            <w:vAlign w:val="bottom"/>
            <w:hideMark/>
          </w:tcPr>
          <w:p w14:paraId="1E6462C3" w14:textId="77777777" w:rsidR="00CB410F" w:rsidRPr="00CB410F" w:rsidRDefault="00CB410F" w:rsidP="00673BF2">
            <w:pPr>
              <w:spacing w:after="0"/>
              <w:jc w:val="left"/>
              <w:rPr>
                <w:rFonts w:cs="Arial"/>
                <w:color w:val="000000"/>
                <w:szCs w:val="24"/>
              </w:rPr>
            </w:pPr>
            <w:r w:rsidRPr="00CB410F">
              <w:rPr>
                <w:rFonts w:cs="Arial"/>
                <w:color w:val="000000"/>
                <w:szCs w:val="24"/>
              </w:rPr>
              <w:t>Gross Profit ÷ Net Sales × 100</w:t>
            </w:r>
          </w:p>
        </w:tc>
        <w:tc>
          <w:tcPr>
            <w:tcW w:w="706" w:type="pct"/>
            <w:tcBorders>
              <w:top w:val="nil"/>
              <w:left w:val="nil"/>
              <w:bottom w:val="single" w:sz="4" w:space="0" w:color="auto"/>
              <w:right w:val="single" w:sz="4" w:space="0" w:color="auto"/>
            </w:tcBorders>
            <w:noWrap/>
            <w:vAlign w:val="bottom"/>
            <w:hideMark/>
          </w:tcPr>
          <w:p w14:paraId="0C2D8AE4" w14:textId="77777777" w:rsidR="00CB410F" w:rsidRPr="00CB410F" w:rsidRDefault="00CB410F" w:rsidP="00673BF2">
            <w:pPr>
              <w:spacing w:after="0"/>
              <w:jc w:val="left"/>
              <w:rPr>
                <w:rFonts w:cs="Arial"/>
                <w:color w:val="000000"/>
                <w:szCs w:val="24"/>
              </w:rPr>
            </w:pPr>
            <w:r w:rsidRPr="00CB410F">
              <w:rPr>
                <w:rFonts w:cs="Arial"/>
                <w:color w:val="000000"/>
                <w:szCs w:val="24"/>
              </w:rPr>
              <w:t>113,994 ÷ 394,879 = 28.87%</w:t>
            </w:r>
          </w:p>
        </w:tc>
        <w:tc>
          <w:tcPr>
            <w:tcW w:w="706" w:type="pct"/>
            <w:tcBorders>
              <w:top w:val="nil"/>
              <w:left w:val="nil"/>
              <w:bottom w:val="single" w:sz="4" w:space="0" w:color="auto"/>
              <w:right w:val="single" w:sz="4" w:space="0" w:color="auto"/>
            </w:tcBorders>
            <w:noWrap/>
            <w:vAlign w:val="bottom"/>
            <w:hideMark/>
          </w:tcPr>
          <w:p w14:paraId="4A35FB35" w14:textId="77777777" w:rsidR="00CB410F" w:rsidRPr="00CB410F" w:rsidRDefault="00CB410F" w:rsidP="00673BF2">
            <w:pPr>
              <w:spacing w:after="0"/>
              <w:jc w:val="left"/>
              <w:rPr>
                <w:rFonts w:cs="Arial"/>
                <w:color w:val="000000"/>
                <w:szCs w:val="24"/>
              </w:rPr>
            </w:pPr>
            <w:r w:rsidRPr="00CB410F">
              <w:rPr>
                <w:rFonts w:cs="Arial"/>
                <w:color w:val="000000"/>
                <w:szCs w:val="24"/>
              </w:rPr>
              <w:t>97,560 ÷ 420,457 = 23.20%</w:t>
            </w:r>
          </w:p>
        </w:tc>
        <w:tc>
          <w:tcPr>
            <w:tcW w:w="682" w:type="pct"/>
            <w:tcBorders>
              <w:top w:val="nil"/>
              <w:left w:val="nil"/>
              <w:bottom w:val="single" w:sz="4" w:space="0" w:color="auto"/>
              <w:right w:val="single" w:sz="4" w:space="0" w:color="auto"/>
            </w:tcBorders>
            <w:noWrap/>
            <w:vAlign w:val="bottom"/>
            <w:hideMark/>
          </w:tcPr>
          <w:p w14:paraId="13F30ACE" w14:textId="77777777" w:rsidR="00CB410F" w:rsidRPr="00CB410F" w:rsidRDefault="00CB410F" w:rsidP="00673BF2">
            <w:pPr>
              <w:spacing w:after="0"/>
              <w:jc w:val="left"/>
              <w:rPr>
                <w:rFonts w:cs="Arial"/>
                <w:color w:val="000000"/>
                <w:szCs w:val="24"/>
              </w:rPr>
            </w:pPr>
            <w:r w:rsidRPr="00CB410F">
              <w:rPr>
                <w:rFonts w:cs="Arial"/>
                <w:color w:val="000000"/>
                <w:szCs w:val="24"/>
              </w:rPr>
              <w:t>152,292 ÷ 542,751 = 28.06%</w:t>
            </w:r>
          </w:p>
        </w:tc>
        <w:tc>
          <w:tcPr>
            <w:tcW w:w="682" w:type="pct"/>
            <w:tcBorders>
              <w:top w:val="nil"/>
              <w:left w:val="nil"/>
              <w:bottom w:val="single" w:sz="4" w:space="0" w:color="auto"/>
              <w:right w:val="single" w:sz="4" w:space="0" w:color="auto"/>
            </w:tcBorders>
            <w:noWrap/>
            <w:vAlign w:val="bottom"/>
            <w:hideMark/>
          </w:tcPr>
          <w:p w14:paraId="6DF23F8C" w14:textId="77777777" w:rsidR="00CB410F" w:rsidRPr="00CB410F" w:rsidRDefault="00CB410F" w:rsidP="00673BF2">
            <w:pPr>
              <w:spacing w:after="0"/>
              <w:jc w:val="left"/>
              <w:rPr>
                <w:rFonts w:cs="Arial"/>
                <w:color w:val="000000"/>
                <w:szCs w:val="24"/>
              </w:rPr>
            </w:pPr>
            <w:r w:rsidRPr="00CB410F">
              <w:rPr>
                <w:rFonts w:cs="Arial"/>
                <w:color w:val="000000"/>
                <w:szCs w:val="24"/>
              </w:rPr>
              <w:t>173,016 ÷ 601,602 = 28.76%</w:t>
            </w:r>
          </w:p>
        </w:tc>
        <w:tc>
          <w:tcPr>
            <w:tcW w:w="682" w:type="pct"/>
            <w:tcBorders>
              <w:top w:val="nil"/>
              <w:left w:val="nil"/>
              <w:bottom w:val="single" w:sz="4" w:space="0" w:color="auto"/>
              <w:right w:val="single" w:sz="4" w:space="0" w:color="auto"/>
            </w:tcBorders>
            <w:noWrap/>
            <w:vAlign w:val="bottom"/>
            <w:hideMark/>
          </w:tcPr>
          <w:p w14:paraId="017CDF57" w14:textId="77777777" w:rsidR="00CB410F" w:rsidRPr="00CB410F" w:rsidRDefault="00CB410F" w:rsidP="00673BF2">
            <w:pPr>
              <w:spacing w:after="0"/>
              <w:jc w:val="left"/>
              <w:rPr>
                <w:rFonts w:cs="Arial"/>
                <w:color w:val="000000"/>
                <w:szCs w:val="24"/>
              </w:rPr>
            </w:pPr>
            <w:r w:rsidRPr="00CB410F">
              <w:rPr>
                <w:rFonts w:cs="Arial"/>
                <w:color w:val="000000"/>
                <w:szCs w:val="24"/>
              </w:rPr>
              <w:t>176,256 ÷ 614,680 = 28.67%</w:t>
            </w:r>
          </w:p>
        </w:tc>
      </w:tr>
      <w:tr w:rsidR="00CB410F" w:rsidRPr="00CB410F" w14:paraId="5A9B316B" w14:textId="77777777" w:rsidTr="00673BF2">
        <w:trPr>
          <w:trHeight w:val="737"/>
        </w:trPr>
        <w:tc>
          <w:tcPr>
            <w:tcW w:w="563" w:type="pct"/>
            <w:tcBorders>
              <w:top w:val="nil"/>
              <w:left w:val="single" w:sz="4" w:space="0" w:color="auto"/>
              <w:bottom w:val="single" w:sz="4" w:space="0" w:color="auto"/>
              <w:right w:val="single" w:sz="4" w:space="0" w:color="auto"/>
            </w:tcBorders>
            <w:noWrap/>
            <w:vAlign w:val="bottom"/>
            <w:hideMark/>
          </w:tcPr>
          <w:p w14:paraId="016DBF95" w14:textId="77777777" w:rsidR="00CB410F" w:rsidRPr="00CB410F" w:rsidRDefault="00CB410F" w:rsidP="00673BF2">
            <w:pPr>
              <w:spacing w:after="0"/>
              <w:jc w:val="left"/>
              <w:rPr>
                <w:rFonts w:cs="Arial"/>
                <w:b/>
                <w:i/>
                <w:color w:val="000000"/>
                <w:szCs w:val="24"/>
              </w:rPr>
            </w:pPr>
            <w:r w:rsidRPr="00CB410F">
              <w:rPr>
                <w:rFonts w:cs="Arial"/>
                <w:b/>
                <w:i/>
                <w:color w:val="000000"/>
                <w:szCs w:val="24"/>
              </w:rPr>
              <w:t>Net Profit Margin (%)</w:t>
            </w:r>
          </w:p>
        </w:tc>
        <w:tc>
          <w:tcPr>
            <w:tcW w:w="979" w:type="pct"/>
            <w:tcBorders>
              <w:top w:val="nil"/>
              <w:left w:val="nil"/>
              <w:bottom w:val="single" w:sz="4" w:space="0" w:color="auto"/>
              <w:right w:val="single" w:sz="4" w:space="0" w:color="auto"/>
            </w:tcBorders>
            <w:noWrap/>
            <w:vAlign w:val="bottom"/>
            <w:hideMark/>
          </w:tcPr>
          <w:p w14:paraId="6A5B70DC" w14:textId="77777777" w:rsidR="00CB410F" w:rsidRPr="00CB410F" w:rsidRDefault="00CB410F" w:rsidP="00673BF2">
            <w:pPr>
              <w:spacing w:after="0"/>
              <w:jc w:val="left"/>
              <w:rPr>
                <w:rFonts w:cs="Arial"/>
                <w:color w:val="000000"/>
                <w:szCs w:val="24"/>
              </w:rPr>
            </w:pPr>
            <w:r w:rsidRPr="00CB410F">
              <w:rPr>
                <w:rFonts w:cs="Arial"/>
                <w:color w:val="000000"/>
                <w:szCs w:val="24"/>
              </w:rPr>
              <w:t>Net Income ÷ Net Sales × 100</w:t>
            </w:r>
          </w:p>
        </w:tc>
        <w:tc>
          <w:tcPr>
            <w:tcW w:w="706" w:type="pct"/>
            <w:tcBorders>
              <w:top w:val="nil"/>
              <w:left w:val="nil"/>
              <w:bottom w:val="single" w:sz="4" w:space="0" w:color="auto"/>
              <w:right w:val="single" w:sz="4" w:space="0" w:color="auto"/>
            </w:tcBorders>
            <w:noWrap/>
            <w:vAlign w:val="bottom"/>
            <w:hideMark/>
          </w:tcPr>
          <w:p w14:paraId="5105932F" w14:textId="77777777" w:rsidR="00CB410F" w:rsidRPr="00CB410F" w:rsidRDefault="00CB410F" w:rsidP="00673BF2">
            <w:pPr>
              <w:spacing w:after="0"/>
              <w:jc w:val="left"/>
              <w:rPr>
                <w:rFonts w:cs="Arial"/>
                <w:color w:val="000000"/>
                <w:szCs w:val="24"/>
              </w:rPr>
            </w:pPr>
            <w:r w:rsidRPr="00CB410F">
              <w:rPr>
                <w:rFonts w:cs="Arial"/>
                <w:color w:val="000000"/>
                <w:szCs w:val="24"/>
              </w:rPr>
              <w:t>(24,029) ÷ 394,879 = -6.09%</w:t>
            </w:r>
          </w:p>
        </w:tc>
        <w:tc>
          <w:tcPr>
            <w:tcW w:w="706" w:type="pct"/>
            <w:tcBorders>
              <w:top w:val="nil"/>
              <w:left w:val="nil"/>
              <w:bottom w:val="single" w:sz="4" w:space="0" w:color="auto"/>
              <w:right w:val="single" w:sz="4" w:space="0" w:color="auto"/>
            </w:tcBorders>
            <w:noWrap/>
            <w:vAlign w:val="bottom"/>
            <w:hideMark/>
          </w:tcPr>
          <w:p w14:paraId="5DEC44F2" w14:textId="77777777" w:rsidR="00CB410F" w:rsidRPr="00CB410F" w:rsidRDefault="00CB410F" w:rsidP="00673BF2">
            <w:pPr>
              <w:spacing w:after="0"/>
              <w:jc w:val="left"/>
              <w:rPr>
                <w:rFonts w:cs="Arial"/>
                <w:color w:val="000000"/>
                <w:szCs w:val="24"/>
              </w:rPr>
            </w:pPr>
            <w:r w:rsidRPr="00CB410F">
              <w:rPr>
                <w:rFonts w:cs="Arial"/>
                <w:color w:val="000000"/>
                <w:szCs w:val="24"/>
              </w:rPr>
              <w:t>(98,238) ÷ 420,457 = -23.37%</w:t>
            </w:r>
          </w:p>
        </w:tc>
        <w:tc>
          <w:tcPr>
            <w:tcW w:w="682" w:type="pct"/>
            <w:tcBorders>
              <w:top w:val="nil"/>
              <w:left w:val="nil"/>
              <w:bottom w:val="single" w:sz="4" w:space="0" w:color="auto"/>
              <w:right w:val="single" w:sz="4" w:space="0" w:color="auto"/>
            </w:tcBorders>
            <w:noWrap/>
            <w:vAlign w:val="bottom"/>
            <w:hideMark/>
          </w:tcPr>
          <w:p w14:paraId="4C1DCDB5" w14:textId="77777777" w:rsidR="00CB410F" w:rsidRPr="00CB410F" w:rsidRDefault="00CB410F" w:rsidP="00673BF2">
            <w:pPr>
              <w:spacing w:after="0"/>
              <w:jc w:val="left"/>
              <w:rPr>
                <w:rFonts w:cs="Arial"/>
                <w:color w:val="000000"/>
                <w:szCs w:val="24"/>
              </w:rPr>
            </w:pPr>
            <w:r w:rsidRPr="00CB410F">
              <w:rPr>
                <w:rFonts w:cs="Arial"/>
                <w:color w:val="000000"/>
                <w:szCs w:val="24"/>
              </w:rPr>
              <w:t>407 ÷ 542,751 = 0.07%</w:t>
            </w:r>
          </w:p>
        </w:tc>
        <w:tc>
          <w:tcPr>
            <w:tcW w:w="682" w:type="pct"/>
            <w:tcBorders>
              <w:top w:val="nil"/>
              <w:left w:val="nil"/>
              <w:bottom w:val="single" w:sz="4" w:space="0" w:color="auto"/>
              <w:right w:val="single" w:sz="4" w:space="0" w:color="auto"/>
            </w:tcBorders>
            <w:noWrap/>
            <w:vAlign w:val="bottom"/>
            <w:hideMark/>
          </w:tcPr>
          <w:p w14:paraId="2E6971C5" w14:textId="77777777" w:rsidR="00CB410F" w:rsidRPr="00CB410F" w:rsidRDefault="00CB410F" w:rsidP="00673BF2">
            <w:pPr>
              <w:spacing w:after="0"/>
              <w:jc w:val="left"/>
              <w:rPr>
                <w:rFonts w:cs="Arial"/>
                <w:color w:val="000000"/>
                <w:szCs w:val="24"/>
              </w:rPr>
            </w:pPr>
            <w:r w:rsidRPr="00CB410F">
              <w:rPr>
                <w:rFonts w:cs="Arial"/>
                <w:color w:val="000000"/>
                <w:szCs w:val="24"/>
              </w:rPr>
              <w:t>5,301 ÷ 601,602 = 0.88%</w:t>
            </w:r>
          </w:p>
        </w:tc>
        <w:tc>
          <w:tcPr>
            <w:tcW w:w="682" w:type="pct"/>
            <w:tcBorders>
              <w:top w:val="nil"/>
              <w:left w:val="nil"/>
              <w:bottom w:val="single" w:sz="4" w:space="0" w:color="auto"/>
              <w:right w:val="single" w:sz="4" w:space="0" w:color="auto"/>
            </w:tcBorders>
            <w:noWrap/>
            <w:vAlign w:val="bottom"/>
            <w:hideMark/>
          </w:tcPr>
          <w:p w14:paraId="1E3E6451" w14:textId="77777777" w:rsidR="00CB410F" w:rsidRPr="00CB410F" w:rsidRDefault="00CB410F" w:rsidP="00673BF2">
            <w:pPr>
              <w:spacing w:after="0"/>
              <w:jc w:val="left"/>
              <w:rPr>
                <w:rFonts w:cs="Arial"/>
                <w:color w:val="000000"/>
                <w:szCs w:val="24"/>
              </w:rPr>
            </w:pPr>
            <w:r w:rsidRPr="00CB410F">
              <w:rPr>
                <w:rFonts w:cs="Arial"/>
                <w:color w:val="000000"/>
                <w:szCs w:val="24"/>
              </w:rPr>
              <w:t>38,572 ÷ 614,680 = 6.28%</w:t>
            </w:r>
          </w:p>
        </w:tc>
      </w:tr>
      <w:tr w:rsidR="00CB410F" w:rsidRPr="00CB410F" w14:paraId="00B4C01E" w14:textId="77777777" w:rsidTr="00673BF2">
        <w:trPr>
          <w:trHeight w:val="737"/>
        </w:trPr>
        <w:tc>
          <w:tcPr>
            <w:tcW w:w="563" w:type="pct"/>
            <w:tcBorders>
              <w:top w:val="nil"/>
              <w:left w:val="single" w:sz="4" w:space="0" w:color="auto"/>
              <w:bottom w:val="single" w:sz="4" w:space="0" w:color="auto"/>
              <w:right w:val="single" w:sz="4" w:space="0" w:color="auto"/>
            </w:tcBorders>
            <w:noWrap/>
            <w:vAlign w:val="bottom"/>
            <w:hideMark/>
          </w:tcPr>
          <w:p w14:paraId="0EC3C657" w14:textId="77777777" w:rsidR="00CB410F" w:rsidRPr="00CB410F" w:rsidRDefault="00CB410F" w:rsidP="00673BF2">
            <w:pPr>
              <w:spacing w:after="0"/>
              <w:jc w:val="left"/>
              <w:rPr>
                <w:rFonts w:cs="Arial"/>
                <w:b/>
                <w:i/>
                <w:color w:val="000000"/>
                <w:szCs w:val="24"/>
              </w:rPr>
            </w:pPr>
            <w:r w:rsidRPr="00CB410F">
              <w:rPr>
                <w:rFonts w:cs="Arial"/>
                <w:b/>
                <w:i/>
                <w:color w:val="000000"/>
                <w:szCs w:val="24"/>
              </w:rPr>
              <w:t>ROA (%)</w:t>
            </w:r>
          </w:p>
        </w:tc>
        <w:tc>
          <w:tcPr>
            <w:tcW w:w="979" w:type="pct"/>
            <w:tcBorders>
              <w:top w:val="nil"/>
              <w:left w:val="nil"/>
              <w:bottom w:val="single" w:sz="4" w:space="0" w:color="auto"/>
              <w:right w:val="single" w:sz="4" w:space="0" w:color="auto"/>
            </w:tcBorders>
            <w:noWrap/>
            <w:vAlign w:val="bottom"/>
            <w:hideMark/>
          </w:tcPr>
          <w:p w14:paraId="079CC3BD" w14:textId="77777777" w:rsidR="00CB410F" w:rsidRPr="00CB410F" w:rsidRDefault="00CB410F" w:rsidP="00673BF2">
            <w:pPr>
              <w:spacing w:after="0"/>
              <w:jc w:val="left"/>
              <w:rPr>
                <w:rFonts w:cs="Arial"/>
                <w:color w:val="000000"/>
                <w:szCs w:val="24"/>
              </w:rPr>
            </w:pPr>
            <w:r w:rsidRPr="00CB410F">
              <w:rPr>
                <w:rFonts w:cs="Arial"/>
                <w:color w:val="000000"/>
                <w:szCs w:val="24"/>
              </w:rPr>
              <w:t>Net Income ÷ Total Assets × 100</w:t>
            </w:r>
          </w:p>
        </w:tc>
        <w:tc>
          <w:tcPr>
            <w:tcW w:w="706" w:type="pct"/>
            <w:tcBorders>
              <w:top w:val="nil"/>
              <w:left w:val="nil"/>
              <w:bottom w:val="single" w:sz="4" w:space="0" w:color="auto"/>
              <w:right w:val="single" w:sz="4" w:space="0" w:color="auto"/>
            </w:tcBorders>
            <w:noWrap/>
            <w:vAlign w:val="bottom"/>
            <w:hideMark/>
          </w:tcPr>
          <w:p w14:paraId="240DCBC1" w14:textId="77777777" w:rsidR="00CB410F" w:rsidRPr="00CB410F" w:rsidRDefault="00CB410F" w:rsidP="00673BF2">
            <w:pPr>
              <w:spacing w:after="0"/>
              <w:jc w:val="left"/>
              <w:rPr>
                <w:rFonts w:cs="Arial"/>
                <w:color w:val="000000"/>
                <w:szCs w:val="24"/>
              </w:rPr>
            </w:pPr>
            <w:r w:rsidRPr="00CB410F">
              <w:rPr>
                <w:rFonts w:cs="Arial"/>
                <w:color w:val="000000"/>
                <w:szCs w:val="24"/>
              </w:rPr>
              <w:t>(24,029) ÷ 323,354 = -7.43%</w:t>
            </w:r>
          </w:p>
        </w:tc>
        <w:tc>
          <w:tcPr>
            <w:tcW w:w="706" w:type="pct"/>
            <w:tcBorders>
              <w:top w:val="nil"/>
              <w:left w:val="nil"/>
              <w:bottom w:val="single" w:sz="4" w:space="0" w:color="auto"/>
              <w:right w:val="single" w:sz="4" w:space="0" w:color="auto"/>
            </w:tcBorders>
            <w:noWrap/>
            <w:vAlign w:val="bottom"/>
            <w:hideMark/>
          </w:tcPr>
          <w:p w14:paraId="404E7764" w14:textId="77777777" w:rsidR="00CB410F" w:rsidRPr="00CB410F" w:rsidRDefault="00CB410F" w:rsidP="00673BF2">
            <w:pPr>
              <w:spacing w:after="0"/>
              <w:jc w:val="left"/>
              <w:rPr>
                <w:rFonts w:cs="Arial"/>
                <w:color w:val="000000"/>
                <w:szCs w:val="24"/>
              </w:rPr>
            </w:pPr>
            <w:r w:rsidRPr="00CB410F">
              <w:rPr>
                <w:rFonts w:cs="Arial"/>
                <w:color w:val="000000"/>
                <w:szCs w:val="24"/>
              </w:rPr>
              <w:t>(98,238) ÷ 355,872 = -27.61%</w:t>
            </w:r>
          </w:p>
        </w:tc>
        <w:tc>
          <w:tcPr>
            <w:tcW w:w="682" w:type="pct"/>
            <w:tcBorders>
              <w:top w:val="nil"/>
              <w:left w:val="nil"/>
              <w:bottom w:val="single" w:sz="4" w:space="0" w:color="auto"/>
              <w:right w:val="single" w:sz="4" w:space="0" w:color="auto"/>
            </w:tcBorders>
            <w:noWrap/>
            <w:vAlign w:val="bottom"/>
            <w:hideMark/>
          </w:tcPr>
          <w:p w14:paraId="1D470DB9" w14:textId="77777777" w:rsidR="00CB410F" w:rsidRPr="00CB410F" w:rsidRDefault="00CB410F" w:rsidP="00673BF2">
            <w:pPr>
              <w:spacing w:after="0"/>
              <w:jc w:val="left"/>
              <w:rPr>
                <w:rFonts w:cs="Arial"/>
                <w:color w:val="000000"/>
                <w:szCs w:val="24"/>
              </w:rPr>
            </w:pPr>
            <w:r w:rsidRPr="00CB410F">
              <w:rPr>
                <w:rFonts w:cs="Arial"/>
                <w:color w:val="000000"/>
                <w:szCs w:val="24"/>
              </w:rPr>
              <w:t>407 ÷ 504,163 = 0.08%</w:t>
            </w:r>
          </w:p>
        </w:tc>
        <w:tc>
          <w:tcPr>
            <w:tcW w:w="682" w:type="pct"/>
            <w:tcBorders>
              <w:top w:val="nil"/>
              <w:left w:val="nil"/>
              <w:bottom w:val="single" w:sz="4" w:space="0" w:color="auto"/>
              <w:right w:val="single" w:sz="4" w:space="0" w:color="auto"/>
            </w:tcBorders>
            <w:noWrap/>
            <w:vAlign w:val="bottom"/>
            <w:hideMark/>
          </w:tcPr>
          <w:p w14:paraId="49E6363E" w14:textId="77777777" w:rsidR="00CB410F" w:rsidRPr="00CB410F" w:rsidRDefault="00CB410F" w:rsidP="00673BF2">
            <w:pPr>
              <w:spacing w:after="0"/>
              <w:jc w:val="left"/>
              <w:rPr>
                <w:rFonts w:cs="Arial"/>
                <w:color w:val="000000"/>
                <w:szCs w:val="24"/>
              </w:rPr>
            </w:pPr>
            <w:r w:rsidRPr="00CB410F">
              <w:rPr>
                <w:rFonts w:cs="Arial"/>
                <w:color w:val="000000"/>
                <w:szCs w:val="24"/>
              </w:rPr>
              <w:t>5,301 ÷ 510,348 = 1.04%</w:t>
            </w:r>
          </w:p>
        </w:tc>
        <w:tc>
          <w:tcPr>
            <w:tcW w:w="682" w:type="pct"/>
            <w:tcBorders>
              <w:top w:val="nil"/>
              <w:left w:val="nil"/>
              <w:bottom w:val="single" w:sz="4" w:space="0" w:color="auto"/>
              <w:right w:val="single" w:sz="4" w:space="0" w:color="auto"/>
            </w:tcBorders>
            <w:noWrap/>
            <w:vAlign w:val="bottom"/>
            <w:hideMark/>
          </w:tcPr>
          <w:p w14:paraId="1FBBBFAB" w14:textId="77777777" w:rsidR="00CB410F" w:rsidRPr="00CB410F" w:rsidRDefault="00CB410F" w:rsidP="00673BF2">
            <w:pPr>
              <w:spacing w:after="0"/>
              <w:jc w:val="left"/>
              <w:rPr>
                <w:rFonts w:cs="Arial"/>
                <w:color w:val="000000"/>
                <w:szCs w:val="24"/>
              </w:rPr>
            </w:pPr>
            <w:r w:rsidRPr="00CB410F">
              <w:rPr>
                <w:rFonts w:cs="Arial"/>
                <w:color w:val="000000"/>
                <w:szCs w:val="24"/>
              </w:rPr>
              <w:t>38,572 ÷ 510,290 = 7.56%</w:t>
            </w:r>
          </w:p>
        </w:tc>
      </w:tr>
      <w:tr w:rsidR="00CB410F" w:rsidRPr="00CB410F" w14:paraId="5EAB3CCB" w14:textId="77777777" w:rsidTr="00673BF2">
        <w:trPr>
          <w:trHeight w:val="737"/>
        </w:trPr>
        <w:tc>
          <w:tcPr>
            <w:tcW w:w="563" w:type="pct"/>
            <w:tcBorders>
              <w:top w:val="nil"/>
              <w:left w:val="single" w:sz="4" w:space="0" w:color="auto"/>
              <w:bottom w:val="single" w:sz="4" w:space="0" w:color="auto"/>
              <w:right w:val="single" w:sz="4" w:space="0" w:color="auto"/>
            </w:tcBorders>
            <w:noWrap/>
            <w:vAlign w:val="bottom"/>
            <w:hideMark/>
          </w:tcPr>
          <w:p w14:paraId="313AECD5" w14:textId="77777777" w:rsidR="00CB410F" w:rsidRPr="00CB410F" w:rsidRDefault="00CB410F" w:rsidP="00673BF2">
            <w:pPr>
              <w:spacing w:after="0"/>
              <w:jc w:val="left"/>
              <w:rPr>
                <w:rFonts w:cs="Arial"/>
                <w:b/>
                <w:i/>
                <w:color w:val="000000"/>
                <w:szCs w:val="24"/>
              </w:rPr>
            </w:pPr>
            <w:r w:rsidRPr="00CB410F">
              <w:rPr>
                <w:rFonts w:cs="Arial"/>
                <w:b/>
                <w:i/>
                <w:color w:val="000000"/>
                <w:szCs w:val="24"/>
              </w:rPr>
              <w:t>ROE (%)</w:t>
            </w:r>
          </w:p>
        </w:tc>
        <w:tc>
          <w:tcPr>
            <w:tcW w:w="979" w:type="pct"/>
            <w:tcBorders>
              <w:top w:val="nil"/>
              <w:left w:val="nil"/>
              <w:bottom w:val="single" w:sz="4" w:space="0" w:color="auto"/>
              <w:right w:val="single" w:sz="4" w:space="0" w:color="auto"/>
            </w:tcBorders>
            <w:noWrap/>
            <w:vAlign w:val="bottom"/>
            <w:hideMark/>
          </w:tcPr>
          <w:p w14:paraId="3C9C681E" w14:textId="77777777" w:rsidR="00CB410F" w:rsidRPr="00CB410F" w:rsidRDefault="00CB410F" w:rsidP="00673BF2">
            <w:pPr>
              <w:spacing w:after="0"/>
              <w:jc w:val="left"/>
              <w:rPr>
                <w:rFonts w:cs="Arial"/>
                <w:color w:val="000000"/>
                <w:szCs w:val="24"/>
              </w:rPr>
            </w:pPr>
            <w:r w:rsidRPr="00CB410F">
              <w:rPr>
                <w:rFonts w:cs="Arial"/>
                <w:color w:val="000000"/>
                <w:szCs w:val="24"/>
              </w:rPr>
              <w:t>Net Income ÷ Shareholders’ Equity × 100</w:t>
            </w:r>
          </w:p>
        </w:tc>
        <w:tc>
          <w:tcPr>
            <w:tcW w:w="706" w:type="pct"/>
            <w:tcBorders>
              <w:top w:val="nil"/>
              <w:left w:val="nil"/>
              <w:bottom w:val="single" w:sz="4" w:space="0" w:color="auto"/>
              <w:right w:val="single" w:sz="4" w:space="0" w:color="auto"/>
            </w:tcBorders>
            <w:noWrap/>
            <w:vAlign w:val="bottom"/>
            <w:hideMark/>
          </w:tcPr>
          <w:p w14:paraId="575329D7" w14:textId="77777777" w:rsidR="00CB410F" w:rsidRPr="00CB410F" w:rsidRDefault="00CB410F" w:rsidP="00673BF2">
            <w:pPr>
              <w:spacing w:after="0"/>
              <w:jc w:val="left"/>
              <w:rPr>
                <w:rFonts w:cs="Arial"/>
                <w:color w:val="000000"/>
                <w:szCs w:val="24"/>
              </w:rPr>
            </w:pPr>
            <w:r w:rsidRPr="00CB410F">
              <w:rPr>
                <w:rFonts w:cs="Arial"/>
                <w:color w:val="000000"/>
                <w:szCs w:val="24"/>
              </w:rPr>
              <w:t>(24,029) ÷ 153,105 = -15.69%</w:t>
            </w:r>
          </w:p>
        </w:tc>
        <w:tc>
          <w:tcPr>
            <w:tcW w:w="706" w:type="pct"/>
            <w:tcBorders>
              <w:top w:val="nil"/>
              <w:left w:val="nil"/>
              <w:bottom w:val="single" w:sz="4" w:space="0" w:color="auto"/>
              <w:right w:val="single" w:sz="4" w:space="0" w:color="auto"/>
            </w:tcBorders>
            <w:noWrap/>
            <w:vAlign w:val="bottom"/>
            <w:hideMark/>
          </w:tcPr>
          <w:p w14:paraId="2C7904A8" w14:textId="77777777" w:rsidR="00CB410F" w:rsidRPr="00CB410F" w:rsidRDefault="00CB410F" w:rsidP="00673BF2">
            <w:pPr>
              <w:spacing w:after="0"/>
              <w:jc w:val="left"/>
              <w:rPr>
                <w:rFonts w:cs="Arial"/>
                <w:color w:val="000000"/>
                <w:szCs w:val="24"/>
              </w:rPr>
            </w:pPr>
            <w:r w:rsidRPr="00CB410F">
              <w:rPr>
                <w:rFonts w:cs="Arial"/>
                <w:color w:val="000000"/>
                <w:szCs w:val="24"/>
              </w:rPr>
              <w:t>(98,238) ÷ 178,920 = -54.91%</w:t>
            </w:r>
          </w:p>
        </w:tc>
        <w:tc>
          <w:tcPr>
            <w:tcW w:w="682" w:type="pct"/>
            <w:tcBorders>
              <w:top w:val="nil"/>
              <w:left w:val="nil"/>
              <w:bottom w:val="single" w:sz="4" w:space="0" w:color="auto"/>
              <w:right w:val="single" w:sz="4" w:space="0" w:color="auto"/>
            </w:tcBorders>
            <w:noWrap/>
            <w:vAlign w:val="bottom"/>
            <w:hideMark/>
          </w:tcPr>
          <w:p w14:paraId="39B47BEC" w14:textId="77777777" w:rsidR="00CB410F" w:rsidRPr="00CB410F" w:rsidRDefault="00CB410F" w:rsidP="00673BF2">
            <w:pPr>
              <w:spacing w:after="0"/>
              <w:jc w:val="left"/>
              <w:rPr>
                <w:rFonts w:cs="Arial"/>
                <w:color w:val="000000"/>
                <w:szCs w:val="24"/>
              </w:rPr>
            </w:pPr>
            <w:r w:rsidRPr="00CB410F">
              <w:rPr>
                <w:rFonts w:cs="Arial"/>
                <w:color w:val="000000"/>
                <w:szCs w:val="24"/>
              </w:rPr>
              <w:t>407 ÷ 268,406 = 0.15%</w:t>
            </w:r>
          </w:p>
        </w:tc>
        <w:tc>
          <w:tcPr>
            <w:tcW w:w="682" w:type="pct"/>
            <w:tcBorders>
              <w:top w:val="nil"/>
              <w:left w:val="nil"/>
              <w:bottom w:val="single" w:sz="4" w:space="0" w:color="auto"/>
              <w:right w:val="single" w:sz="4" w:space="0" w:color="auto"/>
            </w:tcBorders>
            <w:noWrap/>
            <w:vAlign w:val="bottom"/>
            <w:hideMark/>
          </w:tcPr>
          <w:p w14:paraId="5C02CCDF" w14:textId="77777777" w:rsidR="00CB410F" w:rsidRPr="00CB410F" w:rsidRDefault="00CB410F" w:rsidP="00673BF2">
            <w:pPr>
              <w:spacing w:after="0"/>
              <w:jc w:val="left"/>
              <w:rPr>
                <w:rFonts w:cs="Arial"/>
                <w:color w:val="000000"/>
                <w:szCs w:val="24"/>
              </w:rPr>
            </w:pPr>
            <w:r w:rsidRPr="00CB410F">
              <w:rPr>
                <w:rFonts w:cs="Arial"/>
                <w:color w:val="000000"/>
                <w:szCs w:val="24"/>
              </w:rPr>
              <w:t>5,301 ÷ 275,949 = 1.92%</w:t>
            </w:r>
          </w:p>
        </w:tc>
        <w:tc>
          <w:tcPr>
            <w:tcW w:w="682" w:type="pct"/>
            <w:tcBorders>
              <w:top w:val="nil"/>
              <w:left w:val="nil"/>
              <w:bottom w:val="single" w:sz="4" w:space="0" w:color="auto"/>
              <w:right w:val="single" w:sz="4" w:space="0" w:color="auto"/>
            </w:tcBorders>
            <w:noWrap/>
            <w:vAlign w:val="bottom"/>
            <w:hideMark/>
          </w:tcPr>
          <w:p w14:paraId="727A736E" w14:textId="77777777" w:rsidR="00CB410F" w:rsidRPr="00CB410F" w:rsidRDefault="00CB410F" w:rsidP="00673BF2">
            <w:pPr>
              <w:spacing w:after="0"/>
              <w:jc w:val="left"/>
              <w:rPr>
                <w:rFonts w:cs="Arial"/>
                <w:color w:val="000000"/>
                <w:szCs w:val="24"/>
              </w:rPr>
            </w:pPr>
            <w:r w:rsidRPr="00CB410F">
              <w:rPr>
                <w:rFonts w:cs="Arial"/>
                <w:color w:val="000000"/>
                <w:szCs w:val="24"/>
              </w:rPr>
              <w:t>38,572 ÷ 313,301 = 12.31%</w:t>
            </w:r>
          </w:p>
        </w:tc>
      </w:tr>
    </w:tbl>
    <w:p w14:paraId="2B2C88B6" w14:textId="7A51C541" w:rsidR="00EC72ED" w:rsidRPr="00755A9D" w:rsidRDefault="000529CC" w:rsidP="00755A9D">
      <w:pPr>
        <w:jc w:val="center"/>
        <w:rPr>
          <w:b/>
          <w:i/>
        </w:rPr>
      </w:pPr>
      <w:bookmarkStart w:id="8" w:name="_Toc216960970"/>
      <w:r w:rsidRPr="00755A9D">
        <w:rPr>
          <w:b/>
        </w:rPr>
        <w:t xml:space="preserve">Table </w:t>
      </w:r>
      <w:r w:rsidRPr="00755A9D">
        <w:rPr>
          <w:b/>
        </w:rPr>
        <w:fldChar w:fldCharType="begin"/>
      </w:r>
      <w:r w:rsidRPr="00755A9D">
        <w:rPr>
          <w:b/>
        </w:rPr>
        <w:instrText xml:space="preserve"> SEQ Table \* ARABIC </w:instrText>
      </w:r>
      <w:r w:rsidRPr="00755A9D">
        <w:rPr>
          <w:b/>
        </w:rPr>
        <w:fldChar w:fldCharType="separate"/>
      </w:r>
      <w:r w:rsidR="00152E13" w:rsidRPr="00755A9D">
        <w:rPr>
          <w:b/>
          <w:noProof/>
        </w:rPr>
        <w:t>1</w:t>
      </w:r>
      <w:r w:rsidRPr="00755A9D">
        <w:rPr>
          <w:b/>
        </w:rPr>
        <w:fldChar w:fldCharType="end"/>
      </w:r>
      <w:r w:rsidRPr="00755A9D">
        <w:rPr>
          <w:b/>
        </w:rPr>
        <w:t>: Profitability Ratios</w:t>
      </w:r>
      <w:bookmarkEnd w:id="8"/>
    </w:p>
    <w:p w14:paraId="6BDCE1E2" w14:textId="70E464AF" w:rsidR="00CB410F" w:rsidRPr="00CB410F" w:rsidRDefault="00CB410F" w:rsidP="00755A9D">
      <w:pPr>
        <w:jc w:val="center"/>
        <w:rPr>
          <w:lang w:val="en-IN"/>
        </w:rPr>
      </w:pPr>
      <w:r w:rsidRPr="00CB410F">
        <w:rPr>
          <w:lang w:val="en-IN"/>
        </w:rPr>
        <w:t>(Source: Refer to the excel sheet)</w:t>
      </w:r>
    </w:p>
    <w:tbl>
      <w:tblPr>
        <w:tblW w:w="5000" w:type="pct"/>
        <w:tblLayout w:type="fixed"/>
        <w:tblLook w:val="04A0" w:firstRow="1" w:lastRow="0" w:firstColumn="1" w:lastColumn="0" w:noHBand="0" w:noVBand="1"/>
      </w:tblPr>
      <w:tblGrid>
        <w:gridCol w:w="847"/>
        <w:gridCol w:w="1505"/>
        <w:gridCol w:w="1311"/>
        <w:gridCol w:w="1311"/>
        <w:gridCol w:w="1349"/>
        <w:gridCol w:w="1349"/>
        <w:gridCol w:w="1347"/>
      </w:tblGrid>
      <w:tr w:rsidR="00CB410F" w:rsidRPr="00CB410F" w14:paraId="0F9D281B" w14:textId="77777777" w:rsidTr="00C1466A">
        <w:trPr>
          <w:trHeight w:val="737"/>
        </w:trPr>
        <w:tc>
          <w:tcPr>
            <w:tcW w:w="5000" w:type="pct"/>
            <w:gridSpan w:val="7"/>
            <w:tcBorders>
              <w:top w:val="single" w:sz="4" w:space="0" w:color="auto"/>
              <w:left w:val="single" w:sz="4" w:space="0" w:color="auto"/>
              <w:bottom w:val="single" w:sz="4" w:space="0" w:color="auto"/>
              <w:right w:val="single" w:sz="4" w:space="0" w:color="000000"/>
            </w:tcBorders>
            <w:noWrap/>
            <w:vAlign w:val="bottom"/>
            <w:hideMark/>
          </w:tcPr>
          <w:p w14:paraId="13D28DF8" w14:textId="77777777" w:rsidR="00CB410F" w:rsidRPr="00CB410F" w:rsidRDefault="00CB410F" w:rsidP="00430AF9">
            <w:pPr>
              <w:spacing w:after="0"/>
              <w:jc w:val="center"/>
              <w:rPr>
                <w:rFonts w:cs="Arial"/>
                <w:b/>
                <w:bCs/>
                <w:color w:val="000000"/>
                <w:szCs w:val="24"/>
              </w:rPr>
            </w:pPr>
            <w:r w:rsidRPr="00CB410F">
              <w:rPr>
                <w:rFonts w:cs="Arial"/>
                <w:b/>
                <w:bCs/>
                <w:color w:val="000000"/>
                <w:szCs w:val="24"/>
              </w:rPr>
              <w:t>Liquidity Ratios</w:t>
            </w:r>
          </w:p>
        </w:tc>
      </w:tr>
      <w:tr w:rsidR="00CB410F" w:rsidRPr="00CB410F" w14:paraId="168D32F0" w14:textId="77777777" w:rsidTr="00C1466A">
        <w:trPr>
          <w:trHeight w:val="737"/>
        </w:trPr>
        <w:tc>
          <w:tcPr>
            <w:tcW w:w="469" w:type="pct"/>
            <w:tcBorders>
              <w:top w:val="nil"/>
              <w:left w:val="single" w:sz="4" w:space="0" w:color="auto"/>
              <w:bottom w:val="single" w:sz="4" w:space="0" w:color="auto"/>
              <w:right w:val="single" w:sz="4" w:space="0" w:color="auto"/>
            </w:tcBorders>
            <w:noWrap/>
            <w:vAlign w:val="bottom"/>
            <w:hideMark/>
          </w:tcPr>
          <w:p w14:paraId="1B185274" w14:textId="77777777" w:rsidR="00CB410F" w:rsidRPr="00CB410F" w:rsidRDefault="00CB410F" w:rsidP="00430AF9">
            <w:pPr>
              <w:spacing w:after="0"/>
              <w:jc w:val="left"/>
              <w:rPr>
                <w:rFonts w:cs="Arial"/>
                <w:b/>
                <w:bCs/>
                <w:color w:val="000000"/>
                <w:szCs w:val="24"/>
              </w:rPr>
            </w:pPr>
            <w:r w:rsidRPr="00CB410F">
              <w:rPr>
                <w:rFonts w:cs="Arial"/>
                <w:b/>
                <w:bCs/>
                <w:color w:val="000000"/>
                <w:szCs w:val="24"/>
              </w:rPr>
              <w:t>Ratio</w:t>
            </w:r>
          </w:p>
        </w:tc>
        <w:tc>
          <w:tcPr>
            <w:tcW w:w="834" w:type="pct"/>
            <w:tcBorders>
              <w:top w:val="nil"/>
              <w:left w:val="nil"/>
              <w:bottom w:val="single" w:sz="4" w:space="0" w:color="auto"/>
              <w:right w:val="single" w:sz="4" w:space="0" w:color="auto"/>
            </w:tcBorders>
            <w:noWrap/>
            <w:vAlign w:val="bottom"/>
            <w:hideMark/>
          </w:tcPr>
          <w:p w14:paraId="0F1FD9ED" w14:textId="77777777" w:rsidR="00CB410F" w:rsidRPr="00CB410F" w:rsidRDefault="00CB410F" w:rsidP="00430AF9">
            <w:pPr>
              <w:spacing w:after="0"/>
              <w:jc w:val="left"/>
              <w:rPr>
                <w:rFonts w:cs="Arial"/>
                <w:b/>
                <w:bCs/>
                <w:color w:val="000000"/>
                <w:szCs w:val="24"/>
              </w:rPr>
            </w:pPr>
            <w:r w:rsidRPr="00CB410F">
              <w:rPr>
                <w:rFonts w:cs="Arial"/>
                <w:b/>
                <w:bCs/>
                <w:color w:val="000000"/>
                <w:szCs w:val="24"/>
              </w:rPr>
              <w:t>Formula</w:t>
            </w:r>
          </w:p>
        </w:tc>
        <w:tc>
          <w:tcPr>
            <w:tcW w:w="727" w:type="pct"/>
            <w:tcBorders>
              <w:top w:val="nil"/>
              <w:left w:val="nil"/>
              <w:bottom w:val="single" w:sz="4" w:space="0" w:color="auto"/>
              <w:right w:val="single" w:sz="4" w:space="0" w:color="auto"/>
            </w:tcBorders>
            <w:noWrap/>
            <w:vAlign w:val="bottom"/>
            <w:hideMark/>
          </w:tcPr>
          <w:p w14:paraId="53F80BE6" w14:textId="77777777" w:rsidR="00CB410F" w:rsidRPr="00CB410F" w:rsidRDefault="00CB410F" w:rsidP="00430AF9">
            <w:pPr>
              <w:spacing w:after="0"/>
              <w:jc w:val="right"/>
              <w:rPr>
                <w:rFonts w:cs="Arial"/>
                <w:b/>
                <w:bCs/>
                <w:color w:val="000000"/>
                <w:szCs w:val="24"/>
              </w:rPr>
            </w:pPr>
            <w:r w:rsidRPr="00CB410F">
              <w:rPr>
                <w:rFonts w:cs="Arial"/>
                <w:b/>
                <w:bCs/>
                <w:color w:val="000000"/>
                <w:szCs w:val="24"/>
              </w:rPr>
              <w:t>2024</w:t>
            </w:r>
          </w:p>
        </w:tc>
        <w:tc>
          <w:tcPr>
            <w:tcW w:w="727" w:type="pct"/>
            <w:tcBorders>
              <w:top w:val="nil"/>
              <w:left w:val="nil"/>
              <w:bottom w:val="single" w:sz="4" w:space="0" w:color="auto"/>
              <w:right w:val="single" w:sz="4" w:space="0" w:color="auto"/>
            </w:tcBorders>
            <w:noWrap/>
            <w:vAlign w:val="bottom"/>
            <w:hideMark/>
          </w:tcPr>
          <w:p w14:paraId="6DED563C" w14:textId="77777777" w:rsidR="00CB410F" w:rsidRPr="00CB410F" w:rsidRDefault="00CB410F" w:rsidP="00430AF9">
            <w:pPr>
              <w:spacing w:after="0"/>
              <w:jc w:val="right"/>
              <w:rPr>
                <w:rFonts w:cs="Arial"/>
                <w:b/>
                <w:bCs/>
                <w:color w:val="000000"/>
                <w:szCs w:val="24"/>
              </w:rPr>
            </w:pPr>
            <w:r w:rsidRPr="00CB410F">
              <w:rPr>
                <w:rFonts w:cs="Arial"/>
                <w:b/>
                <w:bCs/>
                <w:color w:val="000000"/>
                <w:szCs w:val="24"/>
              </w:rPr>
              <w:t>2023</w:t>
            </w:r>
          </w:p>
        </w:tc>
        <w:tc>
          <w:tcPr>
            <w:tcW w:w="748" w:type="pct"/>
            <w:tcBorders>
              <w:top w:val="nil"/>
              <w:left w:val="nil"/>
              <w:bottom w:val="single" w:sz="4" w:space="0" w:color="auto"/>
              <w:right w:val="single" w:sz="4" w:space="0" w:color="auto"/>
            </w:tcBorders>
            <w:noWrap/>
            <w:vAlign w:val="bottom"/>
            <w:hideMark/>
          </w:tcPr>
          <w:p w14:paraId="45123A47" w14:textId="77777777" w:rsidR="00CB410F" w:rsidRPr="00CB410F" w:rsidRDefault="00CB410F" w:rsidP="00430AF9">
            <w:pPr>
              <w:spacing w:after="0"/>
              <w:jc w:val="right"/>
              <w:rPr>
                <w:rFonts w:cs="Arial"/>
                <w:b/>
                <w:bCs/>
                <w:color w:val="000000"/>
                <w:szCs w:val="24"/>
              </w:rPr>
            </w:pPr>
            <w:r w:rsidRPr="00CB410F">
              <w:rPr>
                <w:rFonts w:cs="Arial"/>
                <w:b/>
                <w:bCs/>
                <w:color w:val="000000"/>
                <w:szCs w:val="24"/>
              </w:rPr>
              <w:t>2022</w:t>
            </w:r>
          </w:p>
        </w:tc>
        <w:tc>
          <w:tcPr>
            <w:tcW w:w="748" w:type="pct"/>
            <w:tcBorders>
              <w:top w:val="nil"/>
              <w:left w:val="nil"/>
              <w:bottom w:val="single" w:sz="4" w:space="0" w:color="auto"/>
              <w:right w:val="single" w:sz="4" w:space="0" w:color="auto"/>
            </w:tcBorders>
            <w:noWrap/>
            <w:vAlign w:val="bottom"/>
            <w:hideMark/>
          </w:tcPr>
          <w:p w14:paraId="675280A5" w14:textId="77777777" w:rsidR="00CB410F" w:rsidRPr="00CB410F" w:rsidRDefault="00CB410F" w:rsidP="00430AF9">
            <w:pPr>
              <w:spacing w:after="0"/>
              <w:jc w:val="right"/>
              <w:rPr>
                <w:rFonts w:cs="Arial"/>
                <w:b/>
                <w:bCs/>
                <w:color w:val="000000"/>
                <w:szCs w:val="24"/>
              </w:rPr>
            </w:pPr>
            <w:r w:rsidRPr="00CB410F">
              <w:rPr>
                <w:rFonts w:cs="Arial"/>
                <w:b/>
                <w:bCs/>
                <w:color w:val="000000"/>
                <w:szCs w:val="24"/>
              </w:rPr>
              <w:t>2021</w:t>
            </w:r>
          </w:p>
        </w:tc>
        <w:tc>
          <w:tcPr>
            <w:tcW w:w="748" w:type="pct"/>
            <w:tcBorders>
              <w:top w:val="nil"/>
              <w:left w:val="nil"/>
              <w:bottom w:val="single" w:sz="4" w:space="0" w:color="auto"/>
              <w:right w:val="single" w:sz="4" w:space="0" w:color="auto"/>
            </w:tcBorders>
            <w:noWrap/>
            <w:vAlign w:val="bottom"/>
            <w:hideMark/>
          </w:tcPr>
          <w:p w14:paraId="631E2563" w14:textId="77777777" w:rsidR="00CB410F" w:rsidRPr="00CB410F" w:rsidRDefault="00CB410F" w:rsidP="00430AF9">
            <w:pPr>
              <w:spacing w:after="0"/>
              <w:jc w:val="right"/>
              <w:rPr>
                <w:rFonts w:cs="Arial"/>
                <w:b/>
                <w:bCs/>
                <w:color w:val="000000"/>
                <w:szCs w:val="24"/>
              </w:rPr>
            </w:pPr>
            <w:r w:rsidRPr="00CB410F">
              <w:rPr>
                <w:rFonts w:cs="Arial"/>
                <w:b/>
                <w:bCs/>
                <w:color w:val="000000"/>
                <w:szCs w:val="24"/>
              </w:rPr>
              <w:t>2020</w:t>
            </w:r>
          </w:p>
        </w:tc>
      </w:tr>
      <w:tr w:rsidR="00CB410F" w:rsidRPr="00CB410F" w14:paraId="1F2DFFBD" w14:textId="77777777" w:rsidTr="00C1466A">
        <w:trPr>
          <w:trHeight w:val="737"/>
        </w:trPr>
        <w:tc>
          <w:tcPr>
            <w:tcW w:w="469" w:type="pct"/>
            <w:tcBorders>
              <w:top w:val="nil"/>
              <w:left w:val="single" w:sz="4" w:space="0" w:color="auto"/>
              <w:bottom w:val="single" w:sz="4" w:space="0" w:color="auto"/>
              <w:right w:val="single" w:sz="4" w:space="0" w:color="auto"/>
            </w:tcBorders>
            <w:noWrap/>
            <w:vAlign w:val="bottom"/>
            <w:hideMark/>
          </w:tcPr>
          <w:p w14:paraId="41E7F136" w14:textId="77777777" w:rsidR="00CB410F" w:rsidRPr="00CB410F" w:rsidRDefault="00CB410F" w:rsidP="00430AF9">
            <w:pPr>
              <w:spacing w:after="0"/>
              <w:jc w:val="left"/>
              <w:rPr>
                <w:rFonts w:cs="Arial"/>
                <w:b/>
                <w:i/>
                <w:color w:val="000000"/>
                <w:szCs w:val="24"/>
              </w:rPr>
            </w:pPr>
            <w:r w:rsidRPr="00CB410F">
              <w:rPr>
                <w:rFonts w:cs="Arial"/>
                <w:b/>
                <w:i/>
                <w:color w:val="000000"/>
                <w:szCs w:val="24"/>
              </w:rPr>
              <w:lastRenderedPageBreak/>
              <w:t>Current Ratio</w:t>
            </w:r>
          </w:p>
        </w:tc>
        <w:tc>
          <w:tcPr>
            <w:tcW w:w="834" w:type="pct"/>
            <w:tcBorders>
              <w:top w:val="nil"/>
              <w:left w:val="nil"/>
              <w:bottom w:val="single" w:sz="4" w:space="0" w:color="auto"/>
              <w:right w:val="single" w:sz="4" w:space="0" w:color="auto"/>
            </w:tcBorders>
            <w:noWrap/>
            <w:vAlign w:val="bottom"/>
            <w:hideMark/>
          </w:tcPr>
          <w:p w14:paraId="7A1D7E27" w14:textId="77777777" w:rsidR="00CB410F" w:rsidRPr="00CB410F" w:rsidRDefault="00CB410F" w:rsidP="00430AF9">
            <w:pPr>
              <w:spacing w:after="0"/>
              <w:jc w:val="left"/>
              <w:rPr>
                <w:rFonts w:cs="Arial"/>
                <w:color w:val="000000"/>
                <w:szCs w:val="24"/>
              </w:rPr>
            </w:pPr>
            <w:r w:rsidRPr="00CB410F">
              <w:rPr>
                <w:rFonts w:cs="Arial"/>
                <w:color w:val="000000"/>
                <w:szCs w:val="24"/>
              </w:rPr>
              <w:t>Current Assets ÷ Current Liabilities</w:t>
            </w:r>
          </w:p>
        </w:tc>
        <w:tc>
          <w:tcPr>
            <w:tcW w:w="727" w:type="pct"/>
            <w:tcBorders>
              <w:top w:val="nil"/>
              <w:left w:val="nil"/>
              <w:bottom w:val="single" w:sz="4" w:space="0" w:color="auto"/>
              <w:right w:val="single" w:sz="4" w:space="0" w:color="auto"/>
            </w:tcBorders>
            <w:noWrap/>
            <w:vAlign w:val="bottom"/>
            <w:hideMark/>
          </w:tcPr>
          <w:p w14:paraId="587DA0B1" w14:textId="77777777" w:rsidR="00CB410F" w:rsidRPr="00CB410F" w:rsidRDefault="00CB410F" w:rsidP="00430AF9">
            <w:pPr>
              <w:spacing w:after="0"/>
              <w:jc w:val="left"/>
              <w:rPr>
                <w:rFonts w:cs="Arial"/>
                <w:color w:val="000000"/>
                <w:szCs w:val="24"/>
              </w:rPr>
            </w:pPr>
            <w:r w:rsidRPr="00CB410F">
              <w:rPr>
                <w:rFonts w:cs="Arial"/>
                <w:color w:val="000000"/>
                <w:szCs w:val="24"/>
              </w:rPr>
              <w:t>242,494 ÷ 158,291 = 1.53</w:t>
            </w:r>
          </w:p>
        </w:tc>
        <w:tc>
          <w:tcPr>
            <w:tcW w:w="727" w:type="pct"/>
            <w:tcBorders>
              <w:top w:val="nil"/>
              <w:left w:val="nil"/>
              <w:bottom w:val="single" w:sz="4" w:space="0" w:color="auto"/>
              <w:right w:val="single" w:sz="4" w:space="0" w:color="auto"/>
            </w:tcBorders>
            <w:noWrap/>
            <w:vAlign w:val="bottom"/>
            <w:hideMark/>
          </w:tcPr>
          <w:p w14:paraId="668A9053" w14:textId="77777777" w:rsidR="00CB410F" w:rsidRPr="00CB410F" w:rsidRDefault="00CB410F" w:rsidP="00430AF9">
            <w:pPr>
              <w:spacing w:after="0"/>
              <w:jc w:val="left"/>
              <w:rPr>
                <w:rFonts w:cs="Arial"/>
                <w:color w:val="000000"/>
                <w:szCs w:val="24"/>
              </w:rPr>
            </w:pPr>
            <w:r w:rsidRPr="00CB410F">
              <w:rPr>
                <w:rFonts w:cs="Arial"/>
                <w:color w:val="000000"/>
                <w:szCs w:val="24"/>
              </w:rPr>
              <w:t>258,851 ÷ 161,148 = 1.61</w:t>
            </w:r>
          </w:p>
        </w:tc>
        <w:tc>
          <w:tcPr>
            <w:tcW w:w="748" w:type="pct"/>
            <w:tcBorders>
              <w:top w:val="nil"/>
              <w:left w:val="nil"/>
              <w:bottom w:val="single" w:sz="4" w:space="0" w:color="auto"/>
              <w:right w:val="single" w:sz="4" w:space="0" w:color="auto"/>
            </w:tcBorders>
            <w:noWrap/>
            <w:vAlign w:val="bottom"/>
            <w:hideMark/>
          </w:tcPr>
          <w:p w14:paraId="6CCF9AD0" w14:textId="77777777" w:rsidR="00CB410F" w:rsidRPr="00CB410F" w:rsidRDefault="00CB410F" w:rsidP="00430AF9">
            <w:pPr>
              <w:spacing w:after="0"/>
              <w:jc w:val="left"/>
              <w:rPr>
                <w:rFonts w:cs="Arial"/>
                <w:color w:val="000000"/>
                <w:szCs w:val="24"/>
              </w:rPr>
            </w:pPr>
            <w:r w:rsidRPr="00CB410F">
              <w:rPr>
                <w:rFonts w:cs="Arial"/>
                <w:color w:val="000000"/>
                <w:szCs w:val="24"/>
              </w:rPr>
              <w:t>338,040 ÷ 216,473 = 1.56</w:t>
            </w:r>
          </w:p>
        </w:tc>
        <w:tc>
          <w:tcPr>
            <w:tcW w:w="748" w:type="pct"/>
            <w:tcBorders>
              <w:top w:val="nil"/>
              <w:left w:val="nil"/>
              <w:bottom w:val="single" w:sz="4" w:space="0" w:color="auto"/>
              <w:right w:val="single" w:sz="4" w:space="0" w:color="auto"/>
            </w:tcBorders>
            <w:noWrap/>
            <w:vAlign w:val="bottom"/>
            <w:hideMark/>
          </w:tcPr>
          <w:p w14:paraId="73731585" w14:textId="77777777" w:rsidR="00CB410F" w:rsidRPr="00CB410F" w:rsidRDefault="00CB410F" w:rsidP="00430AF9">
            <w:pPr>
              <w:spacing w:after="0"/>
              <w:jc w:val="left"/>
              <w:rPr>
                <w:rFonts w:cs="Arial"/>
                <w:color w:val="000000"/>
                <w:szCs w:val="24"/>
              </w:rPr>
            </w:pPr>
            <w:r w:rsidRPr="00CB410F">
              <w:rPr>
                <w:rFonts w:cs="Arial"/>
                <w:color w:val="000000"/>
                <w:szCs w:val="24"/>
              </w:rPr>
              <w:t>337,146 ÷ 216,787 = 1.56</w:t>
            </w:r>
          </w:p>
        </w:tc>
        <w:tc>
          <w:tcPr>
            <w:tcW w:w="748" w:type="pct"/>
            <w:tcBorders>
              <w:top w:val="nil"/>
              <w:left w:val="nil"/>
              <w:bottom w:val="single" w:sz="4" w:space="0" w:color="auto"/>
              <w:right w:val="single" w:sz="4" w:space="0" w:color="auto"/>
            </w:tcBorders>
            <w:noWrap/>
            <w:vAlign w:val="bottom"/>
            <w:hideMark/>
          </w:tcPr>
          <w:p w14:paraId="210D882E" w14:textId="77777777" w:rsidR="00CB410F" w:rsidRPr="00CB410F" w:rsidRDefault="00CB410F" w:rsidP="00430AF9">
            <w:pPr>
              <w:spacing w:after="0"/>
              <w:jc w:val="left"/>
              <w:rPr>
                <w:rFonts w:cs="Arial"/>
                <w:color w:val="000000"/>
                <w:szCs w:val="24"/>
              </w:rPr>
            </w:pPr>
            <w:r w:rsidRPr="00CB410F">
              <w:rPr>
                <w:rFonts w:cs="Arial"/>
                <w:color w:val="000000"/>
                <w:szCs w:val="24"/>
              </w:rPr>
              <w:t>326,843 ÷ 179,510 = 1.82</w:t>
            </w:r>
          </w:p>
        </w:tc>
      </w:tr>
      <w:tr w:rsidR="00CB410F" w:rsidRPr="00CB410F" w14:paraId="28A3FFD4" w14:textId="77777777" w:rsidTr="00C1466A">
        <w:trPr>
          <w:trHeight w:val="737"/>
        </w:trPr>
        <w:tc>
          <w:tcPr>
            <w:tcW w:w="469" w:type="pct"/>
            <w:tcBorders>
              <w:top w:val="nil"/>
              <w:left w:val="single" w:sz="4" w:space="0" w:color="auto"/>
              <w:bottom w:val="single" w:sz="4" w:space="0" w:color="auto"/>
              <w:right w:val="single" w:sz="4" w:space="0" w:color="auto"/>
            </w:tcBorders>
            <w:noWrap/>
            <w:vAlign w:val="bottom"/>
            <w:hideMark/>
          </w:tcPr>
          <w:p w14:paraId="42B8C3E3" w14:textId="77777777" w:rsidR="00CB410F" w:rsidRPr="00CB410F" w:rsidRDefault="00CB410F" w:rsidP="00430AF9">
            <w:pPr>
              <w:spacing w:after="0"/>
              <w:jc w:val="left"/>
              <w:rPr>
                <w:rFonts w:cs="Arial"/>
                <w:b/>
                <w:i/>
                <w:color w:val="000000"/>
                <w:szCs w:val="24"/>
              </w:rPr>
            </w:pPr>
            <w:r w:rsidRPr="00CB410F">
              <w:rPr>
                <w:rFonts w:cs="Arial"/>
                <w:b/>
                <w:i/>
                <w:color w:val="000000"/>
                <w:szCs w:val="24"/>
              </w:rPr>
              <w:t>Quick Ratio</w:t>
            </w:r>
          </w:p>
        </w:tc>
        <w:tc>
          <w:tcPr>
            <w:tcW w:w="834" w:type="pct"/>
            <w:tcBorders>
              <w:top w:val="nil"/>
              <w:left w:val="nil"/>
              <w:bottom w:val="single" w:sz="4" w:space="0" w:color="auto"/>
              <w:right w:val="single" w:sz="4" w:space="0" w:color="auto"/>
            </w:tcBorders>
            <w:noWrap/>
            <w:vAlign w:val="bottom"/>
            <w:hideMark/>
          </w:tcPr>
          <w:p w14:paraId="453FA738" w14:textId="77777777" w:rsidR="00CB410F" w:rsidRPr="00CB410F" w:rsidRDefault="00CB410F" w:rsidP="00430AF9">
            <w:pPr>
              <w:spacing w:after="0"/>
              <w:jc w:val="left"/>
              <w:rPr>
                <w:rFonts w:cs="Arial"/>
                <w:color w:val="000000"/>
                <w:szCs w:val="24"/>
              </w:rPr>
            </w:pPr>
            <w:r w:rsidRPr="00CB410F">
              <w:rPr>
                <w:rFonts w:cs="Arial"/>
                <w:color w:val="000000"/>
                <w:szCs w:val="24"/>
              </w:rPr>
              <w:t>(Current Assets – Inventories) ÷ Current Liabilities</w:t>
            </w:r>
          </w:p>
        </w:tc>
        <w:tc>
          <w:tcPr>
            <w:tcW w:w="727" w:type="pct"/>
            <w:tcBorders>
              <w:top w:val="nil"/>
              <w:left w:val="nil"/>
              <w:bottom w:val="single" w:sz="4" w:space="0" w:color="auto"/>
              <w:right w:val="single" w:sz="4" w:space="0" w:color="auto"/>
            </w:tcBorders>
            <w:noWrap/>
            <w:vAlign w:val="bottom"/>
            <w:hideMark/>
          </w:tcPr>
          <w:p w14:paraId="35FEDB52" w14:textId="77777777" w:rsidR="00CB410F" w:rsidRPr="00CB410F" w:rsidRDefault="00CB410F" w:rsidP="00430AF9">
            <w:pPr>
              <w:spacing w:after="0"/>
              <w:jc w:val="left"/>
              <w:rPr>
                <w:rFonts w:cs="Arial"/>
                <w:color w:val="000000"/>
                <w:szCs w:val="24"/>
              </w:rPr>
            </w:pPr>
            <w:r w:rsidRPr="00CB410F">
              <w:rPr>
                <w:rFonts w:cs="Arial"/>
                <w:color w:val="000000"/>
                <w:szCs w:val="24"/>
              </w:rPr>
              <w:t>(242,494 − 79,355) ÷ 158,291 = 1.03</w:t>
            </w:r>
          </w:p>
        </w:tc>
        <w:tc>
          <w:tcPr>
            <w:tcW w:w="727" w:type="pct"/>
            <w:tcBorders>
              <w:top w:val="nil"/>
              <w:left w:val="nil"/>
              <w:bottom w:val="single" w:sz="4" w:space="0" w:color="auto"/>
              <w:right w:val="single" w:sz="4" w:space="0" w:color="auto"/>
            </w:tcBorders>
            <w:noWrap/>
            <w:vAlign w:val="bottom"/>
            <w:hideMark/>
          </w:tcPr>
          <w:p w14:paraId="0D30B9AD" w14:textId="77777777" w:rsidR="00CB410F" w:rsidRPr="00CB410F" w:rsidRDefault="00CB410F" w:rsidP="00430AF9">
            <w:pPr>
              <w:spacing w:after="0"/>
              <w:jc w:val="left"/>
              <w:rPr>
                <w:rFonts w:cs="Arial"/>
                <w:color w:val="000000"/>
                <w:szCs w:val="24"/>
              </w:rPr>
            </w:pPr>
            <w:r w:rsidRPr="00CB410F">
              <w:rPr>
                <w:rFonts w:cs="Arial"/>
                <w:color w:val="000000"/>
                <w:szCs w:val="24"/>
              </w:rPr>
              <w:t>(258,851 − 88,273) ÷ 161,148 = 1.06</w:t>
            </w:r>
          </w:p>
        </w:tc>
        <w:tc>
          <w:tcPr>
            <w:tcW w:w="748" w:type="pct"/>
            <w:tcBorders>
              <w:top w:val="nil"/>
              <w:left w:val="nil"/>
              <w:bottom w:val="single" w:sz="4" w:space="0" w:color="auto"/>
              <w:right w:val="single" w:sz="4" w:space="0" w:color="auto"/>
            </w:tcBorders>
            <w:noWrap/>
            <w:vAlign w:val="bottom"/>
            <w:hideMark/>
          </w:tcPr>
          <w:p w14:paraId="214FD001" w14:textId="77777777" w:rsidR="00CB410F" w:rsidRPr="00CB410F" w:rsidRDefault="00CB410F" w:rsidP="00430AF9">
            <w:pPr>
              <w:spacing w:after="0"/>
              <w:jc w:val="left"/>
              <w:rPr>
                <w:rFonts w:cs="Arial"/>
                <w:color w:val="000000"/>
                <w:szCs w:val="24"/>
              </w:rPr>
            </w:pPr>
            <w:r w:rsidRPr="00CB410F">
              <w:rPr>
                <w:rFonts w:cs="Arial"/>
                <w:color w:val="000000"/>
                <w:szCs w:val="24"/>
              </w:rPr>
              <w:t>(338,040 − 140,181) ÷ 216,473 = 0.91</w:t>
            </w:r>
          </w:p>
        </w:tc>
        <w:tc>
          <w:tcPr>
            <w:tcW w:w="748" w:type="pct"/>
            <w:tcBorders>
              <w:top w:val="nil"/>
              <w:left w:val="nil"/>
              <w:bottom w:val="single" w:sz="4" w:space="0" w:color="auto"/>
              <w:right w:val="single" w:sz="4" w:space="0" w:color="auto"/>
            </w:tcBorders>
            <w:noWrap/>
            <w:vAlign w:val="bottom"/>
            <w:hideMark/>
          </w:tcPr>
          <w:p w14:paraId="0DEB8C02" w14:textId="77777777" w:rsidR="00CB410F" w:rsidRPr="00CB410F" w:rsidRDefault="00CB410F" w:rsidP="00430AF9">
            <w:pPr>
              <w:spacing w:after="0"/>
              <w:jc w:val="left"/>
              <w:rPr>
                <w:rFonts w:cs="Arial"/>
                <w:color w:val="000000"/>
                <w:szCs w:val="24"/>
              </w:rPr>
            </w:pPr>
            <w:r w:rsidRPr="00CB410F">
              <w:rPr>
                <w:rFonts w:cs="Arial"/>
                <w:color w:val="000000"/>
                <w:szCs w:val="24"/>
              </w:rPr>
              <w:t>(337,146 − 134,469) ÷ 216,787 = 0.94</w:t>
            </w:r>
          </w:p>
        </w:tc>
        <w:tc>
          <w:tcPr>
            <w:tcW w:w="748" w:type="pct"/>
            <w:tcBorders>
              <w:top w:val="nil"/>
              <w:left w:val="nil"/>
              <w:bottom w:val="single" w:sz="4" w:space="0" w:color="auto"/>
              <w:right w:val="single" w:sz="4" w:space="0" w:color="auto"/>
            </w:tcBorders>
            <w:noWrap/>
            <w:vAlign w:val="bottom"/>
            <w:hideMark/>
          </w:tcPr>
          <w:p w14:paraId="2066F3CF" w14:textId="77777777" w:rsidR="00CB410F" w:rsidRPr="00CB410F" w:rsidRDefault="00CB410F" w:rsidP="00430AF9">
            <w:pPr>
              <w:spacing w:after="0"/>
              <w:jc w:val="left"/>
              <w:rPr>
                <w:rFonts w:cs="Arial"/>
                <w:color w:val="000000"/>
                <w:szCs w:val="24"/>
              </w:rPr>
            </w:pPr>
            <w:r w:rsidRPr="00CB410F">
              <w:rPr>
                <w:rFonts w:cs="Arial"/>
                <w:color w:val="000000"/>
                <w:szCs w:val="24"/>
              </w:rPr>
              <w:t>(326,843 − 120,430) ÷ 179,510 = 1.15</w:t>
            </w:r>
          </w:p>
        </w:tc>
      </w:tr>
    </w:tbl>
    <w:p w14:paraId="75C4475C" w14:textId="4CD23911" w:rsidR="000529CC" w:rsidRPr="00392489" w:rsidRDefault="00032368" w:rsidP="00392489">
      <w:pPr>
        <w:jc w:val="center"/>
        <w:rPr>
          <w:b/>
        </w:rPr>
      </w:pPr>
      <w:bookmarkStart w:id="9" w:name="_Toc216960971"/>
      <w:r w:rsidRPr="00392489">
        <w:rPr>
          <w:b/>
        </w:rPr>
        <w:t xml:space="preserve">Table </w:t>
      </w:r>
      <w:r w:rsidRPr="00392489">
        <w:rPr>
          <w:b/>
        </w:rPr>
        <w:fldChar w:fldCharType="begin"/>
      </w:r>
      <w:r w:rsidRPr="00392489">
        <w:rPr>
          <w:b/>
        </w:rPr>
        <w:instrText xml:space="preserve"> SEQ Table \* ARABIC </w:instrText>
      </w:r>
      <w:r w:rsidRPr="00392489">
        <w:rPr>
          <w:b/>
        </w:rPr>
        <w:fldChar w:fldCharType="separate"/>
      </w:r>
      <w:r w:rsidR="00152E13" w:rsidRPr="00392489">
        <w:rPr>
          <w:b/>
          <w:noProof/>
        </w:rPr>
        <w:t>2</w:t>
      </w:r>
      <w:r w:rsidRPr="00392489">
        <w:rPr>
          <w:b/>
        </w:rPr>
        <w:fldChar w:fldCharType="end"/>
      </w:r>
      <w:r w:rsidRPr="00392489">
        <w:rPr>
          <w:b/>
        </w:rPr>
        <w:t>: Liquidity Ratios</w:t>
      </w:r>
      <w:bookmarkEnd w:id="9"/>
    </w:p>
    <w:p w14:paraId="51FAD87D" w14:textId="5D5EEE3B" w:rsidR="00CB410F" w:rsidRPr="00CB410F" w:rsidRDefault="00CB410F" w:rsidP="00392489">
      <w:pPr>
        <w:jc w:val="center"/>
        <w:rPr>
          <w:lang w:val="en-IN"/>
        </w:rPr>
      </w:pPr>
      <w:r w:rsidRPr="00CB410F">
        <w:t>(Source: Refer to the excel sheet)</w:t>
      </w:r>
    </w:p>
    <w:tbl>
      <w:tblPr>
        <w:tblW w:w="5000" w:type="pct"/>
        <w:tblLook w:val="04A0" w:firstRow="1" w:lastRow="0" w:firstColumn="1" w:lastColumn="0" w:noHBand="0" w:noVBand="1"/>
      </w:tblPr>
      <w:tblGrid>
        <w:gridCol w:w="948"/>
        <w:gridCol w:w="1306"/>
        <w:gridCol w:w="1353"/>
        <w:gridCol w:w="1353"/>
        <w:gridCol w:w="1353"/>
        <w:gridCol w:w="1353"/>
        <w:gridCol w:w="1353"/>
      </w:tblGrid>
      <w:tr w:rsidR="00CB410F" w:rsidRPr="00CB410F" w14:paraId="5B7854AC" w14:textId="77777777" w:rsidTr="00430AF9">
        <w:trPr>
          <w:trHeight w:val="300"/>
        </w:trPr>
        <w:tc>
          <w:tcPr>
            <w:tcW w:w="5000" w:type="pct"/>
            <w:gridSpan w:val="7"/>
            <w:tcBorders>
              <w:top w:val="single" w:sz="4" w:space="0" w:color="auto"/>
              <w:left w:val="single" w:sz="4" w:space="0" w:color="auto"/>
              <w:bottom w:val="single" w:sz="4" w:space="0" w:color="auto"/>
              <w:right w:val="single" w:sz="4" w:space="0" w:color="000000"/>
            </w:tcBorders>
            <w:noWrap/>
            <w:vAlign w:val="bottom"/>
            <w:hideMark/>
          </w:tcPr>
          <w:p w14:paraId="1F500263" w14:textId="77777777" w:rsidR="00CB410F" w:rsidRPr="00CB410F" w:rsidRDefault="00CB410F" w:rsidP="00430AF9">
            <w:pPr>
              <w:spacing w:after="0"/>
              <w:jc w:val="center"/>
              <w:rPr>
                <w:rFonts w:cs="Arial"/>
                <w:b/>
                <w:bCs/>
                <w:color w:val="000000"/>
                <w:szCs w:val="24"/>
              </w:rPr>
            </w:pPr>
            <w:r w:rsidRPr="00CB410F">
              <w:rPr>
                <w:rFonts w:cs="Arial"/>
                <w:b/>
                <w:bCs/>
                <w:color w:val="000000"/>
                <w:szCs w:val="24"/>
              </w:rPr>
              <w:t>Efficiency Ratios</w:t>
            </w:r>
          </w:p>
        </w:tc>
      </w:tr>
      <w:tr w:rsidR="00CB410F" w:rsidRPr="00CB410F" w14:paraId="75A04C44" w14:textId="77777777" w:rsidTr="00430AF9">
        <w:trPr>
          <w:trHeight w:val="300"/>
        </w:trPr>
        <w:tc>
          <w:tcPr>
            <w:tcW w:w="461" w:type="pct"/>
            <w:tcBorders>
              <w:top w:val="nil"/>
              <w:left w:val="single" w:sz="4" w:space="0" w:color="auto"/>
              <w:bottom w:val="single" w:sz="4" w:space="0" w:color="auto"/>
              <w:right w:val="single" w:sz="4" w:space="0" w:color="auto"/>
            </w:tcBorders>
            <w:noWrap/>
            <w:vAlign w:val="bottom"/>
            <w:hideMark/>
          </w:tcPr>
          <w:p w14:paraId="325539FB" w14:textId="77777777" w:rsidR="00CB410F" w:rsidRPr="00CB410F" w:rsidRDefault="00CB410F" w:rsidP="00430AF9">
            <w:pPr>
              <w:spacing w:after="0"/>
              <w:jc w:val="center"/>
              <w:rPr>
                <w:rFonts w:cs="Arial"/>
                <w:b/>
                <w:bCs/>
                <w:color w:val="000000"/>
                <w:szCs w:val="24"/>
              </w:rPr>
            </w:pPr>
            <w:r w:rsidRPr="00CB410F">
              <w:rPr>
                <w:rFonts w:cs="Arial"/>
                <w:b/>
                <w:bCs/>
                <w:color w:val="000000"/>
                <w:szCs w:val="24"/>
              </w:rPr>
              <w:t>Ratio</w:t>
            </w:r>
          </w:p>
        </w:tc>
        <w:tc>
          <w:tcPr>
            <w:tcW w:w="715" w:type="pct"/>
            <w:tcBorders>
              <w:top w:val="nil"/>
              <w:left w:val="nil"/>
              <w:bottom w:val="single" w:sz="4" w:space="0" w:color="auto"/>
              <w:right w:val="single" w:sz="4" w:space="0" w:color="auto"/>
            </w:tcBorders>
            <w:noWrap/>
            <w:vAlign w:val="bottom"/>
            <w:hideMark/>
          </w:tcPr>
          <w:p w14:paraId="0A9E1074" w14:textId="77777777" w:rsidR="00CB410F" w:rsidRPr="00CB410F" w:rsidRDefault="00CB410F" w:rsidP="00430AF9">
            <w:pPr>
              <w:spacing w:after="0"/>
              <w:jc w:val="center"/>
              <w:rPr>
                <w:rFonts w:cs="Arial"/>
                <w:b/>
                <w:bCs/>
                <w:color w:val="000000"/>
                <w:szCs w:val="24"/>
              </w:rPr>
            </w:pPr>
            <w:r w:rsidRPr="00CB410F">
              <w:rPr>
                <w:rFonts w:cs="Arial"/>
                <w:b/>
                <w:bCs/>
                <w:color w:val="000000"/>
                <w:szCs w:val="24"/>
              </w:rPr>
              <w:t>Formula</w:t>
            </w:r>
          </w:p>
        </w:tc>
        <w:tc>
          <w:tcPr>
            <w:tcW w:w="765" w:type="pct"/>
            <w:tcBorders>
              <w:top w:val="nil"/>
              <w:left w:val="nil"/>
              <w:bottom w:val="single" w:sz="4" w:space="0" w:color="auto"/>
              <w:right w:val="single" w:sz="4" w:space="0" w:color="auto"/>
            </w:tcBorders>
            <w:noWrap/>
            <w:vAlign w:val="bottom"/>
            <w:hideMark/>
          </w:tcPr>
          <w:p w14:paraId="6CE9E371" w14:textId="77777777" w:rsidR="00CB410F" w:rsidRPr="00CB410F" w:rsidRDefault="00CB410F" w:rsidP="00430AF9">
            <w:pPr>
              <w:spacing w:after="0"/>
              <w:jc w:val="center"/>
              <w:rPr>
                <w:rFonts w:cs="Arial"/>
                <w:b/>
                <w:bCs/>
                <w:color w:val="000000"/>
                <w:szCs w:val="24"/>
              </w:rPr>
            </w:pPr>
            <w:r w:rsidRPr="00CB410F">
              <w:rPr>
                <w:rFonts w:cs="Arial"/>
                <w:b/>
                <w:bCs/>
                <w:color w:val="000000"/>
                <w:szCs w:val="24"/>
              </w:rPr>
              <w:t>2024</w:t>
            </w:r>
          </w:p>
        </w:tc>
        <w:tc>
          <w:tcPr>
            <w:tcW w:w="765" w:type="pct"/>
            <w:tcBorders>
              <w:top w:val="nil"/>
              <w:left w:val="nil"/>
              <w:bottom w:val="single" w:sz="4" w:space="0" w:color="auto"/>
              <w:right w:val="single" w:sz="4" w:space="0" w:color="auto"/>
            </w:tcBorders>
            <w:noWrap/>
            <w:vAlign w:val="bottom"/>
            <w:hideMark/>
          </w:tcPr>
          <w:p w14:paraId="63C753D2" w14:textId="77777777" w:rsidR="00CB410F" w:rsidRPr="00CB410F" w:rsidRDefault="00CB410F" w:rsidP="00430AF9">
            <w:pPr>
              <w:spacing w:after="0"/>
              <w:jc w:val="center"/>
              <w:rPr>
                <w:rFonts w:cs="Arial"/>
                <w:b/>
                <w:bCs/>
                <w:color w:val="000000"/>
                <w:szCs w:val="24"/>
              </w:rPr>
            </w:pPr>
            <w:r w:rsidRPr="00CB410F">
              <w:rPr>
                <w:rFonts w:cs="Arial"/>
                <w:b/>
                <w:bCs/>
                <w:color w:val="000000"/>
                <w:szCs w:val="24"/>
              </w:rPr>
              <w:t>2023</w:t>
            </w:r>
          </w:p>
        </w:tc>
        <w:tc>
          <w:tcPr>
            <w:tcW w:w="765" w:type="pct"/>
            <w:tcBorders>
              <w:top w:val="nil"/>
              <w:left w:val="nil"/>
              <w:bottom w:val="single" w:sz="4" w:space="0" w:color="auto"/>
              <w:right w:val="single" w:sz="4" w:space="0" w:color="auto"/>
            </w:tcBorders>
            <w:noWrap/>
            <w:vAlign w:val="bottom"/>
            <w:hideMark/>
          </w:tcPr>
          <w:p w14:paraId="70E77D2C" w14:textId="77777777" w:rsidR="00CB410F" w:rsidRPr="00CB410F" w:rsidRDefault="00CB410F" w:rsidP="00430AF9">
            <w:pPr>
              <w:spacing w:after="0"/>
              <w:jc w:val="center"/>
              <w:rPr>
                <w:rFonts w:cs="Arial"/>
                <w:b/>
                <w:bCs/>
                <w:color w:val="000000"/>
                <w:szCs w:val="24"/>
              </w:rPr>
            </w:pPr>
            <w:r w:rsidRPr="00CB410F">
              <w:rPr>
                <w:rFonts w:cs="Arial"/>
                <w:b/>
                <w:bCs/>
                <w:color w:val="000000"/>
                <w:szCs w:val="24"/>
              </w:rPr>
              <w:t>2022</w:t>
            </w:r>
          </w:p>
        </w:tc>
        <w:tc>
          <w:tcPr>
            <w:tcW w:w="765" w:type="pct"/>
            <w:tcBorders>
              <w:top w:val="nil"/>
              <w:left w:val="nil"/>
              <w:bottom w:val="single" w:sz="4" w:space="0" w:color="auto"/>
              <w:right w:val="single" w:sz="4" w:space="0" w:color="auto"/>
            </w:tcBorders>
            <w:noWrap/>
            <w:vAlign w:val="bottom"/>
            <w:hideMark/>
          </w:tcPr>
          <w:p w14:paraId="7BB9F1AC" w14:textId="77777777" w:rsidR="00CB410F" w:rsidRPr="00CB410F" w:rsidRDefault="00CB410F" w:rsidP="00430AF9">
            <w:pPr>
              <w:spacing w:after="0"/>
              <w:jc w:val="center"/>
              <w:rPr>
                <w:rFonts w:cs="Arial"/>
                <w:b/>
                <w:bCs/>
                <w:color w:val="000000"/>
                <w:szCs w:val="24"/>
              </w:rPr>
            </w:pPr>
            <w:r w:rsidRPr="00CB410F">
              <w:rPr>
                <w:rFonts w:cs="Arial"/>
                <w:b/>
                <w:bCs/>
                <w:color w:val="000000"/>
                <w:szCs w:val="24"/>
              </w:rPr>
              <w:t>2021</w:t>
            </w:r>
          </w:p>
        </w:tc>
        <w:tc>
          <w:tcPr>
            <w:tcW w:w="765" w:type="pct"/>
            <w:tcBorders>
              <w:top w:val="nil"/>
              <w:left w:val="nil"/>
              <w:bottom w:val="single" w:sz="4" w:space="0" w:color="auto"/>
              <w:right w:val="single" w:sz="4" w:space="0" w:color="auto"/>
            </w:tcBorders>
            <w:noWrap/>
            <w:vAlign w:val="bottom"/>
            <w:hideMark/>
          </w:tcPr>
          <w:p w14:paraId="27795AE2" w14:textId="77777777" w:rsidR="00CB410F" w:rsidRPr="00CB410F" w:rsidRDefault="00CB410F" w:rsidP="00430AF9">
            <w:pPr>
              <w:spacing w:after="0"/>
              <w:jc w:val="center"/>
              <w:rPr>
                <w:rFonts w:cs="Arial"/>
                <w:b/>
                <w:bCs/>
                <w:color w:val="000000"/>
                <w:szCs w:val="24"/>
              </w:rPr>
            </w:pPr>
            <w:r w:rsidRPr="00CB410F">
              <w:rPr>
                <w:rFonts w:cs="Arial"/>
                <w:b/>
                <w:bCs/>
                <w:color w:val="000000"/>
                <w:szCs w:val="24"/>
              </w:rPr>
              <w:t>2020</w:t>
            </w:r>
          </w:p>
        </w:tc>
      </w:tr>
      <w:tr w:rsidR="00CB410F" w:rsidRPr="00CB410F" w14:paraId="0EDC1591" w14:textId="77777777" w:rsidTr="00430AF9">
        <w:trPr>
          <w:trHeight w:val="300"/>
        </w:trPr>
        <w:tc>
          <w:tcPr>
            <w:tcW w:w="461" w:type="pct"/>
            <w:tcBorders>
              <w:top w:val="nil"/>
              <w:left w:val="single" w:sz="4" w:space="0" w:color="auto"/>
              <w:bottom w:val="single" w:sz="4" w:space="0" w:color="auto"/>
              <w:right w:val="single" w:sz="4" w:space="0" w:color="auto"/>
            </w:tcBorders>
            <w:noWrap/>
            <w:vAlign w:val="bottom"/>
            <w:hideMark/>
          </w:tcPr>
          <w:p w14:paraId="219AC770" w14:textId="77777777" w:rsidR="00CB410F" w:rsidRPr="00CB410F" w:rsidRDefault="00CB410F" w:rsidP="00430AF9">
            <w:pPr>
              <w:spacing w:after="0"/>
              <w:jc w:val="left"/>
              <w:rPr>
                <w:rFonts w:cs="Arial"/>
                <w:b/>
                <w:i/>
                <w:color w:val="000000"/>
                <w:szCs w:val="24"/>
              </w:rPr>
            </w:pPr>
            <w:r w:rsidRPr="00CB410F">
              <w:rPr>
                <w:rFonts w:cs="Arial"/>
                <w:b/>
                <w:i/>
                <w:color w:val="000000"/>
                <w:szCs w:val="24"/>
              </w:rPr>
              <w:t>Asset Turnover</w:t>
            </w:r>
          </w:p>
        </w:tc>
        <w:tc>
          <w:tcPr>
            <w:tcW w:w="715" w:type="pct"/>
            <w:tcBorders>
              <w:top w:val="nil"/>
              <w:left w:val="nil"/>
              <w:bottom w:val="single" w:sz="4" w:space="0" w:color="auto"/>
              <w:right w:val="single" w:sz="4" w:space="0" w:color="auto"/>
            </w:tcBorders>
            <w:noWrap/>
            <w:vAlign w:val="bottom"/>
            <w:hideMark/>
          </w:tcPr>
          <w:p w14:paraId="49E1DB8B" w14:textId="77777777" w:rsidR="00CB410F" w:rsidRPr="00CB410F" w:rsidRDefault="00CB410F" w:rsidP="00430AF9">
            <w:pPr>
              <w:spacing w:after="0"/>
              <w:jc w:val="left"/>
              <w:rPr>
                <w:rFonts w:cs="Arial"/>
                <w:color w:val="000000"/>
                <w:szCs w:val="24"/>
              </w:rPr>
            </w:pPr>
            <w:r w:rsidRPr="00CB410F">
              <w:rPr>
                <w:rFonts w:cs="Arial"/>
                <w:color w:val="000000"/>
                <w:szCs w:val="24"/>
              </w:rPr>
              <w:t>Net Sales ÷ Total Assets</w:t>
            </w:r>
          </w:p>
        </w:tc>
        <w:tc>
          <w:tcPr>
            <w:tcW w:w="765" w:type="pct"/>
            <w:tcBorders>
              <w:top w:val="nil"/>
              <w:left w:val="nil"/>
              <w:bottom w:val="single" w:sz="4" w:space="0" w:color="auto"/>
              <w:right w:val="single" w:sz="4" w:space="0" w:color="auto"/>
            </w:tcBorders>
            <w:noWrap/>
            <w:vAlign w:val="bottom"/>
            <w:hideMark/>
          </w:tcPr>
          <w:p w14:paraId="78B044C0" w14:textId="77777777" w:rsidR="00CB410F" w:rsidRPr="00CB410F" w:rsidRDefault="00CB410F" w:rsidP="00430AF9">
            <w:pPr>
              <w:spacing w:after="0"/>
              <w:jc w:val="left"/>
              <w:rPr>
                <w:rFonts w:cs="Arial"/>
                <w:color w:val="000000"/>
                <w:szCs w:val="24"/>
              </w:rPr>
            </w:pPr>
            <w:r w:rsidRPr="00CB410F">
              <w:rPr>
                <w:rFonts w:cs="Arial"/>
                <w:color w:val="000000"/>
                <w:szCs w:val="24"/>
              </w:rPr>
              <w:t>394,879 ÷ 323,354 = 1.22</w:t>
            </w:r>
          </w:p>
        </w:tc>
        <w:tc>
          <w:tcPr>
            <w:tcW w:w="765" w:type="pct"/>
            <w:tcBorders>
              <w:top w:val="nil"/>
              <w:left w:val="nil"/>
              <w:bottom w:val="single" w:sz="4" w:space="0" w:color="auto"/>
              <w:right w:val="single" w:sz="4" w:space="0" w:color="auto"/>
            </w:tcBorders>
            <w:noWrap/>
            <w:vAlign w:val="bottom"/>
            <w:hideMark/>
          </w:tcPr>
          <w:p w14:paraId="1D4A711D" w14:textId="77777777" w:rsidR="00CB410F" w:rsidRPr="00CB410F" w:rsidRDefault="00CB410F" w:rsidP="00430AF9">
            <w:pPr>
              <w:spacing w:after="0"/>
              <w:jc w:val="left"/>
              <w:rPr>
                <w:rFonts w:cs="Arial"/>
                <w:color w:val="000000"/>
                <w:szCs w:val="24"/>
              </w:rPr>
            </w:pPr>
            <w:r w:rsidRPr="00CB410F">
              <w:rPr>
                <w:rFonts w:cs="Arial"/>
                <w:color w:val="000000"/>
                <w:szCs w:val="24"/>
              </w:rPr>
              <w:t>420,457 ÷ 355,872 = 1.18</w:t>
            </w:r>
          </w:p>
        </w:tc>
        <w:tc>
          <w:tcPr>
            <w:tcW w:w="765" w:type="pct"/>
            <w:tcBorders>
              <w:top w:val="nil"/>
              <w:left w:val="nil"/>
              <w:bottom w:val="single" w:sz="4" w:space="0" w:color="auto"/>
              <w:right w:val="single" w:sz="4" w:space="0" w:color="auto"/>
            </w:tcBorders>
            <w:noWrap/>
            <w:vAlign w:val="bottom"/>
            <w:hideMark/>
          </w:tcPr>
          <w:p w14:paraId="4BE226A6" w14:textId="77777777" w:rsidR="00CB410F" w:rsidRPr="00CB410F" w:rsidRDefault="00CB410F" w:rsidP="00430AF9">
            <w:pPr>
              <w:spacing w:after="0"/>
              <w:jc w:val="left"/>
              <w:rPr>
                <w:rFonts w:cs="Arial"/>
                <w:color w:val="000000"/>
                <w:szCs w:val="24"/>
              </w:rPr>
            </w:pPr>
            <w:r w:rsidRPr="00CB410F">
              <w:rPr>
                <w:rFonts w:cs="Arial"/>
                <w:color w:val="000000"/>
                <w:szCs w:val="24"/>
              </w:rPr>
              <w:t>542,751 ÷ 504,163 = 1.08</w:t>
            </w:r>
          </w:p>
        </w:tc>
        <w:tc>
          <w:tcPr>
            <w:tcW w:w="765" w:type="pct"/>
            <w:tcBorders>
              <w:top w:val="nil"/>
              <w:left w:val="nil"/>
              <w:bottom w:val="single" w:sz="4" w:space="0" w:color="auto"/>
              <w:right w:val="single" w:sz="4" w:space="0" w:color="auto"/>
            </w:tcBorders>
            <w:noWrap/>
            <w:vAlign w:val="bottom"/>
            <w:hideMark/>
          </w:tcPr>
          <w:p w14:paraId="3DF1823A" w14:textId="77777777" w:rsidR="00CB410F" w:rsidRPr="00CB410F" w:rsidRDefault="00CB410F" w:rsidP="00430AF9">
            <w:pPr>
              <w:spacing w:after="0"/>
              <w:jc w:val="left"/>
              <w:rPr>
                <w:rFonts w:cs="Arial"/>
                <w:color w:val="000000"/>
                <w:szCs w:val="24"/>
              </w:rPr>
            </w:pPr>
            <w:r w:rsidRPr="00CB410F">
              <w:rPr>
                <w:rFonts w:cs="Arial"/>
                <w:color w:val="000000"/>
                <w:szCs w:val="24"/>
              </w:rPr>
              <w:t>601,602 ÷ 510,348 = 1.18</w:t>
            </w:r>
          </w:p>
        </w:tc>
        <w:tc>
          <w:tcPr>
            <w:tcW w:w="765" w:type="pct"/>
            <w:tcBorders>
              <w:top w:val="nil"/>
              <w:left w:val="nil"/>
              <w:bottom w:val="single" w:sz="4" w:space="0" w:color="auto"/>
              <w:right w:val="single" w:sz="4" w:space="0" w:color="auto"/>
            </w:tcBorders>
            <w:noWrap/>
            <w:vAlign w:val="bottom"/>
            <w:hideMark/>
          </w:tcPr>
          <w:p w14:paraId="751DAF54" w14:textId="77777777" w:rsidR="00CB410F" w:rsidRPr="00CB410F" w:rsidRDefault="00CB410F" w:rsidP="00430AF9">
            <w:pPr>
              <w:spacing w:after="0"/>
              <w:jc w:val="left"/>
              <w:rPr>
                <w:rFonts w:cs="Arial"/>
                <w:color w:val="000000"/>
                <w:szCs w:val="24"/>
              </w:rPr>
            </w:pPr>
            <w:r w:rsidRPr="00CB410F">
              <w:rPr>
                <w:rFonts w:cs="Arial"/>
                <w:color w:val="000000"/>
                <w:szCs w:val="24"/>
              </w:rPr>
              <w:t>614,680 ÷ 510,290 = 1.21</w:t>
            </w:r>
          </w:p>
        </w:tc>
      </w:tr>
    </w:tbl>
    <w:p w14:paraId="7AAEA46F" w14:textId="0ED356A5" w:rsidR="00032368" w:rsidRPr="00E86757" w:rsidRDefault="00B54382" w:rsidP="00E86757">
      <w:pPr>
        <w:jc w:val="center"/>
        <w:rPr>
          <w:b/>
        </w:rPr>
      </w:pPr>
      <w:bookmarkStart w:id="10" w:name="_Toc216960972"/>
      <w:r w:rsidRPr="00E86757">
        <w:rPr>
          <w:b/>
        </w:rPr>
        <w:t xml:space="preserve">Table </w:t>
      </w:r>
      <w:r w:rsidRPr="00E86757">
        <w:rPr>
          <w:b/>
        </w:rPr>
        <w:fldChar w:fldCharType="begin"/>
      </w:r>
      <w:r w:rsidRPr="00E86757">
        <w:rPr>
          <w:b/>
        </w:rPr>
        <w:instrText xml:space="preserve"> SEQ Table \* ARABIC </w:instrText>
      </w:r>
      <w:r w:rsidRPr="00E86757">
        <w:rPr>
          <w:b/>
        </w:rPr>
        <w:fldChar w:fldCharType="separate"/>
      </w:r>
      <w:r w:rsidR="00152E13" w:rsidRPr="00E86757">
        <w:rPr>
          <w:b/>
          <w:noProof/>
        </w:rPr>
        <w:t>3</w:t>
      </w:r>
      <w:r w:rsidRPr="00E86757">
        <w:rPr>
          <w:b/>
        </w:rPr>
        <w:fldChar w:fldCharType="end"/>
      </w:r>
      <w:r w:rsidRPr="00E86757">
        <w:rPr>
          <w:b/>
        </w:rPr>
        <w:t>: Efficiency Ratios</w:t>
      </w:r>
      <w:bookmarkEnd w:id="10"/>
    </w:p>
    <w:p w14:paraId="63CEA17E" w14:textId="49899A28" w:rsidR="00CB410F" w:rsidRPr="00CB410F" w:rsidRDefault="00CB410F" w:rsidP="00E86757">
      <w:pPr>
        <w:jc w:val="center"/>
        <w:rPr>
          <w:lang w:val="en-IN"/>
        </w:rPr>
      </w:pPr>
      <w:r w:rsidRPr="00CB410F">
        <w:rPr>
          <w:lang w:val="en-IN"/>
        </w:rPr>
        <w:t>(Source: Refer to the excel sheet)</w:t>
      </w:r>
    </w:p>
    <w:tbl>
      <w:tblPr>
        <w:tblW w:w="5000" w:type="pct"/>
        <w:tblLook w:val="04A0" w:firstRow="1" w:lastRow="0" w:firstColumn="1" w:lastColumn="0" w:noHBand="0" w:noVBand="1"/>
      </w:tblPr>
      <w:tblGrid>
        <w:gridCol w:w="856"/>
        <w:gridCol w:w="1788"/>
        <w:gridCol w:w="1275"/>
        <w:gridCol w:w="1275"/>
        <w:gridCol w:w="1275"/>
        <w:gridCol w:w="1275"/>
        <w:gridCol w:w="1275"/>
      </w:tblGrid>
      <w:tr w:rsidR="00CB410F" w:rsidRPr="00CB410F" w14:paraId="3971B810" w14:textId="77777777" w:rsidTr="0034500B">
        <w:trPr>
          <w:trHeight w:val="737"/>
        </w:trPr>
        <w:tc>
          <w:tcPr>
            <w:tcW w:w="5000" w:type="pct"/>
            <w:gridSpan w:val="7"/>
            <w:tcBorders>
              <w:top w:val="single" w:sz="4" w:space="0" w:color="auto"/>
              <w:left w:val="single" w:sz="4" w:space="0" w:color="auto"/>
              <w:bottom w:val="single" w:sz="4" w:space="0" w:color="auto"/>
              <w:right w:val="single" w:sz="4" w:space="0" w:color="000000"/>
            </w:tcBorders>
            <w:noWrap/>
            <w:vAlign w:val="bottom"/>
            <w:hideMark/>
          </w:tcPr>
          <w:p w14:paraId="0916596F" w14:textId="77777777" w:rsidR="00CB410F" w:rsidRPr="00CB410F" w:rsidRDefault="00CB410F" w:rsidP="00430AF9">
            <w:pPr>
              <w:spacing w:after="0"/>
              <w:jc w:val="center"/>
              <w:rPr>
                <w:rFonts w:cs="Arial"/>
                <w:b/>
                <w:bCs/>
                <w:color w:val="000000"/>
                <w:szCs w:val="24"/>
              </w:rPr>
            </w:pPr>
            <w:r w:rsidRPr="00CB410F">
              <w:rPr>
                <w:rFonts w:cs="Arial"/>
                <w:b/>
                <w:bCs/>
                <w:color w:val="000000"/>
                <w:szCs w:val="24"/>
              </w:rPr>
              <w:t>Gearing / Leverage Ratios</w:t>
            </w:r>
          </w:p>
        </w:tc>
      </w:tr>
      <w:tr w:rsidR="00CB410F" w:rsidRPr="00CB410F" w14:paraId="03240992" w14:textId="77777777" w:rsidTr="0034500B">
        <w:trPr>
          <w:trHeight w:val="737"/>
        </w:trPr>
        <w:tc>
          <w:tcPr>
            <w:tcW w:w="417" w:type="pct"/>
            <w:tcBorders>
              <w:top w:val="nil"/>
              <w:left w:val="single" w:sz="4" w:space="0" w:color="auto"/>
              <w:bottom w:val="single" w:sz="4" w:space="0" w:color="auto"/>
              <w:right w:val="single" w:sz="4" w:space="0" w:color="auto"/>
            </w:tcBorders>
            <w:noWrap/>
            <w:vAlign w:val="bottom"/>
            <w:hideMark/>
          </w:tcPr>
          <w:p w14:paraId="5AAF1541" w14:textId="77777777" w:rsidR="00CB410F" w:rsidRPr="00CB410F" w:rsidRDefault="00CB410F" w:rsidP="00430AF9">
            <w:pPr>
              <w:spacing w:after="0"/>
              <w:jc w:val="left"/>
              <w:rPr>
                <w:rFonts w:cs="Arial"/>
                <w:b/>
                <w:bCs/>
                <w:color w:val="000000"/>
                <w:szCs w:val="24"/>
              </w:rPr>
            </w:pPr>
            <w:r w:rsidRPr="00CB410F">
              <w:rPr>
                <w:rFonts w:cs="Arial"/>
                <w:b/>
                <w:bCs/>
                <w:color w:val="000000"/>
                <w:szCs w:val="24"/>
              </w:rPr>
              <w:t>Ratio</w:t>
            </w:r>
          </w:p>
        </w:tc>
        <w:tc>
          <w:tcPr>
            <w:tcW w:w="1056" w:type="pct"/>
            <w:tcBorders>
              <w:top w:val="nil"/>
              <w:left w:val="nil"/>
              <w:bottom w:val="single" w:sz="4" w:space="0" w:color="auto"/>
              <w:right w:val="single" w:sz="4" w:space="0" w:color="auto"/>
            </w:tcBorders>
            <w:noWrap/>
            <w:vAlign w:val="bottom"/>
            <w:hideMark/>
          </w:tcPr>
          <w:p w14:paraId="09CF377B" w14:textId="77777777" w:rsidR="00CB410F" w:rsidRPr="00CB410F" w:rsidRDefault="00CB410F" w:rsidP="00430AF9">
            <w:pPr>
              <w:spacing w:after="0"/>
              <w:jc w:val="left"/>
              <w:rPr>
                <w:rFonts w:cs="Arial"/>
                <w:b/>
                <w:bCs/>
                <w:color w:val="000000"/>
                <w:szCs w:val="24"/>
              </w:rPr>
            </w:pPr>
            <w:r w:rsidRPr="00CB410F">
              <w:rPr>
                <w:rFonts w:cs="Arial"/>
                <w:b/>
                <w:bCs/>
                <w:color w:val="000000"/>
                <w:szCs w:val="24"/>
              </w:rPr>
              <w:t>Formula</w:t>
            </w:r>
          </w:p>
        </w:tc>
        <w:tc>
          <w:tcPr>
            <w:tcW w:w="705" w:type="pct"/>
            <w:tcBorders>
              <w:top w:val="nil"/>
              <w:left w:val="nil"/>
              <w:bottom w:val="single" w:sz="4" w:space="0" w:color="auto"/>
              <w:right w:val="single" w:sz="4" w:space="0" w:color="auto"/>
            </w:tcBorders>
            <w:noWrap/>
            <w:vAlign w:val="bottom"/>
            <w:hideMark/>
          </w:tcPr>
          <w:p w14:paraId="6D902D7E" w14:textId="77777777" w:rsidR="00CB410F" w:rsidRPr="00CB410F" w:rsidRDefault="00CB410F" w:rsidP="00430AF9">
            <w:pPr>
              <w:spacing w:after="0"/>
              <w:jc w:val="right"/>
              <w:rPr>
                <w:rFonts w:cs="Arial"/>
                <w:b/>
                <w:bCs/>
                <w:color w:val="000000"/>
                <w:szCs w:val="24"/>
              </w:rPr>
            </w:pPr>
            <w:r w:rsidRPr="00CB410F">
              <w:rPr>
                <w:rFonts w:cs="Arial"/>
                <w:b/>
                <w:bCs/>
                <w:color w:val="000000"/>
                <w:szCs w:val="24"/>
              </w:rPr>
              <w:t>2024</w:t>
            </w:r>
          </w:p>
        </w:tc>
        <w:tc>
          <w:tcPr>
            <w:tcW w:w="705" w:type="pct"/>
            <w:tcBorders>
              <w:top w:val="nil"/>
              <w:left w:val="nil"/>
              <w:bottom w:val="single" w:sz="4" w:space="0" w:color="auto"/>
              <w:right w:val="single" w:sz="4" w:space="0" w:color="auto"/>
            </w:tcBorders>
            <w:noWrap/>
            <w:vAlign w:val="bottom"/>
            <w:hideMark/>
          </w:tcPr>
          <w:p w14:paraId="4F2E235F" w14:textId="77777777" w:rsidR="00CB410F" w:rsidRPr="00CB410F" w:rsidRDefault="00CB410F" w:rsidP="00430AF9">
            <w:pPr>
              <w:spacing w:after="0"/>
              <w:jc w:val="right"/>
              <w:rPr>
                <w:rFonts w:cs="Arial"/>
                <w:b/>
                <w:bCs/>
                <w:color w:val="000000"/>
                <w:szCs w:val="24"/>
              </w:rPr>
            </w:pPr>
            <w:r w:rsidRPr="00CB410F">
              <w:rPr>
                <w:rFonts w:cs="Arial"/>
                <w:b/>
                <w:bCs/>
                <w:color w:val="000000"/>
                <w:szCs w:val="24"/>
              </w:rPr>
              <w:t>2023</w:t>
            </w:r>
          </w:p>
        </w:tc>
        <w:tc>
          <w:tcPr>
            <w:tcW w:w="705" w:type="pct"/>
            <w:tcBorders>
              <w:top w:val="nil"/>
              <w:left w:val="nil"/>
              <w:bottom w:val="single" w:sz="4" w:space="0" w:color="auto"/>
              <w:right w:val="single" w:sz="4" w:space="0" w:color="auto"/>
            </w:tcBorders>
            <w:noWrap/>
            <w:vAlign w:val="bottom"/>
            <w:hideMark/>
          </w:tcPr>
          <w:p w14:paraId="380FE33B" w14:textId="77777777" w:rsidR="00CB410F" w:rsidRPr="00CB410F" w:rsidRDefault="00CB410F" w:rsidP="00430AF9">
            <w:pPr>
              <w:spacing w:after="0"/>
              <w:jc w:val="right"/>
              <w:rPr>
                <w:rFonts w:cs="Arial"/>
                <w:b/>
                <w:bCs/>
                <w:color w:val="000000"/>
                <w:szCs w:val="24"/>
              </w:rPr>
            </w:pPr>
            <w:r w:rsidRPr="00CB410F">
              <w:rPr>
                <w:rFonts w:cs="Arial"/>
                <w:b/>
                <w:bCs/>
                <w:color w:val="000000"/>
                <w:szCs w:val="24"/>
              </w:rPr>
              <w:t>2022</w:t>
            </w:r>
          </w:p>
        </w:tc>
        <w:tc>
          <w:tcPr>
            <w:tcW w:w="705" w:type="pct"/>
            <w:tcBorders>
              <w:top w:val="nil"/>
              <w:left w:val="nil"/>
              <w:bottom w:val="single" w:sz="4" w:space="0" w:color="auto"/>
              <w:right w:val="single" w:sz="4" w:space="0" w:color="auto"/>
            </w:tcBorders>
            <w:noWrap/>
            <w:vAlign w:val="bottom"/>
            <w:hideMark/>
          </w:tcPr>
          <w:p w14:paraId="548D219A" w14:textId="77777777" w:rsidR="00CB410F" w:rsidRPr="00CB410F" w:rsidRDefault="00CB410F" w:rsidP="00430AF9">
            <w:pPr>
              <w:spacing w:after="0"/>
              <w:jc w:val="right"/>
              <w:rPr>
                <w:rFonts w:cs="Arial"/>
                <w:b/>
                <w:bCs/>
                <w:color w:val="000000"/>
                <w:szCs w:val="24"/>
              </w:rPr>
            </w:pPr>
            <w:r w:rsidRPr="00CB410F">
              <w:rPr>
                <w:rFonts w:cs="Arial"/>
                <w:b/>
                <w:bCs/>
                <w:color w:val="000000"/>
                <w:szCs w:val="24"/>
              </w:rPr>
              <w:t>2021</w:t>
            </w:r>
          </w:p>
        </w:tc>
        <w:tc>
          <w:tcPr>
            <w:tcW w:w="705" w:type="pct"/>
            <w:tcBorders>
              <w:top w:val="nil"/>
              <w:left w:val="nil"/>
              <w:bottom w:val="single" w:sz="4" w:space="0" w:color="auto"/>
              <w:right w:val="single" w:sz="4" w:space="0" w:color="auto"/>
            </w:tcBorders>
            <w:noWrap/>
            <w:vAlign w:val="bottom"/>
            <w:hideMark/>
          </w:tcPr>
          <w:p w14:paraId="454F029D" w14:textId="77777777" w:rsidR="00CB410F" w:rsidRPr="00CB410F" w:rsidRDefault="00CB410F" w:rsidP="00430AF9">
            <w:pPr>
              <w:spacing w:after="0"/>
              <w:jc w:val="right"/>
              <w:rPr>
                <w:rFonts w:cs="Arial"/>
                <w:b/>
                <w:bCs/>
                <w:color w:val="000000"/>
                <w:szCs w:val="24"/>
              </w:rPr>
            </w:pPr>
            <w:r w:rsidRPr="00CB410F">
              <w:rPr>
                <w:rFonts w:cs="Arial"/>
                <w:b/>
                <w:bCs/>
                <w:color w:val="000000"/>
                <w:szCs w:val="24"/>
              </w:rPr>
              <w:t>2020</w:t>
            </w:r>
          </w:p>
        </w:tc>
      </w:tr>
      <w:tr w:rsidR="00CB410F" w:rsidRPr="00CB410F" w14:paraId="2D1B8C48" w14:textId="77777777" w:rsidTr="0034500B">
        <w:trPr>
          <w:trHeight w:val="737"/>
        </w:trPr>
        <w:tc>
          <w:tcPr>
            <w:tcW w:w="417" w:type="pct"/>
            <w:tcBorders>
              <w:top w:val="nil"/>
              <w:left w:val="single" w:sz="4" w:space="0" w:color="auto"/>
              <w:bottom w:val="single" w:sz="4" w:space="0" w:color="auto"/>
              <w:right w:val="single" w:sz="4" w:space="0" w:color="auto"/>
            </w:tcBorders>
            <w:noWrap/>
            <w:vAlign w:val="bottom"/>
            <w:hideMark/>
          </w:tcPr>
          <w:p w14:paraId="188FD2ED" w14:textId="77777777" w:rsidR="00CB410F" w:rsidRPr="00CB410F" w:rsidRDefault="00CB410F" w:rsidP="00430AF9">
            <w:pPr>
              <w:spacing w:after="0"/>
              <w:jc w:val="left"/>
              <w:rPr>
                <w:rFonts w:cs="Arial"/>
                <w:b/>
                <w:i/>
                <w:color w:val="000000"/>
                <w:szCs w:val="24"/>
              </w:rPr>
            </w:pPr>
            <w:r w:rsidRPr="00CB410F">
              <w:rPr>
                <w:rFonts w:cs="Arial"/>
                <w:b/>
                <w:i/>
                <w:color w:val="000000"/>
                <w:szCs w:val="24"/>
              </w:rPr>
              <w:t>Debt-to-Equity</w:t>
            </w:r>
          </w:p>
        </w:tc>
        <w:tc>
          <w:tcPr>
            <w:tcW w:w="1056" w:type="pct"/>
            <w:tcBorders>
              <w:top w:val="nil"/>
              <w:left w:val="nil"/>
              <w:bottom w:val="single" w:sz="4" w:space="0" w:color="auto"/>
              <w:right w:val="single" w:sz="4" w:space="0" w:color="auto"/>
            </w:tcBorders>
            <w:noWrap/>
            <w:vAlign w:val="bottom"/>
            <w:hideMark/>
          </w:tcPr>
          <w:p w14:paraId="609B7A02" w14:textId="77777777" w:rsidR="00CB410F" w:rsidRPr="00CB410F" w:rsidRDefault="00CB410F" w:rsidP="00430AF9">
            <w:pPr>
              <w:spacing w:after="0"/>
              <w:jc w:val="left"/>
              <w:rPr>
                <w:rFonts w:cs="Arial"/>
                <w:color w:val="000000"/>
                <w:szCs w:val="24"/>
              </w:rPr>
            </w:pPr>
            <w:r w:rsidRPr="00CB410F">
              <w:rPr>
                <w:rFonts w:cs="Arial"/>
                <w:color w:val="000000"/>
                <w:szCs w:val="24"/>
              </w:rPr>
              <w:t>Total Liabilities ÷ Shareholders’ Equity</w:t>
            </w:r>
          </w:p>
        </w:tc>
        <w:tc>
          <w:tcPr>
            <w:tcW w:w="705" w:type="pct"/>
            <w:tcBorders>
              <w:top w:val="nil"/>
              <w:left w:val="nil"/>
              <w:bottom w:val="single" w:sz="4" w:space="0" w:color="auto"/>
              <w:right w:val="single" w:sz="4" w:space="0" w:color="auto"/>
            </w:tcBorders>
            <w:noWrap/>
            <w:vAlign w:val="bottom"/>
            <w:hideMark/>
          </w:tcPr>
          <w:p w14:paraId="47A47A24" w14:textId="77777777" w:rsidR="00CB410F" w:rsidRPr="00CB410F" w:rsidRDefault="00CB410F" w:rsidP="00430AF9">
            <w:pPr>
              <w:spacing w:after="0"/>
              <w:jc w:val="left"/>
              <w:rPr>
                <w:rFonts w:cs="Arial"/>
                <w:color w:val="000000"/>
                <w:szCs w:val="24"/>
              </w:rPr>
            </w:pPr>
            <w:r w:rsidRPr="00CB410F">
              <w:rPr>
                <w:rFonts w:cs="Arial"/>
                <w:color w:val="000000"/>
                <w:szCs w:val="24"/>
              </w:rPr>
              <w:t>170,249 ÷ 153,105 = 1.11</w:t>
            </w:r>
          </w:p>
        </w:tc>
        <w:tc>
          <w:tcPr>
            <w:tcW w:w="705" w:type="pct"/>
            <w:tcBorders>
              <w:top w:val="nil"/>
              <w:left w:val="nil"/>
              <w:bottom w:val="single" w:sz="4" w:space="0" w:color="auto"/>
              <w:right w:val="single" w:sz="4" w:space="0" w:color="auto"/>
            </w:tcBorders>
            <w:noWrap/>
            <w:vAlign w:val="bottom"/>
            <w:hideMark/>
          </w:tcPr>
          <w:p w14:paraId="0BEE81A3" w14:textId="77777777" w:rsidR="00CB410F" w:rsidRPr="00CB410F" w:rsidRDefault="00CB410F" w:rsidP="00430AF9">
            <w:pPr>
              <w:spacing w:after="0"/>
              <w:jc w:val="left"/>
              <w:rPr>
                <w:rFonts w:cs="Arial"/>
                <w:color w:val="000000"/>
                <w:szCs w:val="24"/>
              </w:rPr>
            </w:pPr>
            <w:r w:rsidRPr="00CB410F">
              <w:rPr>
                <w:rFonts w:cs="Arial"/>
                <w:color w:val="000000"/>
                <w:szCs w:val="24"/>
              </w:rPr>
              <w:t>176,952 ÷ 178,920 = 0.99</w:t>
            </w:r>
          </w:p>
        </w:tc>
        <w:tc>
          <w:tcPr>
            <w:tcW w:w="705" w:type="pct"/>
            <w:tcBorders>
              <w:top w:val="nil"/>
              <w:left w:val="nil"/>
              <w:bottom w:val="single" w:sz="4" w:space="0" w:color="auto"/>
              <w:right w:val="single" w:sz="4" w:space="0" w:color="auto"/>
            </w:tcBorders>
            <w:noWrap/>
            <w:vAlign w:val="bottom"/>
            <w:hideMark/>
          </w:tcPr>
          <w:p w14:paraId="57EFF36D" w14:textId="77777777" w:rsidR="00CB410F" w:rsidRPr="00CB410F" w:rsidRDefault="00CB410F" w:rsidP="00430AF9">
            <w:pPr>
              <w:spacing w:after="0"/>
              <w:jc w:val="left"/>
              <w:rPr>
                <w:rFonts w:cs="Arial"/>
                <w:color w:val="000000"/>
                <w:szCs w:val="24"/>
              </w:rPr>
            </w:pPr>
            <w:r w:rsidRPr="00CB410F">
              <w:rPr>
                <w:rFonts w:cs="Arial"/>
                <w:color w:val="000000"/>
                <w:szCs w:val="24"/>
              </w:rPr>
              <w:t>235,757 ÷ 268,406 = 0.88</w:t>
            </w:r>
          </w:p>
        </w:tc>
        <w:tc>
          <w:tcPr>
            <w:tcW w:w="705" w:type="pct"/>
            <w:tcBorders>
              <w:top w:val="nil"/>
              <w:left w:val="nil"/>
              <w:bottom w:val="single" w:sz="4" w:space="0" w:color="auto"/>
              <w:right w:val="single" w:sz="4" w:space="0" w:color="auto"/>
            </w:tcBorders>
            <w:noWrap/>
            <w:vAlign w:val="bottom"/>
            <w:hideMark/>
          </w:tcPr>
          <w:p w14:paraId="2B5A72B1" w14:textId="77777777" w:rsidR="00CB410F" w:rsidRPr="00CB410F" w:rsidRDefault="00CB410F" w:rsidP="00430AF9">
            <w:pPr>
              <w:spacing w:after="0"/>
              <w:jc w:val="left"/>
              <w:rPr>
                <w:rFonts w:cs="Arial"/>
                <w:color w:val="000000"/>
                <w:szCs w:val="24"/>
              </w:rPr>
            </w:pPr>
            <w:r w:rsidRPr="00CB410F">
              <w:rPr>
                <w:rFonts w:cs="Arial"/>
                <w:color w:val="000000"/>
                <w:szCs w:val="24"/>
              </w:rPr>
              <w:t>234,399 ÷ 275,949 = 0.85</w:t>
            </w:r>
          </w:p>
        </w:tc>
        <w:tc>
          <w:tcPr>
            <w:tcW w:w="705" w:type="pct"/>
            <w:tcBorders>
              <w:top w:val="nil"/>
              <w:left w:val="nil"/>
              <w:bottom w:val="single" w:sz="4" w:space="0" w:color="auto"/>
              <w:right w:val="single" w:sz="4" w:space="0" w:color="auto"/>
            </w:tcBorders>
            <w:noWrap/>
            <w:vAlign w:val="bottom"/>
            <w:hideMark/>
          </w:tcPr>
          <w:p w14:paraId="47EEBED3" w14:textId="77777777" w:rsidR="00CB410F" w:rsidRPr="00CB410F" w:rsidRDefault="00CB410F" w:rsidP="00430AF9">
            <w:pPr>
              <w:spacing w:after="0"/>
              <w:jc w:val="left"/>
              <w:rPr>
                <w:rFonts w:cs="Arial"/>
                <w:color w:val="000000"/>
                <w:szCs w:val="24"/>
              </w:rPr>
            </w:pPr>
            <w:r w:rsidRPr="00CB410F">
              <w:rPr>
                <w:rFonts w:cs="Arial"/>
                <w:color w:val="000000"/>
                <w:szCs w:val="24"/>
              </w:rPr>
              <w:t>196,989 ÷ 313,301 = 0.63</w:t>
            </w:r>
          </w:p>
        </w:tc>
      </w:tr>
      <w:tr w:rsidR="00CB410F" w:rsidRPr="00CB410F" w14:paraId="3DA2CC78" w14:textId="77777777" w:rsidTr="0034500B">
        <w:trPr>
          <w:trHeight w:val="737"/>
        </w:trPr>
        <w:tc>
          <w:tcPr>
            <w:tcW w:w="417" w:type="pct"/>
            <w:tcBorders>
              <w:top w:val="nil"/>
              <w:left w:val="single" w:sz="4" w:space="0" w:color="auto"/>
              <w:bottom w:val="single" w:sz="4" w:space="0" w:color="auto"/>
              <w:right w:val="single" w:sz="4" w:space="0" w:color="auto"/>
            </w:tcBorders>
            <w:noWrap/>
            <w:vAlign w:val="bottom"/>
            <w:hideMark/>
          </w:tcPr>
          <w:p w14:paraId="14E161A7" w14:textId="77777777" w:rsidR="00CB410F" w:rsidRPr="00CB410F" w:rsidRDefault="00CB410F" w:rsidP="00430AF9">
            <w:pPr>
              <w:spacing w:after="0"/>
              <w:jc w:val="left"/>
              <w:rPr>
                <w:rFonts w:cs="Arial"/>
                <w:b/>
                <w:i/>
                <w:color w:val="000000"/>
                <w:szCs w:val="24"/>
              </w:rPr>
            </w:pPr>
            <w:r w:rsidRPr="00CB410F">
              <w:rPr>
                <w:rFonts w:cs="Arial"/>
                <w:b/>
                <w:i/>
                <w:color w:val="000000"/>
                <w:szCs w:val="24"/>
              </w:rPr>
              <w:t>Debt Ratio</w:t>
            </w:r>
          </w:p>
        </w:tc>
        <w:tc>
          <w:tcPr>
            <w:tcW w:w="1056" w:type="pct"/>
            <w:tcBorders>
              <w:top w:val="nil"/>
              <w:left w:val="nil"/>
              <w:bottom w:val="single" w:sz="4" w:space="0" w:color="auto"/>
              <w:right w:val="single" w:sz="4" w:space="0" w:color="auto"/>
            </w:tcBorders>
            <w:noWrap/>
            <w:vAlign w:val="bottom"/>
            <w:hideMark/>
          </w:tcPr>
          <w:p w14:paraId="256BFFB0" w14:textId="77777777" w:rsidR="00CB410F" w:rsidRPr="00CB410F" w:rsidRDefault="00CB410F" w:rsidP="00430AF9">
            <w:pPr>
              <w:spacing w:after="0"/>
              <w:jc w:val="left"/>
              <w:rPr>
                <w:rFonts w:cs="Arial"/>
                <w:color w:val="000000"/>
                <w:szCs w:val="24"/>
              </w:rPr>
            </w:pPr>
            <w:r w:rsidRPr="00CB410F">
              <w:rPr>
                <w:rFonts w:cs="Arial"/>
                <w:color w:val="000000"/>
                <w:szCs w:val="24"/>
              </w:rPr>
              <w:t>Total Liabilities ÷ Total Assets</w:t>
            </w:r>
          </w:p>
        </w:tc>
        <w:tc>
          <w:tcPr>
            <w:tcW w:w="705" w:type="pct"/>
            <w:tcBorders>
              <w:top w:val="nil"/>
              <w:left w:val="nil"/>
              <w:bottom w:val="single" w:sz="4" w:space="0" w:color="auto"/>
              <w:right w:val="single" w:sz="4" w:space="0" w:color="auto"/>
            </w:tcBorders>
            <w:noWrap/>
            <w:vAlign w:val="bottom"/>
            <w:hideMark/>
          </w:tcPr>
          <w:p w14:paraId="3B3CC95F" w14:textId="77777777" w:rsidR="00CB410F" w:rsidRPr="00CB410F" w:rsidRDefault="00CB410F" w:rsidP="00430AF9">
            <w:pPr>
              <w:spacing w:after="0"/>
              <w:jc w:val="left"/>
              <w:rPr>
                <w:rFonts w:cs="Arial"/>
                <w:color w:val="000000"/>
                <w:szCs w:val="24"/>
              </w:rPr>
            </w:pPr>
            <w:r w:rsidRPr="00CB410F">
              <w:rPr>
                <w:rFonts w:cs="Arial"/>
                <w:color w:val="000000"/>
                <w:szCs w:val="24"/>
              </w:rPr>
              <w:t>170,249 ÷ 323,354 = 0.53</w:t>
            </w:r>
          </w:p>
        </w:tc>
        <w:tc>
          <w:tcPr>
            <w:tcW w:w="705" w:type="pct"/>
            <w:tcBorders>
              <w:top w:val="nil"/>
              <w:left w:val="nil"/>
              <w:bottom w:val="single" w:sz="4" w:space="0" w:color="auto"/>
              <w:right w:val="single" w:sz="4" w:space="0" w:color="auto"/>
            </w:tcBorders>
            <w:noWrap/>
            <w:vAlign w:val="bottom"/>
            <w:hideMark/>
          </w:tcPr>
          <w:p w14:paraId="26061176" w14:textId="77777777" w:rsidR="00CB410F" w:rsidRPr="00CB410F" w:rsidRDefault="00CB410F" w:rsidP="00430AF9">
            <w:pPr>
              <w:spacing w:after="0"/>
              <w:jc w:val="left"/>
              <w:rPr>
                <w:rFonts w:cs="Arial"/>
                <w:color w:val="000000"/>
                <w:szCs w:val="24"/>
              </w:rPr>
            </w:pPr>
            <w:r w:rsidRPr="00CB410F">
              <w:rPr>
                <w:rFonts w:cs="Arial"/>
                <w:color w:val="000000"/>
                <w:szCs w:val="24"/>
              </w:rPr>
              <w:t>176,952 ÷ 355,872 = 0.50</w:t>
            </w:r>
          </w:p>
        </w:tc>
        <w:tc>
          <w:tcPr>
            <w:tcW w:w="705" w:type="pct"/>
            <w:tcBorders>
              <w:top w:val="nil"/>
              <w:left w:val="nil"/>
              <w:bottom w:val="single" w:sz="4" w:space="0" w:color="auto"/>
              <w:right w:val="single" w:sz="4" w:space="0" w:color="auto"/>
            </w:tcBorders>
            <w:noWrap/>
            <w:vAlign w:val="bottom"/>
            <w:hideMark/>
          </w:tcPr>
          <w:p w14:paraId="51D8AE70" w14:textId="77777777" w:rsidR="00CB410F" w:rsidRPr="00CB410F" w:rsidRDefault="00CB410F" w:rsidP="00430AF9">
            <w:pPr>
              <w:spacing w:after="0"/>
              <w:jc w:val="left"/>
              <w:rPr>
                <w:rFonts w:cs="Arial"/>
                <w:color w:val="000000"/>
                <w:szCs w:val="24"/>
              </w:rPr>
            </w:pPr>
            <w:r w:rsidRPr="00CB410F">
              <w:rPr>
                <w:rFonts w:cs="Arial"/>
                <w:color w:val="000000"/>
                <w:szCs w:val="24"/>
              </w:rPr>
              <w:t>235,757 ÷ 504,163 = 0.47</w:t>
            </w:r>
          </w:p>
        </w:tc>
        <w:tc>
          <w:tcPr>
            <w:tcW w:w="705" w:type="pct"/>
            <w:tcBorders>
              <w:top w:val="nil"/>
              <w:left w:val="nil"/>
              <w:bottom w:val="single" w:sz="4" w:space="0" w:color="auto"/>
              <w:right w:val="single" w:sz="4" w:space="0" w:color="auto"/>
            </w:tcBorders>
            <w:noWrap/>
            <w:vAlign w:val="bottom"/>
            <w:hideMark/>
          </w:tcPr>
          <w:p w14:paraId="00A8DEF9" w14:textId="77777777" w:rsidR="00CB410F" w:rsidRPr="00CB410F" w:rsidRDefault="00CB410F" w:rsidP="00430AF9">
            <w:pPr>
              <w:spacing w:after="0"/>
              <w:jc w:val="left"/>
              <w:rPr>
                <w:rFonts w:cs="Arial"/>
                <w:color w:val="000000"/>
                <w:szCs w:val="24"/>
              </w:rPr>
            </w:pPr>
            <w:r w:rsidRPr="00CB410F">
              <w:rPr>
                <w:rFonts w:cs="Arial"/>
                <w:color w:val="000000"/>
                <w:szCs w:val="24"/>
              </w:rPr>
              <w:t>234,399 ÷ 510,348 = 0.46</w:t>
            </w:r>
          </w:p>
        </w:tc>
        <w:tc>
          <w:tcPr>
            <w:tcW w:w="705" w:type="pct"/>
            <w:tcBorders>
              <w:top w:val="nil"/>
              <w:left w:val="nil"/>
              <w:bottom w:val="single" w:sz="4" w:space="0" w:color="auto"/>
              <w:right w:val="single" w:sz="4" w:space="0" w:color="auto"/>
            </w:tcBorders>
            <w:noWrap/>
            <w:vAlign w:val="bottom"/>
            <w:hideMark/>
          </w:tcPr>
          <w:p w14:paraId="697EB997" w14:textId="77777777" w:rsidR="00CB410F" w:rsidRPr="00CB410F" w:rsidRDefault="00CB410F" w:rsidP="00430AF9">
            <w:pPr>
              <w:spacing w:after="0"/>
              <w:jc w:val="left"/>
              <w:rPr>
                <w:rFonts w:cs="Arial"/>
                <w:color w:val="000000"/>
                <w:szCs w:val="24"/>
              </w:rPr>
            </w:pPr>
            <w:r w:rsidRPr="00CB410F">
              <w:rPr>
                <w:rFonts w:cs="Arial"/>
                <w:color w:val="000000"/>
                <w:szCs w:val="24"/>
              </w:rPr>
              <w:t>196,989 ÷ 510,290 = 0.39</w:t>
            </w:r>
          </w:p>
        </w:tc>
      </w:tr>
    </w:tbl>
    <w:p w14:paraId="35B9EBF4" w14:textId="502789BD" w:rsidR="00B54382" w:rsidRPr="0034500B" w:rsidRDefault="002D1ECE" w:rsidP="0034500B">
      <w:pPr>
        <w:jc w:val="center"/>
        <w:rPr>
          <w:b/>
        </w:rPr>
      </w:pPr>
      <w:bookmarkStart w:id="11" w:name="_Toc216960973"/>
      <w:r w:rsidRPr="0034500B">
        <w:rPr>
          <w:b/>
        </w:rPr>
        <w:lastRenderedPageBreak/>
        <w:t xml:space="preserve">Table </w:t>
      </w:r>
      <w:r w:rsidRPr="0034500B">
        <w:rPr>
          <w:b/>
        </w:rPr>
        <w:fldChar w:fldCharType="begin"/>
      </w:r>
      <w:r w:rsidRPr="0034500B">
        <w:rPr>
          <w:b/>
        </w:rPr>
        <w:instrText xml:space="preserve"> SEQ Table \* ARABIC </w:instrText>
      </w:r>
      <w:r w:rsidRPr="0034500B">
        <w:rPr>
          <w:b/>
        </w:rPr>
        <w:fldChar w:fldCharType="separate"/>
      </w:r>
      <w:r w:rsidR="00152E13" w:rsidRPr="0034500B">
        <w:rPr>
          <w:b/>
          <w:noProof/>
        </w:rPr>
        <w:t>4</w:t>
      </w:r>
      <w:r w:rsidRPr="0034500B">
        <w:rPr>
          <w:b/>
        </w:rPr>
        <w:fldChar w:fldCharType="end"/>
      </w:r>
      <w:r w:rsidRPr="0034500B">
        <w:rPr>
          <w:b/>
        </w:rPr>
        <w:t>: Gearing / Leverage Ratios</w:t>
      </w:r>
      <w:bookmarkEnd w:id="11"/>
    </w:p>
    <w:p w14:paraId="516B8BDC" w14:textId="7352537D" w:rsidR="00CB410F" w:rsidRPr="00CB410F" w:rsidRDefault="00CB410F" w:rsidP="0034500B">
      <w:pPr>
        <w:jc w:val="center"/>
      </w:pPr>
      <w:r w:rsidRPr="00CB410F">
        <w:t>(</w:t>
      </w:r>
      <w:r w:rsidRPr="00CB410F">
        <w:rPr>
          <w:lang w:val="en-IN"/>
        </w:rPr>
        <w:t>Source: Refer to the excel sheet</w:t>
      </w:r>
      <w:r w:rsidRPr="00CB410F">
        <w:t>)</w:t>
      </w:r>
    </w:p>
    <w:tbl>
      <w:tblPr>
        <w:tblW w:w="5000" w:type="pct"/>
        <w:tblLook w:val="04A0" w:firstRow="1" w:lastRow="0" w:firstColumn="1" w:lastColumn="0" w:noHBand="0" w:noVBand="1"/>
      </w:tblPr>
      <w:tblGrid>
        <w:gridCol w:w="1281"/>
        <w:gridCol w:w="1833"/>
        <w:gridCol w:w="1181"/>
        <w:gridCol w:w="1181"/>
        <w:gridCol w:w="1181"/>
        <w:gridCol w:w="1181"/>
        <w:gridCol w:w="1181"/>
      </w:tblGrid>
      <w:tr w:rsidR="00CB410F" w:rsidRPr="00CB410F" w14:paraId="4FF559BC" w14:textId="77777777" w:rsidTr="006561C9">
        <w:trPr>
          <w:trHeight w:val="737"/>
        </w:trPr>
        <w:tc>
          <w:tcPr>
            <w:tcW w:w="5000" w:type="pct"/>
            <w:gridSpan w:val="7"/>
            <w:tcBorders>
              <w:top w:val="single" w:sz="4" w:space="0" w:color="auto"/>
              <w:left w:val="single" w:sz="4" w:space="0" w:color="auto"/>
              <w:bottom w:val="single" w:sz="4" w:space="0" w:color="auto"/>
              <w:right w:val="single" w:sz="4" w:space="0" w:color="000000"/>
            </w:tcBorders>
            <w:noWrap/>
            <w:vAlign w:val="bottom"/>
            <w:hideMark/>
          </w:tcPr>
          <w:p w14:paraId="25E15136" w14:textId="77777777" w:rsidR="00CB410F" w:rsidRPr="00CB410F" w:rsidRDefault="00CB410F" w:rsidP="00430AF9">
            <w:pPr>
              <w:spacing w:after="0"/>
              <w:jc w:val="center"/>
              <w:rPr>
                <w:rFonts w:cs="Arial"/>
                <w:b/>
                <w:bCs/>
                <w:color w:val="000000"/>
                <w:szCs w:val="24"/>
              </w:rPr>
            </w:pPr>
            <w:r w:rsidRPr="00CB410F">
              <w:rPr>
                <w:rFonts w:cs="Arial"/>
                <w:b/>
                <w:bCs/>
                <w:color w:val="000000"/>
                <w:szCs w:val="24"/>
              </w:rPr>
              <w:t>Cash Flow Ratios</w:t>
            </w:r>
          </w:p>
        </w:tc>
      </w:tr>
      <w:tr w:rsidR="00CB410F" w:rsidRPr="00CB410F" w14:paraId="44063DEA" w14:textId="77777777" w:rsidTr="006561C9">
        <w:trPr>
          <w:trHeight w:val="737"/>
        </w:trPr>
        <w:tc>
          <w:tcPr>
            <w:tcW w:w="706" w:type="pct"/>
            <w:tcBorders>
              <w:top w:val="nil"/>
              <w:left w:val="single" w:sz="4" w:space="0" w:color="auto"/>
              <w:bottom w:val="single" w:sz="4" w:space="0" w:color="auto"/>
              <w:right w:val="single" w:sz="4" w:space="0" w:color="auto"/>
            </w:tcBorders>
            <w:noWrap/>
            <w:vAlign w:val="bottom"/>
            <w:hideMark/>
          </w:tcPr>
          <w:p w14:paraId="12806854" w14:textId="77777777" w:rsidR="00CB410F" w:rsidRPr="00CB410F" w:rsidRDefault="00CB410F" w:rsidP="00430AF9">
            <w:pPr>
              <w:spacing w:after="0"/>
              <w:jc w:val="left"/>
              <w:rPr>
                <w:rFonts w:cs="Arial"/>
                <w:b/>
                <w:bCs/>
                <w:color w:val="000000"/>
                <w:szCs w:val="24"/>
              </w:rPr>
            </w:pPr>
            <w:r w:rsidRPr="00CB410F">
              <w:rPr>
                <w:rFonts w:cs="Arial"/>
                <w:b/>
                <w:bCs/>
                <w:color w:val="000000"/>
                <w:szCs w:val="24"/>
              </w:rPr>
              <w:t>Ratio</w:t>
            </w:r>
          </w:p>
        </w:tc>
        <w:tc>
          <w:tcPr>
            <w:tcW w:w="1080" w:type="pct"/>
            <w:tcBorders>
              <w:top w:val="nil"/>
              <w:left w:val="nil"/>
              <w:bottom w:val="single" w:sz="4" w:space="0" w:color="auto"/>
              <w:right w:val="single" w:sz="4" w:space="0" w:color="auto"/>
            </w:tcBorders>
            <w:noWrap/>
            <w:vAlign w:val="bottom"/>
            <w:hideMark/>
          </w:tcPr>
          <w:p w14:paraId="632F08A0" w14:textId="77777777" w:rsidR="00CB410F" w:rsidRPr="00CB410F" w:rsidRDefault="00CB410F" w:rsidP="00430AF9">
            <w:pPr>
              <w:spacing w:after="0"/>
              <w:jc w:val="left"/>
              <w:rPr>
                <w:rFonts w:cs="Arial"/>
                <w:b/>
                <w:bCs/>
                <w:color w:val="000000"/>
                <w:szCs w:val="24"/>
              </w:rPr>
            </w:pPr>
            <w:r w:rsidRPr="00CB410F">
              <w:rPr>
                <w:rFonts w:cs="Arial"/>
                <w:b/>
                <w:bCs/>
                <w:color w:val="000000"/>
                <w:szCs w:val="24"/>
              </w:rPr>
              <w:t>Formula</w:t>
            </w:r>
          </w:p>
        </w:tc>
        <w:tc>
          <w:tcPr>
            <w:tcW w:w="643" w:type="pct"/>
            <w:tcBorders>
              <w:top w:val="nil"/>
              <w:left w:val="nil"/>
              <w:bottom w:val="single" w:sz="4" w:space="0" w:color="auto"/>
              <w:right w:val="single" w:sz="4" w:space="0" w:color="auto"/>
            </w:tcBorders>
            <w:noWrap/>
            <w:vAlign w:val="bottom"/>
            <w:hideMark/>
          </w:tcPr>
          <w:p w14:paraId="1E6ABF1D" w14:textId="77777777" w:rsidR="00CB410F" w:rsidRPr="00CB410F" w:rsidRDefault="00CB410F" w:rsidP="00430AF9">
            <w:pPr>
              <w:spacing w:after="0"/>
              <w:jc w:val="right"/>
              <w:rPr>
                <w:rFonts w:cs="Arial"/>
                <w:b/>
                <w:bCs/>
                <w:color w:val="000000"/>
                <w:szCs w:val="24"/>
              </w:rPr>
            </w:pPr>
            <w:r w:rsidRPr="00CB410F">
              <w:rPr>
                <w:rFonts w:cs="Arial"/>
                <w:b/>
                <w:bCs/>
                <w:color w:val="000000"/>
                <w:szCs w:val="24"/>
              </w:rPr>
              <w:t>2024</w:t>
            </w:r>
          </w:p>
        </w:tc>
        <w:tc>
          <w:tcPr>
            <w:tcW w:w="643" w:type="pct"/>
            <w:tcBorders>
              <w:top w:val="nil"/>
              <w:left w:val="nil"/>
              <w:bottom w:val="single" w:sz="4" w:space="0" w:color="auto"/>
              <w:right w:val="single" w:sz="4" w:space="0" w:color="auto"/>
            </w:tcBorders>
            <w:noWrap/>
            <w:vAlign w:val="bottom"/>
            <w:hideMark/>
          </w:tcPr>
          <w:p w14:paraId="00327EFA" w14:textId="77777777" w:rsidR="00CB410F" w:rsidRPr="00CB410F" w:rsidRDefault="00CB410F" w:rsidP="00430AF9">
            <w:pPr>
              <w:spacing w:after="0"/>
              <w:jc w:val="right"/>
              <w:rPr>
                <w:rFonts w:cs="Arial"/>
                <w:b/>
                <w:bCs/>
                <w:color w:val="000000"/>
                <w:szCs w:val="24"/>
              </w:rPr>
            </w:pPr>
            <w:r w:rsidRPr="00CB410F">
              <w:rPr>
                <w:rFonts w:cs="Arial"/>
                <w:b/>
                <w:bCs/>
                <w:color w:val="000000"/>
                <w:szCs w:val="24"/>
              </w:rPr>
              <w:t>2023</w:t>
            </w:r>
          </w:p>
        </w:tc>
        <w:tc>
          <w:tcPr>
            <w:tcW w:w="643" w:type="pct"/>
            <w:tcBorders>
              <w:top w:val="nil"/>
              <w:left w:val="nil"/>
              <w:bottom w:val="single" w:sz="4" w:space="0" w:color="auto"/>
              <w:right w:val="single" w:sz="4" w:space="0" w:color="auto"/>
            </w:tcBorders>
            <w:noWrap/>
            <w:vAlign w:val="bottom"/>
            <w:hideMark/>
          </w:tcPr>
          <w:p w14:paraId="2C3DDC38" w14:textId="77777777" w:rsidR="00CB410F" w:rsidRPr="00CB410F" w:rsidRDefault="00CB410F" w:rsidP="00430AF9">
            <w:pPr>
              <w:spacing w:after="0"/>
              <w:jc w:val="right"/>
              <w:rPr>
                <w:rFonts w:cs="Arial"/>
                <w:b/>
                <w:bCs/>
                <w:color w:val="000000"/>
                <w:szCs w:val="24"/>
              </w:rPr>
            </w:pPr>
            <w:r w:rsidRPr="00CB410F">
              <w:rPr>
                <w:rFonts w:cs="Arial"/>
                <w:b/>
                <w:bCs/>
                <w:color w:val="000000"/>
                <w:szCs w:val="24"/>
              </w:rPr>
              <w:t>2022</w:t>
            </w:r>
          </w:p>
        </w:tc>
        <w:tc>
          <w:tcPr>
            <w:tcW w:w="643" w:type="pct"/>
            <w:tcBorders>
              <w:top w:val="nil"/>
              <w:left w:val="nil"/>
              <w:bottom w:val="single" w:sz="4" w:space="0" w:color="auto"/>
              <w:right w:val="single" w:sz="4" w:space="0" w:color="auto"/>
            </w:tcBorders>
            <w:noWrap/>
            <w:vAlign w:val="bottom"/>
            <w:hideMark/>
          </w:tcPr>
          <w:p w14:paraId="5C3607F1" w14:textId="77777777" w:rsidR="00CB410F" w:rsidRPr="00CB410F" w:rsidRDefault="00CB410F" w:rsidP="00430AF9">
            <w:pPr>
              <w:spacing w:after="0"/>
              <w:jc w:val="right"/>
              <w:rPr>
                <w:rFonts w:cs="Arial"/>
                <w:b/>
                <w:bCs/>
                <w:color w:val="000000"/>
                <w:szCs w:val="24"/>
              </w:rPr>
            </w:pPr>
            <w:r w:rsidRPr="00CB410F">
              <w:rPr>
                <w:rFonts w:cs="Arial"/>
                <w:b/>
                <w:bCs/>
                <w:color w:val="000000"/>
                <w:szCs w:val="24"/>
              </w:rPr>
              <w:t>2021</w:t>
            </w:r>
          </w:p>
        </w:tc>
        <w:tc>
          <w:tcPr>
            <w:tcW w:w="643" w:type="pct"/>
            <w:tcBorders>
              <w:top w:val="nil"/>
              <w:left w:val="nil"/>
              <w:bottom w:val="single" w:sz="4" w:space="0" w:color="auto"/>
              <w:right w:val="single" w:sz="4" w:space="0" w:color="auto"/>
            </w:tcBorders>
            <w:noWrap/>
            <w:vAlign w:val="bottom"/>
            <w:hideMark/>
          </w:tcPr>
          <w:p w14:paraId="1FDB883D" w14:textId="77777777" w:rsidR="00CB410F" w:rsidRPr="00CB410F" w:rsidRDefault="00CB410F" w:rsidP="00430AF9">
            <w:pPr>
              <w:spacing w:after="0"/>
              <w:jc w:val="right"/>
              <w:rPr>
                <w:rFonts w:cs="Arial"/>
                <w:b/>
                <w:bCs/>
                <w:color w:val="000000"/>
                <w:szCs w:val="24"/>
              </w:rPr>
            </w:pPr>
            <w:r w:rsidRPr="00CB410F">
              <w:rPr>
                <w:rFonts w:cs="Arial"/>
                <w:b/>
                <w:bCs/>
                <w:color w:val="000000"/>
                <w:szCs w:val="24"/>
              </w:rPr>
              <w:t>2020</w:t>
            </w:r>
          </w:p>
        </w:tc>
      </w:tr>
      <w:tr w:rsidR="00CB410F" w:rsidRPr="00CB410F" w14:paraId="27FCAC96" w14:textId="77777777" w:rsidTr="006561C9">
        <w:trPr>
          <w:trHeight w:val="737"/>
        </w:trPr>
        <w:tc>
          <w:tcPr>
            <w:tcW w:w="706" w:type="pct"/>
            <w:tcBorders>
              <w:top w:val="nil"/>
              <w:left w:val="single" w:sz="4" w:space="0" w:color="auto"/>
              <w:bottom w:val="single" w:sz="4" w:space="0" w:color="auto"/>
              <w:right w:val="single" w:sz="4" w:space="0" w:color="auto"/>
            </w:tcBorders>
            <w:noWrap/>
            <w:vAlign w:val="bottom"/>
            <w:hideMark/>
          </w:tcPr>
          <w:p w14:paraId="3E8204DD" w14:textId="77777777" w:rsidR="00CB410F" w:rsidRPr="00CB410F" w:rsidRDefault="00CB410F" w:rsidP="00430AF9">
            <w:pPr>
              <w:spacing w:after="0"/>
              <w:jc w:val="left"/>
              <w:rPr>
                <w:rFonts w:cs="Arial"/>
                <w:color w:val="000000"/>
                <w:szCs w:val="24"/>
              </w:rPr>
            </w:pPr>
            <w:r w:rsidRPr="00CB410F">
              <w:rPr>
                <w:rFonts w:cs="Arial"/>
                <w:color w:val="000000"/>
                <w:szCs w:val="24"/>
              </w:rPr>
              <w:t>Operating Cash Flow Ratio</w:t>
            </w:r>
          </w:p>
        </w:tc>
        <w:tc>
          <w:tcPr>
            <w:tcW w:w="1080" w:type="pct"/>
            <w:tcBorders>
              <w:top w:val="nil"/>
              <w:left w:val="nil"/>
              <w:bottom w:val="single" w:sz="4" w:space="0" w:color="auto"/>
              <w:right w:val="single" w:sz="4" w:space="0" w:color="auto"/>
            </w:tcBorders>
            <w:noWrap/>
            <w:vAlign w:val="bottom"/>
            <w:hideMark/>
          </w:tcPr>
          <w:p w14:paraId="1D01575F" w14:textId="77777777" w:rsidR="00CB410F" w:rsidRPr="00CB410F" w:rsidRDefault="00CB410F" w:rsidP="00430AF9">
            <w:pPr>
              <w:spacing w:after="0"/>
              <w:jc w:val="left"/>
              <w:rPr>
                <w:rFonts w:cs="Arial"/>
                <w:color w:val="000000"/>
                <w:szCs w:val="24"/>
              </w:rPr>
            </w:pPr>
            <w:r w:rsidRPr="00CB410F">
              <w:rPr>
                <w:rFonts w:cs="Arial"/>
                <w:color w:val="000000"/>
                <w:szCs w:val="24"/>
              </w:rPr>
              <w:t>Operating Cash Flow ÷ Current Liabilities</w:t>
            </w:r>
          </w:p>
        </w:tc>
        <w:tc>
          <w:tcPr>
            <w:tcW w:w="643" w:type="pct"/>
            <w:tcBorders>
              <w:top w:val="nil"/>
              <w:left w:val="nil"/>
              <w:bottom w:val="single" w:sz="4" w:space="0" w:color="auto"/>
              <w:right w:val="single" w:sz="4" w:space="0" w:color="auto"/>
            </w:tcBorders>
            <w:noWrap/>
            <w:vAlign w:val="bottom"/>
            <w:hideMark/>
          </w:tcPr>
          <w:p w14:paraId="57819D1E" w14:textId="77777777" w:rsidR="00CB410F" w:rsidRPr="00CB410F" w:rsidRDefault="00CB410F" w:rsidP="00430AF9">
            <w:pPr>
              <w:spacing w:after="0"/>
              <w:jc w:val="left"/>
              <w:rPr>
                <w:rFonts w:cs="Arial"/>
                <w:color w:val="000000"/>
                <w:szCs w:val="24"/>
              </w:rPr>
            </w:pPr>
            <w:r w:rsidRPr="00CB410F">
              <w:rPr>
                <w:rFonts w:cs="Arial"/>
                <w:color w:val="000000"/>
                <w:szCs w:val="24"/>
              </w:rPr>
              <w:t>14,822 ÷ 158,291 = 0.09</w:t>
            </w:r>
          </w:p>
        </w:tc>
        <w:tc>
          <w:tcPr>
            <w:tcW w:w="643" w:type="pct"/>
            <w:tcBorders>
              <w:top w:val="nil"/>
              <w:left w:val="nil"/>
              <w:bottom w:val="single" w:sz="4" w:space="0" w:color="auto"/>
              <w:right w:val="single" w:sz="4" w:space="0" w:color="auto"/>
            </w:tcBorders>
            <w:noWrap/>
            <w:vAlign w:val="bottom"/>
            <w:hideMark/>
          </w:tcPr>
          <w:p w14:paraId="22757E4A" w14:textId="77777777" w:rsidR="00CB410F" w:rsidRPr="00CB410F" w:rsidRDefault="00CB410F" w:rsidP="00430AF9">
            <w:pPr>
              <w:spacing w:after="0"/>
              <w:jc w:val="left"/>
              <w:rPr>
                <w:rFonts w:cs="Arial"/>
                <w:color w:val="000000"/>
                <w:szCs w:val="24"/>
              </w:rPr>
            </w:pPr>
            <w:r w:rsidRPr="00CB410F">
              <w:rPr>
                <w:rFonts w:cs="Arial"/>
                <w:color w:val="000000"/>
                <w:szCs w:val="24"/>
              </w:rPr>
              <w:t>25,190 ÷ 161,148 = 0.16</w:t>
            </w:r>
          </w:p>
        </w:tc>
        <w:tc>
          <w:tcPr>
            <w:tcW w:w="643" w:type="pct"/>
            <w:tcBorders>
              <w:top w:val="nil"/>
              <w:left w:val="nil"/>
              <w:bottom w:val="single" w:sz="4" w:space="0" w:color="auto"/>
              <w:right w:val="single" w:sz="4" w:space="0" w:color="auto"/>
            </w:tcBorders>
            <w:noWrap/>
            <w:vAlign w:val="bottom"/>
            <w:hideMark/>
          </w:tcPr>
          <w:p w14:paraId="107A9010" w14:textId="77777777" w:rsidR="00CB410F" w:rsidRPr="00CB410F" w:rsidRDefault="00CB410F" w:rsidP="00430AF9">
            <w:pPr>
              <w:spacing w:after="0"/>
              <w:jc w:val="left"/>
              <w:rPr>
                <w:rFonts w:cs="Arial"/>
                <w:color w:val="000000"/>
                <w:szCs w:val="24"/>
              </w:rPr>
            </w:pPr>
            <w:r w:rsidRPr="00CB410F">
              <w:rPr>
                <w:rFonts w:cs="Arial"/>
                <w:color w:val="000000"/>
                <w:szCs w:val="24"/>
              </w:rPr>
              <w:t>10,926 ÷ 216,473 = 0.05</w:t>
            </w:r>
          </w:p>
        </w:tc>
        <w:tc>
          <w:tcPr>
            <w:tcW w:w="643" w:type="pct"/>
            <w:tcBorders>
              <w:top w:val="nil"/>
              <w:left w:val="nil"/>
              <w:bottom w:val="single" w:sz="4" w:space="0" w:color="auto"/>
              <w:right w:val="single" w:sz="4" w:space="0" w:color="auto"/>
            </w:tcBorders>
            <w:noWrap/>
            <w:vAlign w:val="bottom"/>
            <w:hideMark/>
          </w:tcPr>
          <w:p w14:paraId="48F56B9C" w14:textId="77777777" w:rsidR="00CB410F" w:rsidRPr="00CB410F" w:rsidRDefault="00CB410F" w:rsidP="00430AF9">
            <w:pPr>
              <w:spacing w:after="0"/>
              <w:jc w:val="left"/>
              <w:rPr>
                <w:rFonts w:cs="Arial"/>
                <w:color w:val="000000"/>
                <w:szCs w:val="24"/>
              </w:rPr>
            </w:pPr>
            <w:r w:rsidRPr="00CB410F">
              <w:rPr>
                <w:rFonts w:cs="Arial"/>
                <w:color w:val="000000"/>
                <w:szCs w:val="24"/>
              </w:rPr>
              <w:t>40,283 ÷ 216,787 = 0.19</w:t>
            </w:r>
          </w:p>
        </w:tc>
        <w:tc>
          <w:tcPr>
            <w:tcW w:w="643" w:type="pct"/>
            <w:tcBorders>
              <w:top w:val="nil"/>
              <w:left w:val="nil"/>
              <w:bottom w:val="single" w:sz="4" w:space="0" w:color="auto"/>
              <w:right w:val="single" w:sz="4" w:space="0" w:color="auto"/>
            </w:tcBorders>
            <w:noWrap/>
            <w:vAlign w:val="bottom"/>
            <w:hideMark/>
          </w:tcPr>
          <w:p w14:paraId="0A2E298D" w14:textId="77777777" w:rsidR="00CB410F" w:rsidRPr="00CB410F" w:rsidRDefault="00CB410F" w:rsidP="00430AF9">
            <w:pPr>
              <w:spacing w:after="0"/>
              <w:jc w:val="left"/>
              <w:rPr>
                <w:rFonts w:cs="Arial"/>
                <w:color w:val="000000"/>
                <w:szCs w:val="24"/>
              </w:rPr>
            </w:pPr>
            <w:r w:rsidRPr="00CB410F">
              <w:rPr>
                <w:rFonts w:cs="Arial"/>
                <w:color w:val="000000"/>
                <w:szCs w:val="24"/>
              </w:rPr>
              <w:t>73,392 ÷ 179,510 = 0.41</w:t>
            </w:r>
          </w:p>
        </w:tc>
      </w:tr>
    </w:tbl>
    <w:p w14:paraId="6F701165" w14:textId="693F8BA6" w:rsidR="002D1ECE" w:rsidRPr="009B6D7E" w:rsidRDefault="005B28FF" w:rsidP="009B6D7E">
      <w:pPr>
        <w:jc w:val="center"/>
        <w:rPr>
          <w:b/>
        </w:rPr>
      </w:pPr>
      <w:bookmarkStart w:id="12" w:name="_Toc216960974"/>
      <w:r w:rsidRPr="009B6D7E">
        <w:rPr>
          <w:b/>
        </w:rPr>
        <w:t xml:space="preserve">Table </w:t>
      </w:r>
      <w:r w:rsidRPr="009B6D7E">
        <w:rPr>
          <w:b/>
        </w:rPr>
        <w:fldChar w:fldCharType="begin"/>
      </w:r>
      <w:r w:rsidRPr="009B6D7E">
        <w:rPr>
          <w:b/>
        </w:rPr>
        <w:instrText xml:space="preserve"> SEQ Table \* ARABIC </w:instrText>
      </w:r>
      <w:r w:rsidRPr="009B6D7E">
        <w:rPr>
          <w:b/>
        </w:rPr>
        <w:fldChar w:fldCharType="separate"/>
      </w:r>
      <w:r w:rsidR="00152E13" w:rsidRPr="009B6D7E">
        <w:rPr>
          <w:b/>
          <w:noProof/>
        </w:rPr>
        <w:t>5</w:t>
      </w:r>
      <w:r w:rsidRPr="009B6D7E">
        <w:rPr>
          <w:b/>
        </w:rPr>
        <w:fldChar w:fldCharType="end"/>
      </w:r>
      <w:r w:rsidRPr="009B6D7E">
        <w:rPr>
          <w:b/>
        </w:rPr>
        <w:t>: Cash Flow Ratios</w:t>
      </w:r>
      <w:bookmarkEnd w:id="12"/>
    </w:p>
    <w:p w14:paraId="79C61E8C" w14:textId="5A32B384" w:rsidR="00CB410F" w:rsidRPr="00CB410F" w:rsidRDefault="00CB410F" w:rsidP="009B6D7E">
      <w:pPr>
        <w:jc w:val="center"/>
      </w:pPr>
      <w:r w:rsidRPr="00CB410F">
        <w:t>(</w:t>
      </w:r>
      <w:r w:rsidRPr="00CB410F">
        <w:rPr>
          <w:lang w:val="en-IN"/>
        </w:rPr>
        <w:t>Source: Refer to the excel sheet</w:t>
      </w:r>
      <w:r w:rsidRPr="00CB410F">
        <w:t>)</w:t>
      </w:r>
    </w:p>
    <w:tbl>
      <w:tblPr>
        <w:tblW w:w="5000" w:type="pct"/>
        <w:tblLook w:val="04A0" w:firstRow="1" w:lastRow="0" w:firstColumn="1" w:lastColumn="0" w:noHBand="0" w:noVBand="1"/>
      </w:tblPr>
      <w:tblGrid>
        <w:gridCol w:w="1318"/>
        <w:gridCol w:w="1744"/>
        <w:gridCol w:w="1285"/>
        <w:gridCol w:w="1285"/>
        <w:gridCol w:w="1059"/>
        <w:gridCol w:w="1138"/>
        <w:gridCol w:w="1190"/>
      </w:tblGrid>
      <w:tr w:rsidR="00CB410F" w:rsidRPr="00CB410F" w14:paraId="444BB556" w14:textId="77777777" w:rsidTr="00430AF9">
        <w:trPr>
          <w:trHeight w:val="300"/>
        </w:trPr>
        <w:tc>
          <w:tcPr>
            <w:tcW w:w="5000" w:type="pct"/>
            <w:gridSpan w:val="7"/>
            <w:tcBorders>
              <w:top w:val="single" w:sz="4" w:space="0" w:color="auto"/>
              <w:left w:val="single" w:sz="4" w:space="0" w:color="auto"/>
              <w:bottom w:val="single" w:sz="4" w:space="0" w:color="auto"/>
              <w:right w:val="single" w:sz="4" w:space="0" w:color="000000"/>
            </w:tcBorders>
            <w:noWrap/>
            <w:vAlign w:val="bottom"/>
            <w:hideMark/>
          </w:tcPr>
          <w:p w14:paraId="408EE09D" w14:textId="77777777" w:rsidR="00CB410F" w:rsidRPr="00CB410F" w:rsidRDefault="00CB410F" w:rsidP="00430AF9">
            <w:pPr>
              <w:spacing w:after="0"/>
              <w:jc w:val="center"/>
              <w:rPr>
                <w:rFonts w:cs="Arial"/>
                <w:b/>
                <w:bCs/>
                <w:color w:val="000000"/>
                <w:szCs w:val="24"/>
              </w:rPr>
            </w:pPr>
            <w:r w:rsidRPr="00CB410F">
              <w:rPr>
                <w:rFonts w:cs="Arial"/>
                <w:b/>
                <w:bCs/>
                <w:color w:val="000000"/>
                <w:szCs w:val="24"/>
              </w:rPr>
              <w:t>Investment Ratios</w:t>
            </w:r>
          </w:p>
        </w:tc>
      </w:tr>
      <w:tr w:rsidR="00CB410F" w:rsidRPr="00CB410F" w14:paraId="5269D46F" w14:textId="77777777" w:rsidTr="00430AF9">
        <w:trPr>
          <w:trHeight w:val="300"/>
        </w:trPr>
        <w:tc>
          <w:tcPr>
            <w:tcW w:w="699" w:type="pct"/>
            <w:tcBorders>
              <w:top w:val="nil"/>
              <w:left w:val="single" w:sz="4" w:space="0" w:color="auto"/>
              <w:bottom w:val="single" w:sz="4" w:space="0" w:color="auto"/>
              <w:right w:val="single" w:sz="4" w:space="0" w:color="auto"/>
            </w:tcBorders>
            <w:noWrap/>
            <w:vAlign w:val="bottom"/>
            <w:hideMark/>
          </w:tcPr>
          <w:p w14:paraId="277876F7" w14:textId="77777777" w:rsidR="00CB410F" w:rsidRPr="00CB410F" w:rsidRDefault="00CB410F" w:rsidP="00430AF9">
            <w:pPr>
              <w:spacing w:after="0"/>
              <w:jc w:val="left"/>
              <w:rPr>
                <w:rFonts w:cs="Arial"/>
                <w:b/>
                <w:bCs/>
                <w:color w:val="000000"/>
                <w:szCs w:val="24"/>
              </w:rPr>
            </w:pPr>
            <w:r w:rsidRPr="00CB410F">
              <w:rPr>
                <w:rFonts w:cs="Arial"/>
                <w:b/>
                <w:bCs/>
                <w:color w:val="000000"/>
                <w:szCs w:val="24"/>
              </w:rPr>
              <w:t>Ratio</w:t>
            </w:r>
          </w:p>
        </w:tc>
        <w:tc>
          <w:tcPr>
            <w:tcW w:w="1025" w:type="pct"/>
            <w:tcBorders>
              <w:top w:val="nil"/>
              <w:left w:val="nil"/>
              <w:bottom w:val="single" w:sz="4" w:space="0" w:color="auto"/>
              <w:right w:val="single" w:sz="4" w:space="0" w:color="auto"/>
            </w:tcBorders>
            <w:noWrap/>
            <w:vAlign w:val="bottom"/>
            <w:hideMark/>
          </w:tcPr>
          <w:p w14:paraId="5378A996" w14:textId="77777777" w:rsidR="00CB410F" w:rsidRPr="00CB410F" w:rsidRDefault="00CB410F" w:rsidP="00430AF9">
            <w:pPr>
              <w:spacing w:after="0"/>
              <w:jc w:val="left"/>
              <w:rPr>
                <w:rFonts w:cs="Arial"/>
                <w:b/>
                <w:bCs/>
                <w:color w:val="000000"/>
                <w:szCs w:val="24"/>
              </w:rPr>
            </w:pPr>
            <w:r w:rsidRPr="00CB410F">
              <w:rPr>
                <w:rFonts w:cs="Arial"/>
                <w:b/>
                <w:bCs/>
                <w:color w:val="000000"/>
                <w:szCs w:val="24"/>
              </w:rPr>
              <w:t>Formula</w:t>
            </w:r>
          </w:p>
        </w:tc>
        <w:tc>
          <w:tcPr>
            <w:tcW w:w="718" w:type="pct"/>
            <w:tcBorders>
              <w:top w:val="nil"/>
              <w:left w:val="nil"/>
              <w:bottom w:val="single" w:sz="4" w:space="0" w:color="auto"/>
              <w:right w:val="single" w:sz="4" w:space="0" w:color="auto"/>
            </w:tcBorders>
            <w:noWrap/>
            <w:vAlign w:val="bottom"/>
            <w:hideMark/>
          </w:tcPr>
          <w:p w14:paraId="570EC0BF" w14:textId="77777777" w:rsidR="00CB410F" w:rsidRPr="00CB410F" w:rsidRDefault="00CB410F" w:rsidP="00430AF9">
            <w:pPr>
              <w:spacing w:after="0"/>
              <w:jc w:val="right"/>
              <w:rPr>
                <w:rFonts w:cs="Arial"/>
                <w:b/>
                <w:bCs/>
                <w:color w:val="000000"/>
                <w:szCs w:val="24"/>
              </w:rPr>
            </w:pPr>
            <w:r w:rsidRPr="00CB410F">
              <w:rPr>
                <w:rFonts w:cs="Arial"/>
                <w:b/>
                <w:bCs/>
                <w:color w:val="000000"/>
                <w:szCs w:val="24"/>
              </w:rPr>
              <w:t>2024</w:t>
            </w:r>
          </w:p>
        </w:tc>
        <w:tc>
          <w:tcPr>
            <w:tcW w:w="718" w:type="pct"/>
            <w:tcBorders>
              <w:top w:val="nil"/>
              <w:left w:val="nil"/>
              <w:bottom w:val="single" w:sz="4" w:space="0" w:color="auto"/>
              <w:right w:val="single" w:sz="4" w:space="0" w:color="auto"/>
            </w:tcBorders>
            <w:noWrap/>
            <w:vAlign w:val="bottom"/>
            <w:hideMark/>
          </w:tcPr>
          <w:p w14:paraId="6C0556BF" w14:textId="77777777" w:rsidR="00CB410F" w:rsidRPr="00CB410F" w:rsidRDefault="00CB410F" w:rsidP="00430AF9">
            <w:pPr>
              <w:spacing w:after="0"/>
              <w:jc w:val="right"/>
              <w:rPr>
                <w:rFonts w:cs="Arial"/>
                <w:b/>
                <w:bCs/>
                <w:color w:val="000000"/>
                <w:szCs w:val="24"/>
              </w:rPr>
            </w:pPr>
            <w:r w:rsidRPr="00CB410F">
              <w:rPr>
                <w:rFonts w:cs="Arial"/>
                <w:b/>
                <w:bCs/>
                <w:color w:val="000000"/>
                <w:szCs w:val="24"/>
              </w:rPr>
              <w:t>2023</w:t>
            </w:r>
          </w:p>
        </w:tc>
        <w:tc>
          <w:tcPr>
            <w:tcW w:w="566" w:type="pct"/>
            <w:tcBorders>
              <w:top w:val="nil"/>
              <w:left w:val="nil"/>
              <w:bottom w:val="single" w:sz="4" w:space="0" w:color="auto"/>
              <w:right w:val="single" w:sz="4" w:space="0" w:color="auto"/>
            </w:tcBorders>
            <w:noWrap/>
            <w:vAlign w:val="bottom"/>
            <w:hideMark/>
          </w:tcPr>
          <w:p w14:paraId="23DDC4CA" w14:textId="77777777" w:rsidR="00CB410F" w:rsidRPr="00CB410F" w:rsidRDefault="00CB410F" w:rsidP="00430AF9">
            <w:pPr>
              <w:spacing w:after="0"/>
              <w:jc w:val="right"/>
              <w:rPr>
                <w:rFonts w:cs="Arial"/>
                <w:b/>
                <w:bCs/>
                <w:color w:val="000000"/>
                <w:szCs w:val="24"/>
              </w:rPr>
            </w:pPr>
            <w:r w:rsidRPr="00CB410F">
              <w:rPr>
                <w:rFonts w:cs="Arial"/>
                <w:b/>
                <w:bCs/>
                <w:color w:val="000000"/>
                <w:szCs w:val="24"/>
              </w:rPr>
              <w:t>2022</w:t>
            </w:r>
          </w:p>
        </w:tc>
        <w:tc>
          <w:tcPr>
            <w:tcW w:w="619" w:type="pct"/>
            <w:tcBorders>
              <w:top w:val="nil"/>
              <w:left w:val="nil"/>
              <w:bottom w:val="single" w:sz="4" w:space="0" w:color="auto"/>
              <w:right w:val="single" w:sz="4" w:space="0" w:color="auto"/>
            </w:tcBorders>
            <w:noWrap/>
            <w:vAlign w:val="bottom"/>
            <w:hideMark/>
          </w:tcPr>
          <w:p w14:paraId="0DD34656" w14:textId="77777777" w:rsidR="00CB410F" w:rsidRPr="00CB410F" w:rsidRDefault="00CB410F" w:rsidP="00430AF9">
            <w:pPr>
              <w:spacing w:after="0"/>
              <w:jc w:val="right"/>
              <w:rPr>
                <w:rFonts w:cs="Arial"/>
                <w:b/>
                <w:bCs/>
                <w:color w:val="000000"/>
                <w:szCs w:val="24"/>
              </w:rPr>
            </w:pPr>
            <w:r w:rsidRPr="00CB410F">
              <w:rPr>
                <w:rFonts w:cs="Arial"/>
                <w:b/>
                <w:bCs/>
                <w:color w:val="000000"/>
                <w:szCs w:val="24"/>
              </w:rPr>
              <w:t>2021</w:t>
            </w:r>
          </w:p>
        </w:tc>
        <w:tc>
          <w:tcPr>
            <w:tcW w:w="654" w:type="pct"/>
            <w:tcBorders>
              <w:top w:val="nil"/>
              <w:left w:val="nil"/>
              <w:bottom w:val="single" w:sz="4" w:space="0" w:color="auto"/>
              <w:right w:val="single" w:sz="4" w:space="0" w:color="auto"/>
            </w:tcBorders>
            <w:noWrap/>
            <w:vAlign w:val="bottom"/>
            <w:hideMark/>
          </w:tcPr>
          <w:p w14:paraId="7D3E199F" w14:textId="77777777" w:rsidR="00CB410F" w:rsidRPr="00CB410F" w:rsidRDefault="00CB410F" w:rsidP="00430AF9">
            <w:pPr>
              <w:spacing w:after="0"/>
              <w:jc w:val="right"/>
              <w:rPr>
                <w:rFonts w:cs="Arial"/>
                <w:b/>
                <w:bCs/>
                <w:color w:val="000000"/>
                <w:szCs w:val="24"/>
              </w:rPr>
            </w:pPr>
            <w:r w:rsidRPr="00CB410F">
              <w:rPr>
                <w:rFonts w:cs="Arial"/>
                <w:b/>
                <w:bCs/>
                <w:color w:val="000000"/>
                <w:szCs w:val="24"/>
              </w:rPr>
              <w:t>2020</w:t>
            </w:r>
          </w:p>
        </w:tc>
      </w:tr>
      <w:tr w:rsidR="00CB410F" w:rsidRPr="00CB410F" w14:paraId="3DB76815" w14:textId="77777777" w:rsidTr="00430AF9">
        <w:trPr>
          <w:trHeight w:val="300"/>
        </w:trPr>
        <w:tc>
          <w:tcPr>
            <w:tcW w:w="699" w:type="pct"/>
            <w:tcBorders>
              <w:top w:val="nil"/>
              <w:left w:val="single" w:sz="4" w:space="0" w:color="auto"/>
              <w:bottom w:val="single" w:sz="4" w:space="0" w:color="auto"/>
              <w:right w:val="single" w:sz="4" w:space="0" w:color="auto"/>
            </w:tcBorders>
            <w:noWrap/>
            <w:vAlign w:val="bottom"/>
            <w:hideMark/>
          </w:tcPr>
          <w:p w14:paraId="410780EA" w14:textId="77777777" w:rsidR="00CB410F" w:rsidRPr="00CB410F" w:rsidRDefault="00CB410F" w:rsidP="00430AF9">
            <w:pPr>
              <w:spacing w:after="0"/>
              <w:jc w:val="left"/>
              <w:rPr>
                <w:rFonts w:cs="Arial"/>
                <w:color w:val="000000"/>
                <w:szCs w:val="24"/>
              </w:rPr>
            </w:pPr>
            <w:r w:rsidRPr="00CB410F">
              <w:rPr>
                <w:rFonts w:cs="Arial"/>
                <w:color w:val="000000"/>
                <w:szCs w:val="24"/>
              </w:rPr>
              <w:t>Earnings Per Share (EPS)</w:t>
            </w:r>
          </w:p>
        </w:tc>
        <w:tc>
          <w:tcPr>
            <w:tcW w:w="1025" w:type="pct"/>
            <w:tcBorders>
              <w:top w:val="nil"/>
              <w:left w:val="nil"/>
              <w:bottom w:val="single" w:sz="4" w:space="0" w:color="auto"/>
              <w:right w:val="single" w:sz="4" w:space="0" w:color="auto"/>
            </w:tcBorders>
            <w:noWrap/>
            <w:vAlign w:val="bottom"/>
            <w:hideMark/>
          </w:tcPr>
          <w:p w14:paraId="57E95BA3" w14:textId="77777777" w:rsidR="00CB410F" w:rsidRPr="00CB410F" w:rsidRDefault="00CB410F" w:rsidP="00430AF9">
            <w:pPr>
              <w:spacing w:after="0"/>
              <w:jc w:val="left"/>
              <w:rPr>
                <w:rFonts w:cs="Arial"/>
                <w:color w:val="000000"/>
                <w:szCs w:val="24"/>
              </w:rPr>
            </w:pPr>
            <w:r w:rsidRPr="00CB410F">
              <w:rPr>
                <w:rFonts w:cs="Arial"/>
                <w:color w:val="000000"/>
                <w:szCs w:val="24"/>
              </w:rPr>
              <w:t>Net Income ÷ Weighted Avg. Shares</w:t>
            </w:r>
          </w:p>
        </w:tc>
        <w:tc>
          <w:tcPr>
            <w:tcW w:w="718" w:type="pct"/>
            <w:tcBorders>
              <w:top w:val="nil"/>
              <w:left w:val="nil"/>
              <w:bottom w:val="single" w:sz="4" w:space="0" w:color="auto"/>
              <w:right w:val="single" w:sz="4" w:space="0" w:color="auto"/>
            </w:tcBorders>
            <w:noWrap/>
            <w:vAlign w:val="bottom"/>
            <w:hideMark/>
          </w:tcPr>
          <w:p w14:paraId="2E6D52C2" w14:textId="77777777" w:rsidR="00CB410F" w:rsidRPr="00CB410F" w:rsidRDefault="00CB410F" w:rsidP="00430AF9">
            <w:pPr>
              <w:spacing w:after="0"/>
              <w:jc w:val="left"/>
              <w:rPr>
                <w:rFonts w:cs="Arial"/>
                <w:color w:val="000000"/>
                <w:szCs w:val="24"/>
              </w:rPr>
            </w:pPr>
            <w:r w:rsidRPr="00CB410F">
              <w:rPr>
                <w:rFonts w:cs="Arial"/>
                <w:color w:val="000000"/>
                <w:szCs w:val="24"/>
              </w:rPr>
              <w:t>(24,029) ÷ 12,959 = -1.85</w:t>
            </w:r>
          </w:p>
        </w:tc>
        <w:tc>
          <w:tcPr>
            <w:tcW w:w="718" w:type="pct"/>
            <w:tcBorders>
              <w:top w:val="nil"/>
              <w:left w:val="nil"/>
              <w:bottom w:val="single" w:sz="4" w:space="0" w:color="auto"/>
              <w:right w:val="single" w:sz="4" w:space="0" w:color="auto"/>
            </w:tcBorders>
            <w:noWrap/>
            <w:vAlign w:val="bottom"/>
            <w:hideMark/>
          </w:tcPr>
          <w:p w14:paraId="330CAE73" w14:textId="77777777" w:rsidR="00CB410F" w:rsidRPr="00CB410F" w:rsidRDefault="00CB410F" w:rsidP="00430AF9">
            <w:pPr>
              <w:spacing w:after="0"/>
              <w:jc w:val="left"/>
              <w:rPr>
                <w:rFonts w:cs="Arial"/>
                <w:color w:val="000000"/>
                <w:szCs w:val="24"/>
              </w:rPr>
            </w:pPr>
            <w:r w:rsidRPr="00CB410F">
              <w:rPr>
                <w:rFonts w:cs="Arial"/>
                <w:color w:val="000000"/>
                <w:szCs w:val="24"/>
              </w:rPr>
              <w:t>(98,238) ÷ 12,855 = -7.64</w:t>
            </w:r>
          </w:p>
        </w:tc>
        <w:tc>
          <w:tcPr>
            <w:tcW w:w="566" w:type="pct"/>
            <w:tcBorders>
              <w:top w:val="nil"/>
              <w:left w:val="nil"/>
              <w:bottom w:val="single" w:sz="4" w:space="0" w:color="auto"/>
              <w:right w:val="single" w:sz="4" w:space="0" w:color="auto"/>
            </w:tcBorders>
            <w:noWrap/>
            <w:vAlign w:val="bottom"/>
            <w:hideMark/>
          </w:tcPr>
          <w:p w14:paraId="088D40AE" w14:textId="77777777" w:rsidR="00CB410F" w:rsidRPr="00CB410F" w:rsidRDefault="00CB410F" w:rsidP="00430AF9">
            <w:pPr>
              <w:spacing w:after="0"/>
              <w:jc w:val="left"/>
              <w:rPr>
                <w:rFonts w:cs="Arial"/>
                <w:color w:val="000000"/>
                <w:szCs w:val="24"/>
              </w:rPr>
            </w:pPr>
            <w:r w:rsidRPr="00CB410F">
              <w:rPr>
                <w:rFonts w:cs="Arial"/>
                <w:color w:val="000000"/>
                <w:szCs w:val="24"/>
              </w:rPr>
              <w:t>407 ÷ 12,703 = 0.03</w:t>
            </w:r>
          </w:p>
        </w:tc>
        <w:tc>
          <w:tcPr>
            <w:tcW w:w="619" w:type="pct"/>
            <w:tcBorders>
              <w:top w:val="nil"/>
              <w:left w:val="nil"/>
              <w:bottom w:val="single" w:sz="4" w:space="0" w:color="auto"/>
              <w:right w:val="single" w:sz="4" w:space="0" w:color="auto"/>
            </w:tcBorders>
            <w:noWrap/>
            <w:vAlign w:val="bottom"/>
            <w:hideMark/>
          </w:tcPr>
          <w:p w14:paraId="2DF710F4" w14:textId="77777777" w:rsidR="00CB410F" w:rsidRPr="00CB410F" w:rsidRDefault="00CB410F" w:rsidP="00430AF9">
            <w:pPr>
              <w:spacing w:after="0"/>
              <w:jc w:val="left"/>
              <w:rPr>
                <w:rFonts w:cs="Arial"/>
                <w:color w:val="000000"/>
                <w:szCs w:val="24"/>
              </w:rPr>
            </w:pPr>
            <w:r w:rsidRPr="00CB410F">
              <w:rPr>
                <w:rFonts w:cs="Arial"/>
                <w:color w:val="000000"/>
                <w:szCs w:val="24"/>
              </w:rPr>
              <w:t>5,301 ÷ 13,465 = 0.39</w:t>
            </w:r>
          </w:p>
        </w:tc>
        <w:tc>
          <w:tcPr>
            <w:tcW w:w="654" w:type="pct"/>
            <w:tcBorders>
              <w:top w:val="nil"/>
              <w:left w:val="nil"/>
              <w:bottom w:val="single" w:sz="4" w:space="0" w:color="auto"/>
              <w:right w:val="single" w:sz="4" w:space="0" w:color="auto"/>
            </w:tcBorders>
            <w:noWrap/>
            <w:vAlign w:val="bottom"/>
            <w:hideMark/>
          </w:tcPr>
          <w:p w14:paraId="7A522DE3" w14:textId="77777777" w:rsidR="00CB410F" w:rsidRPr="00CB410F" w:rsidRDefault="00CB410F" w:rsidP="00430AF9">
            <w:pPr>
              <w:spacing w:after="0"/>
              <w:jc w:val="left"/>
              <w:rPr>
                <w:rFonts w:cs="Arial"/>
                <w:color w:val="000000"/>
                <w:szCs w:val="24"/>
              </w:rPr>
            </w:pPr>
            <w:r w:rsidRPr="00CB410F">
              <w:rPr>
                <w:rFonts w:cs="Arial"/>
                <w:color w:val="000000"/>
                <w:szCs w:val="24"/>
              </w:rPr>
              <w:t>38,572 ÷ 13,893 = 2.78</w:t>
            </w:r>
          </w:p>
        </w:tc>
      </w:tr>
    </w:tbl>
    <w:p w14:paraId="69C5DEDE" w14:textId="2187FD6F" w:rsidR="005B28FF" w:rsidRPr="005423D5" w:rsidRDefault="00152E13" w:rsidP="005423D5">
      <w:pPr>
        <w:jc w:val="center"/>
        <w:rPr>
          <w:b/>
        </w:rPr>
      </w:pPr>
      <w:bookmarkStart w:id="13" w:name="_Toc216960975"/>
      <w:r w:rsidRPr="005423D5">
        <w:rPr>
          <w:b/>
        </w:rPr>
        <w:t xml:space="preserve">Table </w:t>
      </w:r>
      <w:r w:rsidRPr="005423D5">
        <w:rPr>
          <w:b/>
        </w:rPr>
        <w:fldChar w:fldCharType="begin"/>
      </w:r>
      <w:r w:rsidRPr="005423D5">
        <w:rPr>
          <w:b/>
        </w:rPr>
        <w:instrText xml:space="preserve"> SEQ Table \* ARABIC </w:instrText>
      </w:r>
      <w:r w:rsidRPr="005423D5">
        <w:rPr>
          <w:b/>
        </w:rPr>
        <w:fldChar w:fldCharType="separate"/>
      </w:r>
      <w:r w:rsidRPr="005423D5">
        <w:rPr>
          <w:b/>
          <w:noProof/>
        </w:rPr>
        <w:t>6</w:t>
      </w:r>
      <w:r w:rsidRPr="005423D5">
        <w:rPr>
          <w:b/>
        </w:rPr>
        <w:fldChar w:fldCharType="end"/>
      </w:r>
      <w:r w:rsidRPr="005423D5">
        <w:rPr>
          <w:b/>
        </w:rPr>
        <w:t>: Investment Ratios</w:t>
      </w:r>
      <w:bookmarkEnd w:id="13"/>
    </w:p>
    <w:p w14:paraId="4FC56316" w14:textId="62D3C40E" w:rsidR="00CB410F" w:rsidRPr="002361A2" w:rsidRDefault="00CB410F" w:rsidP="005423D5">
      <w:pPr>
        <w:jc w:val="center"/>
      </w:pPr>
      <w:r w:rsidRPr="00CB410F">
        <w:t>(</w:t>
      </w:r>
      <w:r w:rsidRPr="00CB410F">
        <w:rPr>
          <w:lang w:val="en-IN"/>
        </w:rPr>
        <w:t>Source: Refer to the excel sheet</w:t>
      </w:r>
      <w:r w:rsidRPr="00CB410F">
        <w:t>)</w:t>
      </w:r>
    </w:p>
    <w:p w14:paraId="78D4D746" w14:textId="77777777" w:rsidR="00716D54" w:rsidRDefault="00716D54" w:rsidP="00716D54">
      <w:pPr>
        <w:pStyle w:val="Heading2"/>
      </w:pPr>
      <w:bookmarkStart w:id="14" w:name="_Toc216868107"/>
      <w:bookmarkStart w:id="15" w:name="_Toc216960951"/>
      <w:r w:rsidRPr="00B9270B">
        <w:t>1.3 Identification of Trends, Strengths, and Threats</w:t>
      </w:r>
      <w:bookmarkEnd w:id="14"/>
      <w:bookmarkEnd w:id="15"/>
    </w:p>
    <w:p w14:paraId="34E194C7" w14:textId="1D29B1F4" w:rsidR="002361A2" w:rsidRDefault="002361A2" w:rsidP="002361A2">
      <w:pPr>
        <w:rPr>
          <w:rFonts w:cs="Arial"/>
          <w:b/>
          <w:i/>
          <w:szCs w:val="24"/>
        </w:rPr>
      </w:pPr>
      <w:r>
        <w:rPr>
          <w:rFonts w:cs="Arial"/>
          <w:b/>
          <w:i/>
          <w:szCs w:val="24"/>
        </w:rPr>
        <w:t xml:space="preserve">Key </w:t>
      </w:r>
      <w:r w:rsidR="000610BC">
        <w:rPr>
          <w:rFonts w:cs="Arial"/>
          <w:b/>
          <w:i/>
          <w:szCs w:val="24"/>
        </w:rPr>
        <w:t>T</w:t>
      </w:r>
      <w:r>
        <w:rPr>
          <w:rFonts w:cs="Arial"/>
          <w:b/>
          <w:i/>
          <w:szCs w:val="24"/>
        </w:rPr>
        <w:t xml:space="preserve">rends </w:t>
      </w:r>
    </w:p>
    <w:p w14:paraId="06162C0B" w14:textId="77777777" w:rsidR="00460CA7" w:rsidRDefault="00EC5230" w:rsidP="00EC5230">
      <w:pPr>
        <w:rPr>
          <w:rFonts w:cs="Arial"/>
          <w:szCs w:val="24"/>
        </w:rPr>
      </w:pPr>
      <w:r>
        <w:rPr>
          <w:rFonts w:cs="Arial"/>
          <w:szCs w:val="24"/>
        </w:rPr>
        <w:t xml:space="preserve">The 5-year financial trajectory of the General electronics has addressed clear pattern of the contradiction including financial stresses besides </w:t>
      </w:r>
      <w:r w:rsidR="00BB0EEE">
        <w:rPr>
          <w:rFonts w:cs="Arial"/>
          <w:szCs w:val="24"/>
        </w:rPr>
        <w:t>cyclical underperformance. The revenues</w:t>
      </w:r>
      <w:r w:rsidR="000A33CC">
        <w:rPr>
          <w:rFonts w:cs="Arial"/>
          <w:szCs w:val="24"/>
        </w:rPr>
        <w:t xml:space="preserve"> have declined sharply between FY2020 and FY2024, while reflecting a highly cumulative fall over one-third. </w:t>
      </w:r>
      <w:r w:rsidR="00D24A81">
        <w:rPr>
          <w:rFonts w:cs="Arial"/>
          <w:szCs w:val="24"/>
        </w:rPr>
        <w:t xml:space="preserve">Such persistent erosion in the top-line performance addresses the structural weaknesses, including; </w:t>
      </w:r>
      <w:r w:rsidR="009D420E" w:rsidRPr="009D420E">
        <w:rPr>
          <w:rFonts w:cs="Arial"/>
          <w:szCs w:val="24"/>
        </w:rPr>
        <w:t>reduced market relevance, intensified competition, or ineffective strategic positioning.</w:t>
      </w:r>
      <w:r w:rsidR="009D420E">
        <w:rPr>
          <w:rFonts w:cs="Arial"/>
          <w:szCs w:val="24"/>
        </w:rPr>
        <w:t xml:space="preserve"> The profitability has weakened sharply, while the operating performances has shifted from having healthy surplus in 2020 to the sustained operating losses by the end of 2024. </w:t>
      </w:r>
    </w:p>
    <w:p w14:paraId="73388D19" w14:textId="77777777" w:rsidR="007822E8" w:rsidRDefault="007822E8" w:rsidP="00EC5230">
      <w:pPr>
        <w:rPr>
          <w:rFonts w:cs="Arial"/>
          <w:b/>
          <w:i/>
          <w:szCs w:val="24"/>
        </w:rPr>
      </w:pPr>
      <w:r>
        <w:rPr>
          <w:rFonts w:cs="Arial"/>
          <w:b/>
          <w:i/>
          <w:szCs w:val="24"/>
        </w:rPr>
        <w:lastRenderedPageBreak/>
        <w:t>Strengths</w:t>
      </w:r>
    </w:p>
    <w:p w14:paraId="7B8842A8" w14:textId="213B44F4" w:rsidR="007822E8" w:rsidRPr="007822E8" w:rsidRDefault="00A141D8" w:rsidP="00EC5230">
      <w:pPr>
        <w:rPr>
          <w:rFonts w:cs="Arial"/>
          <w:szCs w:val="24"/>
        </w:rPr>
      </w:pPr>
      <w:r>
        <w:rPr>
          <w:rFonts w:cs="Arial"/>
          <w:szCs w:val="24"/>
        </w:rPr>
        <w:t xml:space="preserve">Despite of the challenges, some of the resilience can be noted, while it has constantly generated positive operating cash flows, and during the </w:t>
      </w:r>
      <w:r w:rsidR="00EF6621">
        <w:rPr>
          <w:rFonts w:cs="Arial"/>
          <w:szCs w:val="24"/>
        </w:rPr>
        <w:t>loss-making</w:t>
      </w:r>
      <w:r>
        <w:rPr>
          <w:rFonts w:cs="Arial"/>
          <w:szCs w:val="24"/>
        </w:rPr>
        <w:t xml:space="preserve"> years. This situation has addressed that core operations has remained cash generative elements. This has provided short-term liquidity support and reduction of the immediate risk of insolvency. The major reduction in the inventory levels reflected the improved working capital discipline and a deliberate effort for releasing the tied-up cash.   </w:t>
      </w:r>
    </w:p>
    <w:p w14:paraId="4B713F7D" w14:textId="7711A8DE" w:rsidR="002361A2" w:rsidRDefault="007822E8" w:rsidP="00EC5230">
      <w:pPr>
        <w:rPr>
          <w:rFonts w:cs="Arial"/>
          <w:szCs w:val="24"/>
        </w:rPr>
      </w:pPr>
      <w:r>
        <w:rPr>
          <w:rFonts w:cs="Arial"/>
          <w:b/>
          <w:i/>
          <w:szCs w:val="24"/>
        </w:rPr>
        <w:t xml:space="preserve">Threats  </w:t>
      </w:r>
      <w:r w:rsidR="009D420E">
        <w:rPr>
          <w:rFonts w:cs="Arial"/>
          <w:szCs w:val="24"/>
        </w:rPr>
        <w:t xml:space="preserve">  </w:t>
      </w:r>
      <w:r w:rsidR="00D24A81">
        <w:rPr>
          <w:rFonts w:cs="Arial"/>
          <w:szCs w:val="24"/>
        </w:rPr>
        <w:t xml:space="preserve">    </w:t>
      </w:r>
      <w:r w:rsidR="00EC5230">
        <w:rPr>
          <w:rFonts w:cs="Arial"/>
          <w:szCs w:val="24"/>
        </w:rPr>
        <w:t xml:space="preserve"> </w:t>
      </w:r>
    </w:p>
    <w:p w14:paraId="31DD7E60" w14:textId="02A36B65" w:rsidR="00F00245" w:rsidRPr="002361A2" w:rsidRDefault="00FB10BE" w:rsidP="00EC5230">
      <w:pPr>
        <w:rPr>
          <w:rFonts w:cs="Arial"/>
          <w:szCs w:val="24"/>
        </w:rPr>
      </w:pPr>
      <w:r>
        <w:rPr>
          <w:rFonts w:cs="Arial"/>
          <w:szCs w:val="24"/>
        </w:rPr>
        <w:t xml:space="preserve">The threats to the long-term visibility remained as a substantial element, where the current net losses have reduced equity, by weaning solvency and reduction of firm’s capacity for absorbing shocks. Increased dependence on the short-term financing can heightened the refinancing and liquidity risks, specifically in volatile </w:t>
      </w:r>
      <w:r w:rsidR="00532AD0">
        <w:rPr>
          <w:rFonts w:cs="Arial"/>
          <w:szCs w:val="24"/>
        </w:rPr>
        <w:t xml:space="preserve">interest rate environment. </w:t>
      </w:r>
      <w:r>
        <w:rPr>
          <w:rFonts w:cs="Arial"/>
          <w:szCs w:val="24"/>
        </w:rPr>
        <w:t xml:space="preserve">    </w:t>
      </w:r>
    </w:p>
    <w:p w14:paraId="7884BEFD" w14:textId="57F6E8E9" w:rsidR="00716D54" w:rsidRDefault="00716D54" w:rsidP="00716D54">
      <w:pPr>
        <w:pStyle w:val="Heading2"/>
        <w:rPr>
          <w:lang w:val="en-IN"/>
        </w:rPr>
      </w:pPr>
      <w:bookmarkStart w:id="16" w:name="_Toc216868108"/>
      <w:bookmarkStart w:id="17" w:name="_Toc216960952"/>
      <w:r>
        <w:rPr>
          <w:lang w:val="en-IN"/>
        </w:rPr>
        <w:t>1.4 Application of Altman Z-score for assessing default risk</w:t>
      </w:r>
      <w:bookmarkEnd w:id="16"/>
      <w:bookmarkEnd w:id="17"/>
      <w:r>
        <w:rPr>
          <w:lang w:val="en-IN"/>
        </w:rPr>
        <w:t xml:space="preserve"> </w:t>
      </w:r>
    </w:p>
    <w:p w14:paraId="02B2AB14" w14:textId="77777777" w:rsidR="00121A57" w:rsidRPr="00121A57" w:rsidRDefault="00121A57" w:rsidP="00121A57">
      <w:pPr>
        <w:rPr>
          <w:rFonts w:cs="Arial"/>
          <w:b/>
          <w:i/>
          <w:szCs w:val="24"/>
          <w:lang w:val="en-IN"/>
        </w:rPr>
      </w:pPr>
      <w:r w:rsidRPr="00121A57">
        <w:rPr>
          <w:rFonts w:cs="Arial"/>
          <w:b/>
          <w:i/>
          <w:szCs w:val="24"/>
        </w:rPr>
        <w:t>Altman Z-Score Formula</w:t>
      </w:r>
    </w:p>
    <w:p w14:paraId="1B59C575" w14:textId="77777777" w:rsidR="00121A57" w:rsidRPr="00A91F8C" w:rsidRDefault="00121A57" w:rsidP="00A91F8C">
      <w:pPr>
        <w:rPr>
          <w:rFonts w:cs="Arial"/>
        </w:rPr>
      </w:pPr>
      <w:r w:rsidRPr="00A91F8C">
        <w:rPr>
          <w:rFonts w:cs="Arial"/>
        </w:rPr>
        <w:t>Z = 1.2X</w:t>
      </w:r>
      <w:r w:rsidRPr="00A91F8C">
        <w:rPr>
          <w:rFonts w:ascii="Cambria Math" w:hAnsi="Cambria Math" w:cs="Cambria Math"/>
        </w:rPr>
        <w:t>₁</w:t>
      </w:r>
      <w:r w:rsidRPr="00A91F8C">
        <w:rPr>
          <w:rFonts w:cs="Arial"/>
        </w:rPr>
        <w:t xml:space="preserve"> + 1.4X</w:t>
      </w:r>
      <w:r w:rsidRPr="00A91F8C">
        <w:rPr>
          <w:rFonts w:ascii="Cambria Math" w:hAnsi="Cambria Math" w:cs="Cambria Math"/>
        </w:rPr>
        <w:t>₂</w:t>
      </w:r>
      <w:r w:rsidRPr="00A91F8C">
        <w:rPr>
          <w:rFonts w:cs="Arial"/>
        </w:rPr>
        <w:t xml:space="preserve"> + 3.3X</w:t>
      </w:r>
      <w:r w:rsidRPr="00A91F8C">
        <w:rPr>
          <w:rFonts w:ascii="Cambria Math" w:hAnsi="Cambria Math" w:cs="Cambria Math"/>
        </w:rPr>
        <w:t>₃</w:t>
      </w:r>
      <w:r w:rsidRPr="00A91F8C">
        <w:rPr>
          <w:rFonts w:cs="Arial"/>
        </w:rPr>
        <w:t xml:space="preserve"> + 0.6X</w:t>
      </w:r>
      <w:r w:rsidRPr="00A91F8C">
        <w:rPr>
          <w:rFonts w:ascii="Cambria Math" w:hAnsi="Cambria Math" w:cs="Cambria Math"/>
        </w:rPr>
        <w:t>₄</w:t>
      </w:r>
      <w:r w:rsidRPr="00A91F8C">
        <w:rPr>
          <w:rFonts w:cs="Arial"/>
        </w:rPr>
        <w:t xml:space="preserve"> + 1.0X</w:t>
      </w:r>
      <w:r w:rsidRPr="00A91F8C">
        <w:rPr>
          <w:rFonts w:ascii="Cambria Math" w:hAnsi="Cambria Math" w:cs="Cambria Math"/>
        </w:rPr>
        <w:t>₅</w:t>
      </w:r>
    </w:p>
    <w:p w14:paraId="5DF8CCE8" w14:textId="7FE8336F" w:rsidR="00121A57" w:rsidRPr="00121A57" w:rsidRDefault="00121A57" w:rsidP="00A91F8C">
      <w:r w:rsidRPr="00121A57">
        <w:t xml:space="preserve">Here, following can be </w:t>
      </w:r>
      <w:r w:rsidR="00A91F8C">
        <w:t>considered</w:t>
      </w:r>
      <w:r w:rsidRPr="00121A57">
        <w:t>:</w:t>
      </w:r>
    </w:p>
    <w:p w14:paraId="2CD9C1FD" w14:textId="77777777" w:rsidR="00121A57" w:rsidRPr="00121A57" w:rsidRDefault="00121A57" w:rsidP="00A91F8C">
      <w:pPr>
        <w:pStyle w:val="ListParagraph"/>
        <w:numPr>
          <w:ilvl w:val="0"/>
          <w:numId w:val="2"/>
        </w:numPr>
      </w:pPr>
      <w:r w:rsidRPr="00A91F8C">
        <w:rPr>
          <w:rStyle w:val="Strong"/>
          <w:rFonts w:cs="Arial"/>
        </w:rPr>
        <w:t>X</w:t>
      </w:r>
      <w:r w:rsidRPr="00A91F8C">
        <w:rPr>
          <w:rStyle w:val="Strong"/>
          <w:rFonts w:ascii="Cambria Math" w:hAnsi="Cambria Math" w:cs="Cambria Math"/>
        </w:rPr>
        <w:t>₁</w:t>
      </w:r>
      <w:r w:rsidRPr="00A91F8C">
        <w:rPr>
          <w:rStyle w:val="Strong"/>
          <w:rFonts w:cs="Arial"/>
        </w:rPr>
        <w:t xml:space="preserve"> = Working Capital / Total Assets</w:t>
      </w:r>
    </w:p>
    <w:p w14:paraId="38F3DB5B" w14:textId="77777777" w:rsidR="00121A57" w:rsidRPr="00121A57" w:rsidRDefault="00121A57" w:rsidP="00A91F8C">
      <w:pPr>
        <w:pStyle w:val="ListParagraph"/>
        <w:numPr>
          <w:ilvl w:val="0"/>
          <w:numId w:val="2"/>
        </w:numPr>
      </w:pPr>
      <w:r w:rsidRPr="00A91F8C">
        <w:rPr>
          <w:rStyle w:val="Strong"/>
          <w:rFonts w:cs="Arial"/>
        </w:rPr>
        <w:t>X</w:t>
      </w:r>
      <w:r w:rsidRPr="00A91F8C">
        <w:rPr>
          <w:rStyle w:val="Strong"/>
          <w:rFonts w:ascii="Cambria Math" w:hAnsi="Cambria Math" w:cs="Cambria Math"/>
        </w:rPr>
        <w:t>₂</w:t>
      </w:r>
      <w:r w:rsidRPr="00A91F8C">
        <w:rPr>
          <w:rStyle w:val="Strong"/>
          <w:rFonts w:cs="Arial"/>
        </w:rPr>
        <w:t xml:space="preserve"> = Retained Earnings / Total Assets</w:t>
      </w:r>
    </w:p>
    <w:p w14:paraId="7E3300BB" w14:textId="77777777" w:rsidR="00121A57" w:rsidRPr="00121A57" w:rsidRDefault="00121A57" w:rsidP="00A91F8C">
      <w:pPr>
        <w:pStyle w:val="ListParagraph"/>
        <w:numPr>
          <w:ilvl w:val="0"/>
          <w:numId w:val="2"/>
        </w:numPr>
      </w:pPr>
      <w:r w:rsidRPr="00A91F8C">
        <w:rPr>
          <w:rStyle w:val="Strong"/>
          <w:rFonts w:cs="Arial"/>
        </w:rPr>
        <w:t>X</w:t>
      </w:r>
      <w:r w:rsidRPr="00A91F8C">
        <w:rPr>
          <w:rStyle w:val="Strong"/>
          <w:rFonts w:ascii="Cambria Math" w:hAnsi="Cambria Math" w:cs="Cambria Math"/>
        </w:rPr>
        <w:t>₃</w:t>
      </w:r>
      <w:r w:rsidRPr="00A91F8C">
        <w:rPr>
          <w:rStyle w:val="Strong"/>
          <w:rFonts w:cs="Arial"/>
        </w:rPr>
        <w:t xml:space="preserve"> = EBIT / Total Assets</w:t>
      </w:r>
    </w:p>
    <w:p w14:paraId="05AFFB80" w14:textId="77777777" w:rsidR="00121A57" w:rsidRPr="00121A57" w:rsidRDefault="00121A57" w:rsidP="00A91F8C">
      <w:pPr>
        <w:pStyle w:val="ListParagraph"/>
        <w:numPr>
          <w:ilvl w:val="0"/>
          <w:numId w:val="2"/>
        </w:numPr>
      </w:pPr>
      <w:r w:rsidRPr="00A91F8C">
        <w:rPr>
          <w:rStyle w:val="Strong"/>
          <w:rFonts w:cs="Arial"/>
        </w:rPr>
        <w:t>X</w:t>
      </w:r>
      <w:r w:rsidRPr="00A91F8C">
        <w:rPr>
          <w:rStyle w:val="Strong"/>
          <w:rFonts w:ascii="Cambria Math" w:hAnsi="Cambria Math" w:cs="Cambria Math"/>
        </w:rPr>
        <w:t>₄</w:t>
      </w:r>
      <w:r w:rsidRPr="00A91F8C">
        <w:rPr>
          <w:rStyle w:val="Strong"/>
          <w:rFonts w:cs="Arial"/>
        </w:rPr>
        <w:t xml:space="preserve"> = Equity / Total Liabilities</w:t>
      </w:r>
    </w:p>
    <w:p w14:paraId="4B5010D3" w14:textId="77777777" w:rsidR="00121A57" w:rsidRPr="00121A57" w:rsidRDefault="00121A57" w:rsidP="00A91F8C">
      <w:pPr>
        <w:pStyle w:val="ListParagraph"/>
        <w:numPr>
          <w:ilvl w:val="0"/>
          <w:numId w:val="2"/>
        </w:numPr>
      </w:pPr>
      <w:r w:rsidRPr="00A91F8C">
        <w:rPr>
          <w:rStyle w:val="Strong"/>
          <w:rFonts w:cs="Arial"/>
        </w:rPr>
        <w:t>X</w:t>
      </w:r>
      <w:r w:rsidRPr="00A91F8C">
        <w:rPr>
          <w:rStyle w:val="Strong"/>
          <w:rFonts w:ascii="Cambria Math" w:hAnsi="Cambria Math" w:cs="Cambria Math"/>
        </w:rPr>
        <w:t>₅</w:t>
      </w:r>
      <w:r w:rsidRPr="00A91F8C">
        <w:rPr>
          <w:rStyle w:val="Strong"/>
          <w:rFonts w:cs="Arial"/>
        </w:rPr>
        <w:t xml:space="preserve"> = Sales / Total Assets</w:t>
      </w:r>
    </w:p>
    <w:p w14:paraId="59A258C0" w14:textId="77777777" w:rsidR="00121A57" w:rsidRPr="00462F3A" w:rsidRDefault="00121A57" w:rsidP="00462F3A">
      <w:pPr>
        <w:rPr>
          <w:i/>
          <w:lang w:val="en-IN"/>
        </w:rPr>
      </w:pPr>
      <w:r w:rsidRPr="00462F3A">
        <w:rPr>
          <w:i/>
          <w:lang w:val="en-IN"/>
        </w:rPr>
        <w:t xml:space="preserve">The key ratio calculations for 2024 </w:t>
      </w:r>
    </w:p>
    <w:p w14:paraId="44339F62" w14:textId="77777777" w:rsidR="00121A57" w:rsidRPr="00121A57" w:rsidRDefault="00121A57" w:rsidP="00462F3A">
      <w:pPr>
        <w:rPr>
          <w:lang w:val="en-IN"/>
        </w:rPr>
      </w:pPr>
      <w:r w:rsidRPr="00121A57">
        <w:rPr>
          <w:lang w:val="en-IN"/>
        </w:rPr>
        <w:t>Working capital: 242,494 − 158,291 = 84,203</w:t>
      </w:r>
    </w:p>
    <w:p w14:paraId="0B764015" w14:textId="77777777" w:rsidR="00121A57" w:rsidRPr="00121A57" w:rsidRDefault="00121A57" w:rsidP="00462F3A">
      <w:pPr>
        <w:rPr>
          <w:rStyle w:val="Strong"/>
          <w:rFonts w:cs="Arial"/>
          <w:szCs w:val="24"/>
        </w:rPr>
      </w:pPr>
      <w:r w:rsidRPr="00121A57">
        <w:t>X</w:t>
      </w:r>
      <w:r w:rsidRPr="00121A57">
        <w:rPr>
          <w:rFonts w:ascii="Cambria Math" w:hAnsi="Cambria Math" w:cs="Cambria Math"/>
        </w:rPr>
        <w:t>₁</w:t>
      </w:r>
      <w:r w:rsidRPr="00121A57">
        <w:t xml:space="preserve"> = 84,203 / 323,354 = </w:t>
      </w:r>
      <w:r w:rsidRPr="00121A57">
        <w:rPr>
          <w:rStyle w:val="Strong"/>
          <w:rFonts w:cs="Arial"/>
          <w:szCs w:val="24"/>
        </w:rPr>
        <w:t>0.26</w:t>
      </w:r>
    </w:p>
    <w:p w14:paraId="52851210" w14:textId="77777777" w:rsidR="00121A57" w:rsidRPr="00121A57" w:rsidRDefault="00121A57" w:rsidP="00462F3A">
      <w:pPr>
        <w:rPr>
          <w:rStyle w:val="Strong"/>
          <w:rFonts w:cs="Arial"/>
          <w:szCs w:val="24"/>
        </w:rPr>
      </w:pPr>
      <w:r w:rsidRPr="00121A57">
        <w:t>X</w:t>
      </w:r>
      <w:r w:rsidRPr="00121A57">
        <w:rPr>
          <w:rFonts w:ascii="Cambria Math" w:hAnsi="Cambria Math" w:cs="Cambria Math"/>
        </w:rPr>
        <w:t>₂</w:t>
      </w:r>
      <w:r w:rsidRPr="00121A57">
        <w:t xml:space="preserve"> = 208,431 / 323,354 = </w:t>
      </w:r>
      <w:r w:rsidRPr="00121A57">
        <w:rPr>
          <w:rStyle w:val="Strong"/>
          <w:rFonts w:cs="Arial"/>
          <w:szCs w:val="24"/>
        </w:rPr>
        <w:t>0.64</w:t>
      </w:r>
    </w:p>
    <w:p w14:paraId="5612BEA3" w14:textId="77777777" w:rsidR="00121A57" w:rsidRPr="00121A57" w:rsidRDefault="00121A57" w:rsidP="00462F3A">
      <w:pPr>
        <w:rPr>
          <w:rStyle w:val="Strong"/>
          <w:rFonts w:cs="Arial"/>
          <w:szCs w:val="24"/>
        </w:rPr>
      </w:pPr>
      <w:r w:rsidRPr="00121A57">
        <w:t xml:space="preserve">EBIT = Operating loss = </w:t>
      </w:r>
      <w:r w:rsidRPr="00121A57">
        <w:rPr>
          <w:rStyle w:val="Strong"/>
          <w:rFonts w:cs="Arial"/>
          <w:szCs w:val="24"/>
        </w:rPr>
        <w:t>−15,297</w:t>
      </w:r>
    </w:p>
    <w:p w14:paraId="2828505A" w14:textId="77777777" w:rsidR="00121A57" w:rsidRPr="00121A57" w:rsidRDefault="00121A57" w:rsidP="00462F3A">
      <w:pPr>
        <w:rPr>
          <w:rStyle w:val="Strong"/>
          <w:rFonts w:cs="Arial"/>
          <w:szCs w:val="24"/>
        </w:rPr>
      </w:pPr>
      <w:r w:rsidRPr="00121A57">
        <w:t>X</w:t>
      </w:r>
      <w:r w:rsidRPr="00121A57">
        <w:rPr>
          <w:rFonts w:ascii="Cambria Math" w:hAnsi="Cambria Math" w:cs="Cambria Math"/>
        </w:rPr>
        <w:t>₃</w:t>
      </w:r>
      <w:r w:rsidRPr="00121A57">
        <w:t xml:space="preserve"> = −15,297 / 323,354 = </w:t>
      </w:r>
      <w:r w:rsidRPr="00121A57">
        <w:rPr>
          <w:rStyle w:val="Strong"/>
          <w:rFonts w:cs="Arial"/>
          <w:szCs w:val="24"/>
        </w:rPr>
        <w:t>−0.05</w:t>
      </w:r>
    </w:p>
    <w:p w14:paraId="2D9F5E12" w14:textId="77777777" w:rsidR="00121A57" w:rsidRPr="00121A57" w:rsidRDefault="00121A57" w:rsidP="00462F3A">
      <w:pPr>
        <w:rPr>
          <w:rStyle w:val="Strong"/>
          <w:rFonts w:cs="Arial"/>
          <w:szCs w:val="24"/>
        </w:rPr>
      </w:pPr>
      <w:r w:rsidRPr="00121A57">
        <w:t>X</w:t>
      </w:r>
      <w:r w:rsidRPr="00121A57">
        <w:rPr>
          <w:rFonts w:ascii="Cambria Math" w:hAnsi="Cambria Math" w:cs="Cambria Math"/>
        </w:rPr>
        <w:t>₄</w:t>
      </w:r>
      <w:r w:rsidRPr="00121A57">
        <w:t xml:space="preserve"> = 153,105 / 170,249 = </w:t>
      </w:r>
      <w:r w:rsidRPr="00121A57">
        <w:rPr>
          <w:rStyle w:val="Strong"/>
          <w:rFonts w:cs="Arial"/>
          <w:szCs w:val="24"/>
        </w:rPr>
        <w:t>0.90</w:t>
      </w:r>
    </w:p>
    <w:p w14:paraId="55E8960E" w14:textId="77777777" w:rsidR="00121A57" w:rsidRPr="00121A57" w:rsidRDefault="00121A57" w:rsidP="00462F3A">
      <w:pPr>
        <w:rPr>
          <w:rStyle w:val="Strong"/>
          <w:rFonts w:cs="Arial"/>
          <w:szCs w:val="24"/>
        </w:rPr>
      </w:pPr>
      <w:r w:rsidRPr="00121A57">
        <w:lastRenderedPageBreak/>
        <w:t>X</w:t>
      </w:r>
      <w:r w:rsidRPr="00121A57">
        <w:rPr>
          <w:rFonts w:ascii="Cambria Math" w:hAnsi="Cambria Math" w:cs="Cambria Math"/>
        </w:rPr>
        <w:t>₅</w:t>
      </w:r>
      <w:r w:rsidRPr="00121A57">
        <w:t xml:space="preserve"> = 394,879 / 323,354 = </w:t>
      </w:r>
      <w:r w:rsidRPr="00121A57">
        <w:rPr>
          <w:rStyle w:val="Strong"/>
          <w:rFonts w:cs="Arial"/>
          <w:szCs w:val="24"/>
        </w:rPr>
        <w:t>1.22</w:t>
      </w:r>
    </w:p>
    <w:p w14:paraId="56D175CB" w14:textId="77777777" w:rsidR="00121A57" w:rsidRPr="00121A57" w:rsidRDefault="00121A57" w:rsidP="00121A57">
      <w:pPr>
        <w:rPr>
          <w:rStyle w:val="Strong"/>
          <w:rFonts w:cs="Arial"/>
          <w:b w:val="0"/>
          <w:szCs w:val="24"/>
        </w:rPr>
      </w:pPr>
      <w:r w:rsidRPr="00121A57">
        <w:rPr>
          <w:rStyle w:val="Strong"/>
          <w:rFonts w:cs="Arial"/>
          <w:szCs w:val="24"/>
        </w:rPr>
        <w:t>Now Z-Score calculation will be as below:</w:t>
      </w:r>
    </w:p>
    <w:p w14:paraId="3CA0DD5D" w14:textId="77777777" w:rsidR="00121A57" w:rsidRPr="00121A57" w:rsidRDefault="00121A57" w:rsidP="00121A57">
      <w:pPr>
        <w:rPr>
          <w:rFonts w:cs="Arial"/>
          <w:szCs w:val="24"/>
        </w:rPr>
      </w:pPr>
      <w:r w:rsidRPr="00121A57">
        <w:rPr>
          <w:rFonts w:cs="Arial"/>
          <w:szCs w:val="24"/>
        </w:rPr>
        <w:t>Z = (1.2×0.26) + (1.4×0.64) + (3.3×−0.05) + (0.6×0.90) + (1.0×1.22)</w:t>
      </w:r>
    </w:p>
    <w:p w14:paraId="025912DA" w14:textId="77777777" w:rsidR="00121A57" w:rsidRPr="00121A57" w:rsidRDefault="00121A57" w:rsidP="00121A57">
      <w:pPr>
        <w:rPr>
          <w:rFonts w:cs="Arial"/>
          <w:szCs w:val="24"/>
        </w:rPr>
      </w:pPr>
      <w:r w:rsidRPr="00121A57">
        <w:rPr>
          <w:rFonts w:cs="Arial"/>
          <w:szCs w:val="24"/>
        </w:rPr>
        <w:t>Or, 2.81</w:t>
      </w:r>
    </w:p>
    <w:p w14:paraId="2E34F569" w14:textId="77777777" w:rsidR="00121A57" w:rsidRPr="00860D5F" w:rsidRDefault="00121A57" w:rsidP="00860D5F">
      <w:pPr>
        <w:rPr>
          <w:b/>
          <w:i/>
        </w:rPr>
      </w:pPr>
      <w:r w:rsidRPr="00860D5F">
        <w:rPr>
          <w:b/>
          <w:i/>
        </w:rPr>
        <w:t xml:space="preserve">Interpretations: </w:t>
      </w:r>
    </w:p>
    <w:p w14:paraId="40B78A2C" w14:textId="06635C9D" w:rsidR="00121A57" w:rsidRPr="00121A57" w:rsidRDefault="00121A57" w:rsidP="00860D5F">
      <w:pPr>
        <w:pStyle w:val="ListParagraph"/>
        <w:numPr>
          <w:ilvl w:val="0"/>
          <w:numId w:val="3"/>
        </w:numPr>
      </w:pPr>
      <w:r w:rsidRPr="00860D5F">
        <w:rPr>
          <w:rStyle w:val="Strong"/>
          <w:rFonts w:cs="Arial"/>
        </w:rPr>
        <w:t>Z &gt; 2.99</w:t>
      </w:r>
      <w:r>
        <w:t>:</w:t>
      </w:r>
      <w:r w:rsidRPr="00121A57">
        <w:t xml:space="preserve"> Safe zone</w:t>
      </w:r>
    </w:p>
    <w:p w14:paraId="5C3CA056" w14:textId="793775D4" w:rsidR="00121A57" w:rsidRPr="00121A57" w:rsidRDefault="00121A57" w:rsidP="00860D5F">
      <w:pPr>
        <w:pStyle w:val="ListParagraph"/>
        <w:numPr>
          <w:ilvl w:val="0"/>
          <w:numId w:val="3"/>
        </w:numPr>
      </w:pPr>
      <w:r w:rsidRPr="00860D5F">
        <w:rPr>
          <w:rStyle w:val="Strong"/>
          <w:rFonts w:cs="Arial"/>
        </w:rPr>
        <w:t>1.81 &lt; Z &lt; 2.99</w:t>
      </w:r>
      <w:r>
        <w:t>:</w:t>
      </w:r>
      <w:r w:rsidRPr="00121A57">
        <w:t xml:space="preserve"> Grey zone</w:t>
      </w:r>
    </w:p>
    <w:p w14:paraId="530DCDBC" w14:textId="4E1AEB3E" w:rsidR="00231066" w:rsidRPr="00897939" w:rsidRDefault="00121A57" w:rsidP="00860D5F">
      <w:pPr>
        <w:pStyle w:val="ListParagraph"/>
        <w:numPr>
          <w:ilvl w:val="0"/>
          <w:numId w:val="3"/>
        </w:numPr>
      </w:pPr>
      <w:r w:rsidRPr="00860D5F">
        <w:rPr>
          <w:rStyle w:val="Strong"/>
          <w:rFonts w:cs="Arial"/>
        </w:rPr>
        <w:t>Z &lt; 1.81</w:t>
      </w:r>
      <w:r>
        <w:t>:</w:t>
      </w:r>
      <w:r w:rsidRPr="00121A57">
        <w:t xml:space="preserve"> Distress zone</w:t>
      </w:r>
    </w:p>
    <w:p w14:paraId="2DBDDF0B" w14:textId="77777777" w:rsidR="00CB3B70" w:rsidRPr="001854D3" w:rsidRDefault="00CF5B81" w:rsidP="001854D3">
      <w:pPr>
        <w:pStyle w:val="Heading1"/>
      </w:pPr>
      <w:bookmarkStart w:id="18" w:name="_ojgil6o9f1e6" w:colFirst="0" w:colLast="0"/>
      <w:bookmarkStart w:id="19" w:name="_Toc216960953"/>
      <w:bookmarkEnd w:id="18"/>
      <w:r w:rsidRPr="001854D3">
        <w:t>3. Working Capital Management Analysis</w:t>
      </w:r>
      <w:bookmarkEnd w:id="19"/>
      <w:r w:rsidRPr="001854D3">
        <w:t xml:space="preserve"> </w:t>
      </w:r>
    </w:p>
    <w:p w14:paraId="68227246" w14:textId="77777777" w:rsidR="00CB3B70" w:rsidRPr="001854D3" w:rsidRDefault="00CF5B81" w:rsidP="001854D3">
      <w:pPr>
        <w:pStyle w:val="Heading2"/>
      </w:pPr>
      <w:bookmarkStart w:id="20" w:name="_fig4bvm9iyxt" w:colFirst="0" w:colLast="0"/>
      <w:bookmarkStart w:id="21" w:name="_Toc216960954"/>
      <w:bookmarkEnd w:id="20"/>
      <w:r w:rsidRPr="001854D3">
        <w:t>3.1 Cash Operating Cycle</w:t>
      </w:r>
      <w:bookmarkEnd w:id="21"/>
    </w:p>
    <w:tbl>
      <w:tblPr>
        <w:tblStyle w:val="a"/>
        <w:tblW w:w="8946"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2270"/>
        <w:gridCol w:w="2872"/>
        <w:gridCol w:w="2435"/>
        <w:gridCol w:w="1369"/>
      </w:tblGrid>
      <w:tr w:rsidR="00A57377" w:rsidRPr="001854D3" w14:paraId="2C65DB10" w14:textId="77777777" w:rsidTr="00F8700A">
        <w:trPr>
          <w:trHeight w:val="737"/>
          <w:jc w:val="center"/>
        </w:trPr>
        <w:tc>
          <w:tcPr>
            <w:tcW w:w="8946" w:type="dxa"/>
            <w:gridSpan w:val="4"/>
            <w:tcBorders>
              <w:top w:val="single" w:sz="4" w:space="0" w:color="000000"/>
              <w:left w:val="single" w:sz="4" w:space="0" w:color="000000"/>
              <w:bottom w:val="single" w:sz="4" w:space="0" w:color="000000"/>
              <w:right w:val="single" w:sz="4" w:space="0" w:color="000000"/>
            </w:tcBorders>
            <w:shd w:val="clear" w:color="auto" w:fill="CC99FF"/>
            <w:tcMar>
              <w:top w:w="0" w:type="dxa"/>
              <w:left w:w="100" w:type="dxa"/>
              <w:bottom w:w="0" w:type="dxa"/>
              <w:right w:w="100" w:type="dxa"/>
            </w:tcMar>
            <w:vAlign w:val="bottom"/>
          </w:tcPr>
          <w:p w14:paraId="0C86DA00" w14:textId="77777777" w:rsidR="00CB3B70" w:rsidRPr="001854D3" w:rsidRDefault="00CF5B81" w:rsidP="00F8700A">
            <w:pPr>
              <w:spacing w:before="240" w:after="0"/>
              <w:ind w:left="140" w:right="140"/>
              <w:jc w:val="center"/>
              <w:rPr>
                <w:rFonts w:eastAsia="Arial" w:cs="Arial"/>
                <w:b/>
                <w:bCs/>
                <w:szCs w:val="24"/>
              </w:rPr>
            </w:pPr>
            <w:r w:rsidRPr="001854D3">
              <w:rPr>
                <w:rFonts w:eastAsia="Arial" w:cs="Arial"/>
                <w:b/>
                <w:bCs/>
                <w:szCs w:val="24"/>
              </w:rPr>
              <w:t>Cash Operating Cycle</w:t>
            </w:r>
          </w:p>
        </w:tc>
      </w:tr>
      <w:tr w:rsidR="00A57377" w:rsidRPr="001854D3" w14:paraId="6F9CAAF4" w14:textId="77777777" w:rsidTr="00F8700A">
        <w:trPr>
          <w:trHeight w:val="737"/>
          <w:jc w:val="center"/>
        </w:trPr>
        <w:tc>
          <w:tcPr>
            <w:tcW w:w="2270" w:type="dxa"/>
            <w:tcBorders>
              <w:top w:val="nil"/>
              <w:left w:val="single" w:sz="4" w:space="0" w:color="000000"/>
              <w:bottom w:val="single" w:sz="4" w:space="0" w:color="000000"/>
              <w:right w:val="single" w:sz="4" w:space="0" w:color="000000"/>
            </w:tcBorders>
            <w:shd w:val="clear" w:color="auto" w:fill="CCCCFF"/>
            <w:tcMar>
              <w:top w:w="0" w:type="dxa"/>
              <w:left w:w="100" w:type="dxa"/>
              <w:bottom w:w="0" w:type="dxa"/>
              <w:right w:w="100" w:type="dxa"/>
            </w:tcMar>
            <w:vAlign w:val="bottom"/>
          </w:tcPr>
          <w:p w14:paraId="5A91BCF8" w14:textId="77777777" w:rsidR="00CB3B70" w:rsidRPr="001854D3" w:rsidRDefault="00CF5B81" w:rsidP="00F8700A">
            <w:pPr>
              <w:spacing w:before="240" w:after="0"/>
              <w:ind w:left="140" w:right="140"/>
              <w:jc w:val="left"/>
              <w:rPr>
                <w:rFonts w:cs="Arial"/>
                <w:szCs w:val="24"/>
              </w:rPr>
            </w:pPr>
            <w:r w:rsidRPr="001854D3">
              <w:rPr>
                <w:rFonts w:cs="Arial"/>
                <w:szCs w:val="24"/>
              </w:rPr>
              <w:t xml:space="preserve"> </w:t>
            </w:r>
          </w:p>
        </w:tc>
        <w:tc>
          <w:tcPr>
            <w:tcW w:w="2872" w:type="dxa"/>
            <w:tcBorders>
              <w:top w:val="nil"/>
              <w:left w:val="nil"/>
              <w:bottom w:val="single" w:sz="4" w:space="0" w:color="000000"/>
              <w:right w:val="single" w:sz="4" w:space="0" w:color="000000"/>
            </w:tcBorders>
            <w:shd w:val="clear" w:color="auto" w:fill="CCCCFF"/>
            <w:tcMar>
              <w:top w:w="0" w:type="dxa"/>
              <w:left w:w="100" w:type="dxa"/>
              <w:bottom w:w="0" w:type="dxa"/>
              <w:right w:w="100" w:type="dxa"/>
            </w:tcMar>
            <w:vAlign w:val="bottom"/>
          </w:tcPr>
          <w:p w14:paraId="240B4CDD" w14:textId="77777777" w:rsidR="00CB3B70" w:rsidRPr="001854D3" w:rsidRDefault="00CF5B81" w:rsidP="00F8700A">
            <w:pPr>
              <w:spacing w:before="240" w:after="0"/>
              <w:ind w:left="140" w:right="140"/>
              <w:jc w:val="center"/>
              <w:rPr>
                <w:rFonts w:eastAsia="Arial" w:cs="Arial"/>
                <w:b/>
                <w:bCs/>
                <w:szCs w:val="24"/>
              </w:rPr>
            </w:pPr>
            <w:r w:rsidRPr="001854D3">
              <w:rPr>
                <w:rFonts w:eastAsia="Arial" w:cs="Arial"/>
                <w:b/>
                <w:bCs/>
                <w:szCs w:val="24"/>
              </w:rPr>
              <w:t>Formula</w:t>
            </w:r>
          </w:p>
        </w:tc>
        <w:tc>
          <w:tcPr>
            <w:tcW w:w="2435" w:type="dxa"/>
            <w:tcBorders>
              <w:top w:val="nil"/>
              <w:left w:val="nil"/>
              <w:bottom w:val="single" w:sz="4" w:space="0" w:color="000000"/>
              <w:right w:val="single" w:sz="4" w:space="0" w:color="000000"/>
            </w:tcBorders>
            <w:shd w:val="clear" w:color="auto" w:fill="CCCCFF"/>
            <w:tcMar>
              <w:top w:w="0" w:type="dxa"/>
              <w:left w:w="100" w:type="dxa"/>
              <w:bottom w:w="0" w:type="dxa"/>
              <w:right w:w="100" w:type="dxa"/>
            </w:tcMar>
            <w:vAlign w:val="bottom"/>
          </w:tcPr>
          <w:p w14:paraId="60907ACC" w14:textId="77777777" w:rsidR="00CB3B70" w:rsidRPr="001854D3" w:rsidRDefault="00CF5B81" w:rsidP="00F8700A">
            <w:pPr>
              <w:spacing w:before="240" w:after="0"/>
              <w:ind w:left="140" w:right="140"/>
              <w:jc w:val="center"/>
              <w:rPr>
                <w:rFonts w:eastAsia="Arial" w:cs="Arial"/>
                <w:b/>
                <w:bCs/>
                <w:szCs w:val="24"/>
              </w:rPr>
            </w:pPr>
            <w:r w:rsidRPr="001854D3">
              <w:rPr>
                <w:rFonts w:eastAsia="Arial" w:cs="Arial"/>
                <w:b/>
                <w:bCs/>
                <w:szCs w:val="24"/>
              </w:rPr>
              <w:t xml:space="preserve"> </w:t>
            </w:r>
          </w:p>
        </w:tc>
        <w:tc>
          <w:tcPr>
            <w:tcW w:w="1367" w:type="dxa"/>
            <w:tcBorders>
              <w:top w:val="nil"/>
              <w:left w:val="nil"/>
              <w:bottom w:val="single" w:sz="4" w:space="0" w:color="000000"/>
              <w:right w:val="single" w:sz="4" w:space="0" w:color="000000"/>
            </w:tcBorders>
            <w:shd w:val="clear" w:color="auto" w:fill="CCCCFF"/>
            <w:tcMar>
              <w:top w:w="0" w:type="dxa"/>
              <w:left w:w="100" w:type="dxa"/>
              <w:bottom w:w="0" w:type="dxa"/>
              <w:right w:w="100" w:type="dxa"/>
            </w:tcMar>
            <w:vAlign w:val="bottom"/>
          </w:tcPr>
          <w:p w14:paraId="21C3CD03" w14:textId="77777777" w:rsidR="00CB3B70" w:rsidRPr="001854D3" w:rsidRDefault="00CF5B81" w:rsidP="00F8700A">
            <w:pPr>
              <w:spacing w:before="240" w:after="0"/>
              <w:ind w:left="140" w:right="140"/>
              <w:jc w:val="left"/>
              <w:rPr>
                <w:rFonts w:cs="Arial"/>
                <w:szCs w:val="24"/>
              </w:rPr>
            </w:pPr>
            <w:r w:rsidRPr="001854D3">
              <w:rPr>
                <w:rFonts w:cs="Arial"/>
                <w:szCs w:val="24"/>
              </w:rPr>
              <w:t>Value</w:t>
            </w:r>
          </w:p>
        </w:tc>
      </w:tr>
      <w:tr w:rsidR="00A57377" w:rsidRPr="001854D3" w14:paraId="7F6E442A" w14:textId="77777777" w:rsidTr="00F8700A">
        <w:trPr>
          <w:trHeight w:val="737"/>
          <w:jc w:val="center"/>
        </w:trPr>
        <w:tc>
          <w:tcPr>
            <w:tcW w:w="2270" w:type="dxa"/>
            <w:tcBorders>
              <w:top w:val="nil"/>
              <w:left w:val="single" w:sz="4" w:space="0" w:color="000000"/>
              <w:bottom w:val="single" w:sz="4" w:space="0" w:color="000000"/>
              <w:right w:val="single" w:sz="4" w:space="0" w:color="000000"/>
            </w:tcBorders>
            <w:shd w:val="clear" w:color="auto" w:fill="CCECFF"/>
            <w:tcMar>
              <w:top w:w="0" w:type="dxa"/>
              <w:left w:w="100" w:type="dxa"/>
              <w:bottom w:w="0" w:type="dxa"/>
              <w:right w:w="100" w:type="dxa"/>
            </w:tcMar>
            <w:vAlign w:val="bottom"/>
          </w:tcPr>
          <w:p w14:paraId="68573BB0" w14:textId="77777777" w:rsidR="00CB3B70" w:rsidRPr="001854D3" w:rsidRDefault="00CF5B81" w:rsidP="00F8700A">
            <w:pPr>
              <w:spacing w:before="240" w:after="0"/>
              <w:ind w:right="140"/>
              <w:jc w:val="left"/>
              <w:rPr>
                <w:rFonts w:eastAsia="Arial" w:cs="Arial"/>
                <w:b/>
                <w:bCs/>
                <w:szCs w:val="24"/>
              </w:rPr>
            </w:pPr>
            <w:r w:rsidRPr="001854D3">
              <w:rPr>
                <w:rFonts w:eastAsia="Arial" w:cs="Arial"/>
                <w:b/>
                <w:bCs/>
                <w:szCs w:val="24"/>
              </w:rPr>
              <w:t>Days Inventory Outstanding (DIO)</w:t>
            </w:r>
          </w:p>
        </w:tc>
        <w:tc>
          <w:tcPr>
            <w:tcW w:w="2872" w:type="dxa"/>
            <w:tcBorders>
              <w:top w:val="nil"/>
              <w:left w:val="nil"/>
              <w:bottom w:val="single" w:sz="4" w:space="0" w:color="000000"/>
              <w:right w:val="single" w:sz="4" w:space="0" w:color="000000"/>
            </w:tcBorders>
            <w:shd w:val="clear" w:color="auto" w:fill="CCECFF"/>
            <w:tcMar>
              <w:top w:w="0" w:type="dxa"/>
              <w:left w:w="100" w:type="dxa"/>
              <w:bottom w:w="0" w:type="dxa"/>
              <w:right w:w="100" w:type="dxa"/>
            </w:tcMar>
            <w:vAlign w:val="bottom"/>
          </w:tcPr>
          <w:p w14:paraId="7599C240" w14:textId="77777777" w:rsidR="00CB3B70" w:rsidRPr="001854D3" w:rsidRDefault="00CF5B81" w:rsidP="00F8700A">
            <w:pPr>
              <w:spacing w:before="240" w:after="0"/>
              <w:ind w:right="140"/>
              <w:jc w:val="left"/>
              <w:rPr>
                <w:rFonts w:eastAsia="Arial" w:cs="Arial"/>
                <w:szCs w:val="24"/>
              </w:rPr>
            </w:pPr>
            <w:r w:rsidRPr="001854D3">
              <w:rPr>
                <w:rFonts w:eastAsia="Arial" w:cs="Arial"/>
                <w:szCs w:val="24"/>
              </w:rPr>
              <w:t>(Average inventory ÷ Cost of sales) × 365 Days</w:t>
            </w:r>
          </w:p>
        </w:tc>
        <w:tc>
          <w:tcPr>
            <w:tcW w:w="2435" w:type="dxa"/>
            <w:tcBorders>
              <w:top w:val="nil"/>
              <w:left w:val="nil"/>
              <w:bottom w:val="single" w:sz="4" w:space="0" w:color="000000"/>
              <w:right w:val="single" w:sz="4" w:space="0" w:color="000000"/>
            </w:tcBorders>
            <w:shd w:val="clear" w:color="auto" w:fill="CCECFF"/>
            <w:tcMar>
              <w:top w:w="0" w:type="dxa"/>
              <w:left w:w="100" w:type="dxa"/>
              <w:bottom w:w="0" w:type="dxa"/>
              <w:right w:w="100" w:type="dxa"/>
            </w:tcMar>
            <w:vAlign w:val="bottom"/>
          </w:tcPr>
          <w:p w14:paraId="26BDFFFF" w14:textId="77777777" w:rsidR="00CB3B70" w:rsidRPr="001854D3" w:rsidRDefault="00CF5B81" w:rsidP="00F8700A">
            <w:pPr>
              <w:spacing w:before="240" w:after="0"/>
              <w:ind w:right="140"/>
              <w:jc w:val="left"/>
              <w:rPr>
                <w:rFonts w:eastAsia="Arial" w:cs="Arial"/>
                <w:szCs w:val="24"/>
              </w:rPr>
            </w:pPr>
            <w:r w:rsidRPr="001854D3">
              <w:rPr>
                <w:rFonts w:eastAsia="Arial" w:cs="Arial"/>
                <w:szCs w:val="24"/>
              </w:rPr>
              <w:t>[{(88,273 + 79,355)/2} ÷ 280,885] × 365</w:t>
            </w:r>
          </w:p>
        </w:tc>
        <w:tc>
          <w:tcPr>
            <w:tcW w:w="1367" w:type="dxa"/>
            <w:tcBorders>
              <w:top w:val="nil"/>
              <w:left w:val="nil"/>
              <w:bottom w:val="single" w:sz="4" w:space="0" w:color="000000"/>
              <w:right w:val="single" w:sz="4" w:space="0" w:color="000000"/>
            </w:tcBorders>
            <w:shd w:val="clear" w:color="auto" w:fill="CCECFF"/>
            <w:tcMar>
              <w:top w:w="0" w:type="dxa"/>
              <w:left w:w="100" w:type="dxa"/>
              <w:bottom w:w="0" w:type="dxa"/>
              <w:right w:w="100" w:type="dxa"/>
            </w:tcMar>
            <w:vAlign w:val="bottom"/>
          </w:tcPr>
          <w:p w14:paraId="62129F18" w14:textId="77777777" w:rsidR="00CB3B70" w:rsidRPr="001854D3" w:rsidRDefault="00CF5B81" w:rsidP="00F8700A">
            <w:pPr>
              <w:spacing w:before="240" w:after="0"/>
              <w:ind w:left="140" w:right="140"/>
              <w:jc w:val="right"/>
              <w:rPr>
                <w:rFonts w:eastAsia="Arial" w:cs="Arial"/>
                <w:szCs w:val="24"/>
              </w:rPr>
            </w:pPr>
            <w:r w:rsidRPr="001854D3">
              <w:rPr>
                <w:rFonts w:eastAsia="Arial" w:cs="Arial"/>
                <w:szCs w:val="24"/>
              </w:rPr>
              <w:t>108.91</w:t>
            </w:r>
          </w:p>
        </w:tc>
      </w:tr>
      <w:tr w:rsidR="00A57377" w:rsidRPr="001854D3" w14:paraId="251BE0D1" w14:textId="77777777" w:rsidTr="00F8700A">
        <w:trPr>
          <w:trHeight w:val="737"/>
          <w:jc w:val="center"/>
        </w:trPr>
        <w:tc>
          <w:tcPr>
            <w:tcW w:w="2270" w:type="dxa"/>
            <w:tcBorders>
              <w:top w:val="nil"/>
              <w:left w:val="single" w:sz="4" w:space="0" w:color="000000"/>
              <w:bottom w:val="single" w:sz="4" w:space="0" w:color="000000"/>
              <w:right w:val="single" w:sz="4" w:space="0" w:color="000000"/>
            </w:tcBorders>
            <w:shd w:val="clear" w:color="auto" w:fill="CCECFF"/>
            <w:tcMar>
              <w:top w:w="0" w:type="dxa"/>
              <w:left w:w="100" w:type="dxa"/>
              <w:bottom w:w="0" w:type="dxa"/>
              <w:right w:w="100" w:type="dxa"/>
            </w:tcMar>
            <w:vAlign w:val="bottom"/>
          </w:tcPr>
          <w:p w14:paraId="443A0767" w14:textId="77777777" w:rsidR="00CB3B70" w:rsidRPr="001854D3" w:rsidRDefault="00CF5B81" w:rsidP="00F8700A">
            <w:pPr>
              <w:spacing w:before="240" w:after="0"/>
              <w:ind w:right="140"/>
              <w:jc w:val="left"/>
              <w:rPr>
                <w:rFonts w:eastAsia="Arial" w:cs="Arial"/>
                <w:b/>
                <w:bCs/>
                <w:szCs w:val="24"/>
              </w:rPr>
            </w:pPr>
            <w:r w:rsidRPr="001854D3">
              <w:rPr>
                <w:rFonts w:eastAsia="Arial" w:cs="Arial"/>
                <w:b/>
                <w:bCs/>
                <w:szCs w:val="24"/>
              </w:rPr>
              <w:t>Days Sales Outstanding (DSO)</w:t>
            </w:r>
          </w:p>
        </w:tc>
        <w:tc>
          <w:tcPr>
            <w:tcW w:w="2872" w:type="dxa"/>
            <w:tcBorders>
              <w:top w:val="nil"/>
              <w:left w:val="nil"/>
              <w:bottom w:val="single" w:sz="4" w:space="0" w:color="000000"/>
              <w:right w:val="single" w:sz="4" w:space="0" w:color="000000"/>
            </w:tcBorders>
            <w:shd w:val="clear" w:color="auto" w:fill="CCECFF"/>
            <w:tcMar>
              <w:top w:w="0" w:type="dxa"/>
              <w:left w:w="100" w:type="dxa"/>
              <w:bottom w:w="0" w:type="dxa"/>
              <w:right w:w="100" w:type="dxa"/>
            </w:tcMar>
            <w:vAlign w:val="bottom"/>
          </w:tcPr>
          <w:p w14:paraId="013AD5E9" w14:textId="77777777" w:rsidR="00CB3B70" w:rsidRPr="001854D3" w:rsidRDefault="00CF5B81" w:rsidP="00F8700A">
            <w:pPr>
              <w:spacing w:before="240" w:after="0"/>
              <w:ind w:right="140"/>
              <w:jc w:val="left"/>
              <w:rPr>
                <w:rFonts w:eastAsia="Arial" w:cs="Arial"/>
                <w:szCs w:val="24"/>
              </w:rPr>
            </w:pPr>
            <w:r w:rsidRPr="001854D3">
              <w:rPr>
                <w:rFonts w:eastAsia="Arial" w:cs="Arial"/>
                <w:szCs w:val="24"/>
              </w:rPr>
              <w:t>(Trade Receivables ÷ Revenue) × 365 Days</w:t>
            </w:r>
          </w:p>
        </w:tc>
        <w:tc>
          <w:tcPr>
            <w:tcW w:w="2435" w:type="dxa"/>
            <w:tcBorders>
              <w:top w:val="nil"/>
              <w:left w:val="nil"/>
              <w:bottom w:val="single" w:sz="4" w:space="0" w:color="000000"/>
              <w:right w:val="single" w:sz="4" w:space="0" w:color="000000"/>
            </w:tcBorders>
            <w:shd w:val="clear" w:color="auto" w:fill="CCECFF"/>
            <w:tcMar>
              <w:top w:w="0" w:type="dxa"/>
              <w:left w:w="100" w:type="dxa"/>
              <w:bottom w:w="0" w:type="dxa"/>
              <w:right w:w="100" w:type="dxa"/>
            </w:tcMar>
            <w:vAlign w:val="bottom"/>
          </w:tcPr>
          <w:p w14:paraId="492CF6CE" w14:textId="77777777" w:rsidR="00CB3B70" w:rsidRPr="001854D3" w:rsidRDefault="00CF5B81" w:rsidP="00F8700A">
            <w:pPr>
              <w:spacing w:before="240" w:after="0"/>
              <w:ind w:right="140"/>
              <w:jc w:val="left"/>
              <w:rPr>
                <w:rFonts w:eastAsia="Arial" w:cs="Arial"/>
                <w:szCs w:val="24"/>
              </w:rPr>
            </w:pPr>
            <w:r w:rsidRPr="001854D3">
              <w:rPr>
                <w:rFonts w:eastAsia="Arial" w:cs="Arial"/>
                <w:szCs w:val="24"/>
              </w:rPr>
              <w:t>(114,182 ÷ 394,879) × 365</w:t>
            </w:r>
          </w:p>
        </w:tc>
        <w:tc>
          <w:tcPr>
            <w:tcW w:w="1367" w:type="dxa"/>
            <w:tcBorders>
              <w:top w:val="nil"/>
              <w:left w:val="nil"/>
              <w:bottom w:val="single" w:sz="4" w:space="0" w:color="000000"/>
              <w:right w:val="single" w:sz="4" w:space="0" w:color="000000"/>
            </w:tcBorders>
            <w:shd w:val="clear" w:color="auto" w:fill="CCECFF"/>
            <w:tcMar>
              <w:top w:w="0" w:type="dxa"/>
              <w:left w:w="100" w:type="dxa"/>
              <w:bottom w:w="0" w:type="dxa"/>
              <w:right w:w="100" w:type="dxa"/>
            </w:tcMar>
            <w:vAlign w:val="bottom"/>
          </w:tcPr>
          <w:p w14:paraId="5D05084A" w14:textId="77777777" w:rsidR="00CB3B70" w:rsidRPr="001854D3" w:rsidRDefault="00CF5B81" w:rsidP="00F8700A">
            <w:pPr>
              <w:spacing w:before="240" w:after="0"/>
              <w:ind w:left="140" w:right="140"/>
              <w:jc w:val="right"/>
              <w:rPr>
                <w:rFonts w:eastAsia="Arial" w:cs="Arial"/>
                <w:szCs w:val="24"/>
              </w:rPr>
            </w:pPr>
            <w:r w:rsidRPr="001854D3">
              <w:rPr>
                <w:rFonts w:eastAsia="Arial" w:cs="Arial"/>
                <w:szCs w:val="24"/>
              </w:rPr>
              <w:t>105.54</w:t>
            </w:r>
          </w:p>
        </w:tc>
      </w:tr>
      <w:tr w:rsidR="00A57377" w:rsidRPr="001854D3" w14:paraId="7D2DAE2B" w14:textId="77777777" w:rsidTr="00F8700A">
        <w:trPr>
          <w:trHeight w:val="737"/>
          <w:jc w:val="center"/>
        </w:trPr>
        <w:tc>
          <w:tcPr>
            <w:tcW w:w="2270" w:type="dxa"/>
            <w:tcBorders>
              <w:top w:val="nil"/>
              <w:left w:val="single" w:sz="4" w:space="0" w:color="000000"/>
              <w:bottom w:val="single" w:sz="4" w:space="0" w:color="000000"/>
              <w:right w:val="single" w:sz="4" w:space="0" w:color="000000"/>
            </w:tcBorders>
            <w:shd w:val="clear" w:color="auto" w:fill="CCECFF"/>
            <w:tcMar>
              <w:top w:w="0" w:type="dxa"/>
              <w:left w:w="100" w:type="dxa"/>
              <w:bottom w:w="0" w:type="dxa"/>
              <w:right w:w="100" w:type="dxa"/>
            </w:tcMar>
            <w:vAlign w:val="bottom"/>
          </w:tcPr>
          <w:p w14:paraId="398C74EA" w14:textId="77777777" w:rsidR="00CB3B70" w:rsidRPr="001854D3" w:rsidRDefault="00CF5B81" w:rsidP="00F8700A">
            <w:pPr>
              <w:spacing w:before="240" w:after="0"/>
              <w:ind w:right="140"/>
              <w:jc w:val="left"/>
              <w:rPr>
                <w:rFonts w:eastAsia="Arial" w:cs="Arial"/>
                <w:b/>
                <w:bCs/>
                <w:szCs w:val="24"/>
              </w:rPr>
            </w:pPr>
            <w:r w:rsidRPr="001854D3">
              <w:rPr>
                <w:rFonts w:eastAsia="Arial" w:cs="Arial"/>
                <w:b/>
                <w:bCs/>
                <w:szCs w:val="24"/>
              </w:rPr>
              <w:t>Days Payables Outstanding (DPO)</w:t>
            </w:r>
          </w:p>
        </w:tc>
        <w:tc>
          <w:tcPr>
            <w:tcW w:w="2872" w:type="dxa"/>
            <w:tcBorders>
              <w:top w:val="nil"/>
              <w:left w:val="nil"/>
              <w:bottom w:val="single" w:sz="4" w:space="0" w:color="000000"/>
              <w:right w:val="single" w:sz="4" w:space="0" w:color="000000"/>
            </w:tcBorders>
            <w:shd w:val="clear" w:color="auto" w:fill="CCECFF"/>
            <w:tcMar>
              <w:top w:w="0" w:type="dxa"/>
              <w:left w:w="100" w:type="dxa"/>
              <w:bottom w:w="0" w:type="dxa"/>
              <w:right w:w="100" w:type="dxa"/>
            </w:tcMar>
            <w:vAlign w:val="bottom"/>
          </w:tcPr>
          <w:p w14:paraId="5C6DF751" w14:textId="77777777" w:rsidR="00CB3B70" w:rsidRPr="001854D3" w:rsidRDefault="00CF5B81" w:rsidP="00F8700A">
            <w:pPr>
              <w:spacing w:before="240" w:after="0"/>
              <w:ind w:left="140" w:right="140"/>
              <w:jc w:val="left"/>
              <w:rPr>
                <w:rFonts w:eastAsia="Arial" w:cs="Arial"/>
                <w:szCs w:val="24"/>
              </w:rPr>
            </w:pPr>
            <w:r w:rsidRPr="001854D3">
              <w:rPr>
                <w:rFonts w:eastAsia="Arial" w:cs="Arial"/>
                <w:szCs w:val="24"/>
              </w:rPr>
              <w:t>(Trade Payables ÷ Cost of Sales) × 365 Days</w:t>
            </w:r>
          </w:p>
        </w:tc>
        <w:tc>
          <w:tcPr>
            <w:tcW w:w="2435" w:type="dxa"/>
            <w:tcBorders>
              <w:top w:val="nil"/>
              <w:left w:val="nil"/>
              <w:bottom w:val="single" w:sz="4" w:space="0" w:color="000000"/>
              <w:right w:val="single" w:sz="4" w:space="0" w:color="000000"/>
            </w:tcBorders>
            <w:shd w:val="clear" w:color="auto" w:fill="CCECFF"/>
            <w:tcMar>
              <w:top w:w="0" w:type="dxa"/>
              <w:left w:w="100" w:type="dxa"/>
              <w:bottom w:w="0" w:type="dxa"/>
              <w:right w:w="100" w:type="dxa"/>
            </w:tcMar>
            <w:vAlign w:val="bottom"/>
          </w:tcPr>
          <w:p w14:paraId="01B5D51E" w14:textId="77777777" w:rsidR="00CB3B70" w:rsidRPr="001854D3" w:rsidRDefault="00CF5B81" w:rsidP="00F8700A">
            <w:pPr>
              <w:spacing w:before="240" w:after="0"/>
              <w:ind w:right="140"/>
              <w:jc w:val="left"/>
              <w:rPr>
                <w:rFonts w:eastAsia="Arial" w:cs="Arial"/>
                <w:szCs w:val="24"/>
              </w:rPr>
            </w:pPr>
            <w:r w:rsidRPr="001854D3">
              <w:rPr>
                <w:rFonts w:eastAsia="Arial" w:cs="Arial"/>
                <w:szCs w:val="24"/>
              </w:rPr>
              <w:t xml:space="preserve">(72,031÷ 280,885) × 365 </w:t>
            </w:r>
          </w:p>
        </w:tc>
        <w:tc>
          <w:tcPr>
            <w:tcW w:w="1367" w:type="dxa"/>
            <w:tcBorders>
              <w:top w:val="nil"/>
              <w:left w:val="nil"/>
              <w:bottom w:val="single" w:sz="4" w:space="0" w:color="000000"/>
              <w:right w:val="single" w:sz="4" w:space="0" w:color="000000"/>
            </w:tcBorders>
            <w:shd w:val="clear" w:color="auto" w:fill="CCECFF"/>
            <w:tcMar>
              <w:top w:w="0" w:type="dxa"/>
              <w:left w:w="100" w:type="dxa"/>
              <w:bottom w:w="0" w:type="dxa"/>
              <w:right w:w="100" w:type="dxa"/>
            </w:tcMar>
            <w:vAlign w:val="bottom"/>
          </w:tcPr>
          <w:p w14:paraId="37BD8896" w14:textId="77777777" w:rsidR="00CB3B70" w:rsidRPr="001854D3" w:rsidRDefault="00CF5B81" w:rsidP="00F8700A">
            <w:pPr>
              <w:spacing w:before="240" w:after="0"/>
              <w:ind w:left="140" w:right="140"/>
              <w:jc w:val="right"/>
              <w:rPr>
                <w:rFonts w:eastAsia="Arial" w:cs="Arial"/>
                <w:szCs w:val="24"/>
              </w:rPr>
            </w:pPr>
            <w:r w:rsidRPr="001854D3">
              <w:rPr>
                <w:rFonts w:eastAsia="Arial" w:cs="Arial"/>
                <w:szCs w:val="24"/>
              </w:rPr>
              <w:t>93.60</w:t>
            </w:r>
          </w:p>
        </w:tc>
      </w:tr>
      <w:tr w:rsidR="00A57377" w:rsidRPr="001854D3" w14:paraId="6D2A9CA8" w14:textId="77777777" w:rsidTr="00F8700A">
        <w:trPr>
          <w:trHeight w:val="737"/>
          <w:jc w:val="center"/>
        </w:trPr>
        <w:tc>
          <w:tcPr>
            <w:tcW w:w="2270" w:type="dxa"/>
            <w:tcBorders>
              <w:top w:val="nil"/>
              <w:left w:val="single" w:sz="4" w:space="0" w:color="000000"/>
              <w:bottom w:val="single" w:sz="4" w:space="0" w:color="000000"/>
              <w:right w:val="single" w:sz="4" w:space="0" w:color="000000"/>
            </w:tcBorders>
            <w:shd w:val="clear" w:color="auto" w:fill="CCECFF"/>
            <w:tcMar>
              <w:top w:w="0" w:type="dxa"/>
              <w:left w:w="100" w:type="dxa"/>
              <w:bottom w:w="0" w:type="dxa"/>
              <w:right w:w="100" w:type="dxa"/>
            </w:tcMar>
            <w:vAlign w:val="bottom"/>
          </w:tcPr>
          <w:p w14:paraId="5C7FA9FF" w14:textId="77777777" w:rsidR="00CB3B70" w:rsidRPr="001854D3" w:rsidRDefault="00CF5B81" w:rsidP="00F8700A">
            <w:pPr>
              <w:spacing w:before="240" w:after="0"/>
              <w:ind w:right="140"/>
              <w:jc w:val="left"/>
              <w:rPr>
                <w:rFonts w:eastAsia="Arial" w:cs="Arial"/>
                <w:b/>
                <w:bCs/>
                <w:szCs w:val="24"/>
              </w:rPr>
            </w:pPr>
            <w:r w:rsidRPr="001854D3">
              <w:rPr>
                <w:rFonts w:eastAsia="Arial" w:cs="Arial"/>
                <w:b/>
                <w:bCs/>
                <w:szCs w:val="24"/>
              </w:rPr>
              <w:t>Cash Operating Cycle</w:t>
            </w:r>
          </w:p>
        </w:tc>
        <w:tc>
          <w:tcPr>
            <w:tcW w:w="2872" w:type="dxa"/>
            <w:tcBorders>
              <w:top w:val="nil"/>
              <w:left w:val="nil"/>
              <w:bottom w:val="single" w:sz="4" w:space="0" w:color="000000"/>
              <w:right w:val="single" w:sz="4" w:space="0" w:color="000000"/>
            </w:tcBorders>
            <w:shd w:val="clear" w:color="auto" w:fill="CCECFF"/>
            <w:tcMar>
              <w:top w:w="0" w:type="dxa"/>
              <w:left w:w="100" w:type="dxa"/>
              <w:bottom w:w="0" w:type="dxa"/>
              <w:right w:w="100" w:type="dxa"/>
            </w:tcMar>
            <w:vAlign w:val="bottom"/>
          </w:tcPr>
          <w:p w14:paraId="28A97793" w14:textId="77777777" w:rsidR="00CB3B70" w:rsidRPr="001854D3" w:rsidRDefault="00CF5B81" w:rsidP="00F8700A">
            <w:pPr>
              <w:spacing w:before="240" w:after="0"/>
              <w:ind w:right="140"/>
              <w:jc w:val="left"/>
              <w:rPr>
                <w:rFonts w:eastAsia="Arial" w:cs="Arial"/>
                <w:szCs w:val="24"/>
              </w:rPr>
            </w:pPr>
            <w:r w:rsidRPr="001854D3">
              <w:rPr>
                <w:rFonts w:eastAsia="Arial" w:cs="Arial"/>
                <w:szCs w:val="24"/>
              </w:rPr>
              <w:t>DSO + DIO – DPO</w:t>
            </w:r>
          </w:p>
        </w:tc>
        <w:tc>
          <w:tcPr>
            <w:tcW w:w="2435" w:type="dxa"/>
            <w:tcBorders>
              <w:top w:val="nil"/>
              <w:left w:val="nil"/>
              <w:bottom w:val="single" w:sz="4" w:space="0" w:color="000000"/>
              <w:right w:val="single" w:sz="4" w:space="0" w:color="000000"/>
            </w:tcBorders>
            <w:shd w:val="clear" w:color="auto" w:fill="CCECFF"/>
            <w:tcMar>
              <w:top w:w="0" w:type="dxa"/>
              <w:left w:w="100" w:type="dxa"/>
              <w:bottom w:w="0" w:type="dxa"/>
              <w:right w:w="100" w:type="dxa"/>
            </w:tcMar>
            <w:vAlign w:val="bottom"/>
          </w:tcPr>
          <w:p w14:paraId="085D1760" w14:textId="77777777" w:rsidR="00CB3B70" w:rsidRPr="001854D3" w:rsidRDefault="00CF5B81" w:rsidP="00F8700A">
            <w:pPr>
              <w:spacing w:before="240" w:after="0"/>
              <w:ind w:right="140"/>
              <w:jc w:val="left"/>
              <w:rPr>
                <w:rFonts w:eastAsia="Arial" w:cs="Arial"/>
                <w:szCs w:val="24"/>
              </w:rPr>
            </w:pPr>
            <w:r w:rsidRPr="001854D3">
              <w:rPr>
                <w:rFonts w:eastAsia="Arial" w:cs="Arial"/>
                <w:szCs w:val="24"/>
              </w:rPr>
              <w:t xml:space="preserve">(108.91 + 105.54) - 93.60 </w:t>
            </w:r>
          </w:p>
        </w:tc>
        <w:tc>
          <w:tcPr>
            <w:tcW w:w="1367" w:type="dxa"/>
            <w:tcBorders>
              <w:top w:val="nil"/>
              <w:left w:val="nil"/>
              <w:bottom w:val="single" w:sz="4" w:space="0" w:color="000000"/>
              <w:right w:val="single" w:sz="4" w:space="0" w:color="000000"/>
            </w:tcBorders>
            <w:shd w:val="clear" w:color="auto" w:fill="CCECFF"/>
            <w:tcMar>
              <w:top w:w="0" w:type="dxa"/>
              <w:left w:w="100" w:type="dxa"/>
              <w:bottom w:w="0" w:type="dxa"/>
              <w:right w:w="100" w:type="dxa"/>
            </w:tcMar>
            <w:vAlign w:val="bottom"/>
          </w:tcPr>
          <w:p w14:paraId="76567099" w14:textId="77777777" w:rsidR="00CB3B70" w:rsidRPr="001854D3" w:rsidRDefault="00CF5B81" w:rsidP="00F8700A">
            <w:pPr>
              <w:spacing w:before="240" w:after="0"/>
              <w:ind w:left="140" w:right="140"/>
              <w:jc w:val="right"/>
              <w:rPr>
                <w:rFonts w:eastAsia="Arial" w:cs="Arial"/>
                <w:b/>
                <w:bCs/>
                <w:szCs w:val="24"/>
              </w:rPr>
            </w:pPr>
            <w:r w:rsidRPr="001854D3">
              <w:rPr>
                <w:rFonts w:eastAsia="Arial" w:cs="Arial"/>
                <w:b/>
                <w:bCs/>
                <w:szCs w:val="24"/>
              </w:rPr>
              <w:t>120.85</w:t>
            </w:r>
          </w:p>
        </w:tc>
      </w:tr>
    </w:tbl>
    <w:p w14:paraId="775C63A3" w14:textId="41423848" w:rsidR="001A24E6" w:rsidRPr="00F8700A" w:rsidRDefault="00B63E8C" w:rsidP="00F8700A">
      <w:pPr>
        <w:jc w:val="center"/>
        <w:rPr>
          <w:b/>
        </w:rPr>
      </w:pPr>
      <w:bookmarkStart w:id="22" w:name="_Toc216960976"/>
      <w:r w:rsidRPr="00F8700A">
        <w:rPr>
          <w:b/>
        </w:rPr>
        <w:t xml:space="preserve">Table </w:t>
      </w:r>
      <w:r w:rsidRPr="00F8700A">
        <w:rPr>
          <w:b/>
        </w:rPr>
        <w:fldChar w:fldCharType="begin"/>
      </w:r>
      <w:r w:rsidRPr="00F8700A">
        <w:rPr>
          <w:b/>
        </w:rPr>
        <w:instrText xml:space="preserve"> SEQ Table \* ARABIC </w:instrText>
      </w:r>
      <w:r w:rsidRPr="00F8700A">
        <w:rPr>
          <w:b/>
        </w:rPr>
        <w:fldChar w:fldCharType="separate"/>
      </w:r>
      <w:r w:rsidR="00152E13" w:rsidRPr="00F8700A">
        <w:rPr>
          <w:b/>
          <w:noProof/>
        </w:rPr>
        <w:t>7</w:t>
      </w:r>
      <w:r w:rsidRPr="00F8700A">
        <w:rPr>
          <w:b/>
        </w:rPr>
        <w:fldChar w:fldCharType="end"/>
      </w:r>
      <w:r w:rsidRPr="00F8700A">
        <w:rPr>
          <w:b/>
        </w:rPr>
        <w:t>: Cash Operating Cycle (COC)</w:t>
      </w:r>
      <w:bookmarkEnd w:id="22"/>
    </w:p>
    <w:p w14:paraId="329EA068" w14:textId="7CBAB3E6" w:rsidR="00CB3B70" w:rsidRPr="001854D3" w:rsidRDefault="00CF5B81" w:rsidP="00F8700A">
      <w:pPr>
        <w:jc w:val="center"/>
      </w:pPr>
      <w:r w:rsidRPr="001854D3">
        <w:t>(Source: Refer to the Excel)</w:t>
      </w:r>
    </w:p>
    <w:p w14:paraId="0A7C855C" w14:textId="77777777" w:rsidR="00CB3B70" w:rsidRPr="001854D3" w:rsidRDefault="00CF5B81" w:rsidP="001854D3">
      <w:pPr>
        <w:rPr>
          <w:rFonts w:cs="Arial"/>
          <w:szCs w:val="24"/>
        </w:rPr>
      </w:pPr>
      <w:r w:rsidRPr="001854D3">
        <w:rPr>
          <w:rFonts w:cs="Arial"/>
          <w:szCs w:val="24"/>
        </w:rPr>
        <w:lastRenderedPageBreak/>
        <w:t xml:space="preserve">The cash operating cycle, referred to as the working capital cycle or the cash conversion cycle, represents the duration in days between the payment to suppliers and the cash from sales being received (ACCA Global, 2025). General Electronics’ cash operating cycle is 120.85 days, and this indicates that it is facing difficulties in working capital management. Days Inventory Outstanding is 108.91, which means that inventory is not being sold quickly. Days Sales Outstanding is 105.54, so the company takes a long time to get money back from customers, which is a liquidity constraint. Days Payable Outstanding is 93.60, but it is still much longer. This makes it difficult to release cash for business operations and investments. To correct this, the company should recruit inventory on time, accelerate collections by improving credit control, and negotiate long payment terms with suppliers so as not to damage any good relationships.  </w:t>
      </w:r>
    </w:p>
    <w:p w14:paraId="6614CA26" w14:textId="77777777" w:rsidR="00CB3B70" w:rsidRPr="001854D3" w:rsidRDefault="00CF5B81" w:rsidP="001854D3">
      <w:pPr>
        <w:pStyle w:val="Heading2"/>
      </w:pPr>
      <w:bookmarkStart w:id="23" w:name="_aa8bbriueed" w:colFirst="0" w:colLast="0"/>
      <w:bookmarkStart w:id="24" w:name="_Toc216960955"/>
      <w:bookmarkEnd w:id="23"/>
      <w:r w:rsidRPr="001854D3">
        <w:t>3.2 Recommend Strategies to Improve Liquidity</w:t>
      </w:r>
      <w:bookmarkEnd w:id="24"/>
    </w:p>
    <w:p w14:paraId="469C08B1" w14:textId="77777777" w:rsidR="00CB3B70" w:rsidRPr="001854D3" w:rsidRDefault="00CF5B81" w:rsidP="001854D3">
      <w:pPr>
        <w:rPr>
          <w:rFonts w:cs="Arial"/>
          <w:szCs w:val="24"/>
        </w:rPr>
      </w:pPr>
      <w:r w:rsidRPr="001854D3">
        <w:rPr>
          <w:rFonts w:cs="Arial"/>
          <w:szCs w:val="24"/>
        </w:rPr>
        <w:t xml:space="preserve">General Electronics should use just-in-time (JIT) ordering to reduce high days’ inventory backlog. The Just-in-Time (JIT) inventory management approach has emerged as a strong method designed to reduce waste and enhance supply chain resilience (Mweshi, Kabamba and Nguluwe, 2025). The core idea of JIT is to align the receipt of goods with current demand, thereby minimising the time products spend in inventory and lowering the risk of damage. This approach helps companies to maintain their inventory. This method reduces DIO, which will reduce storage costs and reduce the likelihood of obsolete stock. Artificial Intelligence (AI), especially with cutting-edge machine learning techniques and neural network designs, has transformed demand forecasting. AI's ability to manage extensive and varied data sets, acquire knowledge from fresh information, and recognise complicated, non-linear patterns provides an unprecedented degree of forecasting accuracy (Pal, 2023). Utilising AI in forecasting allows a more detailed examination of trends and enables quicker adjustments to shifts in consumer habits and market dynamics. </w:t>
      </w:r>
    </w:p>
    <w:p w14:paraId="6B0655ED" w14:textId="77777777" w:rsidR="00CB3B70" w:rsidRPr="001854D3" w:rsidRDefault="00CF5B81" w:rsidP="001854D3">
      <w:pPr>
        <w:jc w:val="center"/>
        <w:rPr>
          <w:rFonts w:cs="Arial"/>
          <w:szCs w:val="24"/>
        </w:rPr>
      </w:pPr>
      <w:r w:rsidRPr="001854D3">
        <w:rPr>
          <w:rFonts w:cs="Arial"/>
          <w:noProof/>
          <w:szCs w:val="24"/>
          <w:lang w:val="en-US" w:eastAsia="en-US"/>
        </w:rPr>
        <w:lastRenderedPageBreak/>
        <w:drawing>
          <wp:inline distT="114300" distB="114300" distL="114300" distR="114300" wp14:anchorId="5FE7583F" wp14:editId="7DF28909">
            <wp:extent cx="5731200" cy="2641600"/>
            <wp:effectExtent l="76200" t="76200" r="136525" b="139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2641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1B46F4" w14:textId="77BE446E" w:rsidR="00CB3B70" w:rsidRPr="001854D3" w:rsidRDefault="00CF5B81" w:rsidP="001854D3">
      <w:pPr>
        <w:pStyle w:val="Heading5"/>
      </w:pPr>
      <w:bookmarkStart w:id="25" w:name="_Toc216960977"/>
      <w:r w:rsidRPr="001854D3">
        <w:t>Figure</w:t>
      </w:r>
      <w:r w:rsidR="00D53BF3" w:rsidRPr="001854D3">
        <w:t xml:space="preserve"> 1</w:t>
      </w:r>
      <w:r w:rsidRPr="001854D3">
        <w:t>: Just-in-Time (JIT)</w:t>
      </w:r>
      <w:bookmarkEnd w:id="25"/>
    </w:p>
    <w:p w14:paraId="4A7DE12C" w14:textId="77777777" w:rsidR="00CB3B70" w:rsidRPr="001854D3" w:rsidRDefault="00CF5B81" w:rsidP="001854D3">
      <w:pPr>
        <w:jc w:val="center"/>
        <w:rPr>
          <w:rFonts w:cs="Arial"/>
          <w:szCs w:val="24"/>
        </w:rPr>
      </w:pPr>
      <w:r w:rsidRPr="001854D3">
        <w:rPr>
          <w:rFonts w:cs="Arial"/>
          <w:szCs w:val="24"/>
        </w:rPr>
        <w:t>(Source: Mweshi, Kabamba and Nguluwe, 2025)</w:t>
      </w:r>
    </w:p>
    <w:p w14:paraId="5A34296D" w14:textId="77777777" w:rsidR="00CB3B70" w:rsidRPr="001854D3" w:rsidRDefault="00CF5B81" w:rsidP="001854D3">
      <w:pPr>
        <w:rPr>
          <w:rFonts w:cs="Arial"/>
          <w:szCs w:val="24"/>
        </w:rPr>
      </w:pPr>
      <w:r w:rsidRPr="001854D3">
        <w:rPr>
          <w:rFonts w:cs="Arial"/>
          <w:szCs w:val="24"/>
        </w:rPr>
        <w:t>Days Sales Outstanding of 105.54 days indicates poor credit control. Early payment discounts are incentives businesses provide to motivate customers to pay their bills sooner (Annapoorna, 2023). Offering an early payment discount of such as 2% if paid within 10 days can attract early cash. Strict credit checks on new customers and automated invoice reminder services will reduce bad debt and reduce DSO. Factoring involves selling receivables to a third party at a discount, thereby providing immediate cash, but keeping costs to a minimum. By taking such measures, the collection period can be cut in half, ensuring a regular cash flow despite a decline in sales.</w:t>
      </w:r>
    </w:p>
    <w:p w14:paraId="1E262FA3" w14:textId="77777777" w:rsidR="00CB3B70" w:rsidRPr="001854D3" w:rsidRDefault="00CF5B81" w:rsidP="001854D3">
      <w:pPr>
        <w:rPr>
          <w:rFonts w:cs="Arial"/>
          <w:szCs w:val="24"/>
        </w:rPr>
      </w:pPr>
      <w:r w:rsidRPr="001854D3">
        <w:rPr>
          <w:rFonts w:cs="Arial"/>
          <w:szCs w:val="24"/>
        </w:rPr>
        <w:t xml:space="preserve">93.60 days of outstanding accounts receivable provide a small support. Longer payment periods of up to 120 days can help increase cash flow if the company and supplier relationship is good, and this is especially true when the company buy in large quantities. Companies with robust supply chains typically establish clear payment terms that are favourable for both sides instead of merely extending payments independently. Negotiating payment terms with suppliers will be advantageous, for instance, by requesting to extend payment deadlines without charges (JPMorgan, 2025). These changes can collectively reduce the 120.85-day cash cycle, providing more liquidity needed to make necessary investments and rescue plans. </w:t>
      </w:r>
    </w:p>
    <w:p w14:paraId="39FE4F6A" w14:textId="77777777" w:rsidR="00CB3B70" w:rsidRPr="001854D3" w:rsidRDefault="00CF5B81" w:rsidP="001854D3">
      <w:pPr>
        <w:pStyle w:val="Heading2"/>
      </w:pPr>
      <w:bookmarkStart w:id="26" w:name="_dqskqlnf1css" w:colFirst="0" w:colLast="0"/>
      <w:bookmarkStart w:id="27" w:name="_Toc216960956"/>
      <w:bookmarkEnd w:id="26"/>
      <w:r w:rsidRPr="001854D3">
        <w:lastRenderedPageBreak/>
        <w:t>3.3 Comparison of Short-Term vs Long-Term Financing</w:t>
      </w:r>
      <w:bookmarkEnd w:id="27"/>
    </w:p>
    <w:p w14:paraId="6C396F1F" w14:textId="77777777" w:rsidR="00CB3B70" w:rsidRPr="001854D3" w:rsidRDefault="00CF5B81" w:rsidP="001854D3">
      <w:pPr>
        <w:rPr>
          <w:rFonts w:cs="Arial"/>
          <w:szCs w:val="24"/>
        </w:rPr>
      </w:pPr>
      <w:r w:rsidRPr="001854D3">
        <w:rPr>
          <w:rFonts w:cs="Arial"/>
          <w:szCs w:val="24"/>
        </w:rPr>
        <w:t>Short-term financing can meet General Electronics' immediate cash needs, such as working on a daily basis. Short-term financing is defined as capital acquired for a limited duration, usually under one year (Ram, 2025). Trade credit or overdrafts are options that provide access to quick credit, usually approved within a few days and repayable. Trade credit includes acquiring goods or services from vendors on credit, enabling a company to settle the payment for the items at a future date. Trade credit conditions can vary from a few days to multiple months, offering companies extra time to earn income from the sale of the acquired products before clearing the pending payment (Ram, 2025). For any company in crisis, this helps reduce costs by making short-term repairs without a long-term contract.</w:t>
      </w:r>
    </w:p>
    <w:p w14:paraId="7268DB64" w14:textId="77777777" w:rsidR="00CB3B70" w:rsidRPr="001854D3" w:rsidRDefault="00CF5B81" w:rsidP="001854D3">
      <w:pPr>
        <w:jc w:val="center"/>
        <w:rPr>
          <w:rFonts w:cs="Arial"/>
          <w:szCs w:val="24"/>
        </w:rPr>
      </w:pPr>
      <w:r w:rsidRPr="001854D3">
        <w:rPr>
          <w:rFonts w:cs="Arial"/>
          <w:noProof/>
          <w:szCs w:val="24"/>
          <w:lang w:val="en-US" w:eastAsia="en-US"/>
        </w:rPr>
        <w:drawing>
          <wp:inline distT="114300" distB="114300" distL="114300" distR="114300" wp14:anchorId="06155A7D" wp14:editId="3C3A4164">
            <wp:extent cx="4910138" cy="3515397"/>
            <wp:effectExtent l="76200" t="76200" r="138430" b="14224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910138" cy="35153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B57128" w14:textId="12ADE872" w:rsidR="00CB3B70" w:rsidRPr="001854D3" w:rsidRDefault="00CF5B81" w:rsidP="001854D3">
      <w:pPr>
        <w:pStyle w:val="Heading5"/>
      </w:pPr>
      <w:bookmarkStart w:id="28" w:name="_Toc216960978"/>
      <w:r w:rsidRPr="001854D3">
        <w:t>Figure</w:t>
      </w:r>
      <w:r w:rsidR="00D53BF3" w:rsidRPr="001854D3">
        <w:t xml:space="preserve"> 2</w:t>
      </w:r>
      <w:r w:rsidRPr="001854D3">
        <w:t>: Long-Term Financing</w:t>
      </w:r>
      <w:bookmarkEnd w:id="28"/>
      <w:r w:rsidRPr="001854D3">
        <w:t xml:space="preserve"> </w:t>
      </w:r>
    </w:p>
    <w:p w14:paraId="3AC2DFAD" w14:textId="77777777" w:rsidR="00CB3B70" w:rsidRPr="001854D3" w:rsidRDefault="00CF5B81" w:rsidP="001854D3">
      <w:pPr>
        <w:jc w:val="center"/>
        <w:rPr>
          <w:rFonts w:cs="Arial"/>
          <w:szCs w:val="24"/>
        </w:rPr>
      </w:pPr>
      <w:r w:rsidRPr="001854D3">
        <w:rPr>
          <w:rFonts w:cs="Arial"/>
          <w:szCs w:val="24"/>
        </w:rPr>
        <w:t>(Source: Geeks for Geeks, 2025)</w:t>
      </w:r>
    </w:p>
    <w:p w14:paraId="610BC903" w14:textId="3F45D9B9" w:rsidR="00CB3B70" w:rsidRPr="001854D3" w:rsidRDefault="00A57377" w:rsidP="001854D3">
      <w:pPr>
        <w:rPr>
          <w:rFonts w:cs="Arial"/>
          <w:szCs w:val="24"/>
        </w:rPr>
      </w:pPr>
      <w:r w:rsidRPr="001854D3">
        <w:rPr>
          <w:rFonts w:cs="Arial"/>
          <w:szCs w:val="24"/>
        </w:rPr>
        <w:t xml:space="preserve">Long-term financing is loans that are providing for a duration exceptional one year. This can be attained through the issue of equity shares, safeguarding debt financing, procurement of long-term loans, issuance of bonds, or utilising leases. Long-term financing is acquired for significant projects, business growth, or funding (Geeks for </w:t>
      </w:r>
      <w:r w:rsidRPr="001854D3">
        <w:rPr>
          <w:rFonts w:cs="Arial"/>
          <w:szCs w:val="24"/>
        </w:rPr>
        <w:lastRenderedPageBreak/>
        <w:t>Geeks, 2025). Bank loans or bonds provide large amounts of debt at low interest rates, and they spread the repayments out so that weak cash flows are not stressed over months. Equity issues, such as rights issues, lead to capital being introduced without repayment. In electronics, where the cycle will be volatile, long-term stability contributes to strategic development rather than rapid stagnation.</w:t>
      </w:r>
    </w:p>
    <w:p w14:paraId="1C2B57C7" w14:textId="77777777" w:rsidR="00CB3B70" w:rsidRPr="001854D3" w:rsidRDefault="00CF5B81" w:rsidP="001854D3">
      <w:pPr>
        <w:rPr>
          <w:rFonts w:cs="Arial"/>
          <w:szCs w:val="24"/>
        </w:rPr>
      </w:pPr>
      <w:r w:rsidRPr="001854D3">
        <w:rPr>
          <w:rFonts w:cs="Arial"/>
          <w:szCs w:val="24"/>
        </w:rPr>
        <w:t xml:space="preserve">The speed and flexibility of working capital adjustments are better suited to short-term solutions, which work best during a period of declining sales. Long-term projects provide cheaper and more predictable costs, but put a strain on the balance sheet during periods of loss. The balance between risk is achieved through a mix of short-term liquidity and long-term exposure to investments. </w:t>
      </w:r>
    </w:p>
    <w:p w14:paraId="45D31F0C" w14:textId="77777777" w:rsidR="00CB3B70" w:rsidRPr="001854D3" w:rsidRDefault="00CF5B81" w:rsidP="001854D3">
      <w:pPr>
        <w:pStyle w:val="Heading1"/>
      </w:pPr>
      <w:bookmarkStart w:id="29" w:name="_uk7aiwjkvtmd" w:colFirst="0" w:colLast="0"/>
      <w:bookmarkStart w:id="30" w:name="_Toc216960957"/>
      <w:bookmarkEnd w:id="29"/>
      <w:r w:rsidRPr="001854D3">
        <w:t>4. Strategic Financial Restructuring Plan</w:t>
      </w:r>
      <w:bookmarkEnd w:id="30"/>
    </w:p>
    <w:p w14:paraId="4F5ADA36" w14:textId="77777777" w:rsidR="00CB3B70" w:rsidRPr="001854D3" w:rsidRDefault="00CF5B81" w:rsidP="001854D3">
      <w:pPr>
        <w:pStyle w:val="Heading2"/>
      </w:pPr>
      <w:bookmarkStart w:id="31" w:name="_5ihr27d0kld3" w:colFirst="0" w:colLast="0"/>
      <w:bookmarkStart w:id="32" w:name="_Toc216960958"/>
      <w:bookmarkEnd w:id="31"/>
      <w:r w:rsidRPr="001854D3">
        <w:t>4.1 Financial Restructuring Options</w:t>
      </w:r>
      <w:bookmarkEnd w:id="32"/>
    </w:p>
    <w:p w14:paraId="6B723510" w14:textId="77777777" w:rsidR="00CB3B70" w:rsidRPr="001854D3" w:rsidRDefault="00CF5B81" w:rsidP="001854D3">
      <w:pPr>
        <w:rPr>
          <w:rFonts w:cs="Arial"/>
          <w:szCs w:val="24"/>
        </w:rPr>
      </w:pPr>
      <w:r w:rsidRPr="001854D3">
        <w:rPr>
          <w:rFonts w:cs="Arial"/>
          <w:szCs w:val="24"/>
        </w:rPr>
        <w:t>General Electronics is currently facing a severe financial crisis, with declining sales and losses, which threaten the future of the organisation. When businesses experience financial trouble, their primary goal is to engage in financial restructuring that alleviates the burden linked to their debt and interest obligations (</w:t>
      </w:r>
      <w:proofErr w:type="spellStart"/>
      <w:r w:rsidRPr="001854D3">
        <w:rPr>
          <w:rFonts w:cs="Arial"/>
          <w:szCs w:val="24"/>
        </w:rPr>
        <w:t>Palacín</w:t>
      </w:r>
      <w:proofErr w:type="spellEnd"/>
      <w:r w:rsidRPr="001854D3">
        <w:rPr>
          <w:rFonts w:cs="Arial"/>
          <w:szCs w:val="24"/>
        </w:rPr>
        <w:t>-Sánchez, Alencar-García and Canto-Cuevas, 2023). Decisions must be balanced against global concerns, such as exchange rates, and ethical concerns, such as employment, health, and the creation of a stable path.</w:t>
      </w:r>
    </w:p>
    <w:p w14:paraId="176A92C9" w14:textId="77777777" w:rsidR="00CB3B70" w:rsidRPr="001854D3" w:rsidRDefault="00CF5B81" w:rsidP="001854D3">
      <w:pPr>
        <w:rPr>
          <w:rFonts w:cs="Arial"/>
          <w:b/>
          <w:bCs/>
          <w:i/>
          <w:iCs/>
          <w:szCs w:val="24"/>
        </w:rPr>
      </w:pPr>
      <w:r w:rsidRPr="001854D3">
        <w:rPr>
          <w:rFonts w:cs="Arial"/>
          <w:b/>
          <w:bCs/>
          <w:i/>
          <w:iCs/>
          <w:szCs w:val="24"/>
        </w:rPr>
        <w:t>Mergers</w:t>
      </w:r>
    </w:p>
    <w:p w14:paraId="6E8DF91E" w14:textId="687C3E05" w:rsidR="00CB3B70" w:rsidRPr="001854D3" w:rsidRDefault="00CF5B81" w:rsidP="001854D3">
      <w:pPr>
        <w:rPr>
          <w:rFonts w:cs="Arial"/>
          <w:szCs w:val="24"/>
        </w:rPr>
      </w:pPr>
      <w:r w:rsidRPr="001854D3">
        <w:rPr>
          <w:rFonts w:cs="Arial"/>
          <w:szCs w:val="24"/>
        </w:rPr>
        <w:t xml:space="preserve">General Electronics can gain the strength it needs with a merger with a partner. A merger is a business approach to unite with another firm and function as one legal organisation (Corporate Finance Institute, 2025a).  Combining assets eliminates unnecessary costs and provides increased innovation. Mergers can create a competitive advantage in the market. It also transfers debt risk and develops new growth ideas. Still, merging parties can be a source of tension, and the lack of uniformity in regulations across nations can delay the process. Well-defined employee plans </w:t>
      </w:r>
      <w:proofErr w:type="gramStart"/>
      <w:r w:rsidR="00C67F1C" w:rsidRPr="001854D3">
        <w:rPr>
          <w:rFonts w:cs="Arial"/>
          <w:szCs w:val="24"/>
        </w:rPr>
        <w:t>protects</w:t>
      </w:r>
      <w:proofErr w:type="gramEnd"/>
      <w:r w:rsidRPr="001854D3">
        <w:rPr>
          <w:rFonts w:cs="Arial"/>
          <w:szCs w:val="24"/>
        </w:rPr>
        <w:t xml:space="preserve"> employees. For a company that is already struggling, a merger will help it more than going it alone, resulting in long-term efficiencies.</w:t>
      </w:r>
    </w:p>
    <w:p w14:paraId="579AD468" w14:textId="77777777" w:rsidR="00CB3B70" w:rsidRPr="001854D3" w:rsidRDefault="00CF5B81" w:rsidP="001854D3">
      <w:pPr>
        <w:rPr>
          <w:rFonts w:cs="Arial"/>
          <w:szCs w:val="24"/>
        </w:rPr>
      </w:pPr>
      <w:r w:rsidRPr="001854D3">
        <w:rPr>
          <w:rFonts w:cs="Arial"/>
          <w:b/>
          <w:bCs/>
          <w:i/>
          <w:iCs/>
          <w:szCs w:val="24"/>
        </w:rPr>
        <w:t>Equity Injection</w:t>
      </w:r>
      <w:r w:rsidRPr="001854D3">
        <w:rPr>
          <w:rFonts w:cs="Arial"/>
          <w:szCs w:val="24"/>
        </w:rPr>
        <w:t xml:space="preserve"> </w:t>
      </w:r>
    </w:p>
    <w:p w14:paraId="69D371D2" w14:textId="77777777" w:rsidR="00CB3B70" w:rsidRPr="001854D3" w:rsidRDefault="00CF5B81" w:rsidP="001854D3">
      <w:pPr>
        <w:rPr>
          <w:rFonts w:cs="Arial"/>
          <w:szCs w:val="24"/>
        </w:rPr>
      </w:pPr>
      <w:r w:rsidRPr="001854D3">
        <w:rPr>
          <w:rFonts w:cs="Arial"/>
          <w:szCs w:val="24"/>
        </w:rPr>
        <w:lastRenderedPageBreak/>
        <w:t>Equity injection can be classified as a type of capital restructuring. Nevertheless, capital or equity injection necessitates adequate fiscal space, administrative competence, corporate accountability, and minimal corruption, which make it more appropriate for developed economies (Abimanyu and Rokhim, 2023). This adds credibility to the company, indicating confidence in the recovery and financial turnaround. Leaders implement this strategy when times are tough. It safeguards steady cash flow and permits cautious spending since no interest applies. Global investors are introducing a variety of assets, necessitating appropriate strategies for interest rate adjustment. Transparency protects all shareholders. While it dilutes ownership, equity provides an area for defaulters.</w:t>
      </w:r>
    </w:p>
    <w:p w14:paraId="6FC26F89" w14:textId="77777777" w:rsidR="00CB3B70" w:rsidRPr="001854D3" w:rsidRDefault="00CF5B81" w:rsidP="001854D3">
      <w:pPr>
        <w:rPr>
          <w:rFonts w:cs="Arial"/>
          <w:b/>
          <w:bCs/>
          <w:i/>
          <w:iCs/>
          <w:szCs w:val="24"/>
        </w:rPr>
      </w:pPr>
      <w:r w:rsidRPr="001854D3">
        <w:rPr>
          <w:rFonts w:cs="Arial"/>
          <w:b/>
          <w:bCs/>
          <w:i/>
          <w:iCs/>
          <w:szCs w:val="24"/>
        </w:rPr>
        <w:t xml:space="preserve">Divestiture </w:t>
      </w:r>
    </w:p>
    <w:p w14:paraId="113DCA57" w14:textId="77777777" w:rsidR="00CB3B70" w:rsidRPr="001854D3" w:rsidRDefault="00CF5B81" w:rsidP="001854D3">
      <w:pPr>
        <w:rPr>
          <w:rFonts w:cs="Arial"/>
          <w:szCs w:val="24"/>
        </w:rPr>
      </w:pPr>
      <w:r w:rsidRPr="001854D3">
        <w:rPr>
          <w:rFonts w:cs="Arial"/>
          <w:szCs w:val="24"/>
        </w:rPr>
        <w:t>A divestiture involves the removal of a company's assets or a business segment through sale, trade, shutdown, or bankruptcy (Corporate Finance Institute, 2025b). Selling non-core components will provide General Electronics with quick cash to get the ship back on track. By eliminating underperforming units, the company reduces operating expenses and guarantees revenue to meet its daily needs and pay its debt. Removing weak divisions to focus on strong areas is a common practice in large companies. This reduces debt and frees up money to fund needed projects. Tax credits for past losses won't be worthless, but the company need good protection against currency fluctuations. For employees, smart job-assistance plans maintain confidence. Asset disposals provide timely funding in tough economic times without the need to increase debt.</w:t>
      </w:r>
    </w:p>
    <w:p w14:paraId="0A8830EB" w14:textId="77777777" w:rsidR="00CB3B70" w:rsidRPr="001854D3" w:rsidRDefault="00CF5B81" w:rsidP="001854D3">
      <w:pPr>
        <w:rPr>
          <w:rFonts w:cs="Arial"/>
          <w:szCs w:val="24"/>
        </w:rPr>
      </w:pPr>
      <w:r w:rsidRPr="001854D3">
        <w:rPr>
          <w:rFonts w:cs="Arial"/>
          <w:szCs w:val="24"/>
        </w:rPr>
        <w:t>Asset disposals are an immediate exchange of cash, a merger is a strength, and equity injection is a permanence. So, selling excess items for a quick profit, increasing equity to the expected level, and considering a merger when it fits will be effective in financial restructuring. This combination is guided by ethics to make good profits.</w:t>
      </w:r>
    </w:p>
    <w:p w14:paraId="25C95B86" w14:textId="77777777" w:rsidR="00CB3B70" w:rsidRPr="001854D3" w:rsidRDefault="00CF5B81" w:rsidP="001854D3">
      <w:pPr>
        <w:pStyle w:val="Heading2"/>
      </w:pPr>
      <w:bookmarkStart w:id="33" w:name="_ocoax6nr6ya4" w:colFirst="0" w:colLast="0"/>
      <w:bookmarkStart w:id="34" w:name="_Toc216960959"/>
      <w:bookmarkEnd w:id="33"/>
      <w:r w:rsidRPr="001854D3">
        <w:t>4.2 Impact on Shareholder Value, Operational Flexibility and Debt Structure</w:t>
      </w:r>
      <w:bookmarkEnd w:id="34"/>
    </w:p>
    <w:p w14:paraId="34821AA3" w14:textId="28D18087" w:rsidR="00D53BF3" w:rsidRPr="001854D3" w:rsidRDefault="00D53BF3" w:rsidP="001854D3">
      <w:pPr>
        <w:rPr>
          <w:rFonts w:cs="Arial"/>
          <w:b/>
          <w:bCs/>
          <w:i/>
          <w:iCs/>
          <w:szCs w:val="24"/>
        </w:rPr>
      </w:pPr>
      <w:r w:rsidRPr="001854D3">
        <w:rPr>
          <w:rFonts w:cs="Arial"/>
          <w:b/>
          <w:bCs/>
          <w:i/>
          <w:iCs/>
          <w:szCs w:val="24"/>
        </w:rPr>
        <w:t>Impact on Shareholder Value</w:t>
      </w:r>
    </w:p>
    <w:p w14:paraId="38C8E757" w14:textId="77777777" w:rsidR="00CB3B70" w:rsidRPr="001854D3" w:rsidRDefault="00CF5B81" w:rsidP="001854D3">
      <w:pPr>
        <w:rPr>
          <w:rFonts w:cs="Arial"/>
          <w:szCs w:val="24"/>
        </w:rPr>
      </w:pPr>
      <w:r w:rsidRPr="001854D3">
        <w:rPr>
          <w:rFonts w:cs="Arial"/>
          <w:szCs w:val="24"/>
        </w:rPr>
        <w:t xml:space="preserve">Restructuring helps shareholders share losses and focus more effectively. Selling off weaker areas generates cash and increases the profitability of the remaining business. Businesses might merge to benefit their stakeholders. After the merger, the current </w:t>
      </w:r>
      <w:r w:rsidRPr="001854D3">
        <w:rPr>
          <w:rFonts w:cs="Arial"/>
          <w:szCs w:val="24"/>
        </w:rPr>
        <w:lastRenderedPageBreak/>
        <w:t>shareholders of the initial entities receive shares in the new company (Corporate Finance Institute, 2025a). All of this builds confidence and can increase share prices as the company becomes more stable. However, new equity also dilutes the ownership of existing shareholders, reducing their returns.</w:t>
      </w:r>
    </w:p>
    <w:p w14:paraId="15C9C38E" w14:textId="58C87341" w:rsidR="00D53BF3" w:rsidRPr="001854D3" w:rsidRDefault="00D53BF3" w:rsidP="001854D3">
      <w:pPr>
        <w:rPr>
          <w:rFonts w:cs="Arial"/>
          <w:b/>
          <w:bCs/>
          <w:i/>
          <w:iCs/>
          <w:szCs w:val="24"/>
        </w:rPr>
      </w:pPr>
      <w:r w:rsidRPr="001854D3">
        <w:rPr>
          <w:rFonts w:cs="Arial"/>
          <w:b/>
          <w:bCs/>
          <w:i/>
          <w:iCs/>
          <w:szCs w:val="24"/>
        </w:rPr>
        <w:t>Impact on Debt Structure</w:t>
      </w:r>
    </w:p>
    <w:p w14:paraId="0E5FCF46" w14:textId="6358015D" w:rsidR="00CB3B70" w:rsidRPr="001854D3" w:rsidRDefault="00CF5B81" w:rsidP="001854D3">
      <w:pPr>
        <w:rPr>
          <w:rFonts w:cs="Arial"/>
          <w:szCs w:val="24"/>
        </w:rPr>
      </w:pPr>
      <w:r w:rsidRPr="001854D3">
        <w:rPr>
          <w:rFonts w:cs="Arial"/>
          <w:szCs w:val="24"/>
        </w:rPr>
        <w:t xml:space="preserve">Financial restructuring entails modifying a company's or group's capital structure, particularly when the enterprises cannot fulfil the servicing demands of their current debt obligations (PwC, 2025). Large current liabilities can be reduced by selling assets, and the burden of acquired debt is reduced. Through consolidation, risk is distributed among partners. Creating new equity means that the company does not need new debt, and even if the company experiences losses, the interest burden is still low. This reduces the risk of default as predicted by the </w:t>
      </w:r>
      <w:r w:rsidR="00D53BF3" w:rsidRPr="001854D3">
        <w:rPr>
          <w:rFonts w:cs="Arial"/>
          <w:szCs w:val="24"/>
        </w:rPr>
        <w:t>models</w:t>
      </w:r>
      <w:r w:rsidRPr="001854D3">
        <w:rPr>
          <w:rFonts w:cs="Arial"/>
          <w:szCs w:val="24"/>
        </w:rPr>
        <w:t xml:space="preserve"> and better loan terms can be obtained at a later stage.</w:t>
      </w:r>
    </w:p>
    <w:p w14:paraId="4B5141F6" w14:textId="52C42AC4" w:rsidR="00D53BF3" w:rsidRPr="001854D3" w:rsidRDefault="00D53BF3" w:rsidP="001854D3">
      <w:pPr>
        <w:rPr>
          <w:rFonts w:cs="Arial"/>
          <w:b/>
          <w:bCs/>
          <w:i/>
          <w:iCs/>
          <w:szCs w:val="24"/>
        </w:rPr>
      </w:pPr>
      <w:r w:rsidRPr="001854D3">
        <w:rPr>
          <w:rFonts w:cs="Arial"/>
          <w:b/>
          <w:bCs/>
          <w:i/>
          <w:iCs/>
          <w:szCs w:val="24"/>
        </w:rPr>
        <w:t>Impact on Operational Flexibility</w:t>
      </w:r>
    </w:p>
    <w:p w14:paraId="0C9F5BAB" w14:textId="28E71321" w:rsidR="00CB3B70" w:rsidRPr="001854D3" w:rsidRDefault="00CF5B81" w:rsidP="001854D3">
      <w:pPr>
        <w:rPr>
          <w:rFonts w:cs="Arial"/>
          <w:szCs w:val="24"/>
        </w:rPr>
      </w:pPr>
      <w:r w:rsidRPr="001854D3">
        <w:rPr>
          <w:rFonts w:cs="Arial"/>
          <w:szCs w:val="24"/>
        </w:rPr>
        <w:t xml:space="preserve">Achieving financial stability through restructuring enables the company to manage economic </w:t>
      </w:r>
      <w:r w:rsidR="00D53BF3" w:rsidRPr="001854D3">
        <w:rPr>
          <w:rFonts w:cs="Arial"/>
          <w:szCs w:val="24"/>
        </w:rPr>
        <w:t>unpredictability’s</w:t>
      </w:r>
      <w:r w:rsidRPr="001854D3">
        <w:rPr>
          <w:rFonts w:cs="Arial"/>
          <w:szCs w:val="24"/>
        </w:rPr>
        <w:t xml:space="preserve"> and market fluctuations more efficiently (The Strategic CFO, 2024).  The profits from the divestiture can be used for quick repairs, such as decreasing inventory. Merger is essential for rapid expansion to adapt to changes in the electronics sector. Equity helps to invest without stressing about repayment, which in turn increases working capital. The combination of all these factors helps to reduce long cash cycles, allowing leaders to deal with declining sales and cope with the pressure on the company. </w:t>
      </w:r>
    </w:p>
    <w:p w14:paraId="588C5B2E" w14:textId="77777777" w:rsidR="00CB3B70" w:rsidRPr="001854D3" w:rsidRDefault="00CF5B81" w:rsidP="001854D3">
      <w:pPr>
        <w:pStyle w:val="Heading2"/>
      </w:pPr>
      <w:bookmarkStart w:id="35" w:name="_suws5qw6vtph" w:colFirst="0" w:colLast="0"/>
      <w:bookmarkStart w:id="36" w:name="_Toc216960960"/>
      <w:bookmarkEnd w:id="35"/>
      <w:r w:rsidRPr="001854D3">
        <w:t>4.3 International and Ethical Considerations</w:t>
      </w:r>
      <w:bookmarkEnd w:id="36"/>
    </w:p>
    <w:p w14:paraId="1B92C60F" w14:textId="12908C1C" w:rsidR="00CB3B70" w:rsidRPr="001854D3" w:rsidRDefault="00CF5B81" w:rsidP="001854D3">
      <w:pPr>
        <w:rPr>
          <w:rFonts w:cs="Arial"/>
          <w:szCs w:val="24"/>
        </w:rPr>
      </w:pPr>
      <w:r w:rsidRPr="001854D3">
        <w:rPr>
          <w:rFonts w:cs="Arial"/>
          <w:b/>
          <w:bCs/>
          <w:i/>
          <w:iCs/>
          <w:szCs w:val="24"/>
        </w:rPr>
        <w:t>International</w:t>
      </w:r>
      <w:r w:rsidR="00D53BF3" w:rsidRPr="001854D3">
        <w:rPr>
          <w:rFonts w:cs="Arial"/>
          <w:b/>
          <w:bCs/>
          <w:i/>
          <w:iCs/>
          <w:szCs w:val="24"/>
        </w:rPr>
        <w:t xml:space="preserve"> Considerations</w:t>
      </w:r>
      <w:r w:rsidRPr="001854D3">
        <w:rPr>
          <w:rFonts w:cs="Arial"/>
          <w:b/>
          <w:bCs/>
          <w:i/>
          <w:iCs/>
          <w:szCs w:val="24"/>
        </w:rPr>
        <w:t xml:space="preserve">: </w:t>
      </w:r>
      <w:r w:rsidRPr="001854D3">
        <w:rPr>
          <w:rFonts w:cs="Arial"/>
          <w:szCs w:val="24"/>
        </w:rPr>
        <w:t xml:space="preserve">General Electronics has a global presence and faces cross-border issues in restructuring. Tax regulations vary across countries, and different capital gains taxes are imposed on asset sales, which can reduce the amount of cash received. In the UK, a limited company typically pays Corporation Tax on the earnings or taxable gain from the sale or disposal of an asset (Gov.UK, 2025). </w:t>
      </w:r>
      <w:r w:rsidRPr="001854D3">
        <w:rPr>
          <w:rFonts w:cs="Arial"/>
          <w:b/>
          <w:bCs/>
          <w:i/>
          <w:iCs/>
          <w:szCs w:val="24"/>
        </w:rPr>
        <w:t xml:space="preserve">Currency risk </w:t>
      </w:r>
      <w:r w:rsidRPr="001854D3">
        <w:rPr>
          <w:rFonts w:cs="Arial"/>
          <w:szCs w:val="24"/>
        </w:rPr>
        <w:t xml:space="preserve">is a major concern in volatile markets, as a weak </w:t>
      </w:r>
      <w:r w:rsidR="00B659E4">
        <w:rPr>
          <w:rFonts w:cs="Arial"/>
          <w:szCs w:val="24"/>
        </w:rPr>
        <w:t>c</w:t>
      </w:r>
      <w:r w:rsidR="00B659E4" w:rsidRPr="00B659E4">
        <w:rPr>
          <w:rFonts w:cs="Arial"/>
          <w:szCs w:val="24"/>
        </w:rPr>
        <w:t xml:space="preserve">urrency </w:t>
      </w:r>
      <w:r w:rsidRPr="001854D3">
        <w:rPr>
          <w:rFonts w:cs="Arial"/>
          <w:szCs w:val="24"/>
        </w:rPr>
        <w:t xml:space="preserve">will reduce the value of foreign sales. </w:t>
      </w:r>
      <w:r w:rsidRPr="001854D3">
        <w:rPr>
          <w:rFonts w:cs="Arial"/>
          <w:b/>
          <w:bCs/>
          <w:i/>
          <w:iCs/>
          <w:szCs w:val="24"/>
        </w:rPr>
        <w:t xml:space="preserve">Inflation </w:t>
      </w:r>
      <w:r w:rsidRPr="001854D3">
        <w:rPr>
          <w:rFonts w:cs="Arial"/>
          <w:szCs w:val="24"/>
        </w:rPr>
        <w:t>in emerging markets increases the cost of a merger, which should be considered. These issues require professional advice to align deals with local regulations and economic changes.</w:t>
      </w:r>
    </w:p>
    <w:p w14:paraId="68C4F8D3" w14:textId="362A5B6F" w:rsidR="00CB3B70" w:rsidRPr="001854D3" w:rsidRDefault="00CF5B81" w:rsidP="001854D3">
      <w:pPr>
        <w:rPr>
          <w:rFonts w:cs="Arial"/>
          <w:szCs w:val="24"/>
        </w:rPr>
      </w:pPr>
      <w:r w:rsidRPr="001854D3">
        <w:rPr>
          <w:rFonts w:cs="Arial"/>
          <w:b/>
          <w:bCs/>
          <w:i/>
          <w:iCs/>
          <w:szCs w:val="24"/>
        </w:rPr>
        <w:lastRenderedPageBreak/>
        <w:t>Ethical</w:t>
      </w:r>
      <w:r w:rsidR="00D53BF3" w:rsidRPr="001854D3">
        <w:rPr>
          <w:rFonts w:cs="Arial"/>
          <w:b/>
          <w:bCs/>
          <w:i/>
          <w:iCs/>
          <w:szCs w:val="24"/>
        </w:rPr>
        <w:t xml:space="preserve"> Considerations</w:t>
      </w:r>
      <w:r w:rsidRPr="001854D3">
        <w:rPr>
          <w:rFonts w:cs="Arial"/>
          <w:b/>
          <w:bCs/>
          <w:i/>
          <w:iCs/>
          <w:szCs w:val="24"/>
        </w:rPr>
        <w:t xml:space="preserve">: </w:t>
      </w:r>
      <w:r w:rsidRPr="001854D3">
        <w:rPr>
          <w:rFonts w:cs="Arial"/>
          <w:szCs w:val="24"/>
        </w:rPr>
        <w:t xml:space="preserve">The restructuring process is guided by ethics in some aspects to ensure the protection of all stakeholders. As </w:t>
      </w:r>
      <w:r w:rsidR="00A9471E" w:rsidRPr="00A9471E">
        <w:rPr>
          <w:rFonts w:cs="Arial"/>
          <w:szCs w:val="24"/>
        </w:rPr>
        <w:t>Corporate Social Responsibility</w:t>
      </w:r>
      <w:r w:rsidR="00A9471E">
        <w:rPr>
          <w:rFonts w:cs="Arial"/>
          <w:szCs w:val="24"/>
        </w:rPr>
        <w:t xml:space="preserve"> (</w:t>
      </w:r>
      <w:r w:rsidRPr="001854D3">
        <w:rPr>
          <w:rFonts w:cs="Arial"/>
          <w:szCs w:val="24"/>
        </w:rPr>
        <w:t>CSR</w:t>
      </w:r>
      <w:r w:rsidR="00A9471E">
        <w:rPr>
          <w:rFonts w:cs="Arial"/>
          <w:szCs w:val="24"/>
        </w:rPr>
        <w:t xml:space="preserve">) </w:t>
      </w:r>
      <w:r w:rsidRPr="001854D3">
        <w:rPr>
          <w:rFonts w:cs="Arial"/>
          <w:szCs w:val="24"/>
        </w:rPr>
        <w:t xml:space="preserve">develops from a voluntary ethical approach to a strategic business </w:t>
      </w:r>
      <w:r w:rsidR="00215DCB">
        <w:rPr>
          <w:rFonts w:cs="Arial"/>
          <w:szCs w:val="24"/>
        </w:rPr>
        <w:t xml:space="preserve">strategy, and </w:t>
      </w:r>
      <w:r w:rsidRPr="001854D3">
        <w:rPr>
          <w:rFonts w:cs="Arial"/>
          <w:szCs w:val="24"/>
        </w:rPr>
        <w:t xml:space="preserve">becomes essential for corporate decision-making and stakeholder value creation (Uwakwe and Mohs, 2025). CSR includes fair treatment in asset sales and regarding employment, where severance packages and training are provided to employees to maintain a positive image. Open discussions about the merger should be held to ensure fairness in value sharing. Trust is built through good governance, which is essential in the consumer electronics industry, as brand image impacts sales. </w:t>
      </w:r>
    </w:p>
    <w:p w14:paraId="678AAC83" w14:textId="77777777" w:rsidR="00CB3B70" w:rsidRPr="001854D3" w:rsidRDefault="00CF5B81" w:rsidP="001854D3">
      <w:pPr>
        <w:pStyle w:val="Heading1"/>
      </w:pPr>
      <w:bookmarkStart w:id="37" w:name="_s6fc2suyzekl" w:colFirst="0" w:colLast="0"/>
      <w:bookmarkStart w:id="38" w:name="_Toc216960961"/>
      <w:bookmarkEnd w:id="37"/>
      <w:r w:rsidRPr="001854D3">
        <w:t>5. Investment Appraisal and Capital Budgeting</w:t>
      </w:r>
      <w:bookmarkEnd w:id="38"/>
      <w:r w:rsidRPr="001854D3">
        <w:t xml:space="preserve"> </w:t>
      </w:r>
    </w:p>
    <w:p w14:paraId="4E091314" w14:textId="77777777" w:rsidR="00CB3B70" w:rsidRPr="001854D3" w:rsidRDefault="00CF5B81" w:rsidP="001854D3">
      <w:pPr>
        <w:pStyle w:val="Heading2"/>
      </w:pPr>
      <w:bookmarkStart w:id="39" w:name="_skfyu6suovjl" w:colFirst="0" w:colLast="0"/>
      <w:bookmarkStart w:id="40" w:name="_Toc216960962"/>
      <w:bookmarkEnd w:id="39"/>
      <w:r w:rsidRPr="001854D3">
        <w:t>5.1 Investment Appraisal</w:t>
      </w:r>
      <w:bookmarkEnd w:id="40"/>
    </w:p>
    <w:p w14:paraId="0279A96C" w14:textId="0CCF2A28" w:rsidR="00A57377" w:rsidRPr="001854D3" w:rsidRDefault="00A57377" w:rsidP="001854D3">
      <w:pPr>
        <w:rPr>
          <w:rFonts w:cs="Arial"/>
          <w:szCs w:val="24"/>
        </w:rPr>
      </w:pPr>
      <w:r w:rsidRPr="001854D3">
        <w:rPr>
          <w:rFonts w:cs="Arial"/>
          <w:szCs w:val="24"/>
        </w:rPr>
        <w:t xml:space="preserve">These investment appraisal methods are really important when companies are thinking about investing in projects. These methods that companies use to decide on investments include the Payback Period (PBP), the Accounting Rate of Return (ARR), the Net Present Value (NPV) the Profitability Index (PI) and the Internal Rate of Return (IRR).  </w:t>
      </w:r>
    </w:p>
    <w:p w14:paraId="6E1BA9E5" w14:textId="62B630C4" w:rsidR="00CB3B70" w:rsidRPr="001854D3" w:rsidRDefault="00CF5B81" w:rsidP="001854D3">
      <w:pPr>
        <w:rPr>
          <w:rFonts w:cs="Arial"/>
          <w:b/>
          <w:bCs/>
          <w:i/>
          <w:iCs/>
          <w:szCs w:val="24"/>
        </w:rPr>
      </w:pPr>
      <w:r w:rsidRPr="001854D3">
        <w:rPr>
          <w:rFonts w:cs="Arial"/>
          <w:b/>
          <w:bCs/>
          <w:i/>
          <w:iCs/>
          <w:szCs w:val="24"/>
        </w:rPr>
        <w:t>Project A</w:t>
      </w:r>
    </w:p>
    <w:p w14:paraId="36519B92" w14:textId="77777777" w:rsidR="00CB3B70" w:rsidRPr="001854D3" w:rsidRDefault="00CF5B81" w:rsidP="001854D3">
      <w:pPr>
        <w:rPr>
          <w:rFonts w:cs="Arial"/>
          <w:szCs w:val="24"/>
        </w:rPr>
      </w:pPr>
      <w:r w:rsidRPr="001854D3">
        <w:rPr>
          <w:rFonts w:cs="Arial"/>
          <w:szCs w:val="24"/>
        </w:rPr>
        <w:t xml:space="preserve">Project A has initial costs of 40 million pounds. It generates high revenues during the early years, with the largest amount being received in year three. </w:t>
      </w:r>
    </w:p>
    <w:p w14:paraId="73CA00BC" w14:textId="77777777" w:rsidR="00CB3B70" w:rsidRPr="001854D3" w:rsidRDefault="00CF5B81" w:rsidP="001854D3">
      <w:pPr>
        <w:rPr>
          <w:rFonts w:cs="Arial"/>
          <w:szCs w:val="24"/>
        </w:rPr>
      </w:pPr>
      <w:r w:rsidRPr="001854D3">
        <w:rPr>
          <w:rFonts w:cs="Arial"/>
          <w:b/>
          <w:bCs/>
          <w:i/>
          <w:iCs/>
          <w:szCs w:val="24"/>
        </w:rPr>
        <w:t xml:space="preserve">PBP: </w:t>
      </w:r>
      <w:r w:rsidRPr="001854D3">
        <w:rPr>
          <w:rFonts w:cs="Arial"/>
          <w:szCs w:val="24"/>
        </w:rPr>
        <w:t xml:space="preserve">It will recover its cost in the shortest </w:t>
      </w:r>
      <w:r w:rsidRPr="001854D3">
        <w:rPr>
          <w:rFonts w:cs="Arial"/>
          <w:b/>
          <w:bCs/>
          <w:i/>
          <w:iCs/>
          <w:szCs w:val="24"/>
        </w:rPr>
        <w:t>period of 3.4 years</w:t>
      </w:r>
      <w:r w:rsidRPr="001854D3">
        <w:rPr>
          <w:rFonts w:cs="Arial"/>
          <w:szCs w:val="24"/>
        </w:rPr>
        <w:t xml:space="preserve">. The fact that quick </w:t>
      </w:r>
      <w:r w:rsidRPr="001854D3">
        <w:rPr>
          <w:rFonts w:cs="Arial"/>
          <w:b/>
          <w:bCs/>
          <w:i/>
          <w:iCs/>
          <w:szCs w:val="24"/>
        </w:rPr>
        <w:t xml:space="preserve">payback </w:t>
      </w:r>
      <w:r w:rsidRPr="001854D3">
        <w:rPr>
          <w:rFonts w:cs="Arial"/>
          <w:szCs w:val="24"/>
        </w:rPr>
        <w:t xml:space="preserve">is important to General electronics which is facing cash flow problems. </w:t>
      </w:r>
    </w:p>
    <w:p w14:paraId="278B1E31" w14:textId="4A40F869" w:rsidR="00CB3B70" w:rsidRPr="001854D3" w:rsidRDefault="00CF5B81" w:rsidP="001854D3">
      <w:pPr>
        <w:rPr>
          <w:rFonts w:cs="Arial"/>
          <w:szCs w:val="24"/>
        </w:rPr>
      </w:pPr>
      <w:r w:rsidRPr="001854D3">
        <w:rPr>
          <w:rFonts w:cs="Arial"/>
          <w:b/>
          <w:bCs/>
          <w:i/>
          <w:iCs/>
          <w:szCs w:val="24"/>
        </w:rPr>
        <w:t xml:space="preserve">ARR: </w:t>
      </w:r>
      <w:r w:rsidR="00D53BF3" w:rsidRPr="001854D3">
        <w:rPr>
          <w:rFonts w:cs="Arial"/>
          <w:szCs w:val="24"/>
        </w:rPr>
        <w:t xml:space="preserve">ARR delivers firms with </w:t>
      </w:r>
      <w:r w:rsidR="004C7F11" w:rsidRPr="001854D3">
        <w:rPr>
          <w:rFonts w:cs="Arial"/>
          <w:szCs w:val="24"/>
        </w:rPr>
        <w:t>an</w:t>
      </w:r>
      <w:r w:rsidR="00D53BF3" w:rsidRPr="001854D3">
        <w:rPr>
          <w:rFonts w:cs="Arial"/>
          <w:szCs w:val="24"/>
        </w:rPr>
        <w:t xml:space="preserve"> upfront way to assess an investment’s effectiveness over time.</w:t>
      </w:r>
      <w:r w:rsidR="00D53BF3" w:rsidRPr="001854D3">
        <w:rPr>
          <w:rFonts w:cs="Arial"/>
          <w:b/>
          <w:bCs/>
          <w:i/>
          <w:iCs/>
          <w:szCs w:val="24"/>
        </w:rPr>
        <w:t xml:space="preserve"> </w:t>
      </w:r>
      <w:r w:rsidR="00D53BF3" w:rsidRPr="001854D3">
        <w:rPr>
          <w:rFonts w:cs="Arial"/>
          <w:szCs w:val="24"/>
        </w:rPr>
        <w:t>T</w:t>
      </w:r>
      <w:r w:rsidRPr="001854D3">
        <w:rPr>
          <w:rFonts w:cs="Arial"/>
          <w:szCs w:val="24"/>
        </w:rPr>
        <w:t xml:space="preserve">he project generates approximately 2.8 million pounds annually, following the allocation of 8 million pounds of depreciation over 5 years. That has it at an </w:t>
      </w:r>
      <w:r w:rsidRPr="001854D3">
        <w:rPr>
          <w:rFonts w:cs="Arial"/>
          <w:b/>
          <w:bCs/>
          <w:i/>
          <w:iCs/>
          <w:szCs w:val="24"/>
        </w:rPr>
        <w:t xml:space="preserve">accounting rate of return </w:t>
      </w:r>
      <w:r w:rsidRPr="001854D3">
        <w:rPr>
          <w:rFonts w:cs="Arial"/>
          <w:szCs w:val="24"/>
        </w:rPr>
        <w:t>of 14</w:t>
      </w:r>
      <w:r w:rsidR="00747192" w:rsidRPr="001854D3">
        <w:rPr>
          <w:rFonts w:cs="Arial"/>
          <w:szCs w:val="24"/>
        </w:rPr>
        <w:t>%</w:t>
      </w:r>
      <w:r w:rsidRPr="001854D3">
        <w:rPr>
          <w:rFonts w:cs="Arial"/>
          <w:szCs w:val="24"/>
        </w:rPr>
        <w:t xml:space="preserve">. </w:t>
      </w:r>
    </w:p>
    <w:p w14:paraId="1F11F4E0" w14:textId="4C0732F0" w:rsidR="00CB3B70" w:rsidRPr="001854D3" w:rsidRDefault="00CF5B81" w:rsidP="001854D3">
      <w:pPr>
        <w:rPr>
          <w:rFonts w:cs="Arial"/>
          <w:szCs w:val="24"/>
        </w:rPr>
      </w:pPr>
      <w:r w:rsidRPr="001854D3">
        <w:rPr>
          <w:rFonts w:cs="Arial"/>
          <w:b/>
          <w:bCs/>
          <w:i/>
          <w:iCs/>
          <w:szCs w:val="24"/>
        </w:rPr>
        <w:t xml:space="preserve">NPV: </w:t>
      </w:r>
      <w:r w:rsidRPr="001854D3">
        <w:rPr>
          <w:rFonts w:cs="Arial"/>
          <w:szCs w:val="24"/>
        </w:rPr>
        <w:t xml:space="preserve">Project A is valuable with the help of discounted cash flow numbers. It has a discount rate of 10% that gives it a </w:t>
      </w:r>
      <w:r w:rsidRPr="001854D3">
        <w:rPr>
          <w:rFonts w:cs="Arial"/>
          <w:b/>
          <w:bCs/>
          <w:i/>
          <w:iCs/>
          <w:szCs w:val="24"/>
        </w:rPr>
        <w:t xml:space="preserve">positive net present value </w:t>
      </w:r>
      <w:r w:rsidRPr="001854D3">
        <w:rPr>
          <w:rFonts w:cs="Arial"/>
          <w:szCs w:val="24"/>
        </w:rPr>
        <w:t xml:space="preserve">of </w:t>
      </w:r>
      <w:r w:rsidRPr="001854D3">
        <w:rPr>
          <w:rFonts w:cs="Arial"/>
          <w:b/>
          <w:bCs/>
          <w:i/>
          <w:iCs/>
          <w:szCs w:val="24"/>
        </w:rPr>
        <w:t>1.32</w:t>
      </w:r>
      <w:r w:rsidRPr="001854D3">
        <w:rPr>
          <w:rFonts w:cs="Arial"/>
          <w:szCs w:val="24"/>
        </w:rPr>
        <w:t xml:space="preserve"> million pounds. Investments that have a positive NPV are profitable and </w:t>
      </w:r>
      <w:r w:rsidR="006816A2">
        <w:rPr>
          <w:rFonts w:cs="Arial"/>
          <w:szCs w:val="24"/>
        </w:rPr>
        <w:t>the company can accept the project</w:t>
      </w:r>
      <w:r w:rsidRPr="001854D3">
        <w:rPr>
          <w:rFonts w:cs="Arial"/>
          <w:szCs w:val="24"/>
        </w:rPr>
        <w:t xml:space="preserve"> (Shou, 2022). </w:t>
      </w:r>
    </w:p>
    <w:p w14:paraId="0EEBFC43" w14:textId="25303A0C" w:rsidR="00CB3B70" w:rsidRPr="001854D3" w:rsidRDefault="00CF5B81" w:rsidP="001854D3">
      <w:pPr>
        <w:rPr>
          <w:rFonts w:cs="Arial"/>
          <w:szCs w:val="24"/>
        </w:rPr>
      </w:pPr>
      <w:r w:rsidRPr="001854D3">
        <w:rPr>
          <w:rFonts w:cs="Arial"/>
          <w:b/>
          <w:bCs/>
          <w:i/>
          <w:iCs/>
          <w:szCs w:val="24"/>
        </w:rPr>
        <w:lastRenderedPageBreak/>
        <w:t xml:space="preserve">PI: </w:t>
      </w:r>
      <w:r w:rsidR="00D53BF3" w:rsidRPr="001854D3">
        <w:rPr>
          <w:rFonts w:cs="Arial"/>
          <w:szCs w:val="24"/>
        </w:rPr>
        <w:t xml:space="preserve">The PI signifies the connection between the costs and benefits of a planned project. </w:t>
      </w:r>
      <w:r w:rsidRPr="001854D3">
        <w:rPr>
          <w:rFonts w:cs="Arial"/>
          <w:szCs w:val="24"/>
        </w:rPr>
        <w:t xml:space="preserve">The </w:t>
      </w:r>
      <w:r w:rsidRPr="001854D3">
        <w:rPr>
          <w:rFonts w:cs="Arial"/>
          <w:b/>
          <w:bCs/>
          <w:i/>
          <w:iCs/>
          <w:szCs w:val="24"/>
        </w:rPr>
        <w:t xml:space="preserve">profitability index </w:t>
      </w:r>
      <w:r w:rsidRPr="001854D3">
        <w:rPr>
          <w:rFonts w:cs="Arial"/>
          <w:szCs w:val="24"/>
        </w:rPr>
        <w:t xml:space="preserve">stands at </w:t>
      </w:r>
      <w:r w:rsidRPr="001854D3">
        <w:rPr>
          <w:rFonts w:cs="Arial"/>
          <w:b/>
          <w:bCs/>
          <w:i/>
          <w:iCs/>
          <w:szCs w:val="24"/>
        </w:rPr>
        <w:t>1.03</w:t>
      </w:r>
      <w:r w:rsidRPr="001854D3">
        <w:rPr>
          <w:rFonts w:cs="Arial"/>
          <w:szCs w:val="24"/>
        </w:rPr>
        <w:t xml:space="preserve">, which is a value addition to shareholders, although the margin is insignificant. </w:t>
      </w:r>
    </w:p>
    <w:p w14:paraId="0E394360" w14:textId="77777777" w:rsidR="00CB3B70" w:rsidRPr="001854D3" w:rsidRDefault="00CF5B81" w:rsidP="001854D3">
      <w:pPr>
        <w:rPr>
          <w:rFonts w:cs="Arial"/>
          <w:szCs w:val="24"/>
        </w:rPr>
      </w:pPr>
      <w:r w:rsidRPr="001854D3">
        <w:rPr>
          <w:rFonts w:cs="Arial"/>
          <w:b/>
          <w:bCs/>
          <w:i/>
          <w:iCs/>
          <w:szCs w:val="24"/>
        </w:rPr>
        <w:t xml:space="preserve">IRR: </w:t>
      </w:r>
      <w:r w:rsidRPr="001854D3">
        <w:rPr>
          <w:rFonts w:cs="Arial"/>
          <w:szCs w:val="24"/>
        </w:rPr>
        <w:t xml:space="preserve">Its </w:t>
      </w:r>
      <w:r w:rsidRPr="001854D3">
        <w:rPr>
          <w:rFonts w:cs="Arial"/>
          <w:b/>
          <w:bCs/>
          <w:i/>
          <w:iCs/>
          <w:szCs w:val="24"/>
        </w:rPr>
        <w:t>internal rate of return</w:t>
      </w:r>
      <w:r w:rsidRPr="001854D3">
        <w:rPr>
          <w:rFonts w:cs="Arial"/>
          <w:szCs w:val="24"/>
        </w:rPr>
        <w:t xml:space="preserve"> is </w:t>
      </w:r>
      <w:r w:rsidRPr="001854D3">
        <w:rPr>
          <w:rFonts w:cs="Arial"/>
          <w:b/>
          <w:bCs/>
          <w:i/>
          <w:iCs/>
          <w:szCs w:val="24"/>
        </w:rPr>
        <w:t xml:space="preserve">11.55%, </w:t>
      </w:r>
      <w:r w:rsidRPr="001854D3">
        <w:rPr>
          <w:rFonts w:cs="Arial"/>
          <w:szCs w:val="24"/>
        </w:rPr>
        <w:t xml:space="preserve">which is better than the needed 10%. Although the cash inflows decrease slightly in the final two years, the high initial cash flows reduce the probability of a long wait. </w:t>
      </w:r>
    </w:p>
    <w:p w14:paraId="45DA73B8" w14:textId="77777777" w:rsidR="00CB3B70" w:rsidRPr="001854D3" w:rsidRDefault="00CF5B81" w:rsidP="001854D3">
      <w:pPr>
        <w:rPr>
          <w:rFonts w:cs="Arial"/>
          <w:szCs w:val="24"/>
        </w:rPr>
      </w:pPr>
      <w:r w:rsidRPr="001854D3">
        <w:rPr>
          <w:rFonts w:cs="Arial"/>
          <w:szCs w:val="24"/>
        </w:rPr>
        <w:t xml:space="preserve">As a CFO seeking to transform a company, Project A is a low-risk, consistent option providing prompt cash payoff and an acceptable payoff in the long term. </w:t>
      </w:r>
    </w:p>
    <w:p w14:paraId="68963C5F" w14:textId="77777777" w:rsidR="00CB3B70" w:rsidRPr="001854D3" w:rsidRDefault="00CF5B81" w:rsidP="001854D3">
      <w:pPr>
        <w:rPr>
          <w:rFonts w:cs="Arial"/>
          <w:b/>
          <w:bCs/>
          <w:i/>
          <w:iCs/>
          <w:szCs w:val="24"/>
        </w:rPr>
      </w:pPr>
      <w:r w:rsidRPr="001854D3">
        <w:rPr>
          <w:rFonts w:cs="Arial"/>
          <w:b/>
          <w:bCs/>
          <w:i/>
          <w:iCs/>
          <w:szCs w:val="24"/>
        </w:rPr>
        <w:t>Project B</w:t>
      </w:r>
    </w:p>
    <w:p w14:paraId="6697033E" w14:textId="77777777" w:rsidR="00CB3B70" w:rsidRPr="001854D3" w:rsidRDefault="00CF5B81" w:rsidP="001854D3">
      <w:pPr>
        <w:rPr>
          <w:rFonts w:cs="Arial"/>
          <w:szCs w:val="24"/>
        </w:rPr>
      </w:pPr>
      <w:r w:rsidRPr="001854D3">
        <w:rPr>
          <w:rFonts w:cs="Arial"/>
          <w:szCs w:val="24"/>
        </w:rPr>
        <w:t xml:space="preserve">Project B is a smaller project which required an investment of 30 million pounds. It has a consistent and low net cash of 6 million pounds yearly over a period of five years. Nonetheless, an in-depth financial analysis reveals that this project is not quite a good match for the firm. </w:t>
      </w:r>
    </w:p>
    <w:p w14:paraId="4A644F98" w14:textId="77777777" w:rsidR="00CB3B70" w:rsidRPr="001854D3" w:rsidRDefault="00CF5B81" w:rsidP="001854D3">
      <w:pPr>
        <w:rPr>
          <w:rFonts w:cs="Arial"/>
          <w:szCs w:val="24"/>
        </w:rPr>
      </w:pPr>
      <w:r w:rsidRPr="001854D3">
        <w:rPr>
          <w:rFonts w:cs="Arial"/>
          <w:b/>
          <w:bCs/>
          <w:i/>
          <w:iCs/>
          <w:szCs w:val="24"/>
        </w:rPr>
        <w:t xml:space="preserve">PBP: </w:t>
      </w:r>
      <w:r w:rsidRPr="001854D3">
        <w:rPr>
          <w:rFonts w:cs="Arial"/>
          <w:szCs w:val="24"/>
        </w:rPr>
        <w:t xml:space="preserve">The Payback Period indicates the duration required for a company to recover an investment (Corporate Finance Institute, 2025c). The </w:t>
      </w:r>
      <w:r w:rsidRPr="001854D3">
        <w:rPr>
          <w:rFonts w:cs="Arial"/>
          <w:b/>
          <w:bCs/>
          <w:i/>
          <w:iCs/>
          <w:szCs w:val="24"/>
        </w:rPr>
        <w:t xml:space="preserve">Payback Period </w:t>
      </w:r>
      <w:r w:rsidRPr="001854D3">
        <w:rPr>
          <w:rFonts w:cs="Arial"/>
          <w:szCs w:val="24"/>
        </w:rPr>
        <w:t xml:space="preserve">is exactly 5 years, implying that General Electronics would just recover its investment at the very final stage of the project life. </w:t>
      </w:r>
    </w:p>
    <w:p w14:paraId="054E4D8B" w14:textId="77777777" w:rsidR="00CB3B70" w:rsidRPr="001854D3" w:rsidRDefault="00CF5B81" w:rsidP="001854D3">
      <w:pPr>
        <w:rPr>
          <w:rFonts w:cs="Arial"/>
          <w:szCs w:val="24"/>
        </w:rPr>
      </w:pPr>
      <w:r w:rsidRPr="001854D3">
        <w:rPr>
          <w:rFonts w:cs="Arial"/>
          <w:b/>
          <w:bCs/>
          <w:i/>
          <w:iCs/>
          <w:szCs w:val="24"/>
        </w:rPr>
        <w:t xml:space="preserve">ARR: </w:t>
      </w:r>
      <w:r w:rsidRPr="001854D3">
        <w:rPr>
          <w:rFonts w:cs="Arial"/>
          <w:szCs w:val="24"/>
        </w:rPr>
        <w:t xml:space="preserve">Since the cash inflow of 6 million pounds per annum equals the annual charge of straight-line depreciation, the average annual profit is zero. As a result of this, the </w:t>
      </w:r>
      <w:r w:rsidRPr="001854D3">
        <w:rPr>
          <w:rFonts w:cs="Arial"/>
          <w:b/>
          <w:bCs/>
          <w:i/>
          <w:iCs/>
          <w:szCs w:val="24"/>
        </w:rPr>
        <w:t xml:space="preserve">Accounting Rate of Return </w:t>
      </w:r>
      <w:r w:rsidRPr="001854D3">
        <w:rPr>
          <w:rFonts w:cs="Arial"/>
          <w:szCs w:val="24"/>
        </w:rPr>
        <w:t>is 0%, and this does not give growth or profitability to the company.</w:t>
      </w:r>
    </w:p>
    <w:p w14:paraId="28018060" w14:textId="77777777" w:rsidR="00CB3B70" w:rsidRPr="001854D3" w:rsidRDefault="00CF5B81" w:rsidP="001854D3">
      <w:pPr>
        <w:rPr>
          <w:rFonts w:cs="Arial"/>
          <w:szCs w:val="24"/>
        </w:rPr>
      </w:pPr>
      <w:r w:rsidRPr="001854D3">
        <w:rPr>
          <w:rFonts w:cs="Arial"/>
          <w:b/>
          <w:bCs/>
          <w:i/>
          <w:iCs/>
          <w:szCs w:val="24"/>
        </w:rPr>
        <w:t xml:space="preserve">NPV: </w:t>
      </w:r>
      <w:r w:rsidRPr="001854D3">
        <w:rPr>
          <w:rFonts w:cs="Arial"/>
          <w:szCs w:val="24"/>
        </w:rPr>
        <w:t xml:space="preserve">The project is even less appealing when the time value of money is taken into consideration. At a discount rate of 10%, Project B shows that the </w:t>
      </w:r>
      <w:r w:rsidRPr="001854D3">
        <w:rPr>
          <w:rFonts w:cs="Arial"/>
          <w:b/>
          <w:bCs/>
          <w:i/>
          <w:iCs/>
          <w:szCs w:val="24"/>
        </w:rPr>
        <w:t xml:space="preserve">Net Present Value </w:t>
      </w:r>
      <w:r w:rsidRPr="001854D3">
        <w:rPr>
          <w:rFonts w:cs="Arial"/>
          <w:szCs w:val="24"/>
        </w:rPr>
        <w:t>is negative at 7.26 million pounds. Investments that have a negative NPV will lead to monetary losses (Shou, 2022).  This implies that the project would make loss of 7.26 million pounds of the shareholders' wealth if they take the project.</w:t>
      </w:r>
    </w:p>
    <w:p w14:paraId="5CA6A329" w14:textId="77777777" w:rsidR="00CB3B70" w:rsidRPr="001854D3" w:rsidRDefault="00CF5B81" w:rsidP="001854D3">
      <w:pPr>
        <w:rPr>
          <w:rFonts w:cs="Arial"/>
          <w:szCs w:val="24"/>
        </w:rPr>
      </w:pPr>
      <w:r w:rsidRPr="001854D3">
        <w:rPr>
          <w:rFonts w:cs="Arial"/>
          <w:b/>
          <w:bCs/>
          <w:i/>
          <w:iCs/>
          <w:szCs w:val="24"/>
        </w:rPr>
        <w:t xml:space="preserve">PI and IRR: </w:t>
      </w:r>
      <w:r w:rsidRPr="001854D3">
        <w:rPr>
          <w:rFonts w:cs="Arial"/>
          <w:szCs w:val="24"/>
        </w:rPr>
        <w:t xml:space="preserve">The </w:t>
      </w:r>
      <w:r w:rsidRPr="001854D3">
        <w:rPr>
          <w:rFonts w:cs="Arial"/>
          <w:b/>
          <w:bCs/>
          <w:i/>
          <w:iCs/>
          <w:szCs w:val="24"/>
        </w:rPr>
        <w:t xml:space="preserve">Profitability Index </w:t>
      </w:r>
      <w:r w:rsidRPr="001854D3">
        <w:rPr>
          <w:rFonts w:cs="Arial"/>
          <w:szCs w:val="24"/>
        </w:rPr>
        <w:t xml:space="preserve">is 0.76, which is much less than the needed 1.0, and the </w:t>
      </w:r>
      <w:r w:rsidRPr="001854D3">
        <w:rPr>
          <w:rFonts w:cs="Arial"/>
          <w:b/>
          <w:bCs/>
          <w:i/>
          <w:iCs/>
          <w:szCs w:val="24"/>
        </w:rPr>
        <w:t xml:space="preserve">Internal Rate of Return </w:t>
      </w:r>
      <w:r w:rsidRPr="001854D3">
        <w:rPr>
          <w:rFonts w:cs="Arial"/>
          <w:szCs w:val="24"/>
        </w:rPr>
        <w:t xml:space="preserve">is 0%. The project cannot cover the cost of capital and has no accounting advantages, so it needs to be rejected. </w:t>
      </w:r>
    </w:p>
    <w:p w14:paraId="7FCE5640" w14:textId="081EB55A" w:rsidR="00CB3B70" w:rsidRPr="001854D3" w:rsidRDefault="00CF5B81" w:rsidP="001854D3">
      <w:pPr>
        <w:rPr>
          <w:rFonts w:cs="Arial"/>
          <w:szCs w:val="24"/>
        </w:rPr>
      </w:pPr>
      <w:r w:rsidRPr="001854D3">
        <w:rPr>
          <w:rFonts w:cs="Arial"/>
          <w:szCs w:val="24"/>
        </w:rPr>
        <w:lastRenderedPageBreak/>
        <w:t>It is quite possible that an investment in project B would cause the existing financial distress</w:t>
      </w:r>
      <w:r w:rsidR="00747192" w:rsidRPr="001854D3">
        <w:rPr>
          <w:rFonts w:cs="Arial"/>
          <w:szCs w:val="24"/>
        </w:rPr>
        <w:t xml:space="preserve">. Alos the project will generate total PV of </w:t>
      </w:r>
      <w:r w:rsidRPr="001854D3">
        <w:rPr>
          <w:rFonts w:cs="Arial"/>
          <w:szCs w:val="24"/>
        </w:rPr>
        <w:t xml:space="preserve">30 million pounds in asset </w:t>
      </w:r>
      <w:r w:rsidR="00747192" w:rsidRPr="001854D3">
        <w:rPr>
          <w:rFonts w:cs="Arial"/>
          <w:szCs w:val="24"/>
        </w:rPr>
        <w:t xml:space="preserve">but it </w:t>
      </w:r>
      <w:r w:rsidRPr="001854D3">
        <w:rPr>
          <w:rFonts w:cs="Arial"/>
          <w:szCs w:val="24"/>
        </w:rPr>
        <w:t xml:space="preserve">does not </w:t>
      </w:r>
      <w:r w:rsidR="00747192" w:rsidRPr="001854D3">
        <w:rPr>
          <w:rFonts w:cs="Arial"/>
          <w:szCs w:val="24"/>
        </w:rPr>
        <w:t>make a profit</w:t>
      </w:r>
      <w:r w:rsidRPr="001854D3">
        <w:rPr>
          <w:rFonts w:cs="Arial"/>
          <w:szCs w:val="24"/>
        </w:rPr>
        <w:t xml:space="preserve">. </w:t>
      </w:r>
    </w:p>
    <w:p w14:paraId="29CFC6D8" w14:textId="77777777" w:rsidR="00CB3B70" w:rsidRPr="001854D3" w:rsidRDefault="00CF5B81" w:rsidP="001854D3">
      <w:pPr>
        <w:rPr>
          <w:rFonts w:cs="Arial"/>
          <w:b/>
          <w:bCs/>
          <w:i/>
          <w:iCs/>
          <w:szCs w:val="24"/>
        </w:rPr>
      </w:pPr>
      <w:r w:rsidRPr="001854D3">
        <w:rPr>
          <w:rFonts w:cs="Arial"/>
          <w:b/>
          <w:bCs/>
          <w:i/>
          <w:iCs/>
          <w:szCs w:val="24"/>
        </w:rPr>
        <w:t>Project C</w:t>
      </w:r>
    </w:p>
    <w:p w14:paraId="230C0E08" w14:textId="77777777" w:rsidR="00CB3B70" w:rsidRPr="001854D3" w:rsidRDefault="00CF5B81" w:rsidP="001854D3">
      <w:pPr>
        <w:rPr>
          <w:rFonts w:cs="Arial"/>
          <w:szCs w:val="24"/>
        </w:rPr>
      </w:pPr>
      <w:r w:rsidRPr="001854D3">
        <w:rPr>
          <w:rFonts w:cs="Arial"/>
          <w:szCs w:val="24"/>
        </w:rPr>
        <w:t>The biggest investment to consider is Project C, which would require an initial investment of 50 million pounds. And unlike other projects, its cash flows started with low initial cash flows of 5m pounds in the first year, and increased to a high of 25 million pounds in the fourth year.</w:t>
      </w:r>
    </w:p>
    <w:p w14:paraId="20832046" w14:textId="77777777" w:rsidR="00CB3B70" w:rsidRPr="001854D3" w:rsidRDefault="00CF5B81" w:rsidP="001854D3">
      <w:pPr>
        <w:rPr>
          <w:rFonts w:cs="Arial"/>
          <w:szCs w:val="24"/>
        </w:rPr>
      </w:pPr>
      <w:r w:rsidRPr="001854D3">
        <w:rPr>
          <w:rFonts w:cs="Arial"/>
          <w:b/>
          <w:bCs/>
          <w:i/>
          <w:iCs/>
          <w:szCs w:val="24"/>
        </w:rPr>
        <w:t xml:space="preserve">PBP: </w:t>
      </w:r>
      <w:r w:rsidRPr="001854D3">
        <w:rPr>
          <w:rFonts w:cs="Arial"/>
          <w:szCs w:val="24"/>
        </w:rPr>
        <w:t xml:space="preserve">Even with this slow beginning, the total cash generated amounts to a high amount that can lead to a </w:t>
      </w:r>
      <w:r w:rsidRPr="001854D3">
        <w:rPr>
          <w:rFonts w:cs="Arial"/>
          <w:b/>
          <w:bCs/>
          <w:i/>
          <w:iCs/>
          <w:szCs w:val="24"/>
        </w:rPr>
        <w:t>Payback Period</w:t>
      </w:r>
      <w:r w:rsidRPr="001854D3">
        <w:rPr>
          <w:rFonts w:cs="Arial"/>
          <w:szCs w:val="24"/>
        </w:rPr>
        <w:t xml:space="preserve"> of 3.6 years. </w:t>
      </w:r>
    </w:p>
    <w:p w14:paraId="6179EF53" w14:textId="74EDFDE3" w:rsidR="00CB3B70" w:rsidRPr="001854D3" w:rsidRDefault="00CF5B81" w:rsidP="001854D3">
      <w:pPr>
        <w:rPr>
          <w:rFonts w:cs="Arial"/>
          <w:szCs w:val="24"/>
        </w:rPr>
      </w:pPr>
      <w:r w:rsidRPr="001854D3">
        <w:rPr>
          <w:rFonts w:cs="Arial"/>
          <w:b/>
          <w:bCs/>
          <w:i/>
          <w:iCs/>
          <w:szCs w:val="24"/>
        </w:rPr>
        <w:t xml:space="preserve">ARR: </w:t>
      </w:r>
      <w:r w:rsidRPr="001854D3">
        <w:rPr>
          <w:rFonts w:cs="Arial"/>
          <w:szCs w:val="24"/>
        </w:rPr>
        <w:t xml:space="preserve">According to the accounting perspective, this is the most profitable project, and the project has a good </w:t>
      </w:r>
      <w:r w:rsidR="00D53BF3" w:rsidRPr="001854D3">
        <w:rPr>
          <w:rFonts w:cs="Arial"/>
          <w:b/>
          <w:bCs/>
          <w:i/>
          <w:iCs/>
          <w:szCs w:val="24"/>
        </w:rPr>
        <w:t>accounting</w:t>
      </w:r>
      <w:r w:rsidRPr="001854D3">
        <w:rPr>
          <w:rFonts w:cs="Arial"/>
          <w:b/>
          <w:bCs/>
          <w:i/>
          <w:iCs/>
          <w:szCs w:val="24"/>
        </w:rPr>
        <w:t xml:space="preserve"> rate of Return </w:t>
      </w:r>
      <w:r w:rsidRPr="001854D3">
        <w:rPr>
          <w:rFonts w:cs="Arial"/>
          <w:szCs w:val="24"/>
        </w:rPr>
        <w:t xml:space="preserve">of 20 and an average annual profit of 5 million pounds. The high ARR implies that the project may achieve great leverage on the </w:t>
      </w:r>
      <w:r w:rsidR="00D53BF3" w:rsidRPr="001854D3">
        <w:rPr>
          <w:rFonts w:cs="Arial"/>
          <w:szCs w:val="24"/>
        </w:rPr>
        <w:t>long-term</w:t>
      </w:r>
      <w:r w:rsidRPr="001854D3">
        <w:rPr>
          <w:rFonts w:cs="Arial"/>
          <w:szCs w:val="24"/>
        </w:rPr>
        <w:t xml:space="preserve"> income statement performance of the firm. </w:t>
      </w:r>
    </w:p>
    <w:p w14:paraId="1DDF3173" w14:textId="77777777" w:rsidR="00CB3B70" w:rsidRPr="001854D3" w:rsidRDefault="00CF5B81" w:rsidP="001854D3">
      <w:pPr>
        <w:rPr>
          <w:rFonts w:cs="Arial"/>
          <w:szCs w:val="24"/>
        </w:rPr>
      </w:pPr>
      <w:r w:rsidRPr="001854D3">
        <w:rPr>
          <w:rFonts w:cs="Arial"/>
          <w:b/>
          <w:bCs/>
          <w:i/>
          <w:iCs/>
          <w:szCs w:val="24"/>
        </w:rPr>
        <w:t xml:space="preserve">NPV and PI: </w:t>
      </w:r>
      <w:r w:rsidRPr="001854D3">
        <w:rPr>
          <w:rFonts w:cs="Arial"/>
          <w:szCs w:val="24"/>
        </w:rPr>
        <w:t xml:space="preserve">Project C appears preferable to expand the wealth of the company. It carries a </w:t>
      </w:r>
      <w:r w:rsidRPr="001854D3">
        <w:rPr>
          <w:rFonts w:cs="Arial"/>
          <w:b/>
          <w:bCs/>
          <w:i/>
          <w:iCs/>
          <w:szCs w:val="24"/>
        </w:rPr>
        <w:t xml:space="preserve">net present value </w:t>
      </w:r>
      <w:r w:rsidRPr="001854D3">
        <w:rPr>
          <w:rFonts w:cs="Arial"/>
          <w:szCs w:val="24"/>
        </w:rPr>
        <w:t xml:space="preserve">of 4.23 million pounds and has the highest </w:t>
      </w:r>
      <w:r w:rsidRPr="001854D3">
        <w:rPr>
          <w:rFonts w:cs="Arial"/>
          <w:b/>
          <w:bCs/>
          <w:i/>
          <w:iCs/>
          <w:szCs w:val="24"/>
        </w:rPr>
        <w:t xml:space="preserve">profitability index </w:t>
      </w:r>
      <w:r w:rsidRPr="001854D3">
        <w:rPr>
          <w:rFonts w:cs="Arial"/>
          <w:szCs w:val="24"/>
        </w:rPr>
        <w:t xml:space="preserve">of 1.08. </w:t>
      </w:r>
    </w:p>
    <w:p w14:paraId="1678CAA4" w14:textId="77777777" w:rsidR="00CB3B70" w:rsidRPr="001854D3" w:rsidRDefault="00CF5B81" w:rsidP="001854D3">
      <w:pPr>
        <w:rPr>
          <w:rFonts w:cs="Arial"/>
          <w:szCs w:val="24"/>
        </w:rPr>
      </w:pPr>
      <w:r w:rsidRPr="001854D3">
        <w:rPr>
          <w:rFonts w:cs="Arial"/>
          <w:b/>
          <w:bCs/>
          <w:i/>
          <w:iCs/>
          <w:szCs w:val="24"/>
        </w:rPr>
        <w:t xml:space="preserve">IRR: </w:t>
      </w:r>
      <w:r w:rsidRPr="001854D3">
        <w:rPr>
          <w:rFonts w:cs="Arial"/>
          <w:szCs w:val="24"/>
        </w:rPr>
        <w:t xml:space="preserve">If the IRR meets or exceeds the cost of capital, the firm would consider the project a feasible investment (Vipond, 2025). Its 13.14% of </w:t>
      </w:r>
      <w:r w:rsidRPr="001854D3">
        <w:rPr>
          <w:rFonts w:cs="Arial"/>
          <w:b/>
          <w:bCs/>
          <w:i/>
          <w:iCs/>
          <w:szCs w:val="24"/>
        </w:rPr>
        <w:t xml:space="preserve">internal rate of return </w:t>
      </w:r>
      <w:r w:rsidRPr="001854D3">
        <w:rPr>
          <w:rFonts w:cs="Arial"/>
          <w:szCs w:val="24"/>
        </w:rPr>
        <w:t xml:space="preserve">is the safest level above the 10% discount rate. However, the risk should be monitored by the CFO. </w:t>
      </w:r>
    </w:p>
    <w:p w14:paraId="3302C275" w14:textId="77777777" w:rsidR="00CB3B70" w:rsidRPr="001854D3" w:rsidRDefault="00CF5B81" w:rsidP="001854D3">
      <w:pPr>
        <w:rPr>
          <w:rFonts w:cs="Arial"/>
          <w:szCs w:val="24"/>
        </w:rPr>
      </w:pPr>
      <w:r w:rsidRPr="001854D3">
        <w:rPr>
          <w:rFonts w:cs="Arial"/>
          <w:szCs w:val="24"/>
        </w:rPr>
        <w:t xml:space="preserve">The project is subject to the influence of long-term changes in the economy because it relies on the massive cash inflows during the years 4 and 5. </w:t>
      </w:r>
    </w:p>
    <w:p w14:paraId="0BEAC3EB" w14:textId="77777777" w:rsidR="00CB3B70" w:rsidRPr="001854D3" w:rsidRDefault="00CF5B81" w:rsidP="001854D3">
      <w:pPr>
        <w:pStyle w:val="Heading2"/>
      </w:pPr>
      <w:bookmarkStart w:id="41" w:name="_sheiz9uzlj3e" w:colFirst="0" w:colLast="0"/>
      <w:bookmarkStart w:id="42" w:name="_Toc216960963"/>
      <w:bookmarkEnd w:id="41"/>
      <w:r w:rsidRPr="001854D3">
        <w:t>5.2 Final Investment Recommendation</w:t>
      </w:r>
      <w:bookmarkEnd w:id="42"/>
    </w:p>
    <w:p w14:paraId="486AD7CD" w14:textId="57CCF49F" w:rsidR="00CB3B70" w:rsidRPr="001854D3" w:rsidRDefault="00CF5B81" w:rsidP="001854D3">
      <w:pPr>
        <w:rPr>
          <w:rFonts w:cs="Arial"/>
          <w:szCs w:val="24"/>
        </w:rPr>
      </w:pPr>
      <w:r w:rsidRPr="001854D3">
        <w:rPr>
          <w:rFonts w:cs="Arial"/>
          <w:szCs w:val="24"/>
        </w:rPr>
        <w:t xml:space="preserve">There is a need to select a plan under 60 million pounds. This limitation is referred to as Capital Rationing, and it restricts the number of projects </w:t>
      </w:r>
      <w:proofErr w:type="gramStart"/>
      <w:r w:rsidR="00D53BF3" w:rsidRPr="001854D3">
        <w:rPr>
          <w:rFonts w:cs="Arial"/>
          <w:szCs w:val="24"/>
        </w:rPr>
        <w:t>an</w:t>
      </w:r>
      <w:proofErr w:type="gramEnd"/>
      <w:r w:rsidRPr="001854D3">
        <w:rPr>
          <w:rFonts w:cs="Arial"/>
          <w:szCs w:val="24"/>
        </w:rPr>
        <w:t xml:space="preserve"> </w:t>
      </w:r>
      <w:r w:rsidR="00D53BF3" w:rsidRPr="001854D3">
        <w:rPr>
          <w:rFonts w:cs="Arial"/>
          <w:szCs w:val="24"/>
        </w:rPr>
        <w:t>company</w:t>
      </w:r>
      <w:r w:rsidRPr="001854D3">
        <w:rPr>
          <w:rFonts w:cs="Arial"/>
          <w:szCs w:val="24"/>
        </w:rPr>
        <w:t xml:space="preserve"> take on at a time (Corporate Finance Institute, 2025d). To maximise the wealth of the shareholders, there is a need to consider the various project combinations that can be included within the </w:t>
      </w:r>
      <w:r w:rsidR="00D53BF3" w:rsidRPr="001854D3">
        <w:rPr>
          <w:rFonts w:cs="Arial"/>
          <w:szCs w:val="24"/>
        </w:rPr>
        <w:t>60-million-pound</w:t>
      </w:r>
      <w:r w:rsidRPr="001854D3">
        <w:rPr>
          <w:rFonts w:cs="Arial"/>
          <w:szCs w:val="24"/>
        </w:rPr>
        <w:t xml:space="preserve"> constraint. An option may be the combination of Project A and Project B. A costs 40 million pounds and B costs 30 million pounds, totalling 70 million pounds. That is excessive, so it cannot be taken. Thus, the only </w:t>
      </w:r>
      <w:r w:rsidRPr="001854D3">
        <w:rPr>
          <w:rFonts w:cs="Arial"/>
          <w:szCs w:val="24"/>
        </w:rPr>
        <w:lastRenderedPageBreak/>
        <w:t xml:space="preserve">alternative that is possible is to match Project A with funds that might be left. Project B will not provide a positive payoff, and Project C will need costs of £50 m, meaning none of them can be combined with Project A. Another option would be to invest in Project C only. It needs 50 million pounds, where 10 million pounds will be unused. Project C offers the largest increase of 4.23 million pounds and the most favourable ARR of 20%. The accounting rate of return method is a decision-making technique for investments that relies on accounting information, primarily assessing the investment return of a project by computing the ratio of the annual average net return to the cost of funds (Li, 2023). </w:t>
      </w:r>
      <w:r w:rsidR="00D53BF3" w:rsidRPr="001854D3">
        <w:rPr>
          <w:rFonts w:cs="Arial"/>
          <w:szCs w:val="24"/>
        </w:rPr>
        <w:t>So,</w:t>
      </w:r>
      <w:r w:rsidRPr="001854D3">
        <w:rPr>
          <w:rFonts w:cs="Arial"/>
          <w:szCs w:val="24"/>
        </w:rPr>
        <w:t xml:space="preserve"> the recommendation is to </w:t>
      </w:r>
      <w:r w:rsidR="00D53BF3" w:rsidRPr="001854D3">
        <w:rPr>
          <w:rFonts w:cs="Arial"/>
          <w:szCs w:val="24"/>
        </w:rPr>
        <w:t>use Project</w:t>
      </w:r>
      <w:r w:rsidRPr="001854D3">
        <w:rPr>
          <w:rFonts w:cs="Arial"/>
          <w:szCs w:val="24"/>
        </w:rPr>
        <w:t xml:space="preserve"> C only. It provides the highest increment of firm value, with a Profits Index of 1.08. The option would increase long-term profitability and shareholder wealth, which justifies the objective of the company to turn around. </w:t>
      </w:r>
    </w:p>
    <w:p w14:paraId="45E5AD9D" w14:textId="77777777" w:rsidR="00CB3B70" w:rsidRPr="001854D3" w:rsidRDefault="00CF5B81" w:rsidP="001854D3">
      <w:pPr>
        <w:pStyle w:val="Heading2"/>
      </w:pPr>
      <w:bookmarkStart w:id="43" w:name="_o5xpeut9ux79" w:colFirst="0" w:colLast="0"/>
      <w:bookmarkStart w:id="44" w:name="_Toc216960964"/>
      <w:bookmarkEnd w:id="43"/>
      <w:r w:rsidRPr="001854D3">
        <w:t>5.3 Justification of the Company’s Financial Performance and Project Risk Characteristics</w:t>
      </w:r>
      <w:bookmarkEnd w:id="44"/>
    </w:p>
    <w:p w14:paraId="3B435A76" w14:textId="77777777" w:rsidR="00156EC6" w:rsidRDefault="00CF5B81" w:rsidP="001854D3">
      <w:pPr>
        <w:rPr>
          <w:rFonts w:cs="Arial"/>
          <w:szCs w:val="24"/>
        </w:rPr>
      </w:pPr>
      <w:r w:rsidRPr="001854D3">
        <w:rPr>
          <w:rFonts w:cs="Arial"/>
          <w:szCs w:val="24"/>
        </w:rPr>
        <w:t xml:space="preserve">Capital investment appraisal is a significant choice that the financial manager must take seriously (Afonso and Cunha, 2009). Project C is the rational choice considering the necessary immediate turnaround of the financial performance of General Electronics. </w:t>
      </w:r>
      <w:r w:rsidR="00A57377" w:rsidRPr="001854D3">
        <w:rPr>
          <w:rFonts w:cs="Arial"/>
          <w:szCs w:val="24"/>
        </w:rPr>
        <w:t xml:space="preserve">The firm did not do well from 2020 to 2024. The firm had a bad time and the firms profit went down. </w:t>
      </w:r>
      <w:r w:rsidRPr="001854D3">
        <w:rPr>
          <w:rFonts w:cs="Arial"/>
          <w:szCs w:val="24"/>
        </w:rPr>
        <w:t>The CFO in this critical situation would be focused on wealth maximisation and long-term recovery. Project C offers the most significant NPV of £4.23 million, an Accounting Rate of Return of 20%. In terms of liquidity, the company is weak. Project A is quicker to pay back, but does not have the volume of return as Project C. The cost of the project C amounts to 50 million, which is below the key capital limit of 60 million and thus has a safety support of 10 million to ensure there is cash for everyday operations practices.</w:t>
      </w:r>
    </w:p>
    <w:p w14:paraId="17422738" w14:textId="5F00C2F0" w:rsidR="00A57377" w:rsidRDefault="00CF5B81" w:rsidP="001854D3">
      <w:pPr>
        <w:rPr>
          <w:rFonts w:cs="Arial"/>
          <w:szCs w:val="24"/>
        </w:rPr>
      </w:pPr>
      <w:r w:rsidRPr="001854D3">
        <w:rPr>
          <w:rFonts w:cs="Arial"/>
          <w:szCs w:val="24"/>
        </w:rPr>
        <w:t xml:space="preserve">Project C has higher cash flows since the majority of the money is received at the point of ending of the next five years. This risk is worth bearing the potential payoff. Project C has a PI greater than 1, indicating that it will create value, allowing the company to move forward with the project (Corporate Finance Institute, 2025e).  It has an internal rate of return of 13.14 percent which provides a larger support against alterations in the cost of capital as compared to the other projects. Despite the anticipated variability in cash flows necessitating careful monitoring toward the year's end, the high </w:t>
      </w:r>
      <w:r w:rsidRPr="001854D3">
        <w:rPr>
          <w:rFonts w:cs="Arial"/>
          <w:szCs w:val="24"/>
        </w:rPr>
        <w:lastRenderedPageBreak/>
        <w:t xml:space="preserve">profitability index suggests that the company is effectively using its limited 60 million pounds of capital to ensure ongoing success. </w:t>
      </w:r>
    </w:p>
    <w:p w14:paraId="70309C98" w14:textId="5EBB13FF" w:rsidR="00F55A82" w:rsidRDefault="00DC259D" w:rsidP="00F55A82">
      <w:pPr>
        <w:pStyle w:val="Heading1"/>
      </w:pPr>
      <w:bookmarkStart w:id="45" w:name="_Toc216960965"/>
      <w:r>
        <w:t xml:space="preserve">6. </w:t>
      </w:r>
      <w:r w:rsidR="00F55A82" w:rsidRPr="00F55A82">
        <w:t>Conclusion</w:t>
      </w:r>
      <w:bookmarkEnd w:id="45"/>
      <w:r w:rsidR="00F55A82" w:rsidRPr="00F55A82">
        <w:t xml:space="preserve"> </w:t>
      </w:r>
    </w:p>
    <w:p w14:paraId="19D27035" w14:textId="01DCCB88" w:rsidR="007D27C0" w:rsidRDefault="00815949" w:rsidP="00F55A82">
      <w:pPr>
        <w:rPr>
          <w:rFonts w:cs="Arial"/>
          <w:szCs w:val="24"/>
        </w:rPr>
      </w:pPr>
      <w:r w:rsidRPr="00815949">
        <w:rPr>
          <w:rFonts w:cs="Arial"/>
          <w:szCs w:val="24"/>
        </w:rPr>
        <w:t xml:space="preserve">The comprehensive </w:t>
      </w:r>
      <w:r>
        <w:rPr>
          <w:rFonts w:cs="Arial"/>
          <w:szCs w:val="24"/>
        </w:rPr>
        <w:t xml:space="preserve">financial assessment of the General Electronics has demonstrated the fact that firms are operating under a sustained financial distress which has been driven by structural, operational and strategic weaknesses. Over the 5-years period, the organisation has experienced sharper decline in terms of revenue, persistent operating losses including major </w:t>
      </w:r>
      <w:r w:rsidR="00864B14">
        <w:rPr>
          <w:rFonts w:cs="Arial"/>
          <w:szCs w:val="24"/>
        </w:rPr>
        <w:t xml:space="preserve">erosion of the shareholder’s equity. These leads to the weakening competitive </w:t>
      </w:r>
      <w:r w:rsidR="009C0DF7">
        <w:rPr>
          <w:rFonts w:cs="Arial"/>
          <w:szCs w:val="24"/>
        </w:rPr>
        <w:t xml:space="preserve">positions within the industry of consumer electronics. </w:t>
      </w:r>
      <w:r w:rsidR="007D27C0">
        <w:rPr>
          <w:rFonts w:cs="Arial"/>
          <w:szCs w:val="24"/>
        </w:rPr>
        <w:t xml:space="preserve">As the gross margins has remained relatively stable, an excessive operating cost an unsuccessful past acquisitions strategy has undermined the profitability and long-term value creation. </w:t>
      </w:r>
    </w:p>
    <w:p w14:paraId="237E4DAC" w14:textId="26B8488F" w:rsidR="00F55A82" w:rsidRPr="00815949" w:rsidRDefault="00E805BB" w:rsidP="00F55A82">
      <w:pPr>
        <w:rPr>
          <w:rFonts w:cs="Arial"/>
          <w:szCs w:val="24"/>
        </w:rPr>
      </w:pPr>
      <w:r>
        <w:rPr>
          <w:rFonts w:cs="Arial"/>
          <w:szCs w:val="24"/>
        </w:rPr>
        <w:t xml:space="preserve">Despite of the challenges, the businesses have reflected limited resilience through the positive operating cash flows and improved discipline of working capital, specifically through the reduction of inventory. Such strength has been noted as insufficient for offsetting broader risks that are associated with declining solvency, increasing leverage and extended cash operating cycle. </w:t>
      </w:r>
      <w:r w:rsidR="00757D45">
        <w:rPr>
          <w:rFonts w:cs="Arial"/>
          <w:szCs w:val="24"/>
        </w:rPr>
        <w:t xml:space="preserve">In this case, </w:t>
      </w:r>
      <w:r w:rsidR="00757D45" w:rsidRPr="00757D45">
        <w:rPr>
          <w:rFonts w:cs="Arial"/>
          <w:szCs w:val="24"/>
        </w:rPr>
        <w:t>Altman Z-score</w:t>
      </w:r>
      <w:r w:rsidR="00757D45">
        <w:rPr>
          <w:rFonts w:cs="Arial"/>
          <w:szCs w:val="24"/>
        </w:rPr>
        <w:t xml:space="preserve"> has positioned the business in grey zone, while reinforcing several concerns regarding </w:t>
      </w:r>
      <w:r w:rsidR="00757D45" w:rsidRPr="00757D45">
        <w:rPr>
          <w:rFonts w:cs="Arial"/>
          <w:szCs w:val="24"/>
        </w:rPr>
        <w:t>medium-term default risk</w:t>
      </w:r>
      <w:r w:rsidR="00757D45">
        <w:rPr>
          <w:rFonts w:cs="Arial"/>
          <w:szCs w:val="24"/>
        </w:rPr>
        <w:t xml:space="preserve">.  </w:t>
      </w:r>
      <w:r>
        <w:rPr>
          <w:rFonts w:cs="Arial"/>
          <w:szCs w:val="24"/>
        </w:rPr>
        <w:t xml:space="preserve">     </w:t>
      </w:r>
      <w:r w:rsidR="007D27C0">
        <w:rPr>
          <w:rFonts w:cs="Arial"/>
          <w:szCs w:val="24"/>
        </w:rPr>
        <w:t xml:space="preserve">    </w:t>
      </w:r>
      <w:r w:rsidR="00815949">
        <w:rPr>
          <w:rFonts w:cs="Arial"/>
          <w:szCs w:val="24"/>
        </w:rPr>
        <w:t xml:space="preserve">     </w:t>
      </w:r>
      <w:r w:rsidR="00815949" w:rsidRPr="00815949">
        <w:rPr>
          <w:rFonts w:cs="Arial"/>
          <w:szCs w:val="24"/>
        </w:rPr>
        <w:t xml:space="preserve"> </w:t>
      </w:r>
    </w:p>
    <w:p w14:paraId="3755AEA6" w14:textId="77777777" w:rsidR="00A57377" w:rsidRPr="001854D3" w:rsidRDefault="00A57377" w:rsidP="001854D3">
      <w:pPr>
        <w:rPr>
          <w:rFonts w:cs="Arial"/>
          <w:szCs w:val="24"/>
        </w:rPr>
      </w:pPr>
      <w:r w:rsidRPr="001854D3">
        <w:rPr>
          <w:rFonts w:cs="Arial"/>
          <w:szCs w:val="24"/>
        </w:rPr>
        <w:br w:type="page"/>
      </w:r>
    </w:p>
    <w:p w14:paraId="13D4E723" w14:textId="72ADBF57" w:rsidR="00CB3B70" w:rsidRPr="001854D3" w:rsidRDefault="00B53611" w:rsidP="001854D3">
      <w:pPr>
        <w:pStyle w:val="Heading1"/>
      </w:pPr>
      <w:bookmarkStart w:id="46" w:name="_Toc216960966"/>
      <w:r>
        <w:lastRenderedPageBreak/>
        <w:t xml:space="preserve">7. </w:t>
      </w:r>
      <w:r w:rsidR="00A57377" w:rsidRPr="001854D3">
        <w:t>References</w:t>
      </w:r>
      <w:bookmarkEnd w:id="46"/>
    </w:p>
    <w:p w14:paraId="62200CE2" w14:textId="77777777" w:rsidR="00353C91" w:rsidRPr="001854D3" w:rsidRDefault="00353C91" w:rsidP="001854D3">
      <w:pPr>
        <w:rPr>
          <w:rFonts w:cs="Arial"/>
          <w:szCs w:val="24"/>
        </w:rPr>
      </w:pPr>
      <w:r w:rsidRPr="001854D3">
        <w:rPr>
          <w:rFonts w:cs="Arial"/>
          <w:szCs w:val="24"/>
        </w:rPr>
        <w:t xml:space="preserve">Abimanyu, Y. and </w:t>
      </w:r>
      <w:proofErr w:type="spellStart"/>
      <w:r w:rsidRPr="001854D3">
        <w:rPr>
          <w:rFonts w:cs="Arial"/>
          <w:szCs w:val="24"/>
        </w:rPr>
        <w:t>Rokhim</w:t>
      </w:r>
      <w:proofErr w:type="spellEnd"/>
      <w:r w:rsidRPr="001854D3">
        <w:rPr>
          <w:rFonts w:cs="Arial"/>
          <w:szCs w:val="24"/>
        </w:rPr>
        <w:t>, R.</w:t>
      </w:r>
      <w:r>
        <w:rPr>
          <w:rFonts w:cs="Arial"/>
          <w:szCs w:val="24"/>
        </w:rPr>
        <w:t xml:space="preserve"> (</w:t>
      </w:r>
      <w:r w:rsidRPr="001854D3">
        <w:rPr>
          <w:rFonts w:cs="Arial"/>
          <w:szCs w:val="24"/>
        </w:rPr>
        <w:t>2023</w:t>
      </w:r>
      <w:r>
        <w:rPr>
          <w:rFonts w:cs="Arial"/>
          <w:szCs w:val="24"/>
        </w:rPr>
        <w:t>)</w:t>
      </w:r>
      <w:r w:rsidRPr="001854D3">
        <w:rPr>
          <w:rFonts w:cs="Arial"/>
          <w:szCs w:val="24"/>
        </w:rPr>
        <w:t xml:space="preserve">. The Effect </w:t>
      </w:r>
      <w:proofErr w:type="gramStart"/>
      <w:r w:rsidRPr="001854D3">
        <w:rPr>
          <w:rFonts w:cs="Arial"/>
          <w:szCs w:val="24"/>
        </w:rPr>
        <w:t>Of</w:t>
      </w:r>
      <w:proofErr w:type="gramEnd"/>
      <w:r w:rsidRPr="001854D3">
        <w:rPr>
          <w:rFonts w:cs="Arial"/>
          <w:szCs w:val="24"/>
        </w:rPr>
        <w:t xml:space="preserve"> State Capital Participation </w:t>
      </w:r>
      <w:proofErr w:type="gramStart"/>
      <w:r w:rsidRPr="001854D3">
        <w:rPr>
          <w:rFonts w:cs="Arial"/>
          <w:szCs w:val="24"/>
        </w:rPr>
        <w:t>On</w:t>
      </w:r>
      <w:proofErr w:type="gramEnd"/>
      <w:r w:rsidRPr="001854D3">
        <w:rPr>
          <w:rFonts w:cs="Arial"/>
          <w:szCs w:val="24"/>
        </w:rPr>
        <w:t xml:space="preserve"> </w:t>
      </w:r>
      <w:proofErr w:type="gramStart"/>
      <w:r w:rsidRPr="001854D3">
        <w:rPr>
          <w:rFonts w:cs="Arial"/>
          <w:szCs w:val="24"/>
        </w:rPr>
        <w:t>The</w:t>
      </w:r>
      <w:proofErr w:type="gramEnd"/>
      <w:r w:rsidRPr="001854D3">
        <w:rPr>
          <w:rFonts w:cs="Arial"/>
          <w:szCs w:val="24"/>
        </w:rPr>
        <w:t xml:space="preserve"> Financial </w:t>
      </w:r>
      <w:proofErr w:type="gramStart"/>
      <w:r w:rsidRPr="001854D3">
        <w:rPr>
          <w:rFonts w:cs="Arial"/>
          <w:szCs w:val="24"/>
        </w:rPr>
        <w:t>And</w:t>
      </w:r>
      <w:proofErr w:type="gramEnd"/>
      <w:r w:rsidRPr="001854D3">
        <w:rPr>
          <w:rFonts w:cs="Arial"/>
          <w:szCs w:val="24"/>
        </w:rPr>
        <w:t xml:space="preserve"> Non-Financial Performance </w:t>
      </w:r>
      <w:proofErr w:type="gramStart"/>
      <w:r w:rsidRPr="001854D3">
        <w:rPr>
          <w:rFonts w:cs="Arial"/>
          <w:szCs w:val="24"/>
        </w:rPr>
        <w:t>Of</w:t>
      </w:r>
      <w:proofErr w:type="gramEnd"/>
      <w:r w:rsidRPr="001854D3">
        <w:rPr>
          <w:rFonts w:cs="Arial"/>
          <w:szCs w:val="24"/>
        </w:rPr>
        <w:t xml:space="preserve"> State-Owned Enterprises </w:t>
      </w:r>
      <w:proofErr w:type="gramStart"/>
      <w:r w:rsidRPr="001854D3">
        <w:rPr>
          <w:rFonts w:cs="Arial"/>
          <w:szCs w:val="24"/>
        </w:rPr>
        <w:t>And</w:t>
      </w:r>
      <w:proofErr w:type="gramEnd"/>
      <w:r w:rsidRPr="001854D3">
        <w:rPr>
          <w:rFonts w:cs="Arial"/>
          <w:szCs w:val="24"/>
        </w:rPr>
        <w:t xml:space="preserve"> Other Institutions. </w:t>
      </w:r>
      <w:proofErr w:type="spellStart"/>
      <w:r w:rsidRPr="001854D3">
        <w:rPr>
          <w:rFonts w:cs="Arial"/>
          <w:i/>
          <w:iCs/>
          <w:szCs w:val="24"/>
        </w:rPr>
        <w:t>Cakrawala</w:t>
      </w:r>
      <w:proofErr w:type="spellEnd"/>
      <w:r w:rsidRPr="001854D3">
        <w:rPr>
          <w:rFonts w:cs="Arial"/>
          <w:i/>
          <w:iCs/>
          <w:szCs w:val="24"/>
        </w:rPr>
        <w:t xml:space="preserve"> </w:t>
      </w:r>
      <w:proofErr w:type="spellStart"/>
      <w:r w:rsidRPr="001854D3">
        <w:rPr>
          <w:rFonts w:cs="Arial"/>
          <w:i/>
          <w:iCs/>
          <w:szCs w:val="24"/>
        </w:rPr>
        <w:t>Repositori</w:t>
      </w:r>
      <w:proofErr w:type="spellEnd"/>
      <w:r w:rsidRPr="001854D3">
        <w:rPr>
          <w:rFonts w:cs="Arial"/>
          <w:i/>
          <w:iCs/>
          <w:szCs w:val="24"/>
        </w:rPr>
        <w:t xml:space="preserve"> IMWI</w:t>
      </w:r>
      <w:r w:rsidRPr="001854D3">
        <w:rPr>
          <w:rFonts w:cs="Arial"/>
          <w:szCs w:val="24"/>
        </w:rPr>
        <w:t>, </w:t>
      </w:r>
      <w:r w:rsidRPr="001854D3">
        <w:rPr>
          <w:rFonts w:cs="Arial"/>
          <w:i/>
          <w:iCs/>
          <w:szCs w:val="24"/>
        </w:rPr>
        <w:t>6</w:t>
      </w:r>
      <w:r w:rsidRPr="001854D3">
        <w:rPr>
          <w:rFonts w:cs="Arial"/>
          <w:szCs w:val="24"/>
        </w:rPr>
        <w:t xml:space="preserve">(6), pp.2539-2557. </w:t>
      </w:r>
      <w:hyperlink r:id="rId11" w:history="1">
        <w:r w:rsidRPr="001854D3">
          <w:rPr>
            <w:rStyle w:val="Hyperlink"/>
            <w:rFonts w:cs="Arial"/>
            <w:szCs w:val="24"/>
          </w:rPr>
          <w:t>https://doi.org/10.52851/cakrawala.v6i6.556</w:t>
        </w:r>
      </w:hyperlink>
      <w:r w:rsidRPr="001854D3">
        <w:rPr>
          <w:rFonts w:cs="Arial"/>
          <w:szCs w:val="24"/>
        </w:rPr>
        <w:t xml:space="preserve"> </w:t>
      </w:r>
    </w:p>
    <w:p w14:paraId="029B3224" w14:textId="77777777" w:rsidR="00353C91" w:rsidRPr="001854D3" w:rsidRDefault="00353C91" w:rsidP="001854D3">
      <w:pPr>
        <w:rPr>
          <w:rFonts w:cs="Arial"/>
          <w:szCs w:val="24"/>
        </w:rPr>
      </w:pPr>
      <w:r w:rsidRPr="001854D3">
        <w:rPr>
          <w:rFonts w:cs="Arial"/>
          <w:szCs w:val="24"/>
        </w:rPr>
        <w:t xml:space="preserve">ACCA Global (2025). </w:t>
      </w:r>
      <w:r w:rsidRPr="001854D3">
        <w:rPr>
          <w:rFonts w:cs="Arial"/>
          <w:i/>
          <w:iCs/>
          <w:szCs w:val="24"/>
        </w:rPr>
        <w:t>Working capital management</w:t>
      </w:r>
      <w:r w:rsidRPr="001854D3">
        <w:rPr>
          <w:rFonts w:cs="Arial"/>
          <w:szCs w:val="24"/>
        </w:rPr>
        <w:t xml:space="preserve">. Available at: </w:t>
      </w:r>
      <w:hyperlink r:id="rId12" w:history="1">
        <w:r w:rsidRPr="001854D3">
          <w:rPr>
            <w:rStyle w:val="Hyperlink"/>
            <w:rFonts w:cs="Arial"/>
            <w:szCs w:val="24"/>
          </w:rPr>
          <w:t>https://www.accaglobal.com/in/en/student/exam-support-resources/fundamentals-exams-study-resources/f9/technical-articles/wcm.html</w:t>
        </w:r>
      </w:hyperlink>
      <w:r w:rsidRPr="001854D3">
        <w:rPr>
          <w:rFonts w:cs="Arial"/>
          <w:szCs w:val="24"/>
        </w:rPr>
        <w:t xml:space="preserve"> (Accessed on 17th Dec 2025)</w:t>
      </w:r>
    </w:p>
    <w:p w14:paraId="16DF421B" w14:textId="77777777" w:rsidR="00353C91" w:rsidRPr="001854D3" w:rsidRDefault="00353C91" w:rsidP="001854D3">
      <w:pPr>
        <w:rPr>
          <w:rFonts w:cs="Arial"/>
          <w:szCs w:val="24"/>
        </w:rPr>
      </w:pPr>
      <w:r w:rsidRPr="001854D3">
        <w:rPr>
          <w:rFonts w:cs="Arial"/>
          <w:szCs w:val="24"/>
        </w:rPr>
        <w:t xml:space="preserve">Afonso, P. and Cunha, J. (2009). Determinants of the use of capital investment appraisal methods: evidence from the field. </w:t>
      </w:r>
    </w:p>
    <w:p w14:paraId="0DF7D40A" w14:textId="77777777" w:rsidR="00353C91" w:rsidRPr="001854D3" w:rsidRDefault="00353C91" w:rsidP="001854D3">
      <w:pPr>
        <w:rPr>
          <w:rFonts w:cs="Arial"/>
          <w:szCs w:val="24"/>
        </w:rPr>
      </w:pPr>
      <w:r w:rsidRPr="001854D3">
        <w:rPr>
          <w:rFonts w:cs="Arial"/>
          <w:szCs w:val="24"/>
        </w:rPr>
        <w:t xml:space="preserve">Annapoorna (2023). </w:t>
      </w:r>
      <w:r w:rsidRPr="001854D3">
        <w:rPr>
          <w:rFonts w:cs="Arial"/>
          <w:i/>
          <w:iCs/>
          <w:szCs w:val="24"/>
        </w:rPr>
        <w:t>What is an Early Payment Discount? A Complete Guide</w:t>
      </w:r>
      <w:r w:rsidRPr="001854D3">
        <w:rPr>
          <w:rFonts w:cs="Arial"/>
          <w:szCs w:val="24"/>
        </w:rPr>
        <w:t xml:space="preserve">. Available at: </w:t>
      </w:r>
      <w:hyperlink r:id="rId13" w:history="1">
        <w:r w:rsidRPr="001854D3">
          <w:rPr>
            <w:rStyle w:val="Hyperlink"/>
            <w:rFonts w:cs="Arial"/>
            <w:szCs w:val="24"/>
          </w:rPr>
          <w:t>https://www.clear.in/s/early-payment-discount</w:t>
        </w:r>
      </w:hyperlink>
      <w:r w:rsidRPr="001854D3">
        <w:rPr>
          <w:rFonts w:cs="Arial"/>
          <w:szCs w:val="24"/>
        </w:rPr>
        <w:t xml:space="preserve"> (Accessed on 17th Dec 2025) </w:t>
      </w:r>
    </w:p>
    <w:p w14:paraId="778E4006" w14:textId="77777777" w:rsidR="00353C91" w:rsidRPr="001854D3" w:rsidRDefault="00353C91" w:rsidP="001854D3">
      <w:pPr>
        <w:rPr>
          <w:rFonts w:cs="Arial"/>
          <w:szCs w:val="24"/>
        </w:rPr>
      </w:pPr>
      <w:r w:rsidRPr="001854D3">
        <w:rPr>
          <w:rFonts w:cs="Arial"/>
          <w:szCs w:val="24"/>
        </w:rPr>
        <w:t xml:space="preserve">Corporate Finance Institute (2025a). </w:t>
      </w:r>
      <w:r w:rsidRPr="001854D3">
        <w:rPr>
          <w:rFonts w:cs="Arial"/>
          <w:i/>
          <w:iCs/>
          <w:szCs w:val="24"/>
        </w:rPr>
        <w:t>Merger</w:t>
      </w:r>
      <w:r w:rsidRPr="001854D3">
        <w:rPr>
          <w:rFonts w:cs="Arial"/>
          <w:szCs w:val="24"/>
        </w:rPr>
        <w:t xml:space="preserve">. Available at: </w:t>
      </w:r>
      <w:hyperlink r:id="rId14" w:history="1">
        <w:r w:rsidRPr="001854D3">
          <w:rPr>
            <w:rStyle w:val="Hyperlink"/>
            <w:rFonts w:cs="Arial"/>
            <w:szCs w:val="24"/>
          </w:rPr>
          <w:t>https://corporatefinanceinstitute.com/resources/valuation/merger/</w:t>
        </w:r>
      </w:hyperlink>
      <w:r w:rsidRPr="001854D3">
        <w:rPr>
          <w:rFonts w:cs="Arial"/>
          <w:szCs w:val="24"/>
        </w:rPr>
        <w:t xml:space="preserve"> (Accessed on 18th Dec 2025)</w:t>
      </w:r>
    </w:p>
    <w:p w14:paraId="273B0F75" w14:textId="77777777" w:rsidR="00353C91" w:rsidRPr="001854D3" w:rsidRDefault="00353C91" w:rsidP="001854D3">
      <w:pPr>
        <w:rPr>
          <w:rFonts w:cs="Arial"/>
          <w:szCs w:val="24"/>
        </w:rPr>
      </w:pPr>
      <w:r w:rsidRPr="001854D3">
        <w:rPr>
          <w:rFonts w:cs="Arial"/>
          <w:szCs w:val="24"/>
        </w:rPr>
        <w:t xml:space="preserve">Corporate Finance Institute (2025b). </w:t>
      </w:r>
      <w:r w:rsidRPr="001854D3">
        <w:rPr>
          <w:rFonts w:cs="Arial"/>
          <w:i/>
          <w:iCs/>
          <w:szCs w:val="24"/>
        </w:rPr>
        <w:t>Divestiture</w:t>
      </w:r>
      <w:r w:rsidRPr="001854D3">
        <w:rPr>
          <w:rFonts w:cs="Arial"/>
          <w:szCs w:val="24"/>
        </w:rPr>
        <w:t xml:space="preserve">. Available at:  </w:t>
      </w:r>
      <w:hyperlink r:id="rId15" w:history="1">
        <w:r w:rsidRPr="001854D3">
          <w:rPr>
            <w:rStyle w:val="Hyperlink"/>
            <w:rFonts w:cs="Arial"/>
            <w:szCs w:val="24"/>
          </w:rPr>
          <w:t>https://corporatefinanceinstitute.com/resources/valuation/divestiture-overview/</w:t>
        </w:r>
      </w:hyperlink>
      <w:r w:rsidRPr="001854D3">
        <w:rPr>
          <w:rFonts w:cs="Arial"/>
          <w:szCs w:val="24"/>
        </w:rPr>
        <w:t xml:space="preserve"> (Accessed on 18th Dec 2025)</w:t>
      </w:r>
    </w:p>
    <w:p w14:paraId="1FCCB6ED" w14:textId="77777777" w:rsidR="00353C91" w:rsidRPr="001854D3" w:rsidRDefault="00353C91" w:rsidP="001854D3">
      <w:pPr>
        <w:rPr>
          <w:rFonts w:cs="Arial"/>
          <w:szCs w:val="24"/>
        </w:rPr>
      </w:pPr>
      <w:r w:rsidRPr="001854D3">
        <w:rPr>
          <w:rFonts w:cs="Arial"/>
          <w:szCs w:val="24"/>
        </w:rPr>
        <w:t xml:space="preserve">Corporate Finance Institute (2025c). </w:t>
      </w:r>
      <w:r w:rsidRPr="001854D3">
        <w:rPr>
          <w:rFonts w:cs="Arial"/>
          <w:i/>
          <w:iCs/>
          <w:szCs w:val="24"/>
        </w:rPr>
        <w:t>Payback Period</w:t>
      </w:r>
      <w:r w:rsidRPr="001854D3">
        <w:rPr>
          <w:rFonts w:cs="Arial"/>
          <w:szCs w:val="24"/>
        </w:rPr>
        <w:t xml:space="preserve">. Available at: </w:t>
      </w:r>
      <w:hyperlink r:id="rId16" w:history="1">
        <w:r w:rsidRPr="001854D3">
          <w:rPr>
            <w:rStyle w:val="Hyperlink"/>
            <w:rFonts w:cs="Arial"/>
            <w:szCs w:val="24"/>
          </w:rPr>
          <w:t>https://corporatefinanceinstitute.com/resources/financial-modeling/payback-period/</w:t>
        </w:r>
      </w:hyperlink>
      <w:r w:rsidRPr="001854D3">
        <w:rPr>
          <w:rFonts w:cs="Arial"/>
          <w:szCs w:val="24"/>
        </w:rPr>
        <w:t xml:space="preserve"> (Accessed on 18th Dec 2025)</w:t>
      </w:r>
    </w:p>
    <w:p w14:paraId="0B925727" w14:textId="77777777" w:rsidR="00353C91" w:rsidRPr="001854D3" w:rsidRDefault="00353C91" w:rsidP="001854D3">
      <w:pPr>
        <w:rPr>
          <w:rFonts w:cs="Arial"/>
          <w:szCs w:val="24"/>
        </w:rPr>
      </w:pPr>
      <w:r w:rsidRPr="001854D3">
        <w:rPr>
          <w:rFonts w:cs="Arial"/>
          <w:szCs w:val="24"/>
        </w:rPr>
        <w:t xml:space="preserve">Corporate Finance Institute (2025d). </w:t>
      </w:r>
      <w:r w:rsidRPr="001854D3">
        <w:rPr>
          <w:rFonts w:cs="Arial"/>
          <w:i/>
          <w:iCs/>
          <w:szCs w:val="24"/>
        </w:rPr>
        <w:t>Capital Rationing</w:t>
      </w:r>
      <w:r w:rsidRPr="001854D3">
        <w:rPr>
          <w:rFonts w:cs="Arial"/>
          <w:szCs w:val="24"/>
        </w:rPr>
        <w:t xml:space="preserve">. Available at: </w:t>
      </w:r>
      <w:hyperlink r:id="rId17" w:history="1">
        <w:r w:rsidRPr="001854D3">
          <w:rPr>
            <w:rStyle w:val="Hyperlink"/>
            <w:rFonts w:cs="Arial"/>
            <w:szCs w:val="24"/>
          </w:rPr>
          <w:t>https://corporatefinanceinstitute.com/resources/accounting/capital-rationing/</w:t>
        </w:r>
      </w:hyperlink>
      <w:r w:rsidRPr="001854D3">
        <w:rPr>
          <w:rFonts w:cs="Arial"/>
          <w:szCs w:val="24"/>
        </w:rPr>
        <w:t xml:space="preserve"> (Accessed on 18th Dec 2025)</w:t>
      </w:r>
    </w:p>
    <w:p w14:paraId="0826175D" w14:textId="77777777" w:rsidR="00353C91" w:rsidRPr="001854D3" w:rsidRDefault="00353C91" w:rsidP="001854D3">
      <w:pPr>
        <w:rPr>
          <w:rFonts w:cs="Arial"/>
          <w:szCs w:val="24"/>
        </w:rPr>
      </w:pPr>
      <w:r w:rsidRPr="001854D3">
        <w:rPr>
          <w:rFonts w:cs="Arial"/>
          <w:szCs w:val="24"/>
        </w:rPr>
        <w:t xml:space="preserve">Corporate Finance Institute (2025e). </w:t>
      </w:r>
      <w:r w:rsidRPr="001854D3">
        <w:rPr>
          <w:rFonts w:cs="Arial"/>
          <w:i/>
          <w:iCs/>
          <w:szCs w:val="24"/>
        </w:rPr>
        <w:t>Profitability Index</w:t>
      </w:r>
      <w:r w:rsidRPr="001854D3">
        <w:rPr>
          <w:rFonts w:cs="Arial"/>
          <w:szCs w:val="24"/>
        </w:rPr>
        <w:t xml:space="preserve">. Available at: </w:t>
      </w:r>
      <w:hyperlink r:id="rId18" w:history="1">
        <w:r w:rsidRPr="001854D3">
          <w:rPr>
            <w:rStyle w:val="Hyperlink"/>
            <w:rFonts w:cs="Arial"/>
            <w:szCs w:val="24"/>
          </w:rPr>
          <w:t>https://corporatefinanceinstitute.com/resources/accounting/profitability-index/</w:t>
        </w:r>
      </w:hyperlink>
      <w:r w:rsidRPr="001854D3">
        <w:rPr>
          <w:rFonts w:cs="Arial"/>
          <w:szCs w:val="24"/>
        </w:rPr>
        <w:t xml:space="preserve"> (Accessed on 18th Dec 2025)</w:t>
      </w:r>
    </w:p>
    <w:p w14:paraId="385AF3FF" w14:textId="77777777" w:rsidR="00353C91" w:rsidRPr="001854D3" w:rsidRDefault="00353C91" w:rsidP="001854D3">
      <w:pPr>
        <w:rPr>
          <w:rFonts w:cs="Arial"/>
          <w:szCs w:val="24"/>
        </w:rPr>
      </w:pPr>
      <w:r w:rsidRPr="001854D3">
        <w:rPr>
          <w:rFonts w:cs="Arial"/>
          <w:szCs w:val="24"/>
        </w:rPr>
        <w:lastRenderedPageBreak/>
        <w:t xml:space="preserve">Geeks for Geeks (2025). </w:t>
      </w:r>
      <w:r w:rsidRPr="001854D3">
        <w:rPr>
          <w:rFonts w:cs="Arial"/>
          <w:i/>
          <w:iCs/>
          <w:szCs w:val="24"/>
        </w:rPr>
        <w:t>Long-Term Financing: Sources, Importance, Advantages &amp; Limitations</w:t>
      </w:r>
      <w:r w:rsidRPr="001854D3">
        <w:rPr>
          <w:rFonts w:cs="Arial"/>
          <w:szCs w:val="24"/>
        </w:rPr>
        <w:t xml:space="preserve">. Available at: </w:t>
      </w:r>
      <w:hyperlink r:id="rId19" w:history="1">
        <w:r w:rsidRPr="001854D3">
          <w:rPr>
            <w:rStyle w:val="Hyperlink"/>
            <w:rFonts w:cs="Arial"/>
            <w:szCs w:val="24"/>
          </w:rPr>
          <w:t>https://www.geeksforgeeks.org/finance/long-term-financing-sources-importance-advantages-limitations/</w:t>
        </w:r>
      </w:hyperlink>
      <w:r w:rsidRPr="001854D3">
        <w:rPr>
          <w:rFonts w:cs="Arial"/>
          <w:szCs w:val="24"/>
        </w:rPr>
        <w:t xml:space="preserve"> (Accessed on 17th Dec 2025)</w:t>
      </w:r>
    </w:p>
    <w:p w14:paraId="144F53BB" w14:textId="77777777" w:rsidR="00353C91" w:rsidRPr="001854D3" w:rsidRDefault="00353C91" w:rsidP="001854D3">
      <w:pPr>
        <w:rPr>
          <w:rFonts w:cs="Arial"/>
          <w:szCs w:val="24"/>
        </w:rPr>
      </w:pPr>
      <w:r w:rsidRPr="001854D3">
        <w:rPr>
          <w:rFonts w:cs="Arial"/>
          <w:szCs w:val="24"/>
        </w:rPr>
        <w:t xml:space="preserve">Gov.UK (2025). </w:t>
      </w:r>
      <w:r w:rsidRPr="001854D3">
        <w:rPr>
          <w:rFonts w:cs="Arial"/>
          <w:i/>
          <w:iCs/>
          <w:szCs w:val="24"/>
        </w:rPr>
        <w:t>Corporation Tax when you sell business assets</w:t>
      </w:r>
      <w:r w:rsidRPr="001854D3">
        <w:rPr>
          <w:rFonts w:cs="Arial"/>
          <w:szCs w:val="24"/>
        </w:rPr>
        <w:t xml:space="preserve">. Available at: </w:t>
      </w:r>
      <w:hyperlink r:id="rId20" w:history="1">
        <w:r w:rsidRPr="001854D3">
          <w:rPr>
            <w:rStyle w:val="Hyperlink"/>
            <w:rFonts w:cs="Arial"/>
            <w:szCs w:val="24"/>
          </w:rPr>
          <w:t>https://www.gov.uk/tax-when-your-company-sells-assets</w:t>
        </w:r>
      </w:hyperlink>
      <w:r w:rsidRPr="001854D3">
        <w:rPr>
          <w:rFonts w:cs="Arial"/>
          <w:szCs w:val="24"/>
        </w:rPr>
        <w:t xml:space="preserve"> (Accessed on 18th Dec 2025)</w:t>
      </w:r>
    </w:p>
    <w:p w14:paraId="424BFB75" w14:textId="77777777" w:rsidR="00353C91" w:rsidRPr="001854D3" w:rsidRDefault="00353C91" w:rsidP="001854D3">
      <w:pPr>
        <w:rPr>
          <w:rFonts w:cs="Arial"/>
          <w:szCs w:val="24"/>
        </w:rPr>
      </w:pPr>
      <w:r w:rsidRPr="001854D3">
        <w:rPr>
          <w:rFonts w:cs="Arial"/>
          <w:szCs w:val="24"/>
        </w:rPr>
        <w:t xml:space="preserve">JPMorgan (2025). </w:t>
      </w:r>
      <w:r w:rsidRPr="001854D3">
        <w:rPr>
          <w:rFonts w:cs="Arial"/>
          <w:i/>
          <w:iCs/>
          <w:szCs w:val="24"/>
        </w:rPr>
        <w:t>Improve your cash flow with DSO and DPO</w:t>
      </w:r>
      <w:r w:rsidRPr="001854D3">
        <w:rPr>
          <w:rFonts w:cs="Arial"/>
          <w:szCs w:val="24"/>
        </w:rPr>
        <w:t xml:space="preserve">. Available at: </w:t>
      </w:r>
      <w:hyperlink r:id="rId21" w:history="1">
        <w:r w:rsidRPr="001854D3">
          <w:rPr>
            <w:rStyle w:val="Hyperlink"/>
            <w:rFonts w:cs="Arial"/>
            <w:szCs w:val="24"/>
          </w:rPr>
          <w:t>https://www.jpmorgan.com/insights/treasury/receivables/dso-and-dpo-how-they-can-improve-your-cash-flow</w:t>
        </w:r>
      </w:hyperlink>
      <w:r w:rsidRPr="001854D3">
        <w:rPr>
          <w:rFonts w:cs="Arial"/>
          <w:szCs w:val="24"/>
        </w:rPr>
        <w:t xml:space="preserve"> (Accessed on 17th Dec 2025)</w:t>
      </w:r>
    </w:p>
    <w:p w14:paraId="77FA9F20" w14:textId="77777777" w:rsidR="00353C91" w:rsidRPr="001854D3" w:rsidRDefault="00353C91" w:rsidP="001854D3">
      <w:pPr>
        <w:rPr>
          <w:rFonts w:cs="Arial"/>
          <w:szCs w:val="24"/>
        </w:rPr>
      </w:pPr>
      <w:r w:rsidRPr="001854D3">
        <w:rPr>
          <w:rFonts w:cs="Arial"/>
          <w:szCs w:val="24"/>
        </w:rPr>
        <w:t>Li, Y. (2023). The application of hospital investment decision-making and financial analysis methods. </w:t>
      </w:r>
      <w:r w:rsidRPr="001854D3">
        <w:rPr>
          <w:rFonts w:cs="Arial"/>
          <w:i/>
          <w:iCs/>
          <w:szCs w:val="24"/>
        </w:rPr>
        <w:t>Account Corp Manag</w:t>
      </w:r>
      <w:r w:rsidRPr="001854D3">
        <w:rPr>
          <w:rFonts w:cs="Arial"/>
          <w:szCs w:val="24"/>
        </w:rPr>
        <w:t>, </w:t>
      </w:r>
      <w:r w:rsidRPr="001854D3">
        <w:rPr>
          <w:rFonts w:cs="Arial"/>
          <w:i/>
          <w:iCs/>
          <w:szCs w:val="24"/>
        </w:rPr>
        <w:t>5</w:t>
      </w:r>
      <w:r w:rsidRPr="001854D3">
        <w:rPr>
          <w:rFonts w:cs="Arial"/>
          <w:szCs w:val="24"/>
        </w:rPr>
        <w:t xml:space="preserve">, pp.122-9. </w:t>
      </w:r>
      <w:hyperlink r:id="rId22" w:history="1">
        <w:r w:rsidRPr="001854D3">
          <w:rPr>
            <w:rStyle w:val="Hyperlink"/>
            <w:rFonts w:cs="Arial"/>
            <w:szCs w:val="24"/>
          </w:rPr>
          <w:t>http://166.62.7.99/assets/default/article/2024/01/10/article_1704898915.pdf</w:t>
        </w:r>
      </w:hyperlink>
      <w:r w:rsidRPr="001854D3">
        <w:rPr>
          <w:rFonts w:cs="Arial"/>
          <w:szCs w:val="24"/>
        </w:rPr>
        <w:t xml:space="preserve"> </w:t>
      </w:r>
    </w:p>
    <w:p w14:paraId="64B796D8" w14:textId="77777777" w:rsidR="00353C91" w:rsidRPr="001854D3" w:rsidRDefault="00353C91" w:rsidP="001854D3">
      <w:pPr>
        <w:rPr>
          <w:rFonts w:cs="Arial"/>
          <w:szCs w:val="24"/>
        </w:rPr>
      </w:pPr>
      <w:r w:rsidRPr="001854D3">
        <w:rPr>
          <w:rFonts w:cs="Arial"/>
          <w:szCs w:val="24"/>
        </w:rPr>
        <w:t>Mweshi, G.K., Kabamba, D. and Nguluwe, C. (2025). Just-in-Time (JIT) Inventory Management in Cold Chains: A Strategy for Mitigating Perishable Goods Waste. </w:t>
      </w:r>
      <w:r w:rsidRPr="001854D3">
        <w:rPr>
          <w:rFonts w:cs="Arial"/>
          <w:i/>
          <w:iCs/>
          <w:szCs w:val="24"/>
        </w:rPr>
        <w:t>Archives of Business Research</w:t>
      </w:r>
      <w:r w:rsidRPr="001854D3">
        <w:rPr>
          <w:rFonts w:cs="Arial"/>
          <w:szCs w:val="24"/>
        </w:rPr>
        <w:t>, </w:t>
      </w:r>
      <w:r w:rsidRPr="001854D3">
        <w:rPr>
          <w:rFonts w:cs="Arial"/>
          <w:i/>
          <w:iCs/>
          <w:szCs w:val="24"/>
        </w:rPr>
        <w:t>13</w:t>
      </w:r>
      <w:r w:rsidRPr="001854D3">
        <w:rPr>
          <w:rFonts w:cs="Arial"/>
          <w:szCs w:val="24"/>
        </w:rPr>
        <w:t xml:space="preserve">(11). DOI:10.14738/abr.1311.19402.  </w:t>
      </w:r>
    </w:p>
    <w:p w14:paraId="7222BEFF" w14:textId="77777777" w:rsidR="00353C91" w:rsidRPr="001854D3" w:rsidRDefault="00353C91" w:rsidP="001854D3">
      <w:pPr>
        <w:rPr>
          <w:rFonts w:cs="Arial"/>
          <w:szCs w:val="24"/>
        </w:rPr>
      </w:pPr>
      <w:r w:rsidRPr="001854D3">
        <w:rPr>
          <w:rFonts w:cs="Arial"/>
          <w:szCs w:val="24"/>
        </w:rPr>
        <w:t>Pal, S. (2023). Advancements in AI-enhanced just-in-time inventory: Elevating demand forecasting accuracy. </w:t>
      </w:r>
      <w:r w:rsidRPr="001854D3">
        <w:rPr>
          <w:rFonts w:cs="Arial"/>
          <w:i/>
          <w:iCs/>
          <w:szCs w:val="24"/>
        </w:rPr>
        <w:t>International Journal for Research in Applied Science and Engineering Technology</w:t>
      </w:r>
      <w:r w:rsidRPr="001854D3">
        <w:rPr>
          <w:rFonts w:cs="Arial"/>
          <w:szCs w:val="24"/>
        </w:rPr>
        <w:t>, </w:t>
      </w:r>
      <w:r w:rsidRPr="001854D3">
        <w:rPr>
          <w:rFonts w:cs="Arial"/>
          <w:i/>
          <w:iCs/>
          <w:szCs w:val="24"/>
        </w:rPr>
        <w:t>11</w:t>
      </w:r>
      <w:r w:rsidRPr="001854D3">
        <w:rPr>
          <w:rFonts w:cs="Arial"/>
          <w:szCs w:val="24"/>
        </w:rPr>
        <w:t xml:space="preserve">(11), pp.282-289. </w:t>
      </w:r>
      <w:hyperlink r:id="rId23" w:history="1">
        <w:r w:rsidRPr="001854D3">
          <w:rPr>
            <w:rStyle w:val="Hyperlink"/>
            <w:rFonts w:cs="Arial"/>
            <w:szCs w:val="24"/>
          </w:rPr>
          <w:t>https://doi.org/10.22214/ijraset.2023.56503</w:t>
        </w:r>
      </w:hyperlink>
      <w:r w:rsidRPr="001854D3">
        <w:rPr>
          <w:rFonts w:cs="Arial"/>
          <w:szCs w:val="24"/>
        </w:rPr>
        <w:t xml:space="preserve"> </w:t>
      </w:r>
    </w:p>
    <w:p w14:paraId="3A06375F" w14:textId="77777777" w:rsidR="00353C91" w:rsidRPr="001854D3" w:rsidRDefault="00353C91" w:rsidP="001854D3">
      <w:pPr>
        <w:rPr>
          <w:rFonts w:cs="Arial"/>
          <w:szCs w:val="24"/>
        </w:rPr>
      </w:pPr>
      <w:proofErr w:type="spellStart"/>
      <w:r w:rsidRPr="001854D3">
        <w:rPr>
          <w:rFonts w:cs="Arial"/>
          <w:szCs w:val="24"/>
        </w:rPr>
        <w:t>Palacín</w:t>
      </w:r>
      <w:proofErr w:type="spellEnd"/>
      <w:r w:rsidRPr="001854D3">
        <w:rPr>
          <w:rFonts w:cs="Arial"/>
          <w:szCs w:val="24"/>
        </w:rPr>
        <w:t>-Sánchez, M.J., Alencar-García, A. and Canto-Cuevas, F.J. (2023). Financial distress and corporate restructuring: a case study. </w:t>
      </w:r>
      <w:proofErr w:type="spellStart"/>
      <w:r w:rsidRPr="001854D3">
        <w:rPr>
          <w:rFonts w:cs="Arial"/>
          <w:i/>
          <w:iCs/>
          <w:szCs w:val="24"/>
        </w:rPr>
        <w:t>Cuadernos</w:t>
      </w:r>
      <w:proofErr w:type="spellEnd"/>
      <w:r w:rsidRPr="001854D3">
        <w:rPr>
          <w:rFonts w:cs="Arial"/>
          <w:i/>
          <w:iCs/>
          <w:szCs w:val="24"/>
        </w:rPr>
        <w:t xml:space="preserve"> de </w:t>
      </w:r>
      <w:proofErr w:type="spellStart"/>
      <w:r w:rsidRPr="001854D3">
        <w:rPr>
          <w:rFonts w:cs="Arial"/>
          <w:i/>
          <w:iCs/>
          <w:szCs w:val="24"/>
        </w:rPr>
        <w:t>Gestión</w:t>
      </w:r>
      <w:proofErr w:type="spellEnd"/>
      <w:r w:rsidRPr="001854D3">
        <w:rPr>
          <w:rFonts w:cs="Arial"/>
          <w:szCs w:val="24"/>
        </w:rPr>
        <w:t>, </w:t>
      </w:r>
      <w:r w:rsidRPr="001854D3">
        <w:rPr>
          <w:rFonts w:cs="Arial"/>
          <w:i/>
          <w:iCs/>
          <w:szCs w:val="24"/>
        </w:rPr>
        <w:t>23</w:t>
      </w:r>
      <w:r w:rsidRPr="001854D3">
        <w:rPr>
          <w:rFonts w:cs="Arial"/>
          <w:szCs w:val="24"/>
        </w:rPr>
        <w:t xml:space="preserve">(2), pp.81-91. DOI: 10.5295/cdg.221759fc </w:t>
      </w:r>
    </w:p>
    <w:p w14:paraId="1B86FF5F" w14:textId="77777777" w:rsidR="00353C91" w:rsidRPr="001854D3" w:rsidRDefault="00353C91" w:rsidP="001854D3">
      <w:pPr>
        <w:rPr>
          <w:rFonts w:cs="Arial"/>
          <w:szCs w:val="24"/>
        </w:rPr>
      </w:pPr>
      <w:r w:rsidRPr="001854D3">
        <w:rPr>
          <w:rFonts w:cs="Arial"/>
          <w:szCs w:val="24"/>
        </w:rPr>
        <w:t xml:space="preserve">PwC (2025). </w:t>
      </w:r>
      <w:r w:rsidRPr="001854D3">
        <w:rPr>
          <w:rFonts w:cs="Arial"/>
          <w:i/>
          <w:iCs/>
          <w:szCs w:val="24"/>
        </w:rPr>
        <w:t>Financial Restructuring</w:t>
      </w:r>
      <w:r w:rsidRPr="001854D3">
        <w:rPr>
          <w:rFonts w:cs="Arial"/>
          <w:szCs w:val="24"/>
        </w:rPr>
        <w:t xml:space="preserve">. Available at: </w:t>
      </w:r>
      <w:hyperlink r:id="rId24" w:history="1">
        <w:r w:rsidRPr="001854D3">
          <w:rPr>
            <w:rStyle w:val="Hyperlink"/>
            <w:rFonts w:cs="Arial"/>
            <w:szCs w:val="24"/>
          </w:rPr>
          <w:t>https://www.pwc.com/ke/en/services/deals/business-recovery-services/financial-restructuring.html</w:t>
        </w:r>
      </w:hyperlink>
      <w:r w:rsidRPr="001854D3">
        <w:rPr>
          <w:rFonts w:cs="Arial"/>
          <w:szCs w:val="24"/>
        </w:rPr>
        <w:t xml:space="preserve"> (Accessed on 18th Dec 2025)</w:t>
      </w:r>
    </w:p>
    <w:p w14:paraId="24FF9A68" w14:textId="77777777" w:rsidR="00353C91" w:rsidRPr="001854D3" w:rsidRDefault="00353C91" w:rsidP="001854D3">
      <w:pPr>
        <w:rPr>
          <w:rFonts w:cs="Arial"/>
          <w:szCs w:val="24"/>
        </w:rPr>
      </w:pPr>
      <w:r w:rsidRPr="001854D3">
        <w:rPr>
          <w:rFonts w:cs="Arial"/>
          <w:szCs w:val="24"/>
        </w:rPr>
        <w:t xml:space="preserve">Ram, K. (2025). </w:t>
      </w:r>
      <w:r w:rsidRPr="001854D3">
        <w:rPr>
          <w:rFonts w:cs="Arial"/>
          <w:i/>
          <w:iCs/>
          <w:szCs w:val="24"/>
        </w:rPr>
        <w:t>Difference Between Short-Term and Long-Term Financing in the UK</w:t>
      </w:r>
      <w:r w:rsidRPr="001854D3">
        <w:rPr>
          <w:rFonts w:cs="Arial"/>
          <w:szCs w:val="24"/>
        </w:rPr>
        <w:t xml:space="preserve">. Available at:  </w:t>
      </w:r>
      <w:hyperlink r:id="rId25" w:history="1">
        <w:r w:rsidRPr="001854D3">
          <w:rPr>
            <w:rStyle w:val="Hyperlink"/>
            <w:rFonts w:cs="Arial"/>
            <w:szCs w:val="24"/>
          </w:rPr>
          <w:t>https://legalvision.co.uk/corporations/term-financing/</w:t>
        </w:r>
      </w:hyperlink>
      <w:r w:rsidRPr="001854D3">
        <w:rPr>
          <w:rFonts w:cs="Arial"/>
          <w:szCs w:val="24"/>
        </w:rPr>
        <w:t xml:space="preserve"> (Accessed on 17th Dec 2025)</w:t>
      </w:r>
    </w:p>
    <w:p w14:paraId="7CD358C6" w14:textId="6008727F" w:rsidR="00353C91" w:rsidRPr="00353C91" w:rsidRDefault="00353C91" w:rsidP="00353C91">
      <w:pPr>
        <w:rPr>
          <w:rFonts w:cs="Arial"/>
          <w:szCs w:val="24"/>
          <w:lang w:val="en-IN"/>
        </w:rPr>
      </w:pPr>
      <w:r w:rsidRPr="00353C91">
        <w:rPr>
          <w:rFonts w:cs="Arial"/>
          <w:szCs w:val="24"/>
          <w:lang w:val="en-IN"/>
        </w:rPr>
        <w:t xml:space="preserve">Russo, K. (2024). Financial Statement Analysis: How-To &amp; Advantages. </w:t>
      </w:r>
      <w:r w:rsidRPr="00353C91">
        <w:rPr>
          <w:rFonts w:cs="Arial"/>
          <w:i/>
          <w:szCs w:val="24"/>
          <w:lang w:val="en-IN"/>
        </w:rPr>
        <w:t xml:space="preserve">NetSuite. </w:t>
      </w:r>
      <w:r w:rsidRPr="00353C91">
        <w:rPr>
          <w:rFonts w:cs="Arial"/>
          <w:szCs w:val="24"/>
          <w:lang w:val="en-IN"/>
        </w:rPr>
        <w:t xml:space="preserve">Available at: </w:t>
      </w:r>
      <w:hyperlink r:id="rId26" w:history="1">
        <w:r w:rsidRPr="00353C91">
          <w:rPr>
            <w:rStyle w:val="Hyperlink"/>
            <w:rFonts w:cs="Arial"/>
            <w:szCs w:val="24"/>
            <w:lang w:val="en-IN"/>
          </w:rPr>
          <w:t>https://www.netsuite.com/portal/resource/articles/financial-management/financial-statement-analysis.shtml</w:t>
        </w:r>
      </w:hyperlink>
      <w:r w:rsidRPr="00353C91">
        <w:rPr>
          <w:rFonts w:cs="Arial"/>
          <w:szCs w:val="24"/>
          <w:lang w:val="en-IN"/>
        </w:rPr>
        <w:t xml:space="preserve"> (Accessed on 16th Dec 2025)</w:t>
      </w:r>
    </w:p>
    <w:p w14:paraId="5301B1B1" w14:textId="77777777" w:rsidR="00353C91" w:rsidRPr="001854D3" w:rsidRDefault="00353C91" w:rsidP="001854D3">
      <w:pPr>
        <w:rPr>
          <w:rFonts w:cs="Arial"/>
          <w:szCs w:val="24"/>
        </w:rPr>
      </w:pPr>
      <w:r w:rsidRPr="001854D3">
        <w:rPr>
          <w:rFonts w:cs="Arial"/>
          <w:szCs w:val="24"/>
        </w:rPr>
        <w:lastRenderedPageBreak/>
        <w:t>Shou, T. (2022, July). A literature review on the net present value (NPV) valuation method. In </w:t>
      </w:r>
      <w:r w:rsidRPr="001854D3">
        <w:rPr>
          <w:rFonts w:cs="Arial"/>
          <w:i/>
          <w:iCs/>
          <w:szCs w:val="24"/>
        </w:rPr>
        <w:t>2022 2nd International Conference on Enterprise Management and Economic Development (ICEMED 2022)</w:t>
      </w:r>
      <w:r w:rsidRPr="001854D3">
        <w:rPr>
          <w:rFonts w:cs="Arial"/>
          <w:szCs w:val="24"/>
        </w:rPr>
        <w:t xml:space="preserve"> (pp. 826-830). Atlantis Press. </w:t>
      </w:r>
      <w:hyperlink r:id="rId27" w:history="1">
        <w:r w:rsidRPr="001854D3">
          <w:rPr>
            <w:rStyle w:val="Hyperlink"/>
            <w:rFonts w:cs="Arial"/>
            <w:szCs w:val="24"/>
          </w:rPr>
          <w:t>https://doi.org/10.2991/aebmr.k.220603.135</w:t>
        </w:r>
      </w:hyperlink>
      <w:r w:rsidRPr="001854D3">
        <w:rPr>
          <w:rFonts w:cs="Arial"/>
          <w:szCs w:val="24"/>
        </w:rPr>
        <w:t xml:space="preserve"> </w:t>
      </w:r>
    </w:p>
    <w:p w14:paraId="030AC69F" w14:textId="77777777" w:rsidR="00353C91" w:rsidRPr="001854D3" w:rsidRDefault="00353C91" w:rsidP="001854D3">
      <w:pPr>
        <w:rPr>
          <w:rFonts w:cs="Arial"/>
          <w:szCs w:val="24"/>
        </w:rPr>
      </w:pPr>
      <w:r w:rsidRPr="001854D3">
        <w:rPr>
          <w:rFonts w:cs="Arial"/>
          <w:szCs w:val="24"/>
        </w:rPr>
        <w:t xml:space="preserve">The Strategic CFO (2024). </w:t>
      </w:r>
      <w:r w:rsidRPr="001854D3">
        <w:rPr>
          <w:rFonts w:cs="Arial"/>
          <w:i/>
          <w:iCs/>
          <w:szCs w:val="24"/>
        </w:rPr>
        <w:t>Key Financial Restructuring Principles Every CEO Should Understand: Essential Tips.</w:t>
      </w:r>
      <w:r w:rsidRPr="001854D3">
        <w:rPr>
          <w:rFonts w:cs="Arial"/>
          <w:szCs w:val="24"/>
        </w:rPr>
        <w:t xml:space="preserve"> Available at: </w:t>
      </w:r>
      <w:hyperlink r:id="rId28" w:history="1">
        <w:r w:rsidRPr="001854D3">
          <w:rPr>
            <w:rStyle w:val="Hyperlink"/>
            <w:rFonts w:cs="Arial"/>
            <w:szCs w:val="24"/>
          </w:rPr>
          <w:t>https://strategiccfo.com/articles/restructuring-services/key-financial-restructuring-principles-every-ceo-should-understand-essential-tips/</w:t>
        </w:r>
      </w:hyperlink>
      <w:r w:rsidRPr="001854D3">
        <w:rPr>
          <w:rFonts w:cs="Arial"/>
          <w:szCs w:val="24"/>
        </w:rPr>
        <w:t xml:space="preserve"> (Accessed on 18th Dec 2025)</w:t>
      </w:r>
    </w:p>
    <w:p w14:paraId="4F7263C7" w14:textId="77777777" w:rsidR="00353C91" w:rsidRPr="001854D3" w:rsidRDefault="00353C91" w:rsidP="001854D3">
      <w:pPr>
        <w:rPr>
          <w:rFonts w:cs="Arial"/>
          <w:szCs w:val="24"/>
        </w:rPr>
      </w:pPr>
      <w:r w:rsidRPr="001854D3">
        <w:rPr>
          <w:rFonts w:cs="Arial"/>
          <w:szCs w:val="24"/>
        </w:rPr>
        <w:t>Uwakwe, B.C. and Mohs, J.N. (2025). Corporate Social Responsibility (CSR) in the Digital Age: How Technology-Enabled Social Responsibility Initiatives Influence Competitive Advantage and Financial Performance in US Insurance. </w:t>
      </w:r>
      <w:r w:rsidRPr="001854D3">
        <w:rPr>
          <w:rFonts w:cs="Arial"/>
          <w:i/>
          <w:iCs/>
          <w:szCs w:val="24"/>
        </w:rPr>
        <w:t>International Journal of Scientific Research and Modern Technology</w:t>
      </w:r>
      <w:r w:rsidRPr="001854D3">
        <w:rPr>
          <w:rFonts w:cs="Arial"/>
          <w:szCs w:val="24"/>
        </w:rPr>
        <w:t>, </w:t>
      </w:r>
      <w:r w:rsidRPr="001854D3">
        <w:rPr>
          <w:rFonts w:cs="Arial"/>
          <w:i/>
          <w:iCs/>
          <w:szCs w:val="24"/>
        </w:rPr>
        <w:t>4</w:t>
      </w:r>
      <w:r w:rsidRPr="001854D3">
        <w:rPr>
          <w:rFonts w:cs="Arial"/>
          <w:szCs w:val="24"/>
        </w:rPr>
        <w:t xml:space="preserve">(9), pp.243-256. </w:t>
      </w:r>
      <w:hyperlink r:id="rId29" w:history="1">
        <w:r w:rsidRPr="001854D3">
          <w:rPr>
            <w:rStyle w:val="Hyperlink"/>
            <w:rFonts w:cs="Arial"/>
            <w:szCs w:val="24"/>
          </w:rPr>
          <w:t>https://doi.org/10.38124/ijsrmt.v4i9.808</w:t>
        </w:r>
      </w:hyperlink>
      <w:r w:rsidRPr="001854D3">
        <w:rPr>
          <w:rFonts w:cs="Arial"/>
          <w:szCs w:val="24"/>
        </w:rPr>
        <w:t xml:space="preserve"> </w:t>
      </w:r>
    </w:p>
    <w:p w14:paraId="726AB4F7" w14:textId="77777777" w:rsidR="00353C91" w:rsidRPr="00353C91" w:rsidRDefault="00353C91" w:rsidP="001854D3">
      <w:pPr>
        <w:rPr>
          <w:rFonts w:cs="Arial"/>
          <w:szCs w:val="24"/>
        </w:rPr>
      </w:pPr>
      <w:r w:rsidRPr="001854D3">
        <w:rPr>
          <w:rFonts w:cs="Arial"/>
          <w:szCs w:val="24"/>
        </w:rPr>
        <w:t xml:space="preserve">Vipond, T. (2025). </w:t>
      </w:r>
      <w:r w:rsidRPr="001854D3">
        <w:rPr>
          <w:rFonts w:cs="Arial"/>
          <w:i/>
          <w:iCs/>
          <w:szCs w:val="24"/>
        </w:rPr>
        <w:t>Internal Rate of Return (IRR)</w:t>
      </w:r>
      <w:r w:rsidRPr="001854D3">
        <w:rPr>
          <w:rFonts w:cs="Arial"/>
          <w:szCs w:val="24"/>
        </w:rPr>
        <w:t xml:space="preserve">. Available at: </w:t>
      </w:r>
      <w:hyperlink r:id="rId30" w:history="1">
        <w:r w:rsidRPr="001854D3">
          <w:rPr>
            <w:rStyle w:val="Hyperlink"/>
            <w:rFonts w:cs="Arial"/>
            <w:szCs w:val="24"/>
          </w:rPr>
          <w:t>https://corporatefinanceinstitute.com/resources/valuation/internal-rate-return-irr/</w:t>
        </w:r>
      </w:hyperlink>
      <w:r w:rsidRPr="001854D3">
        <w:rPr>
          <w:rFonts w:cs="Arial"/>
          <w:szCs w:val="24"/>
        </w:rPr>
        <w:t xml:space="preserve"> </w:t>
      </w:r>
      <w:r w:rsidRPr="00353C91">
        <w:rPr>
          <w:rFonts w:cs="Arial"/>
          <w:szCs w:val="24"/>
        </w:rPr>
        <w:t>(Accessed on 18th Dec 2025)</w:t>
      </w:r>
    </w:p>
    <w:p w14:paraId="6B1FC239" w14:textId="77777777" w:rsidR="00353C91" w:rsidRPr="001854D3" w:rsidRDefault="00353C91" w:rsidP="001854D3">
      <w:pPr>
        <w:rPr>
          <w:rFonts w:cs="Arial"/>
          <w:szCs w:val="24"/>
        </w:rPr>
      </w:pPr>
    </w:p>
    <w:p w14:paraId="005C795F" w14:textId="77777777" w:rsidR="00747192" w:rsidRPr="001854D3" w:rsidRDefault="00747192" w:rsidP="001854D3">
      <w:pPr>
        <w:rPr>
          <w:rFonts w:cs="Arial"/>
          <w:szCs w:val="24"/>
        </w:rPr>
      </w:pPr>
      <w:r w:rsidRPr="001854D3">
        <w:rPr>
          <w:rFonts w:cs="Arial"/>
          <w:szCs w:val="24"/>
        </w:rPr>
        <w:br w:type="page"/>
      </w:r>
    </w:p>
    <w:p w14:paraId="359D38E8" w14:textId="0E925E0D" w:rsidR="00747192" w:rsidRDefault="00B53611" w:rsidP="001854D3">
      <w:pPr>
        <w:pStyle w:val="Heading1"/>
      </w:pPr>
      <w:bookmarkStart w:id="47" w:name="_Toc216960967"/>
      <w:r>
        <w:lastRenderedPageBreak/>
        <w:t xml:space="preserve">8. </w:t>
      </w:r>
      <w:r w:rsidR="00747192" w:rsidRPr="001854D3">
        <w:t>Appendices</w:t>
      </w:r>
      <w:bookmarkEnd w:id="47"/>
    </w:p>
    <w:p w14:paraId="747CC046" w14:textId="77777777" w:rsidR="00353C91" w:rsidRDefault="00353C91" w:rsidP="00353C91">
      <w:pPr>
        <w:pStyle w:val="Heading2"/>
      </w:pPr>
      <w:bookmarkStart w:id="48" w:name="_Toc216960968"/>
      <w:r>
        <w:t xml:space="preserve">Appendix 1: </w:t>
      </w:r>
      <w:bookmarkStart w:id="49" w:name="_Toc216868115"/>
      <w:r>
        <w:t>Ratio analysis</w:t>
      </w:r>
      <w:bookmarkEnd w:id="48"/>
      <w:bookmarkEnd w:id="49"/>
      <w:r>
        <w:t xml:space="preserve"> </w:t>
      </w:r>
    </w:p>
    <w:tbl>
      <w:tblPr>
        <w:tblW w:w="5000" w:type="pct"/>
        <w:tblLook w:val="04A0" w:firstRow="1" w:lastRow="0" w:firstColumn="1" w:lastColumn="0" w:noHBand="0" w:noVBand="1"/>
      </w:tblPr>
      <w:tblGrid>
        <w:gridCol w:w="1101"/>
        <w:gridCol w:w="1663"/>
        <w:gridCol w:w="1272"/>
        <w:gridCol w:w="1272"/>
        <w:gridCol w:w="1237"/>
        <w:gridCol w:w="1237"/>
        <w:gridCol w:w="1237"/>
      </w:tblGrid>
      <w:tr w:rsidR="00353C91" w:rsidRPr="00661540" w14:paraId="3E89A60D" w14:textId="77777777" w:rsidTr="00430AF9">
        <w:trPr>
          <w:trHeight w:val="300"/>
        </w:trPr>
        <w:tc>
          <w:tcPr>
            <w:tcW w:w="5000" w:type="pct"/>
            <w:gridSpan w:val="7"/>
            <w:tcBorders>
              <w:top w:val="single" w:sz="4" w:space="0" w:color="auto"/>
              <w:left w:val="single" w:sz="4" w:space="0" w:color="auto"/>
              <w:bottom w:val="single" w:sz="4" w:space="0" w:color="auto"/>
              <w:right w:val="single" w:sz="4" w:space="0" w:color="000000"/>
            </w:tcBorders>
            <w:noWrap/>
            <w:vAlign w:val="bottom"/>
            <w:hideMark/>
          </w:tcPr>
          <w:p w14:paraId="70E93B02" w14:textId="77777777" w:rsidR="00353C91" w:rsidRPr="00661540" w:rsidRDefault="00353C91" w:rsidP="00430AF9">
            <w:pPr>
              <w:spacing w:after="0"/>
              <w:jc w:val="center"/>
              <w:rPr>
                <w:rFonts w:cs="Arial"/>
                <w:b/>
                <w:color w:val="000000"/>
                <w:szCs w:val="24"/>
              </w:rPr>
            </w:pPr>
            <w:r w:rsidRPr="00661540">
              <w:rPr>
                <w:rFonts w:cs="Arial"/>
                <w:b/>
                <w:color w:val="000000"/>
                <w:szCs w:val="24"/>
              </w:rPr>
              <w:t>Profitability Ratios</w:t>
            </w:r>
          </w:p>
        </w:tc>
      </w:tr>
      <w:tr w:rsidR="00353C91" w:rsidRPr="00661540" w14:paraId="22125510" w14:textId="77777777" w:rsidTr="00463E1D">
        <w:trPr>
          <w:trHeight w:val="300"/>
        </w:trPr>
        <w:tc>
          <w:tcPr>
            <w:tcW w:w="610" w:type="pct"/>
            <w:tcBorders>
              <w:top w:val="nil"/>
              <w:left w:val="single" w:sz="4" w:space="0" w:color="auto"/>
              <w:bottom w:val="single" w:sz="4" w:space="0" w:color="auto"/>
              <w:right w:val="single" w:sz="4" w:space="0" w:color="auto"/>
            </w:tcBorders>
            <w:noWrap/>
            <w:vAlign w:val="bottom"/>
            <w:hideMark/>
          </w:tcPr>
          <w:p w14:paraId="41B410F9" w14:textId="77777777" w:rsidR="00353C91" w:rsidRPr="00661540" w:rsidRDefault="00353C91" w:rsidP="00430AF9">
            <w:pPr>
              <w:spacing w:after="0"/>
              <w:jc w:val="center"/>
              <w:rPr>
                <w:rFonts w:cs="Arial"/>
                <w:b/>
                <w:bCs/>
                <w:color w:val="000000"/>
                <w:szCs w:val="24"/>
              </w:rPr>
            </w:pPr>
            <w:r w:rsidRPr="00661540">
              <w:rPr>
                <w:rFonts w:cs="Arial"/>
                <w:b/>
                <w:bCs/>
                <w:color w:val="000000"/>
                <w:szCs w:val="24"/>
              </w:rPr>
              <w:t>Ratio</w:t>
            </w:r>
          </w:p>
        </w:tc>
        <w:tc>
          <w:tcPr>
            <w:tcW w:w="922" w:type="pct"/>
            <w:tcBorders>
              <w:top w:val="nil"/>
              <w:left w:val="nil"/>
              <w:bottom w:val="single" w:sz="4" w:space="0" w:color="auto"/>
              <w:right w:val="single" w:sz="4" w:space="0" w:color="auto"/>
            </w:tcBorders>
            <w:noWrap/>
            <w:vAlign w:val="bottom"/>
            <w:hideMark/>
          </w:tcPr>
          <w:p w14:paraId="33FBE88A" w14:textId="77777777" w:rsidR="00353C91" w:rsidRPr="00661540" w:rsidRDefault="00353C91" w:rsidP="00430AF9">
            <w:pPr>
              <w:spacing w:after="0"/>
              <w:jc w:val="center"/>
              <w:rPr>
                <w:rFonts w:cs="Arial"/>
                <w:b/>
                <w:bCs/>
                <w:color w:val="000000"/>
                <w:szCs w:val="24"/>
              </w:rPr>
            </w:pPr>
            <w:r w:rsidRPr="00661540">
              <w:rPr>
                <w:rFonts w:cs="Arial"/>
                <w:b/>
                <w:bCs/>
                <w:color w:val="000000"/>
                <w:szCs w:val="24"/>
              </w:rPr>
              <w:t>Formula</w:t>
            </w:r>
          </w:p>
        </w:tc>
        <w:tc>
          <w:tcPr>
            <w:tcW w:w="705" w:type="pct"/>
            <w:tcBorders>
              <w:top w:val="nil"/>
              <w:left w:val="nil"/>
              <w:bottom w:val="single" w:sz="4" w:space="0" w:color="auto"/>
              <w:right w:val="single" w:sz="4" w:space="0" w:color="auto"/>
            </w:tcBorders>
            <w:noWrap/>
            <w:vAlign w:val="bottom"/>
            <w:hideMark/>
          </w:tcPr>
          <w:p w14:paraId="6214C5EE" w14:textId="77777777" w:rsidR="00353C91" w:rsidRPr="00661540" w:rsidRDefault="00353C91" w:rsidP="00430AF9">
            <w:pPr>
              <w:spacing w:after="0"/>
              <w:jc w:val="center"/>
              <w:rPr>
                <w:rFonts w:cs="Arial"/>
                <w:b/>
                <w:bCs/>
                <w:color w:val="000000"/>
                <w:szCs w:val="24"/>
              </w:rPr>
            </w:pPr>
            <w:r w:rsidRPr="00661540">
              <w:rPr>
                <w:rFonts w:cs="Arial"/>
                <w:b/>
                <w:bCs/>
                <w:color w:val="000000"/>
                <w:szCs w:val="24"/>
              </w:rPr>
              <w:t>2024 (Amount &amp; Result)</w:t>
            </w:r>
          </w:p>
        </w:tc>
        <w:tc>
          <w:tcPr>
            <w:tcW w:w="705" w:type="pct"/>
            <w:tcBorders>
              <w:top w:val="nil"/>
              <w:left w:val="nil"/>
              <w:bottom w:val="single" w:sz="4" w:space="0" w:color="auto"/>
              <w:right w:val="single" w:sz="4" w:space="0" w:color="auto"/>
            </w:tcBorders>
            <w:noWrap/>
            <w:vAlign w:val="bottom"/>
            <w:hideMark/>
          </w:tcPr>
          <w:p w14:paraId="51FA2675" w14:textId="77777777" w:rsidR="00353C91" w:rsidRPr="00661540" w:rsidRDefault="00353C91" w:rsidP="00430AF9">
            <w:pPr>
              <w:spacing w:after="0"/>
              <w:jc w:val="center"/>
              <w:rPr>
                <w:rFonts w:cs="Arial"/>
                <w:b/>
                <w:bCs/>
                <w:color w:val="000000"/>
                <w:szCs w:val="24"/>
              </w:rPr>
            </w:pPr>
            <w:r w:rsidRPr="00661540">
              <w:rPr>
                <w:rFonts w:cs="Arial"/>
                <w:b/>
                <w:bCs/>
                <w:color w:val="000000"/>
                <w:szCs w:val="24"/>
              </w:rPr>
              <w:t>2023</w:t>
            </w:r>
          </w:p>
        </w:tc>
        <w:tc>
          <w:tcPr>
            <w:tcW w:w="686" w:type="pct"/>
            <w:tcBorders>
              <w:top w:val="nil"/>
              <w:left w:val="nil"/>
              <w:bottom w:val="single" w:sz="4" w:space="0" w:color="auto"/>
              <w:right w:val="single" w:sz="4" w:space="0" w:color="auto"/>
            </w:tcBorders>
            <w:noWrap/>
            <w:vAlign w:val="bottom"/>
            <w:hideMark/>
          </w:tcPr>
          <w:p w14:paraId="04A23F08" w14:textId="77777777" w:rsidR="00353C91" w:rsidRPr="00661540" w:rsidRDefault="00353C91" w:rsidP="00430AF9">
            <w:pPr>
              <w:spacing w:after="0"/>
              <w:jc w:val="center"/>
              <w:rPr>
                <w:rFonts w:cs="Arial"/>
                <w:b/>
                <w:bCs/>
                <w:color w:val="000000"/>
                <w:szCs w:val="24"/>
              </w:rPr>
            </w:pPr>
            <w:r w:rsidRPr="00661540">
              <w:rPr>
                <w:rFonts w:cs="Arial"/>
                <w:b/>
                <w:bCs/>
                <w:color w:val="000000"/>
                <w:szCs w:val="24"/>
              </w:rPr>
              <w:t>2022</w:t>
            </w:r>
          </w:p>
        </w:tc>
        <w:tc>
          <w:tcPr>
            <w:tcW w:w="686" w:type="pct"/>
            <w:tcBorders>
              <w:top w:val="nil"/>
              <w:left w:val="nil"/>
              <w:bottom w:val="single" w:sz="4" w:space="0" w:color="auto"/>
              <w:right w:val="single" w:sz="4" w:space="0" w:color="auto"/>
            </w:tcBorders>
            <w:noWrap/>
            <w:vAlign w:val="bottom"/>
            <w:hideMark/>
          </w:tcPr>
          <w:p w14:paraId="5F58D84B" w14:textId="77777777" w:rsidR="00353C91" w:rsidRPr="00661540" w:rsidRDefault="00353C91" w:rsidP="00430AF9">
            <w:pPr>
              <w:spacing w:after="0"/>
              <w:jc w:val="center"/>
              <w:rPr>
                <w:rFonts w:cs="Arial"/>
                <w:b/>
                <w:bCs/>
                <w:color w:val="000000"/>
                <w:szCs w:val="24"/>
              </w:rPr>
            </w:pPr>
            <w:r w:rsidRPr="00661540">
              <w:rPr>
                <w:rFonts w:cs="Arial"/>
                <w:b/>
                <w:bCs/>
                <w:color w:val="000000"/>
                <w:szCs w:val="24"/>
              </w:rPr>
              <w:t>2021</w:t>
            </w:r>
          </w:p>
        </w:tc>
        <w:tc>
          <w:tcPr>
            <w:tcW w:w="686" w:type="pct"/>
            <w:tcBorders>
              <w:top w:val="nil"/>
              <w:left w:val="nil"/>
              <w:bottom w:val="single" w:sz="4" w:space="0" w:color="auto"/>
              <w:right w:val="single" w:sz="4" w:space="0" w:color="auto"/>
            </w:tcBorders>
            <w:noWrap/>
            <w:vAlign w:val="bottom"/>
            <w:hideMark/>
          </w:tcPr>
          <w:p w14:paraId="6E6E8C89" w14:textId="77777777" w:rsidR="00353C91" w:rsidRPr="00661540" w:rsidRDefault="00353C91" w:rsidP="00430AF9">
            <w:pPr>
              <w:spacing w:after="0"/>
              <w:jc w:val="center"/>
              <w:rPr>
                <w:rFonts w:cs="Arial"/>
                <w:b/>
                <w:bCs/>
                <w:color w:val="000000"/>
                <w:szCs w:val="24"/>
              </w:rPr>
            </w:pPr>
            <w:r w:rsidRPr="00661540">
              <w:rPr>
                <w:rFonts w:cs="Arial"/>
                <w:b/>
                <w:bCs/>
                <w:color w:val="000000"/>
                <w:szCs w:val="24"/>
              </w:rPr>
              <w:t>2020</w:t>
            </w:r>
          </w:p>
        </w:tc>
      </w:tr>
      <w:tr w:rsidR="00353C91" w:rsidRPr="00661540" w14:paraId="58501A41" w14:textId="77777777" w:rsidTr="00463E1D">
        <w:trPr>
          <w:trHeight w:val="300"/>
        </w:trPr>
        <w:tc>
          <w:tcPr>
            <w:tcW w:w="610" w:type="pct"/>
            <w:tcBorders>
              <w:top w:val="nil"/>
              <w:left w:val="single" w:sz="4" w:space="0" w:color="auto"/>
              <w:bottom w:val="single" w:sz="4" w:space="0" w:color="auto"/>
              <w:right w:val="single" w:sz="4" w:space="0" w:color="auto"/>
            </w:tcBorders>
            <w:noWrap/>
            <w:vAlign w:val="bottom"/>
            <w:hideMark/>
          </w:tcPr>
          <w:p w14:paraId="345612DE" w14:textId="77777777" w:rsidR="00353C91" w:rsidRPr="00661540" w:rsidRDefault="00353C91" w:rsidP="00430AF9">
            <w:pPr>
              <w:spacing w:after="0"/>
              <w:jc w:val="left"/>
              <w:rPr>
                <w:rFonts w:cs="Arial"/>
                <w:b/>
                <w:i/>
                <w:color w:val="000000"/>
                <w:szCs w:val="24"/>
              </w:rPr>
            </w:pPr>
            <w:r w:rsidRPr="00661540">
              <w:rPr>
                <w:rFonts w:cs="Arial"/>
                <w:b/>
                <w:i/>
                <w:color w:val="000000"/>
                <w:szCs w:val="24"/>
              </w:rPr>
              <w:t>Gross Profit Margin (%)</w:t>
            </w:r>
          </w:p>
        </w:tc>
        <w:tc>
          <w:tcPr>
            <w:tcW w:w="922" w:type="pct"/>
            <w:tcBorders>
              <w:top w:val="nil"/>
              <w:left w:val="nil"/>
              <w:bottom w:val="single" w:sz="4" w:space="0" w:color="auto"/>
              <w:right w:val="single" w:sz="4" w:space="0" w:color="auto"/>
            </w:tcBorders>
            <w:noWrap/>
            <w:vAlign w:val="bottom"/>
            <w:hideMark/>
          </w:tcPr>
          <w:p w14:paraId="651E9022" w14:textId="77777777" w:rsidR="00353C91" w:rsidRPr="00661540" w:rsidRDefault="00353C91" w:rsidP="00430AF9">
            <w:pPr>
              <w:spacing w:after="0"/>
              <w:jc w:val="left"/>
              <w:rPr>
                <w:rFonts w:cs="Arial"/>
                <w:color w:val="000000"/>
                <w:szCs w:val="24"/>
              </w:rPr>
            </w:pPr>
            <w:r w:rsidRPr="00661540">
              <w:rPr>
                <w:rFonts w:cs="Arial"/>
                <w:color w:val="000000"/>
                <w:szCs w:val="24"/>
              </w:rPr>
              <w:t>Gross Profit ÷ Net Sales × 100</w:t>
            </w:r>
          </w:p>
        </w:tc>
        <w:tc>
          <w:tcPr>
            <w:tcW w:w="705" w:type="pct"/>
            <w:tcBorders>
              <w:top w:val="nil"/>
              <w:left w:val="nil"/>
              <w:bottom w:val="single" w:sz="4" w:space="0" w:color="auto"/>
              <w:right w:val="single" w:sz="4" w:space="0" w:color="auto"/>
            </w:tcBorders>
            <w:noWrap/>
            <w:vAlign w:val="bottom"/>
            <w:hideMark/>
          </w:tcPr>
          <w:p w14:paraId="608C5F1C" w14:textId="77777777" w:rsidR="00353C91" w:rsidRPr="00661540" w:rsidRDefault="00353C91" w:rsidP="00430AF9">
            <w:pPr>
              <w:spacing w:after="0"/>
              <w:jc w:val="left"/>
              <w:rPr>
                <w:rFonts w:cs="Arial"/>
                <w:color w:val="000000"/>
                <w:szCs w:val="24"/>
              </w:rPr>
            </w:pPr>
            <w:r w:rsidRPr="00661540">
              <w:rPr>
                <w:rFonts w:cs="Arial"/>
                <w:color w:val="000000"/>
                <w:szCs w:val="24"/>
              </w:rPr>
              <w:t>113,994 ÷ 394,879 = 28.87%</w:t>
            </w:r>
          </w:p>
        </w:tc>
        <w:tc>
          <w:tcPr>
            <w:tcW w:w="705" w:type="pct"/>
            <w:tcBorders>
              <w:top w:val="nil"/>
              <w:left w:val="nil"/>
              <w:bottom w:val="single" w:sz="4" w:space="0" w:color="auto"/>
              <w:right w:val="single" w:sz="4" w:space="0" w:color="auto"/>
            </w:tcBorders>
            <w:noWrap/>
            <w:vAlign w:val="bottom"/>
            <w:hideMark/>
          </w:tcPr>
          <w:p w14:paraId="0429B18F" w14:textId="77777777" w:rsidR="00353C91" w:rsidRPr="00661540" w:rsidRDefault="00353C91" w:rsidP="00430AF9">
            <w:pPr>
              <w:spacing w:after="0"/>
              <w:jc w:val="left"/>
              <w:rPr>
                <w:rFonts w:cs="Arial"/>
                <w:color w:val="000000"/>
                <w:szCs w:val="24"/>
              </w:rPr>
            </w:pPr>
            <w:r w:rsidRPr="00661540">
              <w:rPr>
                <w:rFonts w:cs="Arial"/>
                <w:color w:val="000000"/>
                <w:szCs w:val="24"/>
              </w:rPr>
              <w:t>97,560 ÷ 420,457 = 23.20%</w:t>
            </w:r>
          </w:p>
        </w:tc>
        <w:tc>
          <w:tcPr>
            <w:tcW w:w="686" w:type="pct"/>
            <w:tcBorders>
              <w:top w:val="nil"/>
              <w:left w:val="nil"/>
              <w:bottom w:val="single" w:sz="4" w:space="0" w:color="auto"/>
              <w:right w:val="single" w:sz="4" w:space="0" w:color="auto"/>
            </w:tcBorders>
            <w:noWrap/>
            <w:vAlign w:val="bottom"/>
            <w:hideMark/>
          </w:tcPr>
          <w:p w14:paraId="4E8D5C24" w14:textId="77777777" w:rsidR="00353C91" w:rsidRPr="00661540" w:rsidRDefault="00353C91" w:rsidP="00430AF9">
            <w:pPr>
              <w:spacing w:after="0"/>
              <w:jc w:val="left"/>
              <w:rPr>
                <w:rFonts w:cs="Arial"/>
                <w:color w:val="000000"/>
                <w:szCs w:val="24"/>
              </w:rPr>
            </w:pPr>
            <w:r w:rsidRPr="00661540">
              <w:rPr>
                <w:rFonts w:cs="Arial"/>
                <w:color w:val="000000"/>
                <w:szCs w:val="24"/>
              </w:rPr>
              <w:t>152,292 ÷ 542,751 = 28.06%</w:t>
            </w:r>
          </w:p>
        </w:tc>
        <w:tc>
          <w:tcPr>
            <w:tcW w:w="686" w:type="pct"/>
            <w:tcBorders>
              <w:top w:val="nil"/>
              <w:left w:val="nil"/>
              <w:bottom w:val="single" w:sz="4" w:space="0" w:color="auto"/>
              <w:right w:val="single" w:sz="4" w:space="0" w:color="auto"/>
            </w:tcBorders>
            <w:noWrap/>
            <w:vAlign w:val="bottom"/>
            <w:hideMark/>
          </w:tcPr>
          <w:p w14:paraId="2014BCD4" w14:textId="77777777" w:rsidR="00353C91" w:rsidRPr="00661540" w:rsidRDefault="00353C91" w:rsidP="00430AF9">
            <w:pPr>
              <w:spacing w:after="0"/>
              <w:jc w:val="left"/>
              <w:rPr>
                <w:rFonts w:cs="Arial"/>
                <w:color w:val="000000"/>
                <w:szCs w:val="24"/>
              </w:rPr>
            </w:pPr>
            <w:r w:rsidRPr="00661540">
              <w:rPr>
                <w:rFonts w:cs="Arial"/>
                <w:color w:val="000000"/>
                <w:szCs w:val="24"/>
              </w:rPr>
              <w:t>173,016 ÷ 601,602 = 28.76%</w:t>
            </w:r>
          </w:p>
        </w:tc>
        <w:tc>
          <w:tcPr>
            <w:tcW w:w="686" w:type="pct"/>
            <w:tcBorders>
              <w:top w:val="nil"/>
              <w:left w:val="nil"/>
              <w:bottom w:val="single" w:sz="4" w:space="0" w:color="auto"/>
              <w:right w:val="single" w:sz="4" w:space="0" w:color="auto"/>
            </w:tcBorders>
            <w:noWrap/>
            <w:vAlign w:val="bottom"/>
            <w:hideMark/>
          </w:tcPr>
          <w:p w14:paraId="569CCC22" w14:textId="77777777" w:rsidR="00353C91" w:rsidRPr="00661540" w:rsidRDefault="00353C91" w:rsidP="00430AF9">
            <w:pPr>
              <w:spacing w:after="0"/>
              <w:jc w:val="left"/>
              <w:rPr>
                <w:rFonts w:cs="Arial"/>
                <w:color w:val="000000"/>
                <w:szCs w:val="24"/>
              </w:rPr>
            </w:pPr>
            <w:r w:rsidRPr="00661540">
              <w:rPr>
                <w:rFonts w:cs="Arial"/>
                <w:color w:val="000000"/>
                <w:szCs w:val="24"/>
              </w:rPr>
              <w:t>176,256 ÷ 614,680 = 28.67%</w:t>
            </w:r>
          </w:p>
        </w:tc>
      </w:tr>
      <w:tr w:rsidR="00353C91" w:rsidRPr="00661540" w14:paraId="34D28EB1" w14:textId="77777777" w:rsidTr="00463E1D">
        <w:trPr>
          <w:trHeight w:val="300"/>
        </w:trPr>
        <w:tc>
          <w:tcPr>
            <w:tcW w:w="610" w:type="pct"/>
            <w:tcBorders>
              <w:top w:val="nil"/>
              <w:left w:val="single" w:sz="4" w:space="0" w:color="auto"/>
              <w:bottom w:val="single" w:sz="4" w:space="0" w:color="auto"/>
              <w:right w:val="single" w:sz="4" w:space="0" w:color="auto"/>
            </w:tcBorders>
            <w:noWrap/>
            <w:vAlign w:val="bottom"/>
            <w:hideMark/>
          </w:tcPr>
          <w:p w14:paraId="140C0AA7" w14:textId="77777777" w:rsidR="00353C91" w:rsidRPr="00661540" w:rsidRDefault="00353C91" w:rsidP="00430AF9">
            <w:pPr>
              <w:spacing w:after="0"/>
              <w:jc w:val="left"/>
              <w:rPr>
                <w:rFonts w:cs="Arial"/>
                <w:b/>
                <w:i/>
                <w:color w:val="000000"/>
                <w:szCs w:val="24"/>
              </w:rPr>
            </w:pPr>
            <w:r w:rsidRPr="00661540">
              <w:rPr>
                <w:rFonts w:cs="Arial"/>
                <w:b/>
                <w:i/>
                <w:color w:val="000000"/>
                <w:szCs w:val="24"/>
              </w:rPr>
              <w:t>Net Profit Margin (%)</w:t>
            </w:r>
          </w:p>
        </w:tc>
        <w:tc>
          <w:tcPr>
            <w:tcW w:w="922" w:type="pct"/>
            <w:tcBorders>
              <w:top w:val="nil"/>
              <w:left w:val="nil"/>
              <w:bottom w:val="single" w:sz="4" w:space="0" w:color="auto"/>
              <w:right w:val="single" w:sz="4" w:space="0" w:color="auto"/>
            </w:tcBorders>
            <w:noWrap/>
            <w:vAlign w:val="bottom"/>
            <w:hideMark/>
          </w:tcPr>
          <w:p w14:paraId="2D0176BF" w14:textId="77777777" w:rsidR="00353C91" w:rsidRPr="00661540" w:rsidRDefault="00353C91" w:rsidP="00430AF9">
            <w:pPr>
              <w:spacing w:after="0"/>
              <w:jc w:val="left"/>
              <w:rPr>
                <w:rFonts w:cs="Arial"/>
                <w:color w:val="000000"/>
                <w:szCs w:val="24"/>
              </w:rPr>
            </w:pPr>
            <w:r w:rsidRPr="00661540">
              <w:rPr>
                <w:rFonts w:cs="Arial"/>
                <w:color w:val="000000"/>
                <w:szCs w:val="24"/>
              </w:rPr>
              <w:t>Net Income ÷ Net Sales × 100</w:t>
            </w:r>
          </w:p>
        </w:tc>
        <w:tc>
          <w:tcPr>
            <w:tcW w:w="705" w:type="pct"/>
            <w:tcBorders>
              <w:top w:val="nil"/>
              <w:left w:val="nil"/>
              <w:bottom w:val="single" w:sz="4" w:space="0" w:color="auto"/>
              <w:right w:val="single" w:sz="4" w:space="0" w:color="auto"/>
            </w:tcBorders>
            <w:noWrap/>
            <w:vAlign w:val="bottom"/>
            <w:hideMark/>
          </w:tcPr>
          <w:p w14:paraId="2C353B34" w14:textId="77777777" w:rsidR="00353C91" w:rsidRPr="00661540" w:rsidRDefault="00353C91" w:rsidP="00430AF9">
            <w:pPr>
              <w:spacing w:after="0"/>
              <w:jc w:val="left"/>
              <w:rPr>
                <w:rFonts w:cs="Arial"/>
                <w:color w:val="000000"/>
                <w:szCs w:val="24"/>
              </w:rPr>
            </w:pPr>
            <w:r w:rsidRPr="00661540">
              <w:rPr>
                <w:rFonts w:cs="Arial"/>
                <w:color w:val="000000"/>
                <w:szCs w:val="24"/>
              </w:rPr>
              <w:t>(24,029) ÷ 394,879 = -6.09%</w:t>
            </w:r>
          </w:p>
        </w:tc>
        <w:tc>
          <w:tcPr>
            <w:tcW w:w="705" w:type="pct"/>
            <w:tcBorders>
              <w:top w:val="nil"/>
              <w:left w:val="nil"/>
              <w:bottom w:val="single" w:sz="4" w:space="0" w:color="auto"/>
              <w:right w:val="single" w:sz="4" w:space="0" w:color="auto"/>
            </w:tcBorders>
            <w:noWrap/>
            <w:vAlign w:val="bottom"/>
            <w:hideMark/>
          </w:tcPr>
          <w:p w14:paraId="112D0E1D" w14:textId="77777777" w:rsidR="00353C91" w:rsidRPr="00661540" w:rsidRDefault="00353C91" w:rsidP="00430AF9">
            <w:pPr>
              <w:spacing w:after="0"/>
              <w:jc w:val="left"/>
              <w:rPr>
                <w:rFonts w:cs="Arial"/>
                <w:color w:val="000000"/>
                <w:szCs w:val="24"/>
              </w:rPr>
            </w:pPr>
            <w:r w:rsidRPr="00661540">
              <w:rPr>
                <w:rFonts w:cs="Arial"/>
                <w:color w:val="000000"/>
                <w:szCs w:val="24"/>
              </w:rPr>
              <w:t>(98,238) ÷ 420,457 = -23.37%</w:t>
            </w:r>
          </w:p>
        </w:tc>
        <w:tc>
          <w:tcPr>
            <w:tcW w:w="686" w:type="pct"/>
            <w:tcBorders>
              <w:top w:val="nil"/>
              <w:left w:val="nil"/>
              <w:bottom w:val="single" w:sz="4" w:space="0" w:color="auto"/>
              <w:right w:val="single" w:sz="4" w:space="0" w:color="auto"/>
            </w:tcBorders>
            <w:noWrap/>
            <w:vAlign w:val="bottom"/>
            <w:hideMark/>
          </w:tcPr>
          <w:p w14:paraId="0883284F" w14:textId="77777777" w:rsidR="00353C91" w:rsidRPr="00661540" w:rsidRDefault="00353C91" w:rsidP="00430AF9">
            <w:pPr>
              <w:spacing w:after="0"/>
              <w:jc w:val="left"/>
              <w:rPr>
                <w:rFonts w:cs="Arial"/>
                <w:color w:val="000000"/>
                <w:szCs w:val="24"/>
              </w:rPr>
            </w:pPr>
            <w:r w:rsidRPr="00661540">
              <w:rPr>
                <w:rFonts w:cs="Arial"/>
                <w:color w:val="000000"/>
                <w:szCs w:val="24"/>
              </w:rPr>
              <w:t>407 ÷ 542,751 = 0.07%</w:t>
            </w:r>
          </w:p>
        </w:tc>
        <w:tc>
          <w:tcPr>
            <w:tcW w:w="686" w:type="pct"/>
            <w:tcBorders>
              <w:top w:val="nil"/>
              <w:left w:val="nil"/>
              <w:bottom w:val="single" w:sz="4" w:space="0" w:color="auto"/>
              <w:right w:val="single" w:sz="4" w:space="0" w:color="auto"/>
            </w:tcBorders>
            <w:noWrap/>
            <w:vAlign w:val="bottom"/>
            <w:hideMark/>
          </w:tcPr>
          <w:p w14:paraId="2AAE13E6" w14:textId="77777777" w:rsidR="00353C91" w:rsidRPr="00661540" w:rsidRDefault="00353C91" w:rsidP="00430AF9">
            <w:pPr>
              <w:spacing w:after="0"/>
              <w:jc w:val="left"/>
              <w:rPr>
                <w:rFonts w:cs="Arial"/>
                <w:color w:val="000000"/>
                <w:szCs w:val="24"/>
              </w:rPr>
            </w:pPr>
            <w:r w:rsidRPr="00661540">
              <w:rPr>
                <w:rFonts w:cs="Arial"/>
                <w:color w:val="000000"/>
                <w:szCs w:val="24"/>
              </w:rPr>
              <w:t>5,301 ÷ 601,602 = 0.88%</w:t>
            </w:r>
          </w:p>
        </w:tc>
        <w:tc>
          <w:tcPr>
            <w:tcW w:w="686" w:type="pct"/>
            <w:tcBorders>
              <w:top w:val="nil"/>
              <w:left w:val="nil"/>
              <w:bottom w:val="single" w:sz="4" w:space="0" w:color="auto"/>
              <w:right w:val="single" w:sz="4" w:space="0" w:color="auto"/>
            </w:tcBorders>
            <w:noWrap/>
            <w:vAlign w:val="bottom"/>
            <w:hideMark/>
          </w:tcPr>
          <w:p w14:paraId="733E370B" w14:textId="77777777" w:rsidR="00353C91" w:rsidRPr="00661540" w:rsidRDefault="00353C91" w:rsidP="00430AF9">
            <w:pPr>
              <w:spacing w:after="0"/>
              <w:jc w:val="left"/>
              <w:rPr>
                <w:rFonts w:cs="Arial"/>
                <w:color w:val="000000"/>
                <w:szCs w:val="24"/>
              </w:rPr>
            </w:pPr>
            <w:r w:rsidRPr="00661540">
              <w:rPr>
                <w:rFonts w:cs="Arial"/>
                <w:color w:val="000000"/>
                <w:szCs w:val="24"/>
              </w:rPr>
              <w:t>38,572 ÷ 614,680 = 6.28%</w:t>
            </w:r>
          </w:p>
        </w:tc>
      </w:tr>
      <w:tr w:rsidR="00353C91" w:rsidRPr="00661540" w14:paraId="149E7570" w14:textId="77777777" w:rsidTr="00463E1D">
        <w:trPr>
          <w:trHeight w:val="300"/>
        </w:trPr>
        <w:tc>
          <w:tcPr>
            <w:tcW w:w="610" w:type="pct"/>
            <w:tcBorders>
              <w:top w:val="nil"/>
              <w:left w:val="single" w:sz="4" w:space="0" w:color="auto"/>
              <w:bottom w:val="single" w:sz="4" w:space="0" w:color="auto"/>
              <w:right w:val="single" w:sz="4" w:space="0" w:color="auto"/>
            </w:tcBorders>
            <w:noWrap/>
            <w:vAlign w:val="bottom"/>
            <w:hideMark/>
          </w:tcPr>
          <w:p w14:paraId="0CB8F325" w14:textId="77777777" w:rsidR="00353C91" w:rsidRPr="00661540" w:rsidRDefault="00353C91" w:rsidP="00430AF9">
            <w:pPr>
              <w:spacing w:after="0"/>
              <w:jc w:val="left"/>
              <w:rPr>
                <w:rFonts w:cs="Arial"/>
                <w:b/>
                <w:i/>
                <w:color w:val="000000"/>
                <w:szCs w:val="24"/>
              </w:rPr>
            </w:pPr>
            <w:r w:rsidRPr="00661540">
              <w:rPr>
                <w:rFonts w:cs="Arial"/>
                <w:b/>
                <w:i/>
                <w:color w:val="000000"/>
                <w:szCs w:val="24"/>
              </w:rPr>
              <w:t>ROA (%)</w:t>
            </w:r>
          </w:p>
        </w:tc>
        <w:tc>
          <w:tcPr>
            <w:tcW w:w="922" w:type="pct"/>
            <w:tcBorders>
              <w:top w:val="nil"/>
              <w:left w:val="nil"/>
              <w:bottom w:val="single" w:sz="4" w:space="0" w:color="auto"/>
              <w:right w:val="single" w:sz="4" w:space="0" w:color="auto"/>
            </w:tcBorders>
            <w:noWrap/>
            <w:vAlign w:val="bottom"/>
            <w:hideMark/>
          </w:tcPr>
          <w:p w14:paraId="2E5499ED" w14:textId="77777777" w:rsidR="00353C91" w:rsidRPr="00661540" w:rsidRDefault="00353C91" w:rsidP="00430AF9">
            <w:pPr>
              <w:spacing w:after="0"/>
              <w:jc w:val="left"/>
              <w:rPr>
                <w:rFonts w:cs="Arial"/>
                <w:color w:val="000000"/>
                <w:szCs w:val="24"/>
              </w:rPr>
            </w:pPr>
            <w:r w:rsidRPr="00661540">
              <w:rPr>
                <w:rFonts w:cs="Arial"/>
                <w:color w:val="000000"/>
                <w:szCs w:val="24"/>
              </w:rPr>
              <w:t>Net Income ÷ Total Assets × 100</w:t>
            </w:r>
          </w:p>
        </w:tc>
        <w:tc>
          <w:tcPr>
            <w:tcW w:w="705" w:type="pct"/>
            <w:tcBorders>
              <w:top w:val="nil"/>
              <w:left w:val="nil"/>
              <w:bottom w:val="single" w:sz="4" w:space="0" w:color="auto"/>
              <w:right w:val="single" w:sz="4" w:space="0" w:color="auto"/>
            </w:tcBorders>
            <w:noWrap/>
            <w:vAlign w:val="bottom"/>
            <w:hideMark/>
          </w:tcPr>
          <w:p w14:paraId="7EA1D782" w14:textId="77777777" w:rsidR="00353C91" w:rsidRPr="00661540" w:rsidRDefault="00353C91" w:rsidP="00430AF9">
            <w:pPr>
              <w:spacing w:after="0"/>
              <w:jc w:val="left"/>
              <w:rPr>
                <w:rFonts w:cs="Arial"/>
                <w:color w:val="000000"/>
                <w:szCs w:val="24"/>
              </w:rPr>
            </w:pPr>
            <w:r w:rsidRPr="00661540">
              <w:rPr>
                <w:rFonts w:cs="Arial"/>
                <w:color w:val="000000"/>
                <w:szCs w:val="24"/>
              </w:rPr>
              <w:t>(24,029) ÷ 323,354 = -7.43%</w:t>
            </w:r>
          </w:p>
        </w:tc>
        <w:tc>
          <w:tcPr>
            <w:tcW w:w="705" w:type="pct"/>
            <w:tcBorders>
              <w:top w:val="nil"/>
              <w:left w:val="nil"/>
              <w:bottom w:val="single" w:sz="4" w:space="0" w:color="auto"/>
              <w:right w:val="single" w:sz="4" w:space="0" w:color="auto"/>
            </w:tcBorders>
            <w:noWrap/>
            <w:vAlign w:val="bottom"/>
            <w:hideMark/>
          </w:tcPr>
          <w:p w14:paraId="21D5A232" w14:textId="77777777" w:rsidR="00353C91" w:rsidRPr="00661540" w:rsidRDefault="00353C91" w:rsidP="00430AF9">
            <w:pPr>
              <w:spacing w:after="0"/>
              <w:jc w:val="left"/>
              <w:rPr>
                <w:rFonts w:cs="Arial"/>
                <w:color w:val="000000"/>
                <w:szCs w:val="24"/>
              </w:rPr>
            </w:pPr>
            <w:r w:rsidRPr="00661540">
              <w:rPr>
                <w:rFonts w:cs="Arial"/>
                <w:color w:val="000000"/>
                <w:szCs w:val="24"/>
              </w:rPr>
              <w:t>(98,238) ÷ 355,872 = -27.61%</w:t>
            </w:r>
          </w:p>
        </w:tc>
        <w:tc>
          <w:tcPr>
            <w:tcW w:w="686" w:type="pct"/>
            <w:tcBorders>
              <w:top w:val="nil"/>
              <w:left w:val="nil"/>
              <w:bottom w:val="single" w:sz="4" w:space="0" w:color="auto"/>
              <w:right w:val="single" w:sz="4" w:space="0" w:color="auto"/>
            </w:tcBorders>
            <w:noWrap/>
            <w:vAlign w:val="bottom"/>
            <w:hideMark/>
          </w:tcPr>
          <w:p w14:paraId="1BBC1755" w14:textId="77777777" w:rsidR="00353C91" w:rsidRPr="00661540" w:rsidRDefault="00353C91" w:rsidP="00430AF9">
            <w:pPr>
              <w:spacing w:after="0"/>
              <w:jc w:val="left"/>
              <w:rPr>
                <w:rFonts w:cs="Arial"/>
                <w:color w:val="000000"/>
                <w:szCs w:val="24"/>
              </w:rPr>
            </w:pPr>
            <w:r w:rsidRPr="00661540">
              <w:rPr>
                <w:rFonts w:cs="Arial"/>
                <w:color w:val="000000"/>
                <w:szCs w:val="24"/>
              </w:rPr>
              <w:t>407 ÷ 504,163 = 0.08%</w:t>
            </w:r>
          </w:p>
        </w:tc>
        <w:tc>
          <w:tcPr>
            <w:tcW w:w="686" w:type="pct"/>
            <w:tcBorders>
              <w:top w:val="nil"/>
              <w:left w:val="nil"/>
              <w:bottom w:val="single" w:sz="4" w:space="0" w:color="auto"/>
              <w:right w:val="single" w:sz="4" w:space="0" w:color="auto"/>
            </w:tcBorders>
            <w:noWrap/>
            <w:vAlign w:val="bottom"/>
            <w:hideMark/>
          </w:tcPr>
          <w:p w14:paraId="19D7D014" w14:textId="77777777" w:rsidR="00353C91" w:rsidRPr="00661540" w:rsidRDefault="00353C91" w:rsidP="00430AF9">
            <w:pPr>
              <w:spacing w:after="0"/>
              <w:jc w:val="left"/>
              <w:rPr>
                <w:rFonts w:cs="Arial"/>
                <w:color w:val="000000"/>
                <w:szCs w:val="24"/>
              </w:rPr>
            </w:pPr>
            <w:r w:rsidRPr="00661540">
              <w:rPr>
                <w:rFonts w:cs="Arial"/>
                <w:color w:val="000000"/>
                <w:szCs w:val="24"/>
              </w:rPr>
              <w:t>5,301 ÷ 510,348 = 1.04%</w:t>
            </w:r>
          </w:p>
        </w:tc>
        <w:tc>
          <w:tcPr>
            <w:tcW w:w="686" w:type="pct"/>
            <w:tcBorders>
              <w:top w:val="nil"/>
              <w:left w:val="nil"/>
              <w:bottom w:val="single" w:sz="4" w:space="0" w:color="auto"/>
              <w:right w:val="single" w:sz="4" w:space="0" w:color="auto"/>
            </w:tcBorders>
            <w:noWrap/>
            <w:vAlign w:val="bottom"/>
            <w:hideMark/>
          </w:tcPr>
          <w:p w14:paraId="07564B96" w14:textId="77777777" w:rsidR="00353C91" w:rsidRPr="00661540" w:rsidRDefault="00353C91" w:rsidP="00430AF9">
            <w:pPr>
              <w:spacing w:after="0"/>
              <w:jc w:val="left"/>
              <w:rPr>
                <w:rFonts w:cs="Arial"/>
                <w:color w:val="000000"/>
                <w:szCs w:val="24"/>
              </w:rPr>
            </w:pPr>
            <w:r w:rsidRPr="00661540">
              <w:rPr>
                <w:rFonts w:cs="Arial"/>
                <w:color w:val="000000"/>
                <w:szCs w:val="24"/>
              </w:rPr>
              <w:t>38,572 ÷ 510,290 = 7.56%</w:t>
            </w:r>
          </w:p>
        </w:tc>
      </w:tr>
      <w:tr w:rsidR="00353C91" w:rsidRPr="00661540" w14:paraId="2B1E6597" w14:textId="77777777" w:rsidTr="00463E1D">
        <w:trPr>
          <w:trHeight w:val="300"/>
        </w:trPr>
        <w:tc>
          <w:tcPr>
            <w:tcW w:w="610" w:type="pct"/>
            <w:tcBorders>
              <w:top w:val="nil"/>
              <w:left w:val="single" w:sz="4" w:space="0" w:color="auto"/>
              <w:bottom w:val="single" w:sz="4" w:space="0" w:color="auto"/>
              <w:right w:val="single" w:sz="4" w:space="0" w:color="auto"/>
            </w:tcBorders>
            <w:noWrap/>
            <w:vAlign w:val="bottom"/>
            <w:hideMark/>
          </w:tcPr>
          <w:p w14:paraId="1E0C0927" w14:textId="77777777" w:rsidR="00353C91" w:rsidRPr="00661540" w:rsidRDefault="00353C91" w:rsidP="00430AF9">
            <w:pPr>
              <w:spacing w:after="0"/>
              <w:jc w:val="left"/>
              <w:rPr>
                <w:rFonts w:cs="Arial"/>
                <w:b/>
                <w:i/>
                <w:color w:val="000000"/>
                <w:szCs w:val="24"/>
              </w:rPr>
            </w:pPr>
            <w:r w:rsidRPr="00661540">
              <w:rPr>
                <w:rFonts w:cs="Arial"/>
                <w:b/>
                <w:i/>
                <w:color w:val="000000"/>
                <w:szCs w:val="24"/>
              </w:rPr>
              <w:t>ROE (%)</w:t>
            </w:r>
          </w:p>
        </w:tc>
        <w:tc>
          <w:tcPr>
            <w:tcW w:w="922" w:type="pct"/>
            <w:tcBorders>
              <w:top w:val="nil"/>
              <w:left w:val="nil"/>
              <w:bottom w:val="single" w:sz="4" w:space="0" w:color="auto"/>
              <w:right w:val="single" w:sz="4" w:space="0" w:color="auto"/>
            </w:tcBorders>
            <w:noWrap/>
            <w:vAlign w:val="bottom"/>
            <w:hideMark/>
          </w:tcPr>
          <w:p w14:paraId="4EC7F13D" w14:textId="77777777" w:rsidR="00353C91" w:rsidRPr="00661540" w:rsidRDefault="00353C91" w:rsidP="00430AF9">
            <w:pPr>
              <w:spacing w:after="0"/>
              <w:jc w:val="left"/>
              <w:rPr>
                <w:rFonts w:cs="Arial"/>
                <w:color w:val="000000"/>
                <w:szCs w:val="24"/>
              </w:rPr>
            </w:pPr>
            <w:r w:rsidRPr="00661540">
              <w:rPr>
                <w:rFonts w:cs="Arial"/>
                <w:color w:val="000000"/>
                <w:szCs w:val="24"/>
              </w:rPr>
              <w:t>Net Income ÷ Shareholders’ Equity × 100</w:t>
            </w:r>
          </w:p>
        </w:tc>
        <w:tc>
          <w:tcPr>
            <w:tcW w:w="705" w:type="pct"/>
            <w:tcBorders>
              <w:top w:val="nil"/>
              <w:left w:val="nil"/>
              <w:bottom w:val="single" w:sz="4" w:space="0" w:color="auto"/>
              <w:right w:val="single" w:sz="4" w:space="0" w:color="auto"/>
            </w:tcBorders>
            <w:noWrap/>
            <w:vAlign w:val="bottom"/>
            <w:hideMark/>
          </w:tcPr>
          <w:p w14:paraId="677E835B" w14:textId="77777777" w:rsidR="00353C91" w:rsidRPr="00661540" w:rsidRDefault="00353C91" w:rsidP="00430AF9">
            <w:pPr>
              <w:spacing w:after="0"/>
              <w:jc w:val="left"/>
              <w:rPr>
                <w:rFonts w:cs="Arial"/>
                <w:color w:val="000000"/>
                <w:szCs w:val="24"/>
              </w:rPr>
            </w:pPr>
            <w:r w:rsidRPr="00661540">
              <w:rPr>
                <w:rFonts w:cs="Arial"/>
                <w:color w:val="000000"/>
                <w:szCs w:val="24"/>
              </w:rPr>
              <w:t>(24,029) ÷ 153,105 = -15.69%</w:t>
            </w:r>
          </w:p>
        </w:tc>
        <w:tc>
          <w:tcPr>
            <w:tcW w:w="705" w:type="pct"/>
            <w:tcBorders>
              <w:top w:val="nil"/>
              <w:left w:val="nil"/>
              <w:bottom w:val="single" w:sz="4" w:space="0" w:color="auto"/>
              <w:right w:val="single" w:sz="4" w:space="0" w:color="auto"/>
            </w:tcBorders>
            <w:noWrap/>
            <w:vAlign w:val="bottom"/>
            <w:hideMark/>
          </w:tcPr>
          <w:p w14:paraId="7B821DDC" w14:textId="77777777" w:rsidR="00353C91" w:rsidRPr="00661540" w:rsidRDefault="00353C91" w:rsidP="00430AF9">
            <w:pPr>
              <w:spacing w:after="0"/>
              <w:jc w:val="left"/>
              <w:rPr>
                <w:rFonts w:cs="Arial"/>
                <w:color w:val="000000"/>
                <w:szCs w:val="24"/>
              </w:rPr>
            </w:pPr>
            <w:r w:rsidRPr="00661540">
              <w:rPr>
                <w:rFonts w:cs="Arial"/>
                <w:color w:val="000000"/>
                <w:szCs w:val="24"/>
              </w:rPr>
              <w:t>(98,238) ÷ 178,920 = -54.91%</w:t>
            </w:r>
          </w:p>
        </w:tc>
        <w:tc>
          <w:tcPr>
            <w:tcW w:w="686" w:type="pct"/>
            <w:tcBorders>
              <w:top w:val="nil"/>
              <w:left w:val="nil"/>
              <w:bottom w:val="single" w:sz="4" w:space="0" w:color="auto"/>
              <w:right w:val="single" w:sz="4" w:space="0" w:color="auto"/>
            </w:tcBorders>
            <w:noWrap/>
            <w:vAlign w:val="bottom"/>
            <w:hideMark/>
          </w:tcPr>
          <w:p w14:paraId="49C07F07" w14:textId="77777777" w:rsidR="00353C91" w:rsidRPr="00661540" w:rsidRDefault="00353C91" w:rsidP="00430AF9">
            <w:pPr>
              <w:spacing w:after="0"/>
              <w:jc w:val="left"/>
              <w:rPr>
                <w:rFonts w:cs="Arial"/>
                <w:color w:val="000000"/>
                <w:szCs w:val="24"/>
              </w:rPr>
            </w:pPr>
            <w:r w:rsidRPr="00661540">
              <w:rPr>
                <w:rFonts w:cs="Arial"/>
                <w:color w:val="000000"/>
                <w:szCs w:val="24"/>
              </w:rPr>
              <w:t>407 ÷ 268,406 = 0.15%</w:t>
            </w:r>
          </w:p>
        </w:tc>
        <w:tc>
          <w:tcPr>
            <w:tcW w:w="686" w:type="pct"/>
            <w:tcBorders>
              <w:top w:val="nil"/>
              <w:left w:val="nil"/>
              <w:bottom w:val="single" w:sz="4" w:space="0" w:color="auto"/>
              <w:right w:val="single" w:sz="4" w:space="0" w:color="auto"/>
            </w:tcBorders>
            <w:noWrap/>
            <w:vAlign w:val="bottom"/>
            <w:hideMark/>
          </w:tcPr>
          <w:p w14:paraId="78D5FDFD" w14:textId="77777777" w:rsidR="00353C91" w:rsidRPr="00661540" w:rsidRDefault="00353C91" w:rsidP="00430AF9">
            <w:pPr>
              <w:spacing w:after="0"/>
              <w:jc w:val="left"/>
              <w:rPr>
                <w:rFonts w:cs="Arial"/>
                <w:color w:val="000000"/>
                <w:szCs w:val="24"/>
              </w:rPr>
            </w:pPr>
            <w:r w:rsidRPr="00661540">
              <w:rPr>
                <w:rFonts w:cs="Arial"/>
                <w:color w:val="000000"/>
                <w:szCs w:val="24"/>
              </w:rPr>
              <w:t>5,301 ÷ 275,949 = 1.92%</w:t>
            </w:r>
          </w:p>
        </w:tc>
        <w:tc>
          <w:tcPr>
            <w:tcW w:w="686" w:type="pct"/>
            <w:tcBorders>
              <w:top w:val="nil"/>
              <w:left w:val="nil"/>
              <w:bottom w:val="single" w:sz="4" w:space="0" w:color="auto"/>
              <w:right w:val="single" w:sz="4" w:space="0" w:color="auto"/>
            </w:tcBorders>
            <w:noWrap/>
            <w:vAlign w:val="bottom"/>
            <w:hideMark/>
          </w:tcPr>
          <w:p w14:paraId="447DD9EE" w14:textId="77777777" w:rsidR="00353C91" w:rsidRPr="00661540" w:rsidRDefault="00353C91" w:rsidP="00430AF9">
            <w:pPr>
              <w:spacing w:after="0"/>
              <w:jc w:val="left"/>
              <w:rPr>
                <w:rFonts w:cs="Arial"/>
                <w:color w:val="000000"/>
                <w:szCs w:val="24"/>
              </w:rPr>
            </w:pPr>
            <w:r w:rsidRPr="00661540">
              <w:rPr>
                <w:rFonts w:cs="Arial"/>
                <w:color w:val="000000"/>
                <w:szCs w:val="24"/>
              </w:rPr>
              <w:t>38,572 ÷ 313,301 = 12.31%</w:t>
            </w:r>
          </w:p>
        </w:tc>
      </w:tr>
    </w:tbl>
    <w:p w14:paraId="482C1B6F" w14:textId="419C608A" w:rsidR="00353C91" w:rsidRDefault="00463E1D" w:rsidP="00353C91">
      <w:pPr>
        <w:jc w:val="center"/>
        <w:rPr>
          <w:lang w:val="en-IN"/>
        </w:rPr>
      </w:pPr>
      <w:r>
        <w:rPr>
          <w:noProof/>
          <w:lang w:val="en-US" w:eastAsia="en-US"/>
        </w:rPr>
        <w:lastRenderedPageBreak/>
        <w:drawing>
          <wp:inline distT="0" distB="0" distL="0" distR="0" wp14:anchorId="27305B9C" wp14:editId="05374279">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tbl>
      <w:tblPr>
        <w:tblW w:w="5000" w:type="pct"/>
        <w:tblLayout w:type="fixed"/>
        <w:tblLook w:val="04A0" w:firstRow="1" w:lastRow="0" w:firstColumn="1" w:lastColumn="0" w:noHBand="0" w:noVBand="1"/>
      </w:tblPr>
      <w:tblGrid>
        <w:gridCol w:w="849"/>
        <w:gridCol w:w="1504"/>
        <w:gridCol w:w="1311"/>
        <w:gridCol w:w="1311"/>
        <w:gridCol w:w="1349"/>
        <w:gridCol w:w="1349"/>
        <w:gridCol w:w="1346"/>
      </w:tblGrid>
      <w:tr w:rsidR="00353C91" w:rsidRPr="00661540" w14:paraId="36E3835C" w14:textId="77777777" w:rsidTr="00430AF9">
        <w:trPr>
          <w:trHeight w:val="300"/>
        </w:trPr>
        <w:tc>
          <w:tcPr>
            <w:tcW w:w="5000" w:type="pct"/>
            <w:gridSpan w:val="7"/>
            <w:tcBorders>
              <w:top w:val="single" w:sz="4" w:space="0" w:color="auto"/>
              <w:left w:val="single" w:sz="4" w:space="0" w:color="auto"/>
              <w:bottom w:val="single" w:sz="4" w:space="0" w:color="auto"/>
              <w:right w:val="single" w:sz="4" w:space="0" w:color="000000"/>
            </w:tcBorders>
            <w:noWrap/>
            <w:vAlign w:val="bottom"/>
            <w:hideMark/>
          </w:tcPr>
          <w:p w14:paraId="5F255966" w14:textId="77777777" w:rsidR="00353C91" w:rsidRPr="00661540" w:rsidRDefault="00353C91" w:rsidP="00430AF9">
            <w:pPr>
              <w:spacing w:after="0"/>
              <w:jc w:val="center"/>
              <w:rPr>
                <w:rFonts w:cs="Arial"/>
                <w:b/>
                <w:bCs/>
                <w:color w:val="000000"/>
                <w:szCs w:val="24"/>
              </w:rPr>
            </w:pPr>
            <w:r w:rsidRPr="00661540">
              <w:rPr>
                <w:rFonts w:cs="Arial"/>
                <w:b/>
                <w:bCs/>
                <w:color w:val="000000"/>
                <w:szCs w:val="24"/>
              </w:rPr>
              <w:t>Liquidity Ratios</w:t>
            </w:r>
          </w:p>
        </w:tc>
      </w:tr>
      <w:tr w:rsidR="00353C91" w:rsidRPr="00661540" w14:paraId="5964BA83" w14:textId="77777777" w:rsidTr="00664DCC">
        <w:trPr>
          <w:trHeight w:val="300"/>
        </w:trPr>
        <w:tc>
          <w:tcPr>
            <w:tcW w:w="470" w:type="pct"/>
            <w:tcBorders>
              <w:top w:val="nil"/>
              <w:left w:val="single" w:sz="4" w:space="0" w:color="auto"/>
              <w:bottom w:val="single" w:sz="4" w:space="0" w:color="auto"/>
              <w:right w:val="single" w:sz="4" w:space="0" w:color="auto"/>
            </w:tcBorders>
            <w:noWrap/>
            <w:vAlign w:val="bottom"/>
            <w:hideMark/>
          </w:tcPr>
          <w:p w14:paraId="51332A13" w14:textId="77777777" w:rsidR="00353C91" w:rsidRPr="00661540" w:rsidRDefault="00353C91" w:rsidP="00430AF9">
            <w:pPr>
              <w:spacing w:after="0"/>
              <w:jc w:val="left"/>
              <w:rPr>
                <w:rFonts w:cs="Arial"/>
                <w:b/>
                <w:bCs/>
                <w:color w:val="000000"/>
                <w:szCs w:val="24"/>
              </w:rPr>
            </w:pPr>
            <w:r w:rsidRPr="00661540">
              <w:rPr>
                <w:rFonts w:cs="Arial"/>
                <w:b/>
                <w:bCs/>
                <w:color w:val="000000"/>
                <w:szCs w:val="24"/>
              </w:rPr>
              <w:t>Ratio</w:t>
            </w:r>
          </w:p>
        </w:tc>
        <w:tc>
          <w:tcPr>
            <w:tcW w:w="834" w:type="pct"/>
            <w:tcBorders>
              <w:top w:val="nil"/>
              <w:left w:val="nil"/>
              <w:bottom w:val="single" w:sz="4" w:space="0" w:color="auto"/>
              <w:right w:val="single" w:sz="4" w:space="0" w:color="auto"/>
            </w:tcBorders>
            <w:noWrap/>
            <w:vAlign w:val="bottom"/>
            <w:hideMark/>
          </w:tcPr>
          <w:p w14:paraId="32E209F2" w14:textId="77777777" w:rsidR="00353C91" w:rsidRPr="00661540" w:rsidRDefault="00353C91" w:rsidP="00430AF9">
            <w:pPr>
              <w:spacing w:after="0"/>
              <w:jc w:val="left"/>
              <w:rPr>
                <w:rFonts w:cs="Arial"/>
                <w:b/>
                <w:bCs/>
                <w:color w:val="000000"/>
                <w:szCs w:val="24"/>
              </w:rPr>
            </w:pPr>
            <w:r w:rsidRPr="00661540">
              <w:rPr>
                <w:rFonts w:cs="Arial"/>
                <w:b/>
                <w:bCs/>
                <w:color w:val="000000"/>
                <w:szCs w:val="24"/>
              </w:rPr>
              <w:t>Formula</w:t>
            </w:r>
          </w:p>
        </w:tc>
        <w:tc>
          <w:tcPr>
            <w:tcW w:w="727" w:type="pct"/>
            <w:tcBorders>
              <w:top w:val="nil"/>
              <w:left w:val="nil"/>
              <w:bottom w:val="single" w:sz="4" w:space="0" w:color="auto"/>
              <w:right w:val="single" w:sz="4" w:space="0" w:color="auto"/>
            </w:tcBorders>
            <w:noWrap/>
            <w:vAlign w:val="bottom"/>
            <w:hideMark/>
          </w:tcPr>
          <w:p w14:paraId="24A46A19" w14:textId="77777777" w:rsidR="00353C91" w:rsidRPr="00661540" w:rsidRDefault="00353C91" w:rsidP="00430AF9">
            <w:pPr>
              <w:spacing w:after="0"/>
              <w:jc w:val="right"/>
              <w:rPr>
                <w:rFonts w:cs="Arial"/>
                <w:b/>
                <w:bCs/>
                <w:color w:val="000000"/>
                <w:szCs w:val="24"/>
              </w:rPr>
            </w:pPr>
            <w:r w:rsidRPr="00661540">
              <w:rPr>
                <w:rFonts w:cs="Arial"/>
                <w:b/>
                <w:bCs/>
                <w:color w:val="000000"/>
                <w:szCs w:val="24"/>
              </w:rPr>
              <w:t>2024</w:t>
            </w:r>
          </w:p>
        </w:tc>
        <w:tc>
          <w:tcPr>
            <w:tcW w:w="727" w:type="pct"/>
            <w:tcBorders>
              <w:top w:val="nil"/>
              <w:left w:val="nil"/>
              <w:bottom w:val="single" w:sz="4" w:space="0" w:color="auto"/>
              <w:right w:val="single" w:sz="4" w:space="0" w:color="auto"/>
            </w:tcBorders>
            <w:noWrap/>
            <w:vAlign w:val="bottom"/>
            <w:hideMark/>
          </w:tcPr>
          <w:p w14:paraId="52870B1C" w14:textId="77777777" w:rsidR="00353C91" w:rsidRPr="00661540" w:rsidRDefault="00353C91" w:rsidP="00430AF9">
            <w:pPr>
              <w:spacing w:after="0"/>
              <w:jc w:val="right"/>
              <w:rPr>
                <w:rFonts w:cs="Arial"/>
                <w:b/>
                <w:bCs/>
                <w:color w:val="000000"/>
                <w:szCs w:val="24"/>
              </w:rPr>
            </w:pPr>
            <w:r w:rsidRPr="00661540">
              <w:rPr>
                <w:rFonts w:cs="Arial"/>
                <w:b/>
                <w:bCs/>
                <w:color w:val="000000"/>
                <w:szCs w:val="24"/>
              </w:rPr>
              <w:t>2023</w:t>
            </w:r>
          </w:p>
        </w:tc>
        <w:tc>
          <w:tcPr>
            <w:tcW w:w="748" w:type="pct"/>
            <w:tcBorders>
              <w:top w:val="nil"/>
              <w:left w:val="nil"/>
              <w:bottom w:val="single" w:sz="4" w:space="0" w:color="auto"/>
              <w:right w:val="single" w:sz="4" w:space="0" w:color="auto"/>
            </w:tcBorders>
            <w:noWrap/>
            <w:vAlign w:val="bottom"/>
            <w:hideMark/>
          </w:tcPr>
          <w:p w14:paraId="21C21CB2" w14:textId="77777777" w:rsidR="00353C91" w:rsidRPr="00661540" w:rsidRDefault="00353C91" w:rsidP="00430AF9">
            <w:pPr>
              <w:spacing w:after="0"/>
              <w:jc w:val="right"/>
              <w:rPr>
                <w:rFonts w:cs="Arial"/>
                <w:b/>
                <w:bCs/>
                <w:color w:val="000000"/>
                <w:szCs w:val="24"/>
              </w:rPr>
            </w:pPr>
            <w:r w:rsidRPr="00661540">
              <w:rPr>
                <w:rFonts w:cs="Arial"/>
                <w:b/>
                <w:bCs/>
                <w:color w:val="000000"/>
                <w:szCs w:val="24"/>
              </w:rPr>
              <w:t>2022</w:t>
            </w:r>
          </w:p>
        </w:tc>
        <w:tc>
          <w:tcPr>
            <w:tcW w:w="748" w:type="pct"/>
            <w:tcBorders>
              <w:top w:val="nil"/>
              <w:left w:val="nil"/>
              <w:bottom w:val="single" w:sz="4" w:space="0" w:color="auto"/>
              <w:right w:val="single" w:sz="4" w:space="0" w:color="auto"/>
            </w:tcBorders>
            <w:noWrap/>
            <w:vAlign w:val="bottom"/>
            <w:hideMark/>
          </w:tcPr>
          <w:p w14:paraId="2ED3A53E" w14:textId="77777777" w:rsidR="00353C91" w:rsidRPr="00661540" w:rsidRDefault="00353C91" w:rsidP="00430AF9">
            <w:pPr>
              <w:spacing w:after="0"/>
              <w:jc w:val="right"/>
              <w:rPr>
                <w:rFonts w:cs="Arial"/>
                <w:b/>
                <w:bCs/>
                <w:color w:val="000000"/>
                <w:szCs w:val="24"/>
              </w:rPr>
            </w:pPr>
            <w:r w:rsidRPr="00661540">
              <w:rPr>
                <w:rFonts w:cs="Arial"/>
                <w:b/>
                <w:bCs/>
                <w:color w:val="000000"/>
                <w:szCs w:val="24"/>
              </w:rPr>
              <w:t>2021</w:t>
            </w:r>
          </w:p>
        </w:tc>
        <w:tc>
          <w:tcPr>
            <w:tcW w:w="747" w:type="pct"/>
            <w:tcBorders>
              <w:top w:val="nil"/>
              <w:left w:val="nil"/>
              <w:bottom w:val="single" w:sz="4" w:space="0" w:color="auto"/>
              <w:right w:val="single" w:sz="4" w:space="0" w:color="auto"/>
            </w:tcBorders>
            <w:noWrap/>
            <w:vAlign w:val="bottom"/>
            <w:hideMark/>
          </w:tcPr>
          <w:p w14:paraId="0877076E" w14:textId="77777777" w:rsidR="00353C91" w:rsidRPr="00661540" w:rsidRDefault="00353C91" w:rsidP="00430AF9">
            <w:pPr>
              <w:spacing w:after="0"/>
              <w:jc w:val="right"/>
              <w:rPr>
                <w:rFonts w:cs="Arial"/>
                <w:b/>
                <w:bCs/>
                <w:color w:val="000000"/>
                <w:szCs w:val="24"/>
              </w:rPr>
            </w:pPr>
            <w:r w:rsidRPr="00661540">
              <w:rPr>
                <w:rFonts w:cs="Arial"/>
                <w:b/>
                <w:bCs/>
                <w:color w:val="000000"/>
                <w:szCs w:val="24"/>
              </w:rPr>
              <w:t>2020</w:t>
            </w:r>
          </w:p>
        </w:tc>
      </w:tr>
      <w:tr w:rsidR="00353C91" w:rsidRPr="00661540" w14:paraId="1CFF6AA9" w14:textId="77777777" w:rsidTr="00664DCC">
        <w:trPr>
          <w:trHeight w:val="300"/>
        </w:trPr>
        <w:tc>
          <w:tcPr>
            <w:tcW w:w="470" w:type="pct"/>
            <w:tcBorders>
              <w:top w:val="nil"/>
              <w:left w:val="single" w:sz="4" w:space="0" w:color="auto"/>
              <w:bottom w:val="single" w:sz="4" w:space="0" w:color="auto"/>
              <w:right w:val="single" w:sz="4" w:space="0" w:color="auto"/>
            </w:tcBorders>
            <w:noWrap/>
            <w:vAlign w:val="bottom"/>
            <w:hideMark/>
          </w:tcPr>
          <w:p w14:paraId="08540C3C" w14:textId="77777777" w:rsidR="00353C91" w:rsidRPr="00661540" w:rsidRDefault="00353C91" w:rsidP="00430AF9">
            <w:pPr>
              <w:spacing w:after="0"/>
              <w:jc w:val="left"/>
              <w:rPr>
                <w:rFonts w:cs="Arial"/>
                <w:b/>
                <w:i/>
                <w:color w:val="000000"/>
                <w:szCs w:val="24"/>
              </w:rPr>
            </w:pPr>
            <w:r w:rsidRPr="00661540">
              <w:rPr>
                <w:rFonts w:cs="Arial"/>
                <w:b/>
                <w:i/>
                <w:color w:val="000000"/>
                <w:szCs w:val="24"/>
              </w:rPr>
              <w:t>Current Ratio</w:t>
            </w:r>
          </w:p>
        </w:tc>
        <w:tc>
          <w:tcPr>
            <w:tcW w:w="834" w:type="pct"/>
            <w:tcBorders>
              <w:top w:val="nil"/>
              <w:left w:val="nil"/>
              <w:bottom w:val="single" w:sz="4" w:space="0" w:color="auto"/>
              <w:right w:val="single" w:sz="4" w:space="0" w:color="auto"/>
            </w:tcBorders>
            <w:noWrap/>
            <w:vAlign w:val="bottom"/>
            <w:hideMark/>
          </w:tcPr>
          <w:p w14:paraId="1B6608B4" w14:textId="77777777" w:rsidR="00353C91" w:rsidRPr="00661540" w:rsidRDefault="00353C91" w:rsidP="00430AF9">
            <w:pPr>
              <w:spacing w:after="0"/>
              <w:jc w:val="left"/>
              <w:rPr>
                <w:rFonts w:cs="Arial"/>
                <w:color w:val="000000"/>
                <w:szCs w:val="24"/>
              </w:rPr>
            </w:pPr>
            <w:r w:rsidRPr="00661540">
              <w:rPr>
                <w:rFonts w:cs="Arial"/>
                <w:color w:val="000000"/>
                <w:szCs w:val="24"/>
              </w:rPr>
              <w:t>Current Assets ÷ Current Liabilities</w:t>
            </w:r>
          </w:p>
        </w:tc>
        <w:tc>
          <w:tcPr>
            <w:tcW w:w="727" w:type="pct"/>
            <w:tcBorders>
              <w:top w:val="nil"/>
              <w:left w:val="nil"/>
              <w:bottom w:val="single" w:sz="4" w:space="0" w:color="auto"/>
              <w:right w:val="single" w:sz="4" w:space="0" w:color="auto"/>
            </w:tcBorders>
            <w:noWrap/>
            <w:vAlign w:val="bottom"/>
            <w:hideMark/>
          </w:tcPr>
          <w:p w14:paraId="3468AFFE" w14:textId="77777777" w:rsidR="00353C91" w:rsidRPr="00661540" w:rsidRDefault="00353C91" w:rsidP="00430AF9">
            <w:pPr>
              <w:spacing w:after="0"/>
              <w:jc w:val="left"/>
              <w:rPr>
                <w:rFonts w:cs="Arial"/>
                <w:color w:val="000000"/>
                <w:szCs w:val="24"/>
              </w:rPr>
            </w:pPr>
            <w:r w:rsidRPr="00661540">
              <w:rPr>
                <w:rFonts w:cs="Arial"/>
                <w:color w:val="000000"/>
                <w:szCs w:val="24"/>
              </w:rPr>
              <w:t>242,494 ÷ 158,291 = 1.53</w:t>
            </w:r>
          </w:p>
        </w:tc>
        <w:tc>
          <w:tcPr>
            <w:tcW w:w="727" w:type="pct"/>
            <w:tcBorders>
              <w:top w:val="nil"/>
              <w:left w:val="nil"/>
              <w:bottom w:val="single" w:sz="4" w:space="0" w:color="auto"/>
              <w:right w:val="single" w:sz="4" w:space="0" w:color="auto"/>
            </w:tcBorders>
            <w:noWrap/>
            <w:vAlign w:val="bottom"/>
            <w:hideMark/>
          </w:tcPr>
          <w:p w14:paraId="2F346B81" w14:textId="77777777" w:rsidR="00353C91" w:rsidRPr="00661540" w:rsidRDefault="00353C91" w:rsidP="00430AF9">
            <w:pPr>
              <w:spacing w:after="0"/>
              <w:jc w:val="left"/>
              <w:rPr>
                <w:rFonts w:cs="Arial"/>
                <w:color w:val="000000"/>
                <w:szCs w:val="24"/>
              </w:rPr>
            </w:pPr>
            <w:r w:rsidRPr="00661540">
              <w:rPr>
                <w:rFonts w:cs="Arial"/>
                <w:color w:val="000000"/>
                <w:szCs w:val="24"/>
              </w:rPr>
              <w:t>258,851 ÷ 161,148 = 1.61</w:t>
            </w:r>
          </w:p>
        </w:tc>
        <w:tc>
          <w:tcPr>
            <w:tcW w:w="748" w:type="pct"/>
            <w:tcBorders>
              <w:top w:val="nil"/>
              <w:left w:val="nil"/>
              <w:bottom w:val="single" w:sz="4" w:space="0" w:color="auto"/>
              <w:right w:val="single" w:sz="4" w:space="0" w:color="auto"/>
            </w:tcBorders>
            <w:noWrap/>
            <w:vAlign w:val="bottom"/>
            <w:hideMark/>
          </w:tcPr>
          <w:p w14:paraId="090D119A" w14:textId="77777777" w:rsidR="00353C91" w:rsidRPr="00661540" w:rsidRDefault="00353C91" w:rsidP="00430AF9">
            <w:pPr>
              <w:spacing w:after="0"/>
              <w:jc w:val="left"/>
              <w:rPr>
                <w:rFonts w:cs="Arial"/>
                <w:color w:val="000000"/>
                <w:szCs w:val="24"/>
              </w:rPr>
            </w:pPr>
            <w:r w:rsidRPr="00661540">
              <w:rPr>
                <w:rFonts w:cs="Arial"/>
                <w:color w:val="000000"/>
                <w:szCs w:val="24"/>
              </w:rPr>
              <w:t>338,040 ÷ 216,473 = 1.56</w:t>
            </w:r>
          </w:p>
        </w:tc>
        <w:tc>
          <w:tcPr>
            <w:tcW w:w="748" w:type="pct"/>
            <w:tcBorders>
              <w:top w:val="nil"/>
              <w:left w:val="nil"/>
              <w:bottom w:val="single" w:sz="4" w:space="0" w:color="auto"/>
              <w:right w:val="single" w:sz="4" w:space="0" w:color="auto"/>
            </w:tcBorders>
            <w:noWrap/>
            <w:vAlign w:val="bottom"/>
            <w:hideMark/>
          </w:tcPr>
          <w:p w14:paraId="5568FD56" w14:textId="77777777" w:rsidR="00353C91" w:rsidRPr="00661540" w:rsidRDefault="00353C91" w:rsidP="00430AF9">
            <w:pPr>
              <w:spacing w:after="0"/>
              <w:jc w:val="left"/>
              <w:rPr>
                <w:rFonts w:cs="Arial"/>
                <w:color w:val="000000"/>
                <w:szCs w:val="24"/>
              </w:rPr>
            </w:pPr>
            <w:r w:rsidRPr="00661540">
              <w:rPr>
                <w:rFonts w:cs="Arial"/>
                <w:color w:val="000000"/>
                <w:szCs w:val="24"/>
              </w:rPr>
              <w:t>337,146 ÷ 216,787 = 1.56</w:t>
            </w:r>
          </w:p>
        </w:tc>
        <w:tc>
          <w:tcPr>
            <w:tcW w:w="747" w:type="pct"/>
            <w:tcBorders>
              <w:top w:val="nil"/>
              <w:left w:val="nil"/>
              <w:bottom w:val="single" w:sz="4" w:space="0" w:color="auto"/>
              <w:right w:val="single" w:sz="4" w:space="0" w:color="auto"/>
            </w:tcBorders>
            <w:noWrap/>
            <w:vAlign w:val="bottom"/>
            <w:hideMark/>
          </w:tcPr>
          <w:p w14:paraId="37CBB584" w14:textId="77777777" w:rsidR="00353C91" w:rsidRPr="00661540" w:rsidRDefault="00353C91" w:rsidP="00430AF9">
            <w:pPr>
              <w:spacing w:after="0"/>
              <w:jc w:val="left"/>
              <w:rPr>
                <w:rFonts w:cs="Arial"/>
                <w:color w:val="000000"/>
                <w:szCs w:val="24"/>
              </w:rPr>
            </w:pPr>
            <w:r w:rsidRPr="00661540">
              <w:rPr>
                <w:rFonts w:cs="Arial"/>
                <w:color w:val="000000"/>
                <w:szCs w:val="24"/>
              </w:rPr>
              <w:t>326,843 ÷ 179,510 = 1.82</w:t>
            </w:r>
          </w:p>
        </w:tc>
      </w:tr>
      <w:tr w:rsidR="00353C91" w:rsidRPr="00661540" w14:paraId="11B06EDE" w14:textId="77777777" w:rsidTr="00664DCC">
        <w:trPr>
          <w:trHeight w:val="300"/>
        </w:trPr>
        <w:tc>
          <w:tcPr>
            <w:tcW w:w="470" w:type="pct"/>
            <w:tcBorders>
              <w:top w:val="nil"/>
              <w:left w:val="single" w:sz="4" w:space="0" w:color="auto"/>
              <w:bottom w:val="single" w:sz="4" w:space="0" w:color="auto"/>
              <w:right w:val="single" w:sz="4" w:space="0" w:color="auto"/>
            </w:tcBorders>
            <w:noWrap/>
            <w:vAlign w:val="bottom"/>
            <w:hideMark/>
          </w:tcPr>
          <w:p w14:paraId="0DABA9D8" w14:textId="77777777" w:rsidR="00353C91" w:rsidRPr="00661540" w:rsidRDefault="00353C91" w:rsidP="00430AF9">
            <w:pPr>
              <w:spacing w:after="0"/>
              <w:jc w:val="left"/>
              <w:rPr>
                <w:rFonts w:cs="Arial"/>
                <w:b/>
                <w:i/>
                <w:color w:val="000000"/>
                <w:szCs w:val="24"/>
              </w:rPr>
            </w:pPr>
            <w:r w:rsidRPr="00661540">
              <w:rPr>
                <w:rFonts w:cs="Arial"/>
                <w:b/>
                <w:i/>
                <w:color w:val="000000"/>
                <w:szCs w:val="24"/>
              </w:rPr>
              <w:t>Quick Ratio</w:t>
            </w:r>
          </w:p>
        </w:tc>
        <w:tc>
          <w:tcPr>
            <w:tcW w:w="834" w:type="pct"/>
            <w:tcBorders>
              <w:top w:val="nil"/>
              <w:left w:val="nil"/>
              <w:bottom w:val="single" w:sz="4" w:space="0" w:color="auto"/>
              <w:right w:val="single" w:sz="4" w:space="0" w:color="auto"/>
            </w:tcBorders>
            <w:noWrap/>
            <w:vAlign w:val="bottom"/>
            <w:hideMark/>
          </w:tcPr>
          <w:p w14:paraId="0D9F6BC9" w14:textId="77777777" w:rsidR="00353C91" w:rsidRPr="00661540" w:rsidRDefault="00353C91" w:rsidP="00430AF9">
            <w:pPr>
              <w:spacing w:after="0"/>
              <w:jc w:val="left"/>
              <w:rPr>
                <w:rFonts w:cs="Arial"/>
                <w:color w:val="000000"/>
                <w:szCs w:val="24"/>
              </w:rPr>
            </w:pPr>
            <w:r w:rsidRPr="00661540">
              <w:rPr>
                <w:rFonts w:cs="Arial"/>
                <w:color w:val="000000"/>
                <w:szCs w:val="24"/>
              </w:rPr>
              <w:t>(Current Assets – Inventories) ÷ Current Liabilities</w:t>
            </w:r>
          </w:p>
        </w:tc>
        <w:tc>
          <w:tcPr>
            <w:tcW w:w="727" w:type="pct"/>
            <w:tcBorders>
              <w:top w:val="nil"/>
              <w:left w:val="nil"/>
              <w:bottom w:val="single" w:sz="4" w:space="0" w:color="auto"/>
              <w:right w:val="single" w:sz="4" w:space="0" w:color="auto"/>
            </w:tcBorders>
            <w:noWrap/>
            <w:vAlign w:val="bottom"/>
            <w:hideMark/>
          </w:tcPr>
          <w:p w14:paraId="37F6A6DB" w14:textId="77777777" w:rsidR="00353C91" w:rsidRPr="00661540" w:rsidRDefault="00353C91" w:rsidP="00430AF9">
            <w:pPr>
              <w:spacing w:after="0"/>
              <w:jc w:val="left"/>
              <w:rPr>
                <w:rFonts w:cs="Arial"/>
                <w:color w:val="000000"/>
                <w:szCs w:val="24"/>
              </w:rPr>
            </w:pPr>
            <w:r w:rsidRPr="00661540">
              <w:rPr>
                <w:rFonts w:cs="Arial"/>
                <w:color w:val="000000"/>
                <w:szCs w:val="24"/>
              </w:rPr>
              <w:t>(242,494 − 79,355) ÷ 158,291 = 1.03</w:t>
            </w:r>
          </w:p>
        </w:tc>
        <w:tc>
          <w:tcPr>
            <w:tcW w:w="727" w:type="pct"/>
            <w:tcBorders>
              <w:top w:val="nil"/>
              <w:left w:val="nil"/>
              <w:bottom w:val="single" w:sz="4" w:space="0" w:color="auto"/>
              <w:right w:val="single" w:sz="4" w:space="0" w:color="auto"/>
            </w:tcBorders>
            <w:noWrap/>
            <w:vAlign w:val="bottom"/>
            <w:hideMark/>
          </w:tcPr>
          <w:p w14:paraId="0C6BF92D" w14:textId="77777777" w:rsidR="00353C91" w:rsidRPr="00661540" w:rsidRDefault="00353C91" w:rsidP="00430AF9">
            <w:pPr>
              <w:spacing w:after="0"/>
              <w:jc w:val="left"/>
              <w:rPr>
                <w:rFonts w:cs="Arial"/>
                <w:color w:val="000000"/>
                <w:szCs w:val="24"/>
              </w:rPr>
            </w:pPr>
            <w:r w:rsidRPr="00661540">
              <w:rPr>
                <w:rFonts w:cs="Arial"/>
                <w:color w:val="000000"/>
                <w:szCs w:val="24"/>
              </w:rPr>
              <w:t>(258,851 − 88,273) ÷ 161,148 = 1.06</w:t>
            </w:r>
          </w:p>
        </w:tc>
        <w:tc>
          <w:tcPr>
            <w:tcW w:w="748" w:type="pct"/>
            <w:tcBorders>
              <w:top w:val="nil"/>
              <w:left w:val="nil"/>
              <w:bottom w:val="single" w:sz="4" w:space="0" w:color="auto"/>
              <w:right w:val="single" w:sz="4" w:space="0" w:color="auto"/>
            </w:tcBorders>
            <w:noWrap/>
            <w:vAlign w:val="bottom"/>
            <w:hideMark/>
          </w:tcPr>
          <w:p w14:paraId="2542F01E" w14:textId="77777777" w:rsidR="00353C91" w:rsidRPr="00661540" w:rsidRDefault="00353C91" w:rsidP="00430AF9">
            <w:pPr>
              <w:spacing w:after="0"/>
              <w:jc w:val="left"/>
              <w:rPr>
                <w:rFonts w:cs="Arial"/>
                <w:color w:val="000000"/>
                <w:szCs w:val="24"/>
              </w:rPr>
            </w:pPr>
            <w:r w:rsidRPr="00661540">
              <w:rPr>
                <w:rFonts w:cs="Arial"/>
                <w:color w:val="000000"/>
                <w:szCs w:val="24"/>
              </w:rPr>
              <w:t>(338,040 − 140,181) ÷ 216,473 = 0.91</w:t>
            </w:r>
          </w:p>
        </w:tc>
        <w:tc>
          <w:tcPr>
            <w:tcW w:w="748" w:type="pct"/>
            <w:tcBorders>
              <w:top w:val="nil"/>
              <w:left w:val="nil"/>
              <w:bottom w:val="single" w:sz="4" w:space="0" w:color="auto"/>
              <w:right w:val="single" w:sz="4" w:space="0" w:color="auto"/>
            </w:tcBorders>
            <w:noWrap/>
            <w:vAlign w:val="bottom"/>
            <w:hideMark/>
          </w:tcPr>
          <w:p w14:paraId="14026E4A" w14:textId="77777777" w:rsidR="00353C91" w:rsidRPr="00661540" w:rsidRDefault="00353C91" w:rsidP="00430AF9">
            <w:pPr>
              <w:spacing w:after="0"/>
              <w:jc w:val="left"/>
              <w:rPr>
                <w:rFonts w:cs="Arial"/>
                <w:color w:val="000000"/>
                <w:szCs w:val="24"/>
              </w:rPr>
            </w:pPr>
            <w:r w:rsidRPr="00661540">
              <w:rPr>
                <w:rFonts w:cs="Arial"/>
                <w:color w:val="000000"/>
                <w:szCs w:val="24"/>
              </w:rPr>
              <w:t>(337,146 − 134,469) ÷ 216,787 = 0.94</w:t>
            </w:r>
          </w:p>
        </w:tc>
        <w:tc>
          <w:tcPr>
            <w:tcW w:w="747" w:type="pct"/>
            <w:tcBorders>
              <w:top w:val="nil"/>
              <w:left w:val="nil"/>
              <w:bottom w:val="single" w:sz="4" w:space="0" w:color="auto"/>
              <w:right w:val="single" w:sz="4" w:space="0" w:color="auto"/>
            </w:tcBorders>
            <w:noWrap/>
            <w:vAlign w:val="bottom"/>
            <w:hideMark/>
          </w:tcPr>
          <w:p w14:paraId="3C4DD9FC" w14:textId="77777777" w:rsidR="00353C91" w:rsidRPr="00661540" w:rsidRDefault="00353C91" w:rsidP="00430AF9">
            <w:pPr>
              <w:spacing w:after="0"/>
              <w:jc w:val="left"/>
              <w:rPr>
                <w:rFonts w:cs="Arial"/>
                <w:color w:val="000000"/>
                <w:szCs w:val="24"/>
              </w:rPr>
            </w:pPr>
            <w:r w:rsidRPr="00661540">
              <w:rPr>
                <w:rFonts w:cs="Arial"/>
                <w:color w:val="000000"/>
                <w:szCs w:val="24"/>
              </w:rPr>
              <w:t>(326,843 − 120,430) ÷ 179,510 = 1.15</w:t>
            </w:r>
          </w:p>
        </w:tc>
      </w:tr>
    </w:tbl>
    <w:p w14:paraId="3899F7B7" w14:textId="595141B3" w:rsidR="00353C91" w:rsidRDefault="00664DCC" w:rsidP="00353C91">
      <w:pPr>
        <w:jc w:val="center"/>
        <w:rPr>
          <w:lang w:val="en-IN"/>
        </w:rPr>
      </w:pPr>
      <w:r>
        <w:rPr>
          <w:noProof/>
          <w:lang w:val="en-US" w:eastAsia="en-US"/>
        </w:rPr>
        <w:lastRenderedPageBreak/>
        <w:drawing>
          <wp:inline distT="0" distB="0" distL="0" distR="0" wp14:anchorId="1D52558F" wp14:editId="7AA90724">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tbl>
      <w:tblPr>
        <w:tblW w:w="5000" w:type="pct"/>
        <w:tblLook w:val="04A0" w:firstRow="1" w:lastRow="0" w:firstColumn="1" w:lastColumn="0" w:noHBand="0" w:noVBand="1"/>
      </w:tblPr>
      <w:tblGrid>
        <w:gridCol w:w="948"/>
        <w:gridCol w:w="1306"/>
        <w:gridCol w:w="1353"/>
        <w:gridCol w:w="1353"/>
        <w:gridCol w:w="1353"/>
        <w:gridCol w:w="1353"/>
        <w:gridCol w:w="1353"/>
      </w:tblGrid>
      <w:tr w:rsidR="00353C91" w:rsidRPr="00661540" w14:paraId="58931601" w14:textId="77777777" w:rsidTr="00430AF9">
        <w:trPr>
          <w:trHeight w:val="300"/>
        </w:trPr>
        <w:tc>
          <w:tcPr>
            <w:tcW w:w="5000" w:type="pct"/>
            <w:gridSpan w:val="7"/>
            <w:tcBorders>
              <w:top w:val="single" w:sz="4" w:space="0" w:color="auto"/>
              <w:left w:val="single" w:sz="4" w:space="0" w:color="auto"/>
              <w:bottom w:val="single" w:sz="4" w:space="0" w:color="auto"/>
              <w:right w:val="single" w:sz="4" w:space="0" w:color="000000"/>
            </w:tcBorders>
            <w:noWrap/>
            <w:vAlign w:val="bottom"/>
            <w:hideMark/>
          </w:tcPr>
          <w:p w14:paraId="05C102BF" w14:textId="77777777" w:rsidR="00353C91" w:rsidRPr="00661540" w:rsidRDefault="00353C91" w:rsidP="00430AF9">
            <w:pPr>
              <w:spacing w:after="0"/>
              <w:jc w:val="center"/>
              <w:rPr>
                <w:rFonts w:cs="Arial"/>
                <w:b/>
                <w:bCs/>
                <w:color w:val="000000"/>
                <w:szCs w:val="24"/>
              </w:rPr>
            </w:pPr>
            <w:r w:rsidRPr="00661540">
              <w:rPr>
                <w:rFonts w:cs="Arial"/>
                <w:b/>
                <w:bCs/>
                <w:color w:val="000000"/>
                <w:szCs w:val="24"/>
              </w:rPr>
              <w:t>Efficiency Ratios</w:t>
            </w:r>
          </w:p>
        </w:tc>
      </w:tr>
      <w:tr w:rsidR="00353C91" w:rsidRPr="00661540" w14:paraId="10C726F4" w14:textId="77777777" w:rsidTr="00271AFC">
        <w:trPr>
          <w:trHeight w:val="300"/>
        </w:trPr>
        <w:tc>
          <w:tcPr>
            <w:tcW w:w="526" w:type="pct"/>
            <w:tcBorders>
              <w:top w:val="nil"/>
              <w:left w:val="single" w:sz="4" w:space="0" w:color="auto"/>
              <w:bottom w:val="single" w:sz="4" w:space="0" w:color="auto"/>
              <w:right w:val="single" w:sz="4" w:space="0" w:color="auto"/>
            </w:tcBorders>
            <w:noWrap/>
            <w:vAlign w:val="bottom"/>
            <w:hideMark/>
          </w:tcPr>
          <w:p w14:paraId="1DBFFC2F" w14:textId="77777777" w:rsidR="00353C91" w:rsidRPr="00661540" w:rsidRDefault="00353C91" w:rsidP="00430AF9">
            <w:pPr>
              <w:spacing w:after="0"/>
              <w:jc w:val="center"/>
              <w:rPr>
                <w:rFonts w:cs="Arial"/>
                <w:b/>
                <w:bCs/>
                <w:color w:val="000000"/>
                <w:szCs w:val="24"/>
              </w:rPr>
            </w:pPr>
            <w:r w:rsidRPr="00661540">
              <w:rPr>
                <w:rFonts w:cs="Arial"/>
                <w:b/>
                <w:bCs/>
                <w:color w:val="000000"/>
                <w:szCs w:val="24"/>
              </w:rPr>
              <w:t>Ratio</w:t>
            </w:r>
          </w:p>
        </w:tc>
        <w:tc>
          <w:tcPr>
            <w:tcW w:w="724" w:type="pct"/>
            <w:tcBorders>
              <w:top w:val="nil"/>
              <w:left w:val="nil"/>
              <w:bottom w:val="single" w:sz="4" w:space="0" w:color="auto"/>
              <w:right w:val="single" w:sz="4" w:space="0" w:color="auto"/>
            </w:tcBorders>
            <w:noWrap/>
            <w:vAlign w:val="bottom"/>
            <w:hideMark/>
          </w:tcPr>
          <w:p w14:paraId="693A460D" w14:textId="77777777" w:rsidR="00353C91" w:rsidRPr="00661540" w:rsidRDefault="00353C91" w:rsidP="00430AF9">
            <w:pPr>
              <w:spacing w:after="0"/>
              <w:jc w:val="center"/>
              <w:rPr>
                <w:rFonts w:cs="Arial"/>
                <w:b/>
                <w:bCs/>
                <w:color w:val="000000"/>
                <w:szCs w:val="24"/>
              </w:rPr>
            </w:pPr>
            <w:r w:rsidRPr="00661540">
              <w:rPr>
                <w:rFonts w:cs="Arial"/>
                <w:b/>
                <w:bCs/>
                <w:color w:val="000000"/>
                <w:szCs w:val="24"/>
              </w:rPr>
              <w:t>Formula</w:t>
            </w:r>
          </w:p>
        </w:tc>
        <w:tc>
          <w:tcPr>
            <w:tcW w:w="750" w:type="pct"/>
            <w:tcBorders>
              <w:top w:val="nil"/>
              <w:left w:val="nil"/>
              <w:bottom w:val="single" w:sz="4" w:space="0" w:color="auto"/>
              <w:right w:val="single" w:sz="4" w:space="0" w:color="auto"/>
            </w:tcBorders>
            <w:noWrap/>
            <w:vAlign w:val="bottom"/>
            <w:hideMark/>
          </w:tcPr>
          <w:p w14:paraId="7B9E5CA7" w14:textId="77777777" w:rsidR="00353C91" w:rsidRPr="00661540" w:rsidRDefault="00353C91" w:rsidP="00430AF9">
            <w:pPr>
              <w:spacing w:after="0"/>
              <w:jc w:val="center"/>
              <w:rPr>
                <w:rFonts w:cs="Arial"/>
                <w:b/>
                <w:bCs/>
                <w:color w:val="000000"/>
                <w:szCs w:val="24"/>
              </w:rPr>
            </w:pPr>
            <w:r w:rsidRPr="00661540">
              <w:rPr>
                <w:rFonts w:cs="Arial"/>
                <w:b/>
                <w:bCs/>
                <w:color w:val="000000"/>
                <w:szCs w:val="24"/>
              </w:rPr>
              <w:t>2024</w:t>
            </w:r>
          </w:p>
        </w:tc>
        <w:tc>
          <w:tcPr>
            <w:tcW w:w="750" w:type="pct"/>
            <w:tcBorders>
              <w:top w:val="nil"/>
              <w:left w:val="nil"/>
              <w:bottom w:val="single" w:sz="4" w:space="0" w:color="auto"/>
              <w:right w:val="single" w:sz="4" w:space="0" w:color="auto"/>
            </w:tcBorders>
            <w:noWrap/>
            <w:vAlign w:val="bottom"/>
            <w:hideMark/>
          </w:tcPr>
          <w:p w14:paraId="05555D25" w14:textId="77777777" w:rsidR="00353C91" w:rsidRPr="00661540" w:rsidRDefault="00353C91" w:rsidP="00430AF9">
            <w:pPr>
              <w:spacing w:after="0"/>
              <w:jc w:val="center"/>
              <w:rPr>
                <w:rFonts w:cs="Arial"/>
                <w:b/>
                <w:bCs/>
                <w:color w:val="000000"/>
                <w:szCs w:val="24"/>
              </w:rPr>
            </w:pPr>
            <w:r w:rsidRPr="00661540">
              <w:rPr>
                <w:rFonts w:cs="Arial"/>
                <w:b/>
                <w:bCs/>
                <w:color w:val="000000"/>
                <w:szCs w:val="24"/>
              </w:rPr>
              <w:t>2023</w:t>
            </w:r>
          </w:p>
        </w:tc>
        <w:tc>
          <w:tcPr>
            <w:tcW w:w="750" w:type="pct"/>
            <w:tcBorders>
              <w:top w:val="nil"/>
              <w:left w:val="nil"/>
              <w:bottom w:val="single" w:sz="4" w:space="0" w:color="auto"/>
              <w:right w:val="single" w:sz="4" w:space="0" w:color="auto"/>
            </w:tcBorders>
            <w:noWrap/>
            <w:vAlign w:val="bottom"/>
            <w:hideMark/>
          </w:tcPr>
          <w:p w14:paraId="36E30C44" w14:textId="77777777" w:rsidR="00353C91" w:rsidRPr="00661540" w:rsidRDefault="00353C91" w:rsidP="00430AF9">
            <w:pPr>
              <w:spacing w:after="0"/>
              <w:jc w:val="center"/>
              <w:rPr>
                <w:rFonts w:cs="Arial"/>
                <w:b/>
                <w:bCs/>
                <w:color w:val="000000"/>
                <w:szCs w:val="24"/>
              </w:rPr>
            </w:pPr>
            <w:r w:rsidRPr="00661540">
              <w:rPr>
                <w:rFonts w:cs="Arial"/>
                <w:b/>
                <w:bCs/>
                <w:color w:val="000000"/>
                <w:szCs w:val="24"/>
              </w:rPr>
              <w:t>2022</w:t>
            </w:r>
          </w:p>
        </w:tc>
        <w:tc>
          <w:tcPr>
            <w:tcW w:w="750" w:type="pct"/>
            <w:tcBorders>
              <w:top w:val="nil"/>
              <w:left w:val="nil"/>
              <w:bottom w:val="single" w:sz="4" w:space="0" w:color="auto"/>
              <w:right w:val="single" w:sz="4" w:space="0" w:color="auto"/>
            </w:tcBorders>
            <w:noWrap/>
            <w:vAlign w:val="bottom"/>
            <w:hideMark/>
          </w:tcPr>
          <w:p w14:paraId="3F5A4C8B" w14:textId="77777777" w:rsidR="00353C91" w:rsidRPr="00661540" w:rsidRDefault="00353C91" w:rsidP="00430AF9">
            <w:pPr>
              <w:spacing w:after="0"/>
              <w:jc w:val="center"/>
              <w:rPr>
                <w:rFonts w:cs="Arial"/>
                <w:b/>
                <w:bCs/>
                <w:color w:val="000000"/>
                <w:szCs w:val="24"/>
              </w:rPr>
            </w:pPr>
            <w:r w:rsidRPr="00661540">
              <w:rPr>
                <w:rFonts w:cs="Arial"/>
                <w:b/>
                <w:bCs/>
                <w:color w:val="000000"/>
                <w:szCs w:val="24"/>
              </w:rPr>
              <w:t>2021</w:t>
            </w:r>
          </w:p>
        </w:tc>
        <w:tc>
          <w:tcPr>
            <w:tcW w:w="750" w:type="pct"/>
            <w:tcBorders>
              <w:top w:val="nil"/>
              <w:left w:val="nil"/>
              <w:bottom w:val="single" w:sz="4" w:space="0" w:color="auto"/>
              <w:right w:val="single" w:sz="4" w:space="0" w:color="auto"/>
            </w:tcBorders>
            <w:noWrap/>
            <w:vAlign w:val="bottom"/>
            <w:hideMark/>
          </w:tcPr>
          <w:p w14:paraId="0637410C" w14:textId="77777777" w:rsidR="00353C91" w:rsidRPr="00661540" w:rsidRDefault="00353C91" w:rsidP="00430AF9">
            <w:pPr>
              <w:spacing w:after="0"/>
              <w:jc w:val="center"/>
              <w:rPr>
                <w:rFonts w:cs="Arial"/>
                <w:b/>
                <w:bCs/>
                <w:color w:val="000000"/>
                <w:szCs w:val="24"/>
              </w:rPr>
            </w:pPr>
            <w:r w:rsidRPr="00661540">
              <w:rPr>
                <w:rFonts w:cs="Arial"/>
                <w:b/>
                <w:bCs/>
                <w:color w:val="000000"/>
                <w:szCs w:val="24"/>
              </w:rPr>
              <w:t>2020</w:t>
            </w:r>
          </w:p>
        </w:tc>
      </w:tr>
      <w:tr w:rsidR="00353C91" w:rsidRPr="00661540" w14:paraId="44FBA5B8" w14:textId="77777777" w:rsidTr="00271AFC">
        <w:trPr>
          <w:trHeight w:val="300"/>
        </w:trPr>
        <w:tc>
          <w:tcPr>
            <w:tcW w:w="526" w:type="pct"/>
            <w:tcBorders>
              <w:top w:val="nil"/>
              <w:left w:val="single" w:sz="4" w:space="0" w:color="auto"/>
              <w:bottom w:val="single" w:sz="4" w:space="0" w:color="auto"/>
              <w:right w:val="single" w:sz="4" w:space="0" w:color="auto"/>
            </w:tcBorders>
            <w:noWrap/>
            <w:vAlign w:val="bottom"/>
            <w:hideMark/>
          </w:tcPr>
          <w:p w14:paraId="432E1DF5" w14:textId="77777777" w:rsidR="00353C91" w:rsidRPr="00661540" w:rsidRDefault="00353C91" w:rsidP="00430AF9">
            <w:pPr>
              <w:spacing w:after="0"/>
              <w:jc w:val="left"/>
              <w:rPr>
                <w:rFonts w:cs="Arial"/>
                <w:b/>
                <w:i/>
                <w:color w:val="000000"/>
                <w:szCs w:val="24"/>
              </w:rPr>
            </w:pPr>
            <w:r w:rsidRPr="00661540">
              <w:rPr>
                <w:rFonts w:cs="Arial"/>
                <w:b/>
                <w:i/>
                <w:color w:val="000000"/>
                <w:szCs w:val="24"/>
              </w:rPr>
              <w:t>Asset Turnover</w:t>
            </w:r>
          </w:p>
        </w:tc>
        <w:tc>
          <w:tcPr>
            <w:tcW w:w="724" w:type="pct"/>
            <w:tcBorders>
              <w:top w:val="nil"/>
              <w:left w:val="nil"/>
              <w:bottom w:val="single" w:sz="4" w:space="0" w:color="auto"/>
              <w:right w:val="single" w:sz="4" w:space="0" w:color="auto"/>
            </w:tcBorders>
            <w:noWrap/>
            <w:vAlign w:val="bottom"/>
            <w:hideMark/>
          </w:tcPr>
          <w:p w14:paraId="5B400623" w14:textId="77777777" w:rsidR="00353C91" w:rsidRPr="00661540" w:rsidRDefault="00353C91" w:rsidP="00430AF9">
            <w:pPr>
              <w:spacing w:after="0"/>
              <w:jc w:val="left"/>
              <w:rPr>
                <w:rFonts w:cs="Arial"/>
                <w:color w:val="000000"/>
                <w:szCs w:val="24"/>
              </w:rPr>
            </w:pPr>
            <w:r w:rsidRPr="00661540">
              <w:rPr>
                <w:rFonts w:cs="Arial"/>
                <w:color w:val="000000"/>
                <w:szCs w:val="24"/>
              </w:rPr>
              <w:t>Net Sales ÷ Total Assets</w:t>
            </w:r>
          </w:p>
        </w:tc>
        <w:tc>
          <w:tcPr>
            <w:tcW w:w="750" w:type="pct"/>
            <w:tcBorders>
              <w:top w:val="nil"/>
              <w:left w:val="nil"/>
              <w:bottom w:val="single" w:sz="4" w:space="0" w:color="auto"/>
              <w:right w:val="single" w:sz="4" w:space="0" w:color="auto"/>
            </w:tcBorders>
            <w:noWrap/>
            <w:vAlign w:val="bottom"/>
            <w:hideMark/>
          </w:tcPr>
          <w:p w14:paraId="42384727" w14:textId="77777777" w:rsidR="00353C91" w:rsidRPr="00661540" w:rsidRDefault="00353C91" w:rsidP="00430AF9">
            <w:pPr>
              <w:spacing w:after="0"/>
              <w:jc w:val="left"/>
              <w:rPr>
                <w:rFonts w:cs="Arial"/>
                <w:color w:val="000000"/>
                <w:szCs w:val="24"/>
              </w:rPr>
            </w:pPr>
            <w:r w:rsidRPr="00661540">
              <w:rPr>
                <w:rFonts w:cs="Arial"/>
                <w:color w:val="000000"/>
                <w:szCs w:val="24"/>
              </w:rPr>
              <w:t>394,879 ÷ 323,354 = 1.22</w:t>
            </w:r>
          </w:p>
        </w:tc>
        <w:tc>
          <w:tcPr>
            <w:tcW w:w="750" w:type="pct"/>
            <w:tcBorders>
              <w:top w:val="nil"/>
              <w:left w:val="nil"/>
              <w:bottom w:val="single" w:sz="4" w:space="0" w:color="auto"/>
              <w:right w:val="single" w:sz="4" w:space="0" w:color="auto"/>
            </w:tcBorders>
            <w:noWrap/>
            <w:vAlign w:val="bottom"/>
            <w:hideMark/>
          </w:tcPr>
          <w:p w14:paraId="040E863A" w14:textId="77777777" w:rsidR="00353C91" w:rsidRPr="00661540" w:rsidRDefault="00353C91" w:rsidP="00430AF9">
            <w:pPr>
              <w:spacing w:after="0"/>
              <w:jc w:val="left"/>
              <w:rPr>
                <w:rFonts w:cs="Arial"/>
                <w:color w:val="000000"/>
                <w:szCs w:val="24"/>
              </w:rPr>
            </w:pPr>
            <w:r w:rsidRPr="00661540">
              <w:rPr>
                <w:rFonts w:cs="Arial"/>
                <w:color w:val="000000"/>
                <w:szCs w:val="24"/>
              </w:rPr>
              <w:t>420,457 ÷ 355,872 = 1.18</w:t>
            </w:r>
          </w:p>
        </w:tc>
        <w:tc>
          <w:tcPr>
            <w:tcW w:w="750" w:type="pct"/>
            <w:tcBorders>
              <w:top w:val="nil"/>
              <w:left w:val="nil"/>
              <w:bottom w:val="single" w:sz="4" w:space="0" w:color="auto"/>
              <w:right w:val="single" w:sz="4" w:space="0" w:color="auto"/>
            </w:tcBorders>
            <w:noWrap/>
            <w:vAlign w:val="bottom"/>
            <w:hideMark/>
          </w:tcPr>
          <w:p w14:paraId="3C40177E" w14:textId="77777777" w:rsidR="00353C91" w:rsidRPr="00661540" w:rsidRDefault="00353C91" w:rsidP="00430AF9">
            <w:pPr>
              <w:spacing w:after="0"/>
              <w:jc w:val="left"/>
              <w:rPr>
                <w:rFonts w:cs="Arial"/>
                <w:color w:val="000000"/>
                <w:szCs w:val="24"/>
              </w:rPr>
            </w:pPr>
            <w:r w:rsidRPr="00661540">
              <w:rPr>
                <w:rFonts w:cs="Arial"/>
                <w:color w:val="000000"/>
                <w:szCs w:val="24"/>
              </w:rPr>
              <w:t>542,751 ÷ 504,163 = 1.08</w:t>
            </w:r>
          </w:p>
        </w:tc>
        <w:tc>
          <w:tcPr>
            <w:tcW w:w="750" w:type="pct"/>
            <w:tcBorders>
              <w:top w:val="nil"/>
              <w:left w:val="nil"/>
              <w:bottom w:val="single" w:sz="4" w:space="0" w:color="auto"/>
              <w:right w:val="single" w:sz="4" w:space="0" w:color="auto"/>
            </w:tcBorders>
            <w:noWrap/>
            <w:vAlign w:val="bottom"/>
            <w:hideMark/>
          </w:tcPr>
          <w:p w14:paraId="01D20E00" w14:textId="77777777" w:rsidR="00353C91" w:rsidRPr="00661540" w:rsidRDefault="00353C91" w:rsidP="00430AF9">
            <w:pPr>
              <w:spacing w:after="0"/>
              <w:jc w:val="left"/>
              <w:rPr>
                <w:rFonts w:cs="Arial"/>
                <w:color w:val="000000"/>
                <w:szCs w:val="24"/>
              </w:rPr>
            </w:pPr>
            <w:r w:rsidRPr="00661540">
              <w:rPr>
                <w:rFonts w:cs="Arial"/>
                <w:color w:val="000000"/>
                <w:szCs w:val="24"/>
              </w:rPr>
              <w:t>601,602 ÷ 510,348 = 1.18</w:t>
            </w:r>
          </w:p>
        </w:tc>
        <w:tc>
          <w:tcPr>
            <w:tcW w:w="750" w:type="pct"/>
            <w:tcBorders>
              <w:top w:val="nil"/>
              <w:left w:val="nil"/>
              <w:bottom w:val="single" w:sz="4" w:space="0" w:color="auto"/>
              <w:right w:val="single" w:sz="4" w:space="0" w:color="auto"/>
            </w:tcBorders>
            <w:noWrap/>
            <w:vAlign w:val="bottom"/>
            <w:hideMark/>
          </w:tcPr>
          <w:p w14:paraId="726FC594" w14:textId="77777777" w:rsidR="00353C91" w:rsidRPr="00661540" w:rsidRDefault="00353C91" w:rsidP="00430AF9">
            <w:pPr>
              <w:spacing w:after="0"/>
              <w:jc w:val="left"/>
              <w:rPr>
                <w:rFonts w:cs="Arial"/>
                <w:color w:val="000000"/>
                <w:szCs w:val="24"/>
              </w:rPr>
            </w:pPr>
            <w:r w:rsidRPr="00661540">
              <w:rPr>
                <w:rFonts w:cs="Arial"/>
                <w:color w:val="000000"/>
                <w:szCs w:val="24"/>
              </w:rPr>
              <w:t>614,680 ÷ 510,290 = 1.21</w:t>
            </w:r>
          </w:p>
        </w:tc>
      </w:tr>
    </w:tbl>
    <w:p w14:paraId="0511646E" w14:textId="0A762570" w:rsidR="00353C91" w:rsidRDefault="00271AFC" w:rsidP="00353C91">
      <w:pPr>
        <w:jc w:val="center"/>
        <w:rPr>
          <w:lang w:val="en-IN"/>
        </w:rPr>
      </w:pPr>
      <w:r>
        <w:rPr>
          <w:noProof/>
          <w:lang w:val="en-US" w:eastAsia="en-US"/>
        </w:rPr>
        <w:drawing>
          <wp:inline distT="0" distB="0" distL="0" distR="0" wp14:anchorId="7186FE52" wp14:editId="62D77850">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tbl>
      <w:tblPr>
        <w:tblW w:w="5000" w:type="pct"/>
        <w:tblLook w:val="04A0" w:firstRow="1" w:lastRow="0" w:firstColumn="1" w:lastColumn="0" w:noHBand="0" w:noVBand="1"/>
      </w:tblPr>
      <w:tblGrid>
        <w:gridCol w:w="856"/>
        <w:gridCol w:w="1788"/>
        <w:gridCol w:w="1275"/>
        <w:gridCol w:w="1275"/>
        <w:gridCol w:w="1275"/>
        <w:gridCol w:w="1275"/>
        <w:gridCol w:w="1275"/>
      </w:tblGrid>
      <w:tr w:rsidR="00353C91" w:rsidRPr="00661540" w14:paraId="37F38870" w14:textId="77777777" w:rsidTr="00430AF9">
        <w:trPr>
          <w:trHeight w:val="300"/>
        </w:trPr>
        <w:tc>
          <w:tcPr>
            <w:tcW w:w="5000" w:type="pct"/>
            <w:gridSpan w:val="7"/>
            <w:tcBorders>
              <w:top w:val="single" w:sz="4" w:space="0" w:color="auto"/>
              <w:left w:val="single" w:sz="4" w:space="0" w:color="auto"/>
              <w:bottom w:val="single" w:sz="4" w:space="0" w:color="auto"/>
              <w:right w:val="single" w:sz="4" w:space="0" w:color="000000"/>
            </w:tcBorders>
            <w:noWrap/>
            <w:vAlign w:val="bottom"/>
            <w:hideMark/>
          </w:tcPr>
          <w:p w14:paraId="0746889C" w14:textId="77777777" w:rsidR="00353C91" w:rsidRPr="00661540" w:rsidRDefault="00353C91" w:rsidP="00430AF9">
            <w:pPr>
              <w:spacing w:after="0"/>
              <w:jc w:val="center"/>
              <w:rPr>
                <w:rFonts w:cs="Arial"/>
                <w:b/>
                <w:bCs/>
                <w:color w:val="000000"/>
                <w:szCs w:val="24"/>
              </w:rPr>
            </w:pPr>
            <w:r w:rsidRPr="00661540">
              <w:rPr>
                <w:rFonts w:cs="Arial"/>
                <w:b/>
                <w:bCs/>
                <w:color w:val="000000"/>
                <w:szCs w:val="24"/>
              </w:rPr>
              <w:t>Gearing / Leverage Ratios</w:t>
            </w:r>
          </w:p>
        </w:tc>
      </w:tr>
      <w:tr w:rsidR="00353C91" w:rsidRPr="00661540" w14:paraId="6DA51F2A" w14:textId="77777777" w:rsidTr="004B4454">
        <w:trPr>
          <w:trHeight w:val="300"/>
        </w:trPr>
        <w:tc>
          <w:tcPr>
            <w:tcW w:w="475" w:type="pct"/>
            <w:tcBorders>
              <w:top w:val="nil"/>
              <w:left w:val="single" w:sz="4" w:space="0" w:color="auto"/>
              <w:bottom w:val="single" w:sz="4" w:space="0" w:color="auto"/>
              <w:right w:val="single" w:sz="4" w:space="0" w:color="auto"/>
            </w:tcBorders>
            <w:noWrap/>
            <w:vAlign w:val="bottom"/>
            <w:hideMark/>
          </w:tcPr>
          <w:p w14:paraId="14C5FA45" w14:textId="77777777" w:rsidR="00353C91" w:rsidRPr="00661540" w:rsidRDefault="00353C91" w:rsidP="00430AF9">
            <w:pPr>
              <w:spacing w:after="0"/>
              <w:jc w:val="left"/>
              <w:rPr>
                <w:rFonts w:cs="Arial"/>
                <w:b/>
                <w:bCs/>
                <w:color w:val="000000"/>
                <w:szCs w:val="24"/>
              </w:rPr>
            </w:pPr>
            <w:r w:rsidRPr="00661540">
              <w:rPr>
                <w:rFonts w:cs="Arial"/>
                <w:b/>
                <w:bCs/>
                <w:color w:val="000000"/>
                <w:szCs w:val="24"/>
              </w:rPr>
              <w:t>Ratio</w:t>
            </w:r>
          </w:p>
        </w:tc>
        <w:tc>
          <w:tcPr>
            <w:tcW w:w="991" w:type="pct"/>
            <w:tcBorders>
              <w:top w:val="nil"/>
              <w:left w:val="nil"/>
              <w:bottom w:val="single" w:sz="4" w:space="0" w:color="auto"/>
              <w:right w:val="single" w:sz="4" w:space="0" w:color="auto"/>
            </w:tcBorders>
            <w:noWrap/>
            <w:vAlign w:val="bottom"/>
            <w:hideMark/>
          </w:tcPr>
          <w:p w14:paraId="0A1EEAC8" w14:textId="77777777" w:rsidR="00353C91" w:rsidRPr="00661540" w:rsidRDefault="00353C91" w:rsidP="00430AF9">
            <w:pPr>
              <w:spacing w:after="0"/>
              <w:jc w:val="left"/>
              <w:rPr>
                <w:rFonts w:cs="Arial"/>
                <w:b/>
                <w:bCs/>
                <w:color w:val="000000"/>
                <w:szCs w:val="24"/>
              </w:rPr>
            </w:pPr>
            <w:r w:rsidRPr="00661540">
              <w:rPr>
                <w:rFonts w:cs="Arial"/>
                <w:b/>
                <w:bCs/>
                <w:color w:val="000000"/>
                <w:szCs w:val="24"/>
              </w:rPr>
              <w:t>Formula</w:t>
            </w:r>
          </w:p>
        </w:tc>
        <w:tc>
          <w:tcPr>
            <w:tcW w:w="707" w:type="pct"/>
            <w:tcBorders>
              <w:top w:val="nil"/>
              <w:left w:val="nil"/>
              <w:bottom w:val="single" w:sz="4" w:space="0" w:color="auto"/>
              <w:right w:val="single" w:sz="4" w:space="0" w:color="auto"/>
            </w:tcBorders>
            <w:noWrap/>
            <w:vAlign w:val="bottom"/>
            <w:hideMark/>
          </w:tcPr>
          <w:p w14:paraId="5F21B998" w14:textId="77777777" w:rsidR="00353C91" w:rsidRPr="00661540" w:rsidRDefault="00353C91" w:rsidP="00430AF9">
            <w:pPr>
              <w:spacing w:after="0"/>
              <w:jc w:val="right"/>
              <w:rPr>
                <w:rFonts w:cs="Arial"/>
                <w:b/>
                <w:bCs/>
                <w:color w:val="000000"/>
                <w:szCs w:val="24"/>
              </w:rPr>
            </w:pPr>
            <w:r w:rsidRPr="00661540">
              <w:rPr>
                <w:rFonts w:cs="Arial"/>
                <w:b/>
                <w:bCs/>
                <w:color w:val="000000"/>
                <w:szCs w:val="24"/>
              </w:rPr>
              <w:t>2024</w:t>
            </w:r>
          </w:p>
        </w:tc>
        <w:tc>
          <w:tcPr>
            <w:tcW w:w="707" w:type="pct"/>
            <w:tcBorders>
              <w:top w:val="nil"/>
              <w:left w:val="nil"/>
              <w:bottom w:val="single" w:sz="4" w:space="0" w:color="auto"/>
              <w:right w:val="single" w:sz="4" w:space="0" w:color="auto"/>
            </w:tcBorders>
            <w:noWrap/>
            <w:vAlign w:val="bottom"/>
            <w:hideMark/>
          </w:tcPr>
          <w:p w14:paraId="2BD9EC3D" w14:textId="77777777" w:rsidR="00353C91" w:rsidRPr="00661540" w:rsidRDefault="00353C91" w:rsidP="00430AF9">
            <w:pPr>
              <w:spacing w:after="0"/>
              <w:jc w:val="right"/>
              <w:rPr>
                <w:rFonts w:cs="Arial"/>
                <w:b/>
                <w:bCs/>
                <w:color w:val="000000"/>
                <w:szCs w:val="24"/>
              </w:rPr>
            </w:pPr>
            <w:r w:rsidRPr="00661540">
              <w:rPr>
                <w:rFonts w:cs="Arial"/>
                <w:b/>
                <w:bCs/>
                <w:color w:val="000000"/>
                <w:szCs w:val="24"/>
              </w:rPr>
              <w:t>2023</w:t>
            </w:r>
          </w:p>
        </w:tc>
        <w:tc>
          <w:tcPr>
            <w:tcW w:w="707" w:type="pct"/>
            <w:tcBorders>
              <w:top w:val="nil"/>
              <w:left w:val="nil"/>
              <w:bottom w:val="single" w:sz="4" w:space="0" w:color="auto"/>
              <w:right w:val="single" w:sz="4" w:space="0" w:color="auto"/>
            </w:tcBorders>
            <w:noWrap/>
            <w:vAlign w:val="bottom"/>
            <w:hideMark/>
          </w:tcPr>
          <w:p w14:paraId="6248A8D7" w14:textId="77777777" w:rsidR="00353C91" w:rsidRPr="00661540" w:rsidRDefault="00353C91" w:rsidP="00430AF9">
            <w:pPr>
              <w:spacing w:after="0"/>
              <w:jc w:val="right"/>
              <w:rPr>
                <w:rFonts w:cs="Arial"/>
                <w:b/>
                <w:bCs/>
                <w:color w:val="000000"/>
                <w:szCs w:val="24"/>
              </w:rPr>
            </w:pPr>
            <w:r w:rsidRPr="00661540">
              <w:rPr>
                <w:rFonts w:cs="Arial"/>
                <w:b/>
                <w:bCs/>
                <w:color w:val="000000"/>
                <w:szCs w:val="24"/>
              </w:rPr>
              <w:t>2022</w:t>
            </w:r>
          </w:p>
        </w:tc>
        <w:tc>
          <w:tcPr>
            <w:tcW w:w="707" w:type="pct"/>
            <w:tcBorders>
              <w:top w:val="nil"/>
              <w:left w:val="nil"/>
              <w:bottom w:val="single" w:sz="4" w:space="0" w:color="auto"/>
              <w:right w:val="single" w:sz="4" w:space="0" w:color="auto"/>
            </w:tcBorders>
            <w:noWrap/>
            <w:vAlign w:val="bottom"/>
            <w:hideMark/>
          </w:tcPr>
          <w:p w14:paraId="1882214A" w14:textId="77777777" w:rsidR="00353C91" w:rsidRPr="00661540" w:rsidRDefault="00353C91" w:rsidP="00430AF9">
            <w:pPr>
              <w:spacing w:after="0"/>
              <w:jc w:val="right"/>
              <w:rPr>
                <w:rFonts w:cs="Arial"/>
                <w:b/>
                <w:bCs/>
                <w:color w:val="000000"/>
                <w:szCs w:val="24"/>
              </w:rPr>
            </w:pPr>
            <w:r w:rsidRPr="00661540">
              <w:rPr>
                <w:rFonts w:cs="Arial"/>
                <w:b/>
                <w:bCs/>
                <w:color w:val="000000"/>
                <w:szCs w:val="24"/>
              </w:rPr>
              <w:t>2021</w:t>
            </w:r>
          </w:p>
        </w:tc>
        <w:tc>
          <w:tcPr>
            <w:tcW w:w="707" w:type="pct"/>
            <w:tcBorders>
              <w:top w:val="nil"/>
              <w:left w:val="nil"/>
              <w:bottom w:val="single" w:sz="4" w:space="0" w:color="auto"/>
              <w:right w:val="single" w:sz="4" w:space="0" w:color="auto"/>
            </w:tcBorders>
            <w:noWrap/>
            <w:vAlign w:val="bottom"/>
            <w:hideMark/>
          </w:tcPr>
          <w:p w14:paraId="5343DDE9" w14:textId="77777777" w:rsidR="00353C91" w:rsidRPr="00661540" w:rsidRDefault="00353C91" w:rsidP="00430AF9">
            <w:pPr>
              <w:spacing w:after="0"/>
              <w:jc w:val="right"/>
              <w:rPr>
                <w:rFonts w:cs="Arial"/>
                <w:b/>
                <w:bCs/>
                <w:color w:val="000000"/>
                <w:szCs w:val="24"/>
              </w:rPr>
            </w:pPr>
            <w:r w:rsidRPr="00661540">
              <w:rPr>
                <w:rFonts w:cs="Arial"/>
                <w:b/>
                <w:bCs/>
                <w:color w:val="000000"/>
                <w:szCs w:val="24"/>
              </w:rPr>
              <w:t>2020</w:t>
            </w:r>
          </w:p>
        </w:tc>
      </w:tr>
      <w:tr w:rsidR="00353C91" w:rsidRPr="00661540" w14:paraId="152C3227" w14:textId="77777777" w:rsidTr="004B4454">
        <w:trPr>
          <w:trHeight w:val="300"/>
        </w:trPr>
        <w:tc>
          <w:tcPr>
            <w:tcW w:w="475" w:type="pct"/>
            <w:tcBorders>
              <w:top w:val="nil"/>
              <w:left w:val="single" w:sz="4" w:space="0" w:color="auto"/>
              <w:bottom w:val="single" w:sz="4" w:space="0" w:color="auto"/>
              <w:right w:val="single" w:sz="4" w:space="0" w:color="auto"/>
            </w:tcBorders>
            <w:noWrap/>
            <w:vAlign w:val="bottom"/>
            <w:hideMark/>
          </w:tcPr>
          <w:p w14:paraId="72A98132" w14:textId="77777777" w:rsidR="00353C91" w:rsidRPr="00661540" w:rsidRDefault="00353C91" w:rsidP="00430AF9">
            <w:pPr>
              <w:spacing w:after="0"/>
              <w:jc w:val="left"/>
              <w:rPr>
                <w:rFonts w:cs="Arial"/>
                <w:b/>
                <w:i/>
                <w:color w:val="000000"/>
                <w:szCs w:val="24"/>
              </w:rPr>
            </w:pPr>
            <w:r w:rsidRPr="00661540">
              <w:rPr>
                <w:rFonts w:cs="Arial"/>
                <w:b/>
                <w:i/>
                <w:color w:val="000000"/>
                <w:szCs w:val="24"/>
              </w:rPr>
              <w:t>Debt-to-</w:t>
            </w:r>
            <w:r w:rsidRPr="00661540">
              <w:rPr>
                <w:rFonts w:cs="Arial"/>
                <w:b/>
                <w:i/>
                <w:color w:val="000000"/>
                <w:szCs w:val="24"/>
              </w:rPr>
              <w:lastRenderedPageBreak/>
              <w:t>Equity</w:t>
            </w:r>
          </w:p>
        </w:tc>
        <w:tc>
          <w:tcPr>
            <w:tcW w:w="991" w:type="pct"/>
            <w:tcBorders>
              <w:top w:val="nil"/>
              <w:left w:val="nil"/>
              <w:bottom w:val="single" w:sz="4" w:space="0" w:color="auto"/>
              <w:right w:val="single" w:sz="4" w:space="0" w:color="auto"/>
            </w:tcBorders>
            <w:noWrap/>
            <w:vAlign w:val="bottom"/>
            <w:hideMark/>
          </w:tcPr>
          <w:p w14:paraId="6BCE4D94" w14:textId="77777777" w:rsidR="00353C91" w:rsidRPr="00661540" w:rsidRDefault="00353C91" w:rsidP="00430AF9">
            <w:pPr>
              <w:spacing w:after="0"/>
              <w:jc w:val="left"/>
              <w:rPr>
                <w:rFonts w:cs="Arial"/>
                <w:color w:val="000000"/>
                <w:szCs w:val="24"/>
              </w:rPr>
            </w:pPr>
            <w:r w:rsidRPr="00661540">
              <w:rPr>
                <w:rFonts w:cs="Arial"/>
                <w:color w:val="000000"/>
                <w:szCs w:val="24"/>
              </w:rPr>
              <w:lastRenderedPageBreak/>
              <w:t xml:space="preserve">Total Liabilities ÷ </w:t>
            </w:r>
            <w:r w:rsidRPr="00661540">
              <w:rPr>
                <w:rFonts w:cs="Arial"/>
                <w:color w:val="000000"/>
                <w:szCs w:val="24"/>
              </w:rPr>
              <w:lastRenderedPageBreak/>
              <w:t>Shareholders’ Equity</w:t>
            </w:r>
          </w:p>
        </w:tc>
        <w:tc>
          <w:tcPr>
            <w:tcW w:w="707" w:type="pct"/>
            <w:tcBorders>
              <w:top w:val="nil"/>
              <w:left w:val="nil"/>
              <w:bottom w:val="single" w:sz="4" w:space="0" w:color="auto"/>
              <w:right w:val="single" w:sz="4" w:space="0" w:color="auto"/>
            </w:tcBorders>
            <w:noWrap/>
            <w:vAlign w:val="bottom"/>
            <w:hideMark/>
          </w:tcPr>
          <w:p w14:paraId="64830EB0" w14:textId="77777777" w:rsidR="00353C91" w:rsidRPr="00661540" w:rsidRDefault="00353C91" w:rsidP="00430AF9">
            <w:pPr>
              <w:spacing w:after="0"/>
              <w:jc w:val="left"/>
              <w:rPr>
                <w:rFonts w:cs="Arial"/>
                <w:color w:val="000000"/>
                <w:szCs w:val="24"/>
              </w:rPr>
            </w:pPr>
            <w:r w:rsidRPr="00661540">
              <w:rPr>
                <w:rFonts w:cs="Arial"/>
                <w:color w:val="000000"/>
                <w:szCs w:val="24"/>
              </w:rPr>
              <w:lastRenderedPageBreak/>
              <w:t xml:space="preserve">170,249 ÷ </w:t>
            </w:r>
            <w:r w:rsidRPr="00661540">
              <w:rPr>
                <w:rFonts w:cs="Arial"/>
                <w:color w:val="000000"/>
                <w:szCs w:val="24"/>
              </w:rPr>
              <w:lastRenderedPageBreak/>
              <w:t>153,105 = 1.11</w:t>
            </w:r>
          </w:p>
        </w:tc>
        <w:tc>
          <w:tcPr>
            <w:tcW w:w="707" w:type="pct"/>
            <w:tcBorders>
              <w:top w:val="nil"/>
              <w:left w:val="nil"/>
              <w:bottom w:val="single" w:sz="4" w:space="0" w:color="auto"/>
              <w:right w:val="single" w:sz="4" w:space="0" w:color="auto"/>
            </w:tcBorders>
            <w:noWrap/>
            <w:vAlign w:val="bottom"/>
            <w:hideMark/>
          </w:tcPr>
          <w:p w14:paraId="12D773BF" w14:textId="77777777" w:rsidR="00353C91" w:rsidRPr="00661540" w:rsidRDefault="00353C91" w:rsidP="00430AF9">
            <w:pPr>
              <w:spacing w:after="0"/>
              <w:jc w:val="left"/>
              <w:rPr>
                <w:rFonts w:cs="Arial"/>
                <w:color w:val="000000"/>
                <w:szCs w:val="24"/>
              </w:rPr>
            </w:pPr>
            <w:r w:rsidRPr="00661540">
              <w:rPr>
                <w:rFonts w:cs="Arial"/>
                <w:color w:val="000000"/>
                <w:szCs w:val="24"/>
              </w:rPr>
              <w:lastRenderedPageBreak/>
              <w:t xml:space="preserve">176,952 ÷ </w:t>
            </w:r>
            <w:r w:rsidRPr="00661540">
              <w:rPr>
                <w:rFonts w:cs="Arial"/>
                <w:color w:val="000000"/>
                <w:szCs w:val="24"/>
              </w:rPr>
              <w:lastRenderedPageBreak/>
              <w:t>178,920 = 0.99</w:t>
            </w:r>
          </w:p>
        </w:tc>
        <w:tc>
          <w:tcPr>
            <w:tcW w:w="707" w:type="pct"/>
            <w:tcBorders>
              <w:top w:val="nil"/>
              <w:left w:val="nil"/>
              <w:bottom w:val="single" w:sz="4" w:space="0" w:color="auto"/>
              <w:right w:val="single" w:sz="4" w:space="0" w:color="auto"/>
            </w:tcBorders>
            <w:noWrap/>
            <w:vAlign w:val="bottom"/>
            <w:hideMark/>
          </w:tcPr>
          <w:p w14:paraId="6E8018E3" w14:textId="77777777" w:rsidR="00353C91" w:rsidRPr="00661540" w:rsidRDefault="00353C91" w:rsidP="00430AF9">
            <w:pPr>
              <w:spacing w:after="0"/>
              <w:jc w:val="left"/>
              <w:rPr>
                <w:rFonts w:cs="Arial"/>
                <w:color w:val="000000"/>
                <w:szCs w:val="24"/>
              </w:rPr>
            </w:pPr>
            <w:r w:rsidRPr="00661540">
              <w:rPr>
                <w:rFonts w:cs="Arial"/>
                <w:color w:val="000000"/>
                <w:szCs w:val="24"/>
              </w:rPr>
              <w:lastRenderedPageBreak/>
              <w:t xml:space="preserve">235,757 ÷ </w:t>
            </w:r>
            <w:r w:rsidRPr="00661540">
              <w:rPr>
                <w:rFonts w:cs="Arial"/>
                <w:color w:val="000000"/>
                <w:szCs w:val="24"/>
              </w:rPr>
              <w:lastRenderedPageBreak/>
              <w:t>268,406 = 0.88</w:t>
            </w:r>
          </w:p>
        </w:tc>
        <w:tc>
          <w:tcPr>
            <w:tcW w:w="707" w:type="pct"/>
            <w:tcBorders>
              <w:top w:val="nil"/>
              <w:left w:val="nil"/>
              <w:bottom w:val="single" w:sz="4" w:space="0" w:color="auto"/>
              <w:right w:val="single" w:sz="4" w:space="0" w:color="auto"/>
            </w:tcBorders>
            <w:noWrap/>
            <w:vAlign w:val="bottom"/>
            <w:hideMark/>
          </w:tcPr>
          <w:p w14:paraId="4347A6A3" w14:textId="77777777" w:rsidR="00353C91" w:rsidRPr="00661540" w:rsidRDefault="00353C91" w:rsidP="00430AF9">
            <w:pPr>
              <w:spacing w:after="0"/>
              <w:jc w:val="left"/>
              <w:rPr>
                <w:rFonts w:cs="Arial"/>
                <w:color w:val="000000"/>
                <w:szCs w:val="24"/>
              </w:rPr>
            </w:pPr>
            <w:r w:rsidRPr="00661540">
              <w:rPr>
                <w:rFonts w:cs="Arial"/>
                <w:color w:val="000000"/>
                <w:szCs w:val="24"/>
              </w:rPr>
              <w:lastRenderedPageBreak/>
              <w:t xml:space="preserve">234,399 ÷ </w:t>
            </w:r>
            <w:r w:rsidRPr="00661540">
              <w:rPr>
                <w:rFonts w:cs="Arial"/>
                <w:color w:val="000000"/>
                <w:szCs w:val="24"/>
              </w:rPr>
              <w:lastRenderedPageBreak/>
              <w:t>275,949 = 0.85</w:t>
            </w:r>
          </w:p>
        </w:tc>
        <w:tc>
          <w:tcPr>
            <w:tcW w:w="707" w:type="pct"/>
            <w:tcBorders>
              <w:top w:val="nil"/>
              <w:left w:val="nil"/>
              <w:bottom w:val="single" w:sz="4" w:space="0" w:color="auto"/>
              <w:right w:val="single" w:sz="4" w:space="0" w:color="auto"/>
            </w:tcBorders>
            <w:noWrap/>
            <w:vAlign w:val="bottom"/>
            <w:hideMark/>
          </w:tcPr>
          <w:p w14:paraId="2ED0A3E4" w14:textId="77777777" w:rsidR="00353C91" w:rsidRPr="00661540" w:rsidRDefault="00353C91" w:rsidP="00430AF9">
            <w:pPr>
              <w:spacing w:after="0"/>
              <w:jc w:val="left"/>
              <w:rPr>
                <w:rFonts w:cs="Arial"/>
                <w:color w:val="000000"/>
                <w:szCs w:val="24"/>
              </w:rPr>
            </w:pPr>
            <w:r w:rsidRPr="00661540">
              <w:rPr>
                <w:rFonts w:cs="Arial"/>
                <w:color w:val="000000"/>
                <w:szCs w:val="24"/>
              </w:rPr>
              <w:lastRenderedPageBreak/>
              <w:t xml:space="preserve">196,989 ÷ </w:t>
            </w:r>
            <w:r w:rsidRPr="00661540">
              <w:rPr>
                <w:rFonts w:cs="Arial"/>
                <w:color w:val="000000"/>
                <w:szCs w:val="24"/>
              </w:rPr>
              <w:lastRenderedPageBreak/>
              <w:t>313,301 = 0.63</w:t>
            </w:r>
          </w:p>
        </w:tc>
      </w:tr>
      <w:tr w:rsidR="00353C91" w:rsidRPr="00661540" w14:paraId="6E919E1B" w14:textId="77777777" w:rsidTr="004B4454">
        <w:trPr>
          <w:trHeight w:val="300"/>
        </w:trPr>
        <w:tc>
          <w:tcPr>
            <w:tcW w:w="475" w:type="pct"/>
            <w:tcBorders>
              <w:top w:val="nil"/>
              <w:left w:val="single" w:sz="4" w:space="0" w:color="auto"/>
              <w:bottom w:val="single" w:sz="4" w:space="0" w:color="auto"/>
              <w:right w:val="single" w:sz="4" w:space="0" w:color="auto"/>
            </w:tcBorders>
            <w:noWrap/>
            <w:vAlign w:val="bottom"/>
            <w:hideMark/>
          </w:tcPr>
          <w:p w14:paraId="5B8CD137" w14:textId="77777777" w:rsidR="00353C91" w:rsidRPr="00661540" w:rsidRDefault="00353C91" w:rsidP="00430AF9">
            <w:pPr>
              <w:spacing w:after="0"/>
              <w:jc w:val="left"/>
              <w:rPr>
                <w:rFonts w:cs="Arial"/>
                <w:b/>
                <w:i/>
                <w:color w:val="000000"/>
                <w:szCs w:val="24"/>
              </w:rPr>
            </w:pPr>
            <w:r w:rsidRPr="00661540">
              <w:rPr>
                <w:rFonts w:cs="Arial"/>
                <w:b/>
                <w:i/>
                <w:color w:val="000000"/>
                <w:szCs w:val="24"/>
              </w:rPr>
              <w:lastRenderedPageBreak/>
              <w:t>Debt Ratio</w:t>
            </w:r>
          </w:p>
        </w:tc>
        <w:tc>
          <w:tcPr>
            <w:tcW w:w="991" w:type="pct"/>
            <w:tcBorders>
              <w:top w:val="nil"/>
              <w:left w:val="nil"/>
              <w:bottom w:val="single" w:sz="4" w:space="0" w:color="auto"/>
              <w:right w:val="single" w:sz="4" w:space="0" w:color="auto"/>
            </w:tcBorders>
            <w:noWrap/>
            <w:vAlign w:val="bottom"/>
            <w:hideMark/>
          </w:tcPr>
          <w:p w14:paraId="44431D05" w14:textId="77777777" w:rsidR="00353C91" w:rsidRPr="00661540" w:rsidRDefault="00353C91" w:rsidP="00430AF9">
            <w:pPr>
              <w:spacing w:after="0"/>
              <w:jc w:val="left"/>
              <w:rPr>
                <w:rFonts w:cs="Arial"/>
                <w:color w:val="000000"/>
                <w:szCs w:val="24"/>
              </w:rPr>
            </w:pPr>
            <w:r w:rsidRPr="00661540">
              <w:rPr>
                <w:rFonts w:cs="Arial"/>
                <w:color w:val="000000"/>
                <w:szCs w:val="24"/>
              </w:rPr>
              <w:t>Total Liabilities ÷ Total Assets</w:t>
            </w:r>
          </w:p>
        </w:tc>
        <w:tc>
          <w:tcPr>
            <w:tcW w:w="707" w:type="pct"/>
            <w:tcBorders>
              <w:top w:val="nil"/>
              <w:left w:val="nil"/>
              <w:bottom w:val="single" w:sz="4" w:space="0" w:color="auto"/>
              <w:right w:val="single" w:sz="4" w:space="0" w:color="auto"/>
            </w:tcBorders>
            <w:noWrap/>
            <w:vAlign w:val="bottom"/>
            <w:hideMark/>
          </w:tcPr>
          <w:p w14:paraId="5DBD3430" w14:textId="77777777" w:rsidR="00353C91" w:rsidRPr="00661540" w:rsidRDefault="00353C91" w:rsidP="00430AF9">
            <w:pPr>
              <w:spacing w:after="0"/>
              <w:jc w:val="left"/>
              <w:rPr>
                <w:rFonts w:cs="Arial"/>
                <w:color w:val="000000"/>
                <w:szCs w:val="24"/>
              </w:rPr>
            </w:pPr>
            <w:r w:rsidRPr="00661540">
              <w:rPr>
                <w:rFonts w:cs="Arial"/>
                <w:color w:val="000000"/>
                <w:szCs w:val="24"/>
              </w:rPr>
              <w:t>170,249 ÷ 323,354 = 0.53</w:t>
            </w:r>
          </w:p>
        </w:tc>
        <w:tc>
          <w:tcPr>
            <w:tcW w:w="707" w:type="pct"/>
            <w:tcBorders>
              <w:top w:val="nil"/>
              <w:left w:val="nil"/>
              <w:bottom w:val="single" w:sz="4" w:space="0" w:color="auto"/>
              <w:right w:val="single" w:sz="4" w:space="0" w:color="auto"/>
            </w:tcBorders>
            <w:noWrap/>
            <w:vAlign w:val="bottom"/>
            <w:hideMark/>
          </w:tcPr>
          <w:p w14:paraId="3E87FA71" w14:textId="77777777" w:rsidR="00353C91" w:rsidRPr="00661540" w:rsidRDefault="00353C91" w:rsidP="00430AF9">
            <w:pPr>
              <w:spacing w:after="0"/>
              <w:jc w:val="left"/>
              <w:rPr>
                <w:rFonts w:cs="Arial"/>
                <w:color w:val="000000"/>
                <w:szCs w:val="24"/>
              </w:rPr>
            </w:pPr>
            <w:r w:rsidRPr="00661540">
              <w:rPr>
                <w:rFonts w:cs="Arial"/>
                <w:color w:val="000000"/>
                <w:szCs w:val="24"/>
              </w:rPr>
              <w:t>176,952 ÷ 355,872 = 0.50</w:t>
            </w:r>
          </w:p>
        </w:tc>
        <w:tc>
          <w:tcPr>
            <w:tcW w:w="707" w:type="pct"/>
            <w:tcBorders>
              <w:top w:val="nil"/>
              <w:left w:val="nil"/>
              <w:bottom w:val="single" w:sz="4" w:space="0" w:color="auto"/>
              <w:right w:val="single" w:sz="4" w:space="0" w:color="auto"/>
            </w:tcBorders>
            <w:noWrap/>
            <w:vAlign w:val="bottom"/>
            <w:hideMark/>
          </w:tcPr>
          <w:p w14:paraId="019F9533" w14:textId="77777777" w:rsidR="00353C91" w:rsidRPr="00661540" w:rsidRDefault="00353C91" w:rsidP="00430AF9">
            <w:pPr>
              <w:spacing w:after="0"/>
              <w:jc w:val="left"/>
              <w:rPr>
                <w:rFonts w:cs="Arial"/>
                <w:color w:val="000000"/>
                <w:szCs w:val="24"/>
              </w:rPr>
            </w:pPr>
            <w:r w:rsidRPr="00661540">
              <w:rPr>
                <w:rFonts w:cs="Arial"/>
                <w:color w:val="000000"/>
                <w:szCs w:val="24"/>
              </w:rPr>
              <w:t>235,757 ÷ 504,163 = 0.47</w:t>
            </w:r>
          </w:p>
        </w:tc>
        <w:tc>
          <w:tcPr>
            <w:tcW w:w="707" w:type="pct"/>
            <w:tcBorders>
              <w:top w:val="nil"/>
              <w:left w:val="nil"/>
              <w:bottom w:val="single" w:sz="4" w:space="0" w:color="auto"/>
              <w:right w:val="single" w:sz="4" w:space="0" w:color="auto"/>
            </w:tcBorders>
            <w:noWrap/>
            <w:vAlign w:val="bottom"/>
            <w:hideMark/>
          </w:tcPr>
          <w:p w14:paraId="622B7854" w14:textId="77777777" w:rsidR="00353C91" w:rsidRPr="00661540" w:rsidRDefault="00353C91" w:rsidP="00430AF9">
            <w:pPr>
              <w:spacing w:after="0"/>
              <w:jc w:val="left"/>
              <w:rPr>
                <w:rFonts w:cs="Arial"/>
                <w:color w:val="000000"/>
                <w:szCs w:val="24"/>
              </w:rPr>
            </w:pPr>
            <w:r w:rsidRPr="00661540">
              <w:rPr>
                <w:rFonts w:cs="Arial"/>
                <w:color w:val="000000"/>
                <w:szCs w:val="24"/>
              </w:rPr>
              <w:t>234,399 ÷ 510,348 = 0.46</w:t>
            </w:r>
          </w:p>
        </w:tc>
        <w:tc>
          <w:tcPr>
            <w:tcW w:w="707" w:type="pct"/>
            <w:tcBorders>
              <w:top w:val="nil"/>
              <w:left w:val="nil"/>
              <w:bottom w:val="single" w:sz="4" w:space="0" w:color="auto"/>
              <w:right w:val="single" w:sz="4" w:space="0" w:color="auto"/>
            </w:tcBorders>
            <w:noWrap/>
            <w:vAlign w:val="bottom"/>
            <w:hideMark/>
          </w:tcPr>
          <w:p w14:paraId="38B40E33" w14:textId="77777777" w:rsidR="00353C91" w:rsidRPr="00661540" w:rsidRDefault="00353C91" w:rsidP="00430AF9">
            <w:pPr>
              <w:spacing w:after="0"/>
              <w:jc w:val="left"/>
              <w:rPr>
                <w:rFonts w:cs="Arial"/>
                <w:color w:val="000000"/>
                <w:szCs w:val="24"/>
              </w:rPr>
            </w:pPr>
            <w:r w:rsidRPr="00661540">
              <w:rPr>
                <w:rFonts w:cs="Arial"/>
                <w:color w:val="000000"/>
                <w:szCs w:val="24"/>
              </w:rPr>
              <w:t>196,989 ÷ 510,290 = 0.39</w:t>
            </w:r>
          </w:p>
        </w:tc>
      </w:tr>
    </w:tbl>
    <w:p w14:paraId="636B5B02" w14:textId="7A0A4B92" w:rsidR="00353C91" w:rsidRDefault="004B4454" w:rsidP="00353C91">
      <w:pPr>
        <w:jc w:val="center"/>
      </w:pPr>
      <w:r>
        <w:rPr>
          <w:noProof/>
          <w:lang w:val="en-US" w:eastAsia="en-US"/>
        </w:rPr>
        <w:drawing>
          <wp:inline distT="0" distB="0" distL="0" distR="0" wp14:anchorId="7802069D" wp14:editId="00C4A881">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tbl>
      <w:tblPr>
        <w:tblW w:w="5000" w:type="pct"/>
        <w:tblLook w:val="04A0" w:firstRow="1" w:lastRow="0" w:firstColumn="1" w:lastColumn="0" w:noHBand="0" w:noVBand="1"/>
      </w:tblPr>
      <w:tblGrid>
        <w:gridCol w:w="1281"/>
        <w:gridCol w:w="1833"/>
        <w:gridCol w:w="1181"/>
        <w:gridCol w:w="1181"/>
        <w:gridCol w:w="1181"/>
        <w:gridCol w:w="1181"/>
        <w:gridCol w:w="1181"/>
      </w:tblGrid>
      <w:tr w:rsidR="00353C91" w:rsidRPr="00661540" w14:paraId="19294BCC" w14:textId="77777777" w:rsidTr="00430AF9">
        <w:trPr>
          <w:trHeight w:val="300"/>
        </w:trPr>
        <w:tc>
          <w:tcPr>
            <w:tcW w:w="5000" w:type="pct"/>
            <w:gridSpan w:val="7"/>
            <w:tcBorders>
              <w:top w:val="single" w:sz="4" w:space="0" w:color="auto"/>
              <w:left w:val="single" w:sz="4" w:space="0" w:color="auto"/>
              <w:bottom w:val="single" w:sz="4" w:space="0" w:color="auto"/>
              <w:right w:val="single" w:sz="4" w:space="0" w:color="000000"/>
            </w:tcBorders>
            <w:noWrap/>
            <w:vAlign w:val="bottom"/>
            <w:hideMark/>
          </w:tcPr>
          <w:p w14:paraId="288F3677" w14:textId="77777777" w:rsidR="00353C91" w:rsidRPr="00661540" w:rsidRDefault="00353C91" w:rsidP="00430AF9">
            <w:pPr>
              <w:spacing w:after="0"/>
              <w:jc w:val="center"/>
              <w:rPr>
                <w:rFonts w:cs="Arial"/>
                <w:b/>
                <w:bCs/>
                <w:color w:val="000000"/>
                <w:szCs w:val="24"/>
              </w:rPr>
            </w:pPr>
            <w:r w:rsidRPr="00661540">
              <w:rPr>
                <w:rFonts w:cs="Arial"/>
                <w:b/>
                <w:bCs/>
                <w:color w:val="000000"/>
                <w:szCs w:val="24"/>
              </w:rPr>
              <w:t>Cash Flow Ratios</w:t>
            </w:r>
          </w:p>
        </w:tc>
      </w:tr>
      <w:tr w:rsidR="00353C91" w:rsidRPr="00661540" w14:paraId="75222A2E" w14:textId="77777777" w:rsidTr="00602E9E">
        <w:trPr>
          <w:trHeight w:val="300"/>
        </w:trPr>
        <w:tc>
          <w:tcPr>
            <w:tcW w:w="710" w:type="pct"/>
            <w:tcBorders>
              <w:top w:val="nil"/>
              <w:left w:val="single" w:sz="4" w:space="0" w:color="auto"/>
              <w:bottom w:val="single" w:sz="4" w:space="0" w:color="auto"/>
              <w:right w:val="single" w:sz="4" w:space="0" w:color="auto"/>
            </w:tcBorders>
            <w:noWrap/>
            <w:vAlign w:val="bottom"/>
            <w:hideMark/>
          </w:tcPr>
          <w:p w14:paraId="604D9F68" w14:textId="77777777" w:rsidR="00353C91" w:rsidRPr="00661540" w:rsidRDefault="00353C91" w:rsidP="00430AF9">
            <w:pPr>
              <w:spacing w:after="0"/>
              <w:jc w:val="left"/>
              <w:rPr>
                <w:rFonts w:cs="Arial"/>
                <w:b/>
                <w:bCs/>
                <w:color w:val="000000"/>
                <w:szCs w:val="24"/>
              </w:rPr>
            </w:pPr>
            <w:r w:rsidRPr="00661540">
              <w:rPr>
                <w:rFonts w:cs="Arial"/>
                <w:b/>
                <w:bCs/>
                <w:color w:val="000000"/>
                <w:szCs w:val="24"/>
              </w:rPr>
              <w:t>Ratio</w:t>
            </w:r>
          </w:p>
        </w:tc>
        <w:tc>
          <w:tcPr>
            <w:tcW w:w="1016" w:type="pct"/>
            <w:tcBorders>
              <w:top w:val="nil"/>
              <w:left w:val="nil"/>
              <w:bottom w:val="single" w:sz="4" w:space="0" w:color="auto"/>
              <w:right w:val="single" w:sz="4" w:space="0" w:color="auto"/>
            </w:tcBorders>
            <w:noWrap/>
            <w:vAlign w:val="bottom"/>
            <w:hideMark/>
          </w:tcPr>
          <w:p w14:paraId="1CE951DE" w14:textId="77777777" w:rsidR="00353C91" w:rsidRPr="00661540" w:rsidRDefault="00353C91" w:rsidP="00430AF9">
            <w:pPr>
              <w:spacing w:after="0"/>
              <w:jc w:val="left"/>
              <w:rPr>
                <w:rFonts w:cs="Arial"/>
                <w:b/>
                <w:bCs/>
                <w:color w:val="000000"/>
                <w:szCs w:val="24"/>
              </w:rPr>
            </w:pPr>
            <w:r w:rsidRPr="00661540">
              <w:rPr>
                <w:rFonts w:cs="Arial"/>
                <w:b/>
                <w:bCs/>
                <w:color w:val="000000"/>
                <w:szCs w:val="24"/>
              </w:rPr>
              <w:t>Formula</w:t>
            </w:r>
          </w:p>
        </w:tc>
        <w:tc>
          <w:tcPr>
            <w:tcW w:w="655" w:type="pct"/>
            <w:tcBorders>
              <w:top w:val="nil"/>
              <w:left w:val="nil"/>
              <w:bottom w:val="single" w:sz="4" w:space="0" w:color="auto"/>
              <w:right w:val="single" w:sz="4" w:space="0" w:color="auto"/>
            </w:tcBorders>
            <w:noWrap/>
            <w:vAlign w:val="bottom"/>
            <w:hideMark/>
          </w:tcPr>
          <w:p w14:paraId="3DF67981" w14:textId="77777777" w:rsidR="00353C91" w:rsidRPr="00661540" w:rsidRDefault="00353C91" w:rsidP="00430AF9">
            <w:pPr>
              <w:spacing w:after="0"/>
              <w:jc w:val="right"/>
              <w:rPr>
                <w:rFonts w:cs="Arial"/>
                <w:b/>
                <w:bCs/>
                <w:color w:val="000000"/>
                <w:szCs w:val="24"/>
              </w:rPr>
            </w:pPr>
            <w:r w:rsidRPr="00661540">
              <w:rPr>
                <w:rFonts w:cs="Arial"/>
                <w:b/>
                <w:bCs/>
                <w:color w:val="000000"/>
                <w:szCs w:val="24"/>
              </w:rPr>
              <w:t>2024</w:t>
            </w:r>
          </w:p>
        </w:tc>
        <w:tc>
          <w:tcPr>
            <w:tcW w:w="655" w:type="pct"/>
            <w:tcBorders>
              <w:top w:val="nil"/>
              <w:left w:val="nil"/>
              <w:bottom w:val="single" w:sz="4" w:space="0" w:color="auto"/>
              <w:right w:val="single" w:sz="4" w:space="0" w:color="auto"/>
            </w:tcBorders>
            <w:noWrap/>
            <w:vAlign w:val="bottom"/>
            <w:hideMark/>
          </w:tcPr>
          <w:p w14:paraId="33A02B1F" w14:textId="77777777" w:rsidR="00353C91" w:rsidRPr="00661540" w:rsidRDefault="00353C91" w:rsidP="00430AF9">
            <w:pPr>
              <w:spacing w:after="0"/>
              <w:jc w:val="right"/>
              <w:rPr>
                <w:rFonts w:cs="Arial"/>
                <w:b/>
                <w:bCs/>
                <w:color w:val="000000"/>
                <w:szCs w:val="24"/>
              </w:rPr>
            </w:pPr>
            <w:r w:rsidRPr="00661540">
              <w:rPr>
                <w:rFonts w:cs="Arial"/>
                <w:b/>
                <w:bCs/>
                <w:color w:val="000000"/>
                <w:szCs w:val="24"/>
              </w:rPr>
              <w:t>2023</w:t>
            </w:r>
          </w:p>
        </w:tc>
        <w:tc>
          <w:tcPr>
            <w:tcW w:w="655" w:type="pct"/>
            <w:tcBorders>
              <w:top w:val="nil"/>
              <w:left w:val="nil"/>
              <w:bottom w:val="single" w:sz="4" w:space="0" w:color="auto"/>
              <w:right w:val="single" w:sz="4" w:space="0" w:color="auto"/>
            </w:tcBorders>
            <w:noWrap/>
            <w:vAlign w:val="bottom"/>
            <w:hideMark/>
          </w:tcPr>
          <w:p w14:paraId="22A31543" w14:textId="77777777" w:rsidR="00353C91" w:rsidRPr="00661540" w:rsidRDefault="00353C91" w:rsidP="00430AF9">
            <w:pPr>
              <w:spacing w:after="0"/>
              <w:jc w:val="right"/>
              <w:rPr>
                <w:rFonts w:cs="Arial"/>
                <w:b/>
                <w:bCs/>
                <w:color w:val="000000"/>
                <w:szCs w:val="24"/>
              </w:rPr>
            </w:pPr>
            <w:r w:rsidRPr="00661540">
              <w:rPr>
                <w:rFonts w:cs="Arial"/>
                <w:b/>
                <w:bCs/>
                <w:color w:val="000000"/>
                <w:szCs w:val="24"/>
              </w:rPr>
              <w:t>2022</w:t>
            </w:r>
          </w:p>
        </w:tc>
        <w:tc>
          <w:tcPr>
            <w:tcW w:w="655" w:type="pct"/>
            <w:tcBorders>
              <w:top w:val="nil"/>
              <w:left w:val="nil"/>
              <w:bottom w:val="single" w:sz="4" w:space="0" w:color="auto"/>
              <w:right w:val="single" w:sz="4" w:space="0" w:color="auto"/>
            </w:tcBorders>
            <w:noWrap/>
            <w:vAlign w:val="bottom"/>
            <w:hideMark/>
          </w:tcPr>
          <w:p w14:paraId="65736C60" w14:textId="77777777" w:rsidR="00353C91" w:rsidRPr="00661540" w:rsidRDefault="00353C91" w:rsidP="00430AF9">
            <w:pPr>
              <w:spacing w:after="0"/>
              <w:jc w:val="right"/>
              <w:rPr>
                <w:rFonts w:cs="Arial"/>
                <w:b/>
                <w:bCs/>
                <w:color w:val="000000"/>
                <w:szCs w:val="24"/>
              </w:rPr>
            </w:pPr>
            <w:r w:rsidRPr="00661540">
              <w:rPr>
                <w:rFonts w:cs="Arial"/>
                <w:b/>
                <w:bCs/>
                <w:color w:val="000000"/>
                <w:szCs w:val="24"/>
              </w:rPr>
              <w:t>2021</w:t>
            </w:r>
          </w:p>
        </w:tc>
        <w:tc>
          <w:tcPr>
            <w:tcW w:w="655" w:type="pct"/>
            <w:tcBorders>
              <w:top w:val="nil"/>
              <w:left w:val="nil"/>
              <w:bottom w:val="single" w:sz="4" w:space="0" w:color="auto"/>
              <w:right w:val="single" w:sz="4" w:space="0" w:color="auto"/>
            </w:tcBorders>
            <w:noWrap/>
            <w:vAlign w:val="bottom"/>
            <w:hideMark/>
          </w:tcPr>
          <w:p w14:paraId="18119231" w14:textId="77777777" w:rsidR="00353C91" w:rsidRPr="00661540" w:rsidRDefault="00353C91" w:rsidP="00430AF9">
            <w:pPr>
              <w:spacing w:after="0"/>
              <w:jc w:val="right"/>
              <w:rPr>
                <w:rFonts w:cs="Arial"/>
                <w:b/>
                <w:bCs/>
                <w:color w:val="000000"/>
                <w:szCs w:val="24"/>
              </w:rPr>
            </w:pPr>
            <w:r w:rsidRPr="00661540">
              <w:rPr>
                <w:rFonts w:cs="Arial"/>
                <w:b/>
                <w:bCs/>
                <w:color w:val="000000"/>
                <w:szCs w:val="24"/>
              </w:rPr>
              <w:t>2020</w:t>
            </w:r>
          </w:p>
        </w:tc>
      </w:tr>
      <w:tr w:rsidR="00353C91" w:rsidRPr="00661540" w14:paraId="61703FD3" w14:textId="77777777" w:rsidTr="00602E9E">
        <w:trPr>
          <w:trHeight w:val="300"/>
        </w:trPr>
        <w:tc>
          <w:tcPr>
            <w:tcW w:w="710" w:type="pct"/>
            <w:tcBorders>
              <w:top w:val="nil"/>
              <w:left w:val="single" w:sz="4" w:space="0" w:color="auto"/>
              <w:bottom w:val="single" w:sz="4" w:space="0" w:color="auto"/>
              <w:right w:val="single" w:sz="4" w:space="0" w:color="auto"/>
            </w:tcBorders>
            <w:noWrap/>
            <w:vAlign w:val="bottom"/>
            <w:hideMark/>
          </w:tcPr>
          <w:p w14:paraId="3AB91262" w14:textId="77777777" w:rsidR="00353C91" w:rsidRPr="00661540" w:rsidRDefault="00353C91" w:rsidP="00430AF9">
            <w:pPr>
              <w:spacing w:after="0"/>
              <w:jc w:val="left"/>
              <w:rPr>
                <w:rFonts w:cs="Arial"/>
                <w:color w:val="000000"/>
                <w:szCs w:val="24"/>
              </w:rPr>
            </w:pPr>
            <w:r w:rsidRPr="00661540">
              <w:rPr>
                <w:rFonts w:cs="Arial"/>
                <w:color w:val="000000"/>
                <w:szCs w:val="24"/>
              </w:rPr>
              <w:t>Operating Cash Flow Ratio</w:t>
            </w:r>
          </w:p>
        </w:tc>
        <w:tc>
          <w:tcPr>
            <w:tcW w:w="1016" w:type="pct"/>
            <w:tcBorders>
              <w:top w:val="nil"/>
              <w:left w:val="nil"/>
              <w:bottom w:val="single" w:sz="4" w:space="0" w:color="auto"/>
              <w:right w:val="single" w:sz="4" w:space="0" w:color="auto"/>
            </w:tcBorders>
            <w:noWrap/>
            <w:vAlign w:val="bottom"/>
            <w:hideMark/>
          </w:tcPr>
          <w:p w14:paraId="69031430" w14:textId="77777777" w:rsidR="00353C91" w:rsidRPr="00661540" w:rsidRDefault="00353C91" w:rsidP="00430AF9">
            <w:pPr>
              <w:spacing w:after="0"/>
              <w:jc w:val="left"/>
              <w:rPr>
                <w:rFonts w:cs="Arial"/>
                <w:color w:val="000000"/>
                <w:szCs w:val="24"/>
              </w:rPr>
            </w:pPr>
            <w:r w:rsidRPr="00661540">
              <w:rPr>
                <w:rFonts w:cs="Arial"/>
                <w:color w:val="000000"/>
                <w:szCs w:val="24"/>
              </w:rPr>
              <w:t>Operating Cash Flow ÷ Current Liabilities</w:t>
            </w:r>
          </w:p>
        </w:tc>
        <w:tc>
          <w:tcPr>
            <w:tcW w:w="655" w:type="pct"/>
            <w:tcBorders>
              <w:top w:val="nil"/>
              <w:left w:val="nil"/>
              <w:bottom w:val="single" w:sz="4" w:space="0" w:color="auto"/>
              <w:right w:val="single" w:sz="4" w:space="0" w:color="auto"/>
            </w:tcBorders>
            <w:noWrap/>
            <w:vAlign w:val="bottom"/>
            <w:hideMark/>
          </w:tcPr>
          <w:p w14:paraId="362A666E" w14:textId="77777777" w:rsidR="00353C91" w:rsidRPr="00661540" w:rsidRDefault="00353C91" w:rsidP="00430AF9">
            <w:pPr>
              <w:spacing w:after="0"/>
              <w:jc w:val="left"/>
              <w:rPr>
                <w:rFonts w:cs="Arial"/>
                <w:color w:val="000000"/>
                <w:szCs w:val="24"/>
              </w:rPr>
            </w:pPr>
            <w:r w:rsidRPr="00661540">
              <w:rPr>
                <w:rFonts w:cs="Arial"/>
                <w:color w:val="000000"/>
                <w:szCs w:val="24"/>
              </w:rPr>
              <w:t>14,822 ÷ 158,291 = 0.09</w:t>
            </w:r>
          </w:p>
        </w:tc>
        <w:tc>
          <w:tcPr>
            <w:tcW w:w="655" w:type="pct"/>
            <w:tcBorders>
              <w:top w:val="nil"/>
              <w:left w:val="nil"/>
              <w:bottom w:val="single" w:sz="4" w:space="0" w:color="auto"/>
              <w:right w:val="single" w:sz="4" w:space="0" w:color="auto"/>
            </w:tcBorders>
            <w:noWrap/>
            <w:vAlign w:val="bottom"/>
            <w:hideMark/>
          </w:tcPr>
          <w:p w14:paraId="13A86082" w14:textId="77777777" w:rsidR="00353C91" w:rsidRPr="00661540" w:rsidRDefault="00353C91" w:rsidP="00430AF9">
            <w:pPr>
              <w:spacing w:after="0"/>
              <w:jc w:val="left"/>
              <w:rPr>
                <w:rFonts w:cs="Arial"/>
                <w:color w:val="000000"/>
                <w:szCs w:val="24"/>
              </w:rPr>
            </w:pPr>
            <w:r w:rsidRPr="00661540">
              <w:rPr>
                <w:rFonts w:cs="Arial"/>
                <w:color w:val="000000"/>
                <w:szCs w:val="24"/>
              </w:rPr>
              <w:t>25,190 ÷ 161,148 = 0.16</w:t>
            </w:r>
          </w:p>
        </w:tc>
        <w:tc>
          <w:tcPr>
            <w:tcW w:w="655" w:type="pct"/>
            <w:tcBorders>
              <w:top w:val="nil"/>
              <w:left w:val="nil"/>
              <w:bottom w:val="single" w:sz="4" w:space="0" w:color="auto"/>
              <w:right w:val="single" w:sz="4" w:space="0" w:color="auto"/>
            </w:tcBorders>
            <w:noWrap/>
            <w:vAlign w:val="bottom"/>
            <w:hideMark/>
          </w:tcPr>
          <w:p w14:paraId="3D8B06D6" w14:textId="77777777" w:rsidR="00353C91" w:rsidRPr="00661540" w:rsidRDefault="00353C91" w:rsidP="00430AF9">
            <w:pPr>
              <w:spacing w:after="0"/>
              <w:jc w:val="left"/>
              <w:rPr>
                <w:rFonts w:cs="Arial"/>
                <w:color w:val="000000"/>
                <w:szCs w:val="24"/>
              </w:rPr>
            </w:pPr>
            <w:r w:rsidRPr="00661540">
              <w:rPr>
                <w:rFonts w:cs="Arial"/>
                <w:color w:val="000000"/>
                <w:szCs w:val="24"/>
              </w:rPr>
              <w:t>10,926 ÷ 216,473 = 0.05</w:t>
            </w:r>
          </w:p>
        </w:tc>
        <w:tc>
          <w:tcPr>
            <w:tcW w:w="655" w:type="pct"/>
            <w:tcBorders>
              <w:top w:val="nil"/>
              <w:left w:val="nil"/>
              <w:bottom w:val="single" w:sz="4" w:space="0" w:color="auto"/>
              <w:right w:val="single" w:sz="4" w:space="0" w:color="auto"/>
            </w:tcBorders>
            <w:noWrap/>
            <w:vAlign w:val="bottom"/>
            <w:hideMark/>
          </w:tcPr>
          <w:p w14:paraId="19920EA5" w14:textId="77777777" w:rsidR="00353C91" w:rsidRPr="00661540" w:rsidRDefault="00353C91" w:rsidP="00430AF9">
            <w:pPr>
              <w:spacing w:after="0"/>
              <w:jc w:val="left"/>
              <w:rPr>
                <w:rFonts w:cs="Arial"/>
                <w:color w:val="000000"/>
                <w:szCs w:val="24"/>
              </w:rPr>
            </w:pPr>
            <w:r w:rsidRPr="00661540">
              <w:rPr>
                <w:rFonts w:cs="Arial"/>
                <w:color w:val="000000"/>
                <w:szCs w:val="24"/>
              </w:rPr>
              <w:t>40,283 ÷ 216,787 = 0.19</w:t>
            </w:r>
          </w:p>
        </w:tc>
        <w:tc>
          <w:tcPr>
            <w:tcW w:w="655" w:type="pct"/>
            <w:tcBorders>
              <w:top w:val="nil"/>
              <w:left w:val="nil"/>
              <w:bottom w:val="single" w:sz="4" w:space="0" w:color="auto"/>
              <w:right w:val="single" w:sz="4" w:space="0" w:color="auto"/>
            </w:tcBorders>
            <w:noWrap/>
            <w:vAlign w:val="bottom"/>
            <w:hideMark/>
          </w:tcPr>
          <w:p w14:paraId="13488DAF" w14:textId="77777777" w:rsidR="00353C91" w:rsidRPr="00661540" w:rsidRDefault="00353C91" w:rsidP="00430AF9">
            <w:pPr>
              <w:spacing w:after="0"/>
              <w:jc w:val="left"/>
              <w:rPr>
                <w:rFonts w:cs="Arial"/>
                <w:color w:val="000000"/>
                <w:szCs w:val="24"/>
              </w:rPr>
            </w:pPr>
            <w:r w:rsidRPr="00661540">
              <w:rPr>
                <w:rFonts w:cs="Arial"/>
                <w:color w:val="000000"/>
                <w:szCs w:val="24"/>
              </w:rPr>
              <w:t>73,392 ÷ 179,510 = 0.41</w:t>
            </w:r>
          </w:p>
        </w:tc>
      </w:tr>
    </w:tbl>
    <w:p w14:paraId="2A4D65E8" w14:textId="26402D44" w:rsidR="00353C91" w:rsidRDefault="00602E9E" w:rsidP="00353C91">
      <w:pPr>
        <w:jc w:val="center"/>
      </w:pPr>
      <w:r>
        <w:rPr>
          <w:noProof/>
          <w:lang w:val="en-US" w:eastAsia="en-US"/>
        </w:rPr>
        <w:lastRenderedPageBreak/>
        <w:drawing>
          <wp:inline distT="0" distB="0" distL="0" distR="0" wp14:anchorId="071556CF" wp14:editId="58AFF327">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tbl>
      <w:tblPr>
        <w:tblW w:w="5000" w:type="pct"/>
        <w:tblLook w:val="04A0" w:firstRow="1" w:lastRow="0" w:firstColumn="1" w:lastColumn="0" w:noHBand="0" w:noVBand="1"/>
      </w:tblPr>
      <w:tblGrid>
        <w:gridCol w:w="1318"/>
        <w:gridCol w:w="1744"/>
        <w:gridCol w:w="1285"/>
        <w:gridCol w:w="1285"/>
        <w:gridCol w:w="1059"/>
        <w:gridCol w:w="1138"/>
        <w:gridCol w:w="1190"/>
      </w:tblGrid>
      <w:tr w:rsidR="00353C91" w:rsidRPr="00661540" w14:paraId="425AE79B" w14:textId="77777777" w:rsidTr="00430AF9">
        <w:trPr>
          <w:trHeight w:val="300"/>
        </w:trPr>
        <w:tc>
          <w:tcPr>
            <w:tcW w:w="5000" w:type="pct"/>
            <w:gridSpan w:val="7"/>
            <w:tcBorders>
              <w:top w:val="single" w:sz="4" w:space="0" w:color="auto"/>
              <w:left w:val="single" w:sz="4" w:space="0" w:color="auto"/>
              <w:bottom w:val="single" w:sz="4" w:space="0" w:color="auto"/>
              <w:right w:val="single" w:sz="4" w:space="0" w:color="000000"/>
            </w:tcBorders>
            <w:noWrap/>
            <w:vAlign w:val="bottom"/>
            <w:hideMark/>
          </w:tcPr>
          <w:p w14:paraId="764B5077" w14:textId="77777777" w:rsidR="00353C91" w:rsidRPr="00661540" w:rsidRDefault="00353C91" w:rsidP="00430AF9">
            <w:pPr>
              <w:spacing w:after="0"/>
              <w:jc w:val="center"/>
              <w:rPr>
                <w:rFonts w:cs="Arial"/>
                <w:b/>
                <w:bCs/>
                <w:color w:val="000000"/>
                <w:szCs w:val="24"/>
              </w:rPr>
            </w:pPr>
            <w:r w:rsidRPr="00661540">
              <w:rPr>
                <w:rFonts w:cs="Arial"/>
                <w:b/>
                <w:bCs/>
                <w:color w:val="000000"/>
                <w:szCs w:val="24"/>
              </w:rPr>
              <w:t>Investment Ratios</w:t>
            </w:r>
          </w:p>
        </w:tc>
      </w:tr>
      <w:tr w:rsidR="00353C91" w:rsidRPr="00661540" w14:paraId="402E2943" w14:textId="77777777" w:rsidTr="004C49BE">
        <w:trPr>
          <w:trHeight w:val="300"/>
        </w:trPr>
        <w:tc>
          <w:tcPr>
            <w:tcW w:w="731" w:type="pct"/>
            <w:tcBorders>
              <w:top w:val="nil"/>
              <w:left w:val="single" w:sz="4" w:space="0" w:color="auto"/>
              <w:bottom w:val="single" w:sz="4" w:space="0" w:color="auto"/>
              <w:right w:val="single" w:sz="4" w:space="0" w:color="auto"/>
            </w:tcBorders>
            <w:noWrap/>
            <w:vAlign w:val="bottom"/>
            <w:hideMark/>
          </w:tcPr>
          <w:p w14:paraId="3474013F" w14:textId="77777777" w:rsidR="00353C91" w:rsidRPr="00661540" w:rsidRDefault="00353C91" w:rsidP="00430AF9">
            <w:pPr>
              <w:spacing w:after="0"/>
              <w:jc w:val="left"/>
              <w:rPr>
                <w:rFonts w:cs="Arial"/>
                <w:b/>
                <w:bCs/>
                <w:color w:val="000000"/>
                <w:szCs w:val="24"/>
              </w:rPr>
            </w:pPr>
            <w:r w:rsidRPr="00661540">
              <w:rPr>
                <w:rFonts w:cs="Arial"/>
                <w:b/>
                <w:bCs/>
                <w:color w:val="000000"/>
                <w:szCs w:val="24"/>
              </w:rPr>
              <w:t>Ratio</w:t>
            </w:r>
          </w:p>
        </w:tc>
        <w:tc>
          <w:tcPr>
            <w:tcW w:w="967" w:type="pct"/>
            <w:tcBorders>
              <w:top w:val="nil"/>
              <w:left w:val="nil"/>
              <w:bottom w:val="single" w:sz="4" w:space="0" w:color="auto"/>
              <w:right w:val="single" w:sz="4" w:space="0" w:color="auto"/>
            </w:tcBorders>
            <w:noWrap/>
            <w:vAlign w:val="bottom"/>
            <w:hideMark/>
          </w:tcPr>
          <w:p w14:paraId="6160A2DB" w14:textId="77777777" w:rsidR="00353C91" w:rsidRPr="00661540" w:rsidRDefault="00353C91" w:rsidP="00430AF9">
            <w:pPr>
              <w:spacing w:after="0"/>
              <w:jc w:val="left"/>
              <w:rPr>
                <w:rFonts w:cs="Arial"/>
                <w:b/>
                <w:bCs/>
                <w:color w:val="000000"/>
                <w:szCs w:val="24"/>
              </w:rPr>
            </w:pPr>
            <w:r w:rsidRPr="00661540">
              <w:rPr>
                <w:rFonts w:cs="Arial"/>
                <w:b/>
                <w:bCs/>
                <w:color w:val="000000"/>
                <w:szCs w:val="24"/>
              </w:rPr>
              <w:t>Formula</w:t>
            </w:r>
          </w:p>
        </w:tc>
        <w:tc>
          <w:tcPr>
            <w:tcW w:w="712" w:type="pct"/>
            <w:tcBorders>
              <w:top w:val="nil"/>
              <w:left w:val="nil"/>
              <w:bottom w:val="single" w:sz="4" w:space="0" w:color="auto"/>
              <w:right w:val="single" w:sz="4" w:space="0" w:color="auto"/>
            </w:tcBorders>
            <w:noWrap/>
            <w:vAlign w:val="bottom"/>
            <w:hideMark/>
          </w:tcPr>
          <w:p w14:paraId="535484A6" w14:textId="77777777" w:rsidR="00353C91" w:rsidRPr="00661540" w:rsidRDefault="00353C91" w:rsidP="00430AF9">
            <w:pPr>
              <w:spacing w:after="0"/>
              <w:jc w:val="right"/>
              <w:rPr>
                <w:rFonts w:cs="Arial"/>
                <w:b/>
                <w:bCs/>
                <w:color w:val="000000"/>
                <w:szCs w:val="24"/>
              </w:rPr>
            </w:pPr>
            <w:r w:rsidRPr="00661540">
              <w:rPr>
                <w:rFonts w:cs="Arial"/>
                <w:b/>
                <w:bCs/>
                <w:color w:val="000000"/>
                <w:szCs w:val="24"/>
              </w:rPr>
              <w:t>2024</w:t>
            </w:r>
          </w:p>
        </w:tc>
        <w:tc>
          <w:tcPr>
            <w:tcW w:w="712" w:type="pct"/>
            <w:tcBorders>
              <w:top w:val="nil"/>
              <w:left w:val="nil"/>
              <w:bottom w:val="single" w:sz="4" w:space="0" w:color="auto"/>
              <w:right w:val="single" w:sz="4" w:space="0" w:color="auto"/>
            </w:tcBorders>
            <w:noWrap/>
            <w:vAlign w:val="bottom"/>
            <w:hideMark/>
          </w:tcPr>
          <w:p w14:paraId="6C71AD04" w14:textId="77777777" w:rsidR="00353C91" w:rsidRPr="00661540" w:rsidRDefault="00353C91" w:rsidP="00430AF9">
            <w:pPr>
              <w:spacing w:after="0"/>
              <w:jc w:val="right"/>
              <w:rPr>
                <w:rFonts w:cs="Arial"/>
                <w:b/>
                <w:bCs/>
                <w:color w:val="000000"/>
                <w:szCs w:val="24"/>
              </w:rPr>
            </w:pPr>
            <w:r w:rsidRPr="00661540">
              <w:rPr>
                <w:rFonts w:cs="Arial"/>
                <w:b/>
                <w:bCs/>
                <w:color w:val="000000"/>
                <w:szCs w:val="24"/>
              </w:rPr>
              <w:t>2023</w:t>
            </w:r>
          </w:p>
        </w:tc>
        <w:tc>
          <w:tcPr>
            <w:tcW w:w="587" w:type="pct"/>
            <w:tcBorders>
              <w:top w:val="nil"/>
              <w:left w:val="nil"/>
              <w:bottom w:val="single" w:sz="4" w:space="0" w:color="auto"/>
              <w:right w:val="single" w:sz="4" w:space="0" w:color="auto"/>
            </w:tcBorders>
            <w:noWrap/>
            <w:vAlign w:val="bottom"/>
            <w:hideMark/>
          </w:tcPr>
          <w:p w14:paraId="6007750D" w14:textId="77777777" w:rsidR="00353C91" w:rsidRPr="00661540" w:rsidRDefault="00353C91" w:rsidP="00430AF9">
            <w:pPr>
              <w:spacing w:after="0"/>
              <w:jc w:val="right"/>
              <w:rPr>
                <w:rFonts w:cs="Arial"/>
                <w:b/>
                <w:bCs/>
                <w:color w:val="000000"/>
                <w:szCs w:val="24"/>
              </w:rPr>
            </w:pPr>
            <w:r w:rsidRPr="00661540">
              <w:rPr>
                <w:rFonts w:cs="Arial"/>
                <w:b/>
                <w:bCs/>
                <w:color w:val="000000"/>
                <w:szCs w:val="24"/>
              </w:rPr>
              <w:t>2022</w:t>
            </w:r>
          </w:p>
        </w:tc>
        <w:tc>
          <w:tcPr>
            <w:tcW w:w="631" w:type="pct"/>
            <w:tcBorders>
              <w:top w:val="nil"/>
              <w:left w:val="nil"/>
              <w:bottom w:val="single" w:sz="4" w:space="0" w:color="auto"/>
              <w:right w:val="single" w:sz="4" w:space="0" w:color="auto"/>
            </w:tcBorders>
            <w:noWrap/>
            <w:vAlign w:val="bottom"/>
            <w:hideMark/>
          </w:tcPr>
          <w:p w14:paraId="192264A4" w14:textId="77777777" w:rsidR="00353C91" w:rsidRPr="00661540" w:rsidRDefault="00353C91" w:rsidP="00430AF9">
            <w:pPr>
              <w:spacing w:after="0"/>
              <w:jc w:val="right"/>
              <w:rPr>
                <w:rFonts w:cs="Arial"/>
                <w:b/>
                <w:bCs/>
                <w:color w:val="000000"/>
                <w:szCs w:val="24"/>
              </w:rPr>
            </w:pPr>
            <w:r w:rsidRPr="00661540">
              <w:rPr>
                <w:rFonts w:cs="Arial"/>
                <w:b/>
                <w:bCs/>
                <w:color w:val="000000"/>
                <w:szCs w:val="24"/>
              </w:rPr>
              <w:t>2021</w:t>
            </w:r>
          </w:p>
        </w:tc>
        <w:tc>
          <w:tcPr>
            <w:tcW w:w="660" w:type="pct"/>
            <w:tcBorders>
              <w:top w:val="nil"/>
              <w:left w:val="nil"/>
              <w:bottom w:val="single" w:sz="4" w:space="0" w:color="auto"/>
              <w:right w:val="single" w:sz="4" w:space="0" w:color="auto"/>
            </w:tcBorders>
            <w:noWrap/>
            <w:vAlign w:val="bottom"/>
            <w:hideMark/>
          </w:tcPr>
          <w:p w14:paraId="577BB727" w14:textId="77777777" w:rsidR="00353C91" w:rsidRPr="00661540" w:rsidRDefault="00353C91" w:rsidP="00430AF9">
            <w:pPr>
              <w:spacing w:after="0"/>
              <w:jc w:val="right"/>
              <w:rPr>
                <w:rFonts w:cs="Arial"/>
                <w:b/>
                <w:bCs/>
                <w:color w:val="000000"/>
                <w:szCs w:val="24"/>
              </w:rPr>
            </w:pPr>
            <w:r w:rsidRPr="00661540">
              <w:rPr>
                <w:rFonts w:cs="Arial"/>
                <w:b/>
                <w:bCs/>
                <w:color w:val="000000"/>
                <w:szCs w:val="24"/>
              </w:rPr>
              <w:t>2020</w:t>
            </w:r>
          </w:p>
        </w:tc>
      </w:tr>
      <w:tr w:rsidR="00353C91" w:rsidRPr="00661540" w14:paraId="629BE0CA" w14:textId="77777777" w:rsidTr="004C49BE">
        <w:trPr>
          <w:trHeight w:val="300"/>
        </w:trPr>
        <w:tc>
          <w:tcPr>
            <w:tcW w:w="731" w:type="pct"/>
            <w:tcBorders>
              <w:top w:val="nil"/>
              <w:left w:val="single" w:sz="4" w:space="0" w:color="auto"/>
              <w:bottom w:val="single" w:sz="4" w:space="0" w:color="auto"/>
              <w:right w:val="single" w:sz="4" w:space="0" w:color="auto"/>
            </w:tcBorders>
            <w:noWrap/>
            <w:vAlign w:val="bottom"/>
            <w:hideMark/>
          </w:tcPr>
          <w:p w14:paraId="45F1BDDD" w14:textId="77777777" w:rsidR="00353C91" w:rsidRPr="00661540" w:rsidRDefault="00353C91" w:rsidP="00430AF9">
            <w:pPr>
              <w:spacing w:after="0"/>
              <w:jc w:val="left"/>
              <w:rPr>
                <w:rFonts w:cs="Arial"/>
                <w:color w:val="000000"/>
                <w:szCs w:val="24"/>
              </w:rPr>
            </w:pPr>
            <w:r w:rsidRPr="00661540">
              <w:rPr>
                <w:rFonts w:cs="Arial"/>
                <w:color w:val="000000"/>
                <w:szCs w:val="24"/>
              </w:rPr>
              <w:t>Earnings Per Share (EPS)</w:t>
            </w:r>
          </w:p>
        </w:tc>
        <w:tc>
          <w:tcPr>
            <w:tcW w:w="967" w:type="pct"/>
            <w:tcBorders>
              <w:top w:val="nil"/>
              <w:left w:val="nil"/>
              <w:bottom w:val="single" w:sz="4" w:space="0" w:color="auto"/>
              <w:right w:val="single" w:sz="4" w:space="0" w:color="auto"/>
            </w:tcBorders>
            <w:noWrap/>
            <w:vAlign w:val="bottom"/>
            <w:hideMark/>
          </w:tcPr>
          <w:p w14:paraId="660DAEE9" w14:textId="77777777" w:rsidR="00353C91" w:rsidRPr="00661540" w:rsidRDefault="00353C91" w:rsidP="00430AF9">
            <w:pPr>
              <w:spacing w:after="0"/>
              <w:jc w:val="left"/>
              <w:rPr>
                <w:rFonts w:cs="Arial"/>
                <w:color w:val="000000"/>
                <w:szCs w:val="24"/>
              </w:rPr>
            </w:pPr>
            <w:r w:rsidRPr="00661540">
              <w:rPr>
                <w:rFonts w:cs="Arial"/>
                <w:color w:val="000000"/>
                <w:szCs w:val="24"/>
              </w:rPr>
              <w:t>Net Income ÷ Weighted Avg. Shares</w:t>
            </w:r>
          </w:p>
        </w:tc>
        <w:tc>
          <w:tcPr>
            <w:tcW w:w="712" w:type="pct"/>
            <w:tcBorders>
              <w:top w:val="nil"/>
              <w:left w:val="nil"/>
              <w:bottom w:val="single" w:sz="4" w:space="0" w:color="auto"/>
              <w:right w:val="single" w:sz="4" w:space="0" w:color="auto"/>
            </w:tcBorders>
            <w:noWrap/>
            <w:vAlign w:val="bottom"/>
            <w:hideMark/>
          </w:tcPr>
          <w:p w14:paraId="35FC0280" w14:textId="77777777" w:rsidR="00353C91" w:rsidRPr="00661540" w:rsidRDefault="00353C91" w:rsidP="00430AF9">
            <w:pPr>
              <w:spacing w:after="0"/>
              <w:jc w:val="left"/>
              <w:rPr>
                <w:rFonts w:cs="Arial"/>
                <w:color w:val="000000"/>
                <w:szCs w:val="24"/>
              </w:rPr>
            </w:pPr>
            <w:r w:rsidRPr="00661540">
              <w:rPr>
                <w:rFonts w:cs="Arial"/>
                <w:color w:val="000000"/>
                <w:szCs w:val="24"/>
              </w:rPr>
              <w:t>(24,029) ÷ 12,959 = -1.85</w:t>
            </w:r>
          </w:p>
        </w:tc>
        <w:tc>
          <w:tcPr>
            <w:tcW w:w="712" w:type="pct"/>
            <w:tcBorders>
              <w:top w:val="nil"/>
              <w:left w:val="nil"/>
              <w:bottom w:val="single" w:sz="4" w:space="0" w:color="auto"/>
              <w:right w:val="single" w:sz="4" w:space="0" w:color="auto"/>
            </w:tcBorders>
            <w:noWrap/>
            <w:vAlign w:val="bottom"/>
            <w:hideMark/>
          </w:tcPr>
          <w:p w14:paraId="1FF8CAE2" w14:textId="77777777" w:rsidR="00353C91" w:rsidRPr="00661540" w:rsidRDefault="00353C91" w:rsidP="00430AF9">
            <w:pPr>
              <w:spacing w:after="0"/>
              <w:jc w:val="left"/>
              <w:rPr>
                <w:rFonts w:cs="Arial"/>
                <w:color w:val="000000"/>
                <w:szCs w:val="24"/>
              </w:rPr>
            </w:pPr>
            <w:r w:rsidRPr="00661540">
              <w:rPr>
                <w:rFonts w:cs="Arial"/>
                <w:color w:val="000000"/>
                <w:szCs w:val="24"/>
              </w:rPr>
              <w:t>(98,238) ÷ 12,855 = -7.64</w:t>
            </w:r>
          </w:p>
        </w:tc>
        <w:tc>
          <w:tcPr>
            <w:tcW w:w="587" w:type="pct"/>
            <w:tcBorders>
              <w:top w:val="nil"/>
              <w:left w:val="nil"/>
              <w:bottom w:val="single" w:sz="4" w:space="0" w:color="auto"/>
              <w:right w:val="single" w:sz="4" w:space="0" w:color="auto"/>
            </w:tcBorders>
            <w:noWrap/>
            <w:vAlign w:val="bottom"/>
            <w:hideMark/>
          </w:tcPr>
          <w:p w14:paraId="268C0689" w14:textId="77777777" w:rsidR="00353C91" w:rsidRPr="00661540" w:rsidRDefault="00353C91" w:rsidP="00430AF9">
            <w:pPr>
              <w:spacing w:after="0"/>
              <w:jc w:val="left"/>
              <w:rPr>
                <w:rFonts w:cs="Arial"/>
                <w:color w:val="000000"/>
                <w:szCs w:val="24"/>
              </w:rPr>
            </w:pPr>
            <w:r w:rsidRPr="00661540">
              <w:rPr>
                <w:rFonts w:cs="Arial"/>
                <w:color w:val="000000"/>
                <w:szCs w:val="24"/>
              </w:rPr>
              <w:t>407 ÷ 12,703 = 0.03</w:t>
            </w:r>
          </w:p>
        </w:tc>
        <w:tc>
          <w:tcPr>
            <w:tcW w:w="631" w:type="pct"/>
            <w:tcBorders>
              <w:top w:val="nil"/>
              <w:left w:val="nil"/>
              <w:bottom w:val="single" w:sz="4" w:space="0" w:color="auto"/>
              <w:right w:val="single" w:sz="4" w:space="0" w:color="auto"/>
            </w:tcBorders>
            <w:noWrap/>
            <w:vAlign w:val="bottom"/>
            <w:hideMark/>
          </w:tcPr>
          <w:p w14:paraId="64E385B7" w14:textId="77777777" w:rsidR="00353C91" w:rsidRPr="00661540" w:rsidRDefault="00353C91" w:rsidP="00430AF9">
            <w:pPr>
              <w:spacing w:after="0"/>
              <w:jc w:val="left"/>
              <w:rPr>
                <w:rFonts w:cs="Arial"/>
                <w:color w:val="000000"/>
                <w:szCs w:val="24"/>
              </w:rPr>
            </w:pPr>
            <w:r w:rsidRPr="00661540">
              <w:rPr>
                <w:rFonts w:cs="Arial"/>
                <w:color w:val="000000"/>
                <w:szCs w:val="24"/>
              </w:rPr>
              <w:t>5,301 ÷ 13,465 = 0.39</w:t>
            </w:r>
          </w:p>
        </w:tc>
        <w:tc>
          <w:tcPr>
            <w:tcW w:w="660" w:type="pct"/>
            <w:tcBorders>
              <w:top w:val="nil"/>
              <w:left w:val="nil"/>
              <w:bottom w:val="single" w:sz="4" w:space="0" w:color="auto"/>
              <w:right w:val="single" w:sz="4" w:space="0" w:color="auto"/>
            </w:tcBorders>
            <w:noWrap/>
            <w:vAlign w:val="bottom"/>
            <w:hideMark/>
          </w:tcPr>
          <w:p w14:paraId="078DB66B" w14:textId="77777777" w:rsidR="00353C91" w:rsidRPr="00661540" w:rsidRDefault="00353C91" w:rsidP="00430AF9">
            <w:pPr>
              <w:spacing w:after="0"/>
              <w:jc w:val="left"/>
              <w:rPr>
                <w:rFonts w:cs="Arial"/>
                <w:color w:val="000000"/>
                <w:szCs w:val="24"/>
              </w:rPr>
            </w:pPr>
            <w:r w:rsidRPr="00661540">
              <w:rPr>
                <w:rFonts w:cs="Arial"/>
                <w:color w:val="000000"/>
                <w:szCs w:val="24"/>
              </w:rPr>
              <w:t>38,572 ÷ 13,893 = 2.78</w:t>
            </w:r>
          </w:p>
        </w:tc>
      </w:tr>
    </w:tbl>
    <w:p w14:paraId="7BFFA444" w14:textId="04CD9B47" w:rsidR="00353C91" w:rsidRPr="00353C91" w:rsidRDefault="004C49BE" w:rsidP="00461567">
      <w:pPr>
        <w:jc w:val="center"/>
      </w:pPr>
      <w:r>
        <w:rPr>
          <w:noProof/>
          <w:lang w:val="en-US" w:eastAsia="en-US"/>
        </w:rPr>
        <w:drawing>
          <wp:inline distT="0" distB="0" distL="0" distR="0" wp14:anchorId="5ECA981B" wp14:editId="1D3A2F2F">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72B915EA" w14:textId="76C5AD94" w:rsidR="00A57377" w:rsidRPr="001854D3" w:rsidRDefault="00747192" w:rsidP="001854D3">
      <w:pPr>
        <w:pStyle w:val="Heading2"/>
      </w:pPr>
      <w:bookmarkStart w:id="50" w:name="_Toc216960969"/>
      <w:r w:rsidRPr="001854D3">
        <w:t>Appendix 2: Investment Appraisal</w:t>
      </w:r>
      <w:bookmarkEnd w:id="50"/>
      <w:r w:rsidRPr="001854D3">
        <w:t xml:space="preserve"> </w:t>
      </w:r>
    </w:p>
    <w:p w14:paraId="76051949" w14:textId="178CD93F" w:rsidR="00747192" w:rsidRPr="001854D3" w:rsidRDefault="00747192" w:rsidP="001854D3">
      <w:pPr>
        <w:rPr>
          <w:rFonts w:cs="Arial"/>
          <w:b/>
          <w:bCs/>
          <w:i/>
          <w:iCs/>
          <w:szCs w:val="24"/>
        </w:rPr>
      </w:pPr>
      <w:r w:rsidRPr="001854D3">
        <w:rPr>
          <w:rFonts w:cs="Arial"/>
          <w:b/>
          <w:bCs/>
          <w:i/>
          <w:iCs/>
          <w:szCs w:val="24"/>
        </w:rPr>
        <w:t>Project A</w:t>
      </w:r>
    </w:p>
    <w:tbl>
      <w:tblPr>
        <w:tblW w:w="8790" w:type="dxa"/>
        <w:jc w:val="center"/>
        <w:tblLook w:val="04A0" w:firstRow="1" w:lastRow="0" w:firstColumn="1" w:lastColumn="0" w:noHBand="0" w:noVBand="1"/>
      </w:tblPr>
      <w:tblGrid>
        <w:gridCol w:w="3845"/>
        <w:gridCol w:w="1525"/>
        <w:gridCol w:w="3420"/>
      </w:tblGrid>
      <w:tr w:rsidR="00747192" w:rsidRPr="00747192" w14:paraId="54653A33" w14:textId="77777777" w:rsidTr="00747192">
        <w:trPr>
          <w:trHeight w:val="413"/>
          <w:jc w:val="center"/>
        </w:trPr>
        <w:tc>
          <w:tcPr>
            <w:tcW w:w="8790" w:type="dxa"/>
            <w:gridSpan w:val="3"/>
            <w:tcBorders>
              <w:top w:val="single" w:sz="8" w:space="0" w:color="auto"/>
              <w:left w:val="single" w:sz="8" w:space="0" w:color="auto"/>
              <w:bottom w:val="single" w:sz="4" w:space="0" w:color="auto"/>
              <w:right w:val="single" w:sz="8" w:space="0" w:color="000000"/>
            </w:tcBorders>
            <w:noWrap/>
            <w:vAlign w:val="bottom"/>
            <w:hideMark/>
          </w:tcPr>
          <w:p w14:paraId="47AD09FE" w14:textId="77777777" w:rsidR="00747192" w:rsidRPr="00747192" w:rsidRDefault="00747192" w:rsidP="001854D3">
            <w:pPr>
              <w:spacing w:after="0"/>
              <w:jc w:val="center"/>
              <w:rPr>
                <w:rFonts w:cs="Arial"/>
                <w:b/>
                <w:bCs/>
                <w:color w:val="000000"/>
                <w:szCs w:val="24"/>
                <w:lang w:val="en-IN"/>
              </w:rPr>
            </w:pPr>
            <w:r w:rsidRPr="00747192">
              <w:rPr>
                <w:rFonts w:cs="Arial"/>
                <w:b/>
                <w:bCs/>
                <w:color w:val="000000"/>
                <w:szCs w:val="24"/>
                <w:lang w:val="en-IN"/>
              </w:rPr>
              <w:t>PBP</w:t>
            </w:r>
          </w:p>
        </w:tc>
      </w:tr>
      <w:tr w:rsidR="00747192" w:rsidRPr="00747192" w14:paraId="3C00F2FC" w14:textId="77777777" w:rsidTr="00D34B4D">
        <w:trPr>
          <w:trHeight w:val="413"/>
          <w:jc w:val="center"/>
        </w:trPr>
        <w:tc>
          <w:tcPr>
            <w:tcW w:w="3845" w:type="dxa"/>
            <w:tcBorders>
              <w:top w:val="nil"/>
              <w:left w:val="single" w:sz="8" w:space="0" w:color="auto"/>
              <w:bottom w:val="single" w:sz="4" w:space="0" w:color="auto"/>
              <w:right w:val="single" w:sz="4" w:space="0" w:color="auto"/>
            </w:tcBorders>
            <w:noWrap/>
            <w:vAlign w:val="bottom"/>
            <w:hideMark/>
          </w:tcPr>
          <w:p w14:paraId="4A76AA11" w14:textId="77777777" w:rsidR="00747192" w:rsidRPr="00747192" w:rsidRDefault="00747192" w:rsidP="001854D3">
            <w:pPr>
              <w:spacing w:after="0"/>
              <w:jc w:val="center"/>
              <w:rPr>
                <w:rFonts w:cs="Arial"/>
                <w:b/>
                <w:bCs/>
                <w:color w:val="000000"/>
                <w:szCs w:val="24"/>
                <w:lang w:val="en-IN"/>
              </w:rPr>
            </w:pPr>
            <w:r w:rsidRPr="00747192">
              <w:rPr>
                <w:rFonts w:cs="Arial"/>
                <w:b/>
                <w:bCs/>
                <w:color w:val="000000"/>
                <w:szCs w:val="24"/>
                <w:lang w:val="en-IN"/>
              </w:rPr>
              <w:lastRenderedPageBreak/>
              <w:t>Year</w:t>
            </w:r>
          </w:p>
        </w:tc>
        <w:tc>
          <w:tcPr>
            <w:tcW w:w="1525" w:type="dxa"/>
            <w:tcBorders>
              <w:top w:val="nil"/>
              <w:left w:val="nil"/>
              <w:bottom w:val="single" w:sz="4" w:space="0" w:color="auto"/>
              <w:right w:val="single" w:sz="4" w:space="0" w:color="auto"/>
            </w:tcBorders>
            <w:noWrap/>
            <w:vAlign w:val="bottom"/>
            <w:hideMark/>
          </w:tcPr>
          <w:p w14:paraId="45672B76" w14:textId="77777777" w:rsidR="00747192" w:rsidRPr="00747192" w:rsidRDefault="00747192" w:rsidP="001854D3">
            <w:pPr>
              <w:spacing w:after="0"/>
              <w:jc w:val="center"/>
              <w:rPr>
                <w:rFonts w:cs="Arial"/>
                <w:b/>
                <w:bCs/>
                <w:color w:val="000000"/>
                <w:szCs w:val="24"/>
                <w:lang w:val="en-IN"/>
              </w:rPr>
            </w:pPr>
            <w:r w:rsidRPr="00747192">
              <w:rPr>
                <w:rFonts w:cs="Arial"/>
                <w:b/>
                <w:bCs/>
                <w:color w:val="000000"/>
                <w:szCs w:val="24"/>
                <w:lang w:val="en-IN"/>
              </w:rPr>
              <w:t xml:space="preserve">Cashflow </w:t>
            </w:r>
          </w:p>
        </w:tc>
        <w:tc>
          <w:tcPr>
            <w:tcW w:w="3420" w:type="dxa"/>
            <w:tcBorders>
              <w:top w:val="nil"/>
              <w:left w:val="nil"/>
              <w:bottom w:val="single" w:sz="4" w:space="0" w:color="auto"/>
              <w:right w:val="single" w:sz="8" w:space="0" w:color="auto"/>
            </w:tcBorders>
            <w:noWrap/>
            <w:vAlign w:val="bottom"/>
            <w:hideMark/>
          </w:tcPr>
          <w:p w14:paraId="21FB2D2E" w14:textId="77777777" w:rsidR="00747192" w:rsidRPr="00747192" w:rsidRDefault="00747192" w:rsidP="001854D3">
            <w:pPr>
              <w:spacing w:after="0"/>
              <w:jc w:val="center"/>
              <w:rPr>
                <w:rFonts w:cs="Arial"/>
                <w:b/>
                <w:bCs/>
                <w:color w:val="000000"/>
                <w:szCs w:val="24"/>
                <w:lang w:val="en-IN"/>
              </w:rPr>
            </w:pPr>
            <w:r w:rsidRPr="00747192">
              <w:rPr>
                <w:rFonts w:cs="Arial"/>
                <w:b/>
                <w:bCs/>
                <w:color w:val="000000"/>
                <w:szCs w:val="24"/>
                <w:lang w:val="en-IN"/>
              </w:rPr>
              <w:t>Cumulative Cashflow</w:t>
            </w:r>
          </w:p>
        </w:tc>
      </w:tr>
      <w:tr w:rsidR="00747192" w:rsidRPr="00747192" w14:paraId="5B37B7BD" w14:textId="77777777" w:rsidTr="00D34B4D">
        <w:trPr>
          <w:trHeight w:val="413"/>
          <w:jc w:val="center"/>
        </w:trPr>
        <w:tc>
          <w:tcPr>
            <w:tcW w:w="3845" w:type="dxa"/>
            <w:tcBorders>
              <w:top w:val="nil"/>
              <w:left w:val="single" w:sz="8" w:space="0" w:color="auto"/>
              <w:bottom w:val="single" w:sz="4" w:space="0" w:color="auto"/>
              <w:right w:val="single" w:sz="4" w:space="0" w:color="auto"/>
            </w:tcBorders>
            <w:noWrap/>
            <w:vAlign w:val="bottom"/>
            <w:hideMark/>
          </w:tcPr>
          <w:p w14:paraId="0B768D02"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1</w:t>
            </w:r>
          </w:p>
        </w:tc>
        <w:tc>
          <w:tcPr>
            <w:tcW w:w="1525" w:type="dxa"/>
            <w:tcBorders>
              <w:top w:val="nil"/>
              <w:left w:val="nil"/>
              <w:bottom w:val="single" w:sz="4" w:space="0" w:color="auto"/>
              <w:right w:val="single" w:sz="4" w:space="0" w:color="auto"/>
            </w:tcBorders>
            <w:noWrap/>
            <w:vAlign w:val="bottom"/>
            <w:hideMark/>
          </w:tcPr>
          <w:p w14:paraId="5E0C48F0"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10</w:t>
            </w:r>
          </w:p>
        </w:tc>
        <w:tc>
          <w:tcPr>
            <w:tcW w:w="3420" w:type="dxa"/>
            <w:tcBorders>
              <w:top w:val="nil"/>
              <w:left w:val="nil"/>
              <w:bottom w:val="single" w:sz="4" w:space="0" w:color="auto"/>
              <w:right w:val="single" w:sz="8" w:space="0" w:color="auto"/>
            </w:tcBorders>
            <w:noWrap/>
            <w:vAlign w:val="bottom"/>
            <w:hideMark/>
          </w:tcPr>
          <w:p w14:paraId="1856F668"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10</w:t>
            </w:r>
          </w:p>
        </w:tc>
      </w:tr>
      <w:tr w:rsidR="00747192" w:rsidRPr="00747192" w14:paraId="68887EC2" w14:textId="77777777" w:rsidTr="00D34B4D">
        <w:trPr>
          <w:trHeight w:val="413"/>
          <w:jc w:val="center"/>
        </w:trPr>
        <w:tc>
          <w:tcPr>
            <w:tcW w:w="3845" w:type="dxa"/>
            <w:tcBorders>
              <w:top w:val="nil"/>
              <w:left w:val="single" w:sz="8" w:space="0" w:color="auto"/>
              <w:bottom w:val="single" w:sz="4" w:space="0" w:color="auto"/>
              <w:right w:val="single" w:sz="4" w:space="0" w:color="auto"/>
            </w:tcBorders>
            <w:noWrap/>
            <w:vAlign w:val="bottom"/>
            <w:hideMark/>
          </w:tcPr>
          <w:p w14:paraId="0390C433"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2</w:t>
            </w:r>
          </w:p>
        </w:tc>
        <w:tc>
          <w:tcPr>
            <w:tcW w:w="1525" w:type="dxa"/>
            <w:tcBorders>
              <w:top w:val="nil"/>
              <w:left w:val="nil"/>
              <w:bottom w:val="single" w:sz="4" w:space="0" w:color="auto"/>
              <w:right w:val="single" w:sz="4" w:space="0" w:color="auto"/>
            </w:tcBorders>
            <w:noWrap/>
            <w:vAlign w:val="bottom"/>
            <w:hideMark/>
          </w:tcPr>
          <w:p w14:paraId="63C399A3"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12</w:t>
            </w:r>
          </w:p>
        </w:tc>
        <w:tc>
          <w:tcPr>
            <w:tcW w:w="3420" w:type="dxa"/>
            <w:tcBorders>
              <w:top w:val="nil"/>
              <w:left w:val="nil"/>
              <w:bottom w:val="single" w:sz="4" w:space="0" w:color="auto"/>
              <w:right w:val="single" w:sz="8" w:space="0" w:color="auto"/>
            </w:tcBorders>
            <w:noWrap/>
            <w:vAlign w:val="bottom"/>
            <w:hideMark/>
          </w:tcPr>
          <w:p w14:paraId="61E9FC7F"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22</w:t>
            </w:r>
          </w:p>
        </w:tc>
      </w:tr>
      <w:tr w:rsidR="00747192" w:rsidRPr="00747192" w14:paraId="54F22074" w14:textId="77777777" w:rsidTr="00D34B4D">
        <w:trPr>
          <w:trHeight w:val="413"/>
          <w:jc w:val="center"/>
        </w:trPr>
        <w:tc>
          <w:tcPr>
            <w:tcW w:w="3845" w:type="dxa"/>
            <w:tcBorders>
              <w:top w:val="nil"/>
              <w:left w:val="single" w:sz="8" w:space="0" w:color="auto"/>
              <w:bottom w:val="single" w:sz="4" w:space="0" w:color="auto"/>
              <w:right w:val="single" w:sz="4" w:space="0" w:color="auto"/>
            </w:tcBorders>
            <w:noWrap/>
            <w:vAlign w:val="bottom"/>
            <w:hideMark/>
          </w:tcPr>
          <w:p w14:paraId="5773C486"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3</w:t>
            </w:r>
          </w:p>
        </w:tc>
        <w:tc>
          <w:tcPr>
            <w:tcW w:w="1525" w:type="dxa"/>
            <w:tcBorders>
              <w:top w:val="nil"/>
              <w:left w:val="nil"/>
              <w:bottom w:val="single" w:sz="4" w:space="0" w:color="auto"/>
              <w:right w:val="single" w:sz="4" w:space="0" w:color="auto"/>
            </w:tcBorders>
            <w:noWrap/>
            <w:vAlign w:val="bottom"/>
            <w:hideMark/>
          </w:tcPr>
          <w:p w14:paraId="0F471FAD"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14</w:t>
            </w:r>
          </w:p>
        </w:tc>
        <w:tc>
          <w:tcPr>
            <w:tcW w:w="3420" w:type="dxa"/>
            <w:tcBorders>
              <w:top w:val="nil"/>
              <w:left w:val="nil"/>
              <w:bottom w:val="single" w:sz="4" w:space="0" w:color="auto"/>
              <w:right w:val="single" w:sz="8" w:space="0" w:color="auto"/>
            </w:tcBorders>
            <w:noWrap/>
            <w:vAlign w:val="bottom"/>
            <w:hideMark/>
          </w:tcPr>
          <w:p w14:paraId="3696DEE7"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36</w:t>
            </w:r>
          </w:p>
        </w:tc>
      </w:tr>
      <w:tr w:rsidR="00747192" w:rsidRPr="00747192" w14:paraId="1BD5F15E" w14:textId="77777777" w:rsidTr="00D34B4D">
        <w:trPr>
          <w:trHeight w:val="413"/>
          <w:jc w:val="center"/>
        </w:trPr>
        <w:tc>
          <w:tcPr>
            <w:tcW w:w="3845" w:type="dxa"/>
            <w:tcBorders>
              <w:top w:val="nil"/>
              <w:left w:val="single" w:sz="8" w:space="0" w:color="auto"/>
              <w:bottom w:val="single" w:sz="4" w:space="0" w:color="auto"/>
              <w:right w:val="single" w:sz="4" w:space="0" w:color="auto"/>
            </w:tcBorders>
            <w:noWrap/>
            <w:vAlign w:val="bottom"/>
            <w:hideMark/>
          </w:tcPr>
          <w:p w14:paraId="67D3E87E"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4</w:t>
            </w:r>
          </w:p>
        </w:tc>
        <w:tc>
          <w:tcPr>
            <w:tcW w:w="1525" w:type="dxa"/>
            <w:tcBorders>
              <w:top w:val="nil"/>
              <w:left w:val="nil"/>
              <w:bottom w:val="single" w:sz="4" w:space="0" w:color="auto"/>
              <w:right w:val="single" w:sz="4" w:space="0" w:color="auto"/>
            </w:tcBorders>
            <w:noWrap/>
            <w:vAlign w:val="bottom"/>
            <w:hideMark/>
          </w:tcPr>
          <w:p w14:paraId="478B0842"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10</w:t>
            </w:r>
          </w:p>
        </w:tc>
        <w:tc>
          <w:tcPr>
            <w:tcW w:w="3420" w:type="dxa"/>
            <w:tcBorders>
              <w:top w:val="nil"/>
              <w:left w:val="nil"/>
              <w:bottom w:val="single" w:sz="4" w:space="0" w:color="auto"/>
              <w:right w:val="single" w:sz="8" w:space="0" w:color="auto"/>
            </w:tcBorders>
            <w:noWrap/>
            <w:vAlign w:val="bottom"/>
            <w:hideMark/>
          </w:tcPr>
          <w:p w14:paraId="3BC8A7B0"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46</w:t>
            </w:r>
          </w:p>
        </w:tc>
      </w:tr>
      <w:tr w:rsidR="00747192" w:rsidRPr="00747192" w14:paraId="66F05C06" w14:textId="77777777" w:rsidTr="00D34B4D">
        <w:trPr>
          <w:trHeight w:val="413"/>
          <w:jc w:val="center"/>
        </w:trPr>
        <w:tc>
          <w:tcPr>
            <w:tcW w:w="3845" w:type="dxa"/>
            <w:tcBorders>
              <w:top w:val="nil"/>
              <w:left w:val="single" w:sz="8" w:space="0" w:color="auto"/>
              <w:bottom w:val="single" w:sz="4" w:space="0" w:color="auto"/>
              <w:right w:val="single" w:sz="4" w:space="0" w:color="auto"/>
            </w:tcBorders>
            <w:noWrap/>
            <w:vAlign w:val="bottom"/>
            <w:hideMark/>
          </w:tcPr>
          <w:p w14:paraId="7999623C"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5</w:t>
            </w:r>
          </w:p>
        </w:tc>
        <w:tc>
          <w:tcPr>
            <w:tcW w:w="1525" w:type="dxa"/>
            <w:tcBorders>
              <w:top w:val="nil"/>
              <w:left w:val="nil"/>
              <w:bottom w:val="single" w:sz="4" w:space="0" w:color="auto"/>
              <w:right w:val="single" w:sz="4" w:space="0" w:color="auto"/>
            </w:tcBorders>
            <w:noWrap/>
            <w:vAlign w:val="bottom"/>
            <w:hideMark/>
          </w:tcPr>
          <w:p w14:paraId="0C5A95C1"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8</w:t>
            </w:r>
          </w:p>
        </w:tc>
        <w:tc>
          <w:tcPr>
            <w:tcW w:w="3420" w:type="dxa"/>
            <w:tcBorders>
              <w:top w:val="nil"/>
              <w:left w:val="nil"/>
              <w:bottom w:val="single" w:sz="4" w:space="0" w:color="auto"/>
              <w:right w:val="single" w:sz="8" w:space="0" w:color="auto"/>
            </w:tcBorders>
            <w:noWrap/>
            <w:vAlign w:val="bottom"/>
            <w:hideMark/>
          </w:tcPr>
          <w:p w14:paraId="0A2FCDA1"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54</w:t>
            </w:r>
          </w:p>
        </w:tc>
      </w:tr>
      <w:tr w:rsidR="00747192" w:rsidRPr="00747192" w14:paraId="50239E85" w14:textId="77777777" w:rsidTr="00D34B4D">
        <w:trPr>
          <w:trHeight w:val="413"/>
          <w:jc w:val="center"/>
        </w:trPr>
        <w:tc>
          <w:tcPr>
            <w:tcW w:w="3845" w:type="dxa"/>
            <w:tcBorders>
              <w:top w:val="nil"/>
              <w:left w:val="single" w:sz="8" w:space="0" w:color="auto"/>
              <w:bottom w:val="single" w:sz="4" w:space="0" w:color="auto"/>
              <w:right w:val="single" w:sz="4" w:space="0" w:color="auto"/>
            </w:tcBorders>
            <w:noWrap/>
            <w:vAlign w:val="bottom"/>
            <w:hideMark/>
          </w:tcPr>
          <w:p w14:paraId="2E073769"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Investment to recover</w:t>
            </w:r>
          </w:p>
        </w:tc>
        <w:tc>
          <w:tcPr>
            <w:tcW w:w="1525" w:type="dxa"/>
            <w:tcBorders>
              <w:top w:val="nil"/>
              <w:left w:val="nil"/>
              <w:bottom w:val="single" w:sz="4" w:space="0" w:color="auto"/>
              <w:right w:val="single" w:sz="4" w:space="0" w:color="auto"/>
            </w:tcBorders>
            <w:noWrap/>
            <w:vAlign w:val="bottom"/>
            <w:hideMark/>
          </w:tcPr>
          <w:p w14:paraId="65E579D4"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40</w:t>
            </w:r>
          </w:p>
        </w:tc>
        <w:tc>
          <w:tcPr>
            <w:tcW w:w="3420" w:type="dxa"/>
            <w:tcBorders>
              <w:top w:val="nil"/>
              <w:left w:val="nil"/>
              <w:bottom w:val="nil"/>
              <w:right w:val="single" w:sz="8" w:space="0" w:color="auto"/>
            </w:tcBorders>
            <w:noWrap/>
            <w:vAlign w:val="bottom"/>
            <w:hideMark/>
          </w:tcPr>
          <w:p w14:paraId="2F7FAD2F" w14:textId="77777777" w:rsidR="00747192" w:rsidRPr="00747192" w:rsidRDefault="00747192" w:rsidP="001854D3">
            <w:pPr>
              <w:spacing w:after="0"/>
              <w:jc w:val="left"/>
              <w:rPr>
                <w:rFonts w:cs="Arial"/>
                <w:color w:val="000000"/>
                <w:szCs w:val="24"/>
                <w:lang w:val="en-IN"/>
              </w:rPr>
            </w:pPr>
            <w:r w:rsidRPr="00747192">
              <w:rPr>
                <w:rFonts w:cs="Arial"/>
                <w:color w:val="000000"/>
                <w:szCs w:val="24"/>
                <w:lang w:val="en-IN"/>
              </w:rPr>
              <w:t> </w:t>
            </w:r>
          </w:p>
        </w:tc>
      </w:tr>
      <w:tr w:rsidR="00747192" w:rsidRPr="00747192" w14:paraId="37EB0CBE" w14:textId="77777777" w:rsidTr="00D34B4D">
        <w:trPr>
          <w:trHeight w:val="413"/>
          <w:jc w:val="center"/>
        </w:trPr>
        <w:tc>
          <w:tcPr>
            <w:tcW w:w="3845" w:type="dxa"/>
            <w:tcBorders>
              <w:top w:val="nil"/>
              <w:left w:val="single" w:sz="8" w:space="0" w:color="auto"/>
              <w:bottom w:val="single" w:sz="4" w:space="0" w:color="auto"/>
              <w:right w:val="single" w:sz="4" w:space="0" w:color="auto"/>
            </w:tcBorders>
            <w:noWrap/>
            <w:vAlign w:val="bottom"/>
            <w:hideMark/>
          </w:tcPr>
          <w:p w14:paraId="018521DF"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After 3 years, recovered</w:t>
            </w:r>
          </w:p>
        </w:tc>
        <w:tc>
          <w:tcPr>
            <w:tcW w:w="1525" w:type="dxa"/>
            <w:tcBorders>
              <w:top w:val="nil"/>
              <w:left w:val="nil"/>
              <w:bottom w:val="single" w:sz="4" w:space="0" w:color="auto"/>
              <w:right w:val="single" w:sz="4" w:space="0" w:color="auto"/>
            </w:tcBorders>
            <w:noWrap/>
            <w:vAlign w:val="bottom"/>
            <w:hideMark/>
          </w:tcPr>
          <w:p w14:paraId="6B711B69"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36</w:t>
            </w:r>
          </w:p>
        </w:tc>
        <w:tc>
          <w:tcPr>
            <w:tcW w:w="3420" w:type="dxa"/>
            <w:tcBorders>
              <w:top w:val="nil"/>
              <w:left w:val="nil"/>
              <w:bottom w:val="nil"/>
              <w:right w:val="single" w:sz="8" w:space="0" w:color="auto"/>
            </w:tcBorders>
            <w:noWrap/>
            <w:vAlign w:val="bottom"/>
            <w:hideMark/>
          </w:tcPr>
          <w:p w14:paraId="6D357C36" w14:textId="77777777" w:rsidR="00747192" w:rsidRPr="00747192" w:rsidRDefault="00747192" w:rsidP="001854D3">
            <w:pPr>
              <w:spacing w:after="0"/>
              <w:jc w:val="left"/>
              <w:rPr>
                <w:rFonts w:cs="Arial"/>
                <w:color w:val="000000"/>
                <w:szCs w:val="24"/>
                <w:lang w:val="en-IN"/>
              </w:rPr>
            </w:pPr>
            <w:r w:rsidRPr="00747192">
              <w:rPr>
                <w:rFonts w:cs="Arial"/>
                <w:color w:val="000000"/>
                <w:szCs w:val="24"/>
                <w:lang w:val="en-IN"/>
              </w:rPr>
              <w:t> </w:t>
            </w:r>
          </w:p>
        </w:tc>
      </w:tr>
      <w:tr w:rsidR="00747192" w:rsidRPr="00747192" w14:paraId="7FBF3DC4" w14:textId="77777777" w:rsidTr="00D34B4D">
        <w:trPr>
          <w:trHeight w:val="413"/>
          <w:jc w:val="center"/>
        </w:trPr>
        <w:tc>
          <w:tcPr>
            <w:tcW w:w="3845" w:type="dxa"/>
            <w:tcBorders>
              <w:top w:val="nil"/>
              <w:left w:val="single" w:sz="8" w:space="0" w:color="auto"/>
              <w:bottom w:val="single" w:sz="4" w:space="0" w:color="auto"/>
              <w:right w:val="single" w:sz="4" w:space="0" w:color="auto"/>
            </w:tcBorders>
            <w:noWrap/>
            <w:vAlign w:val="bottom"/>
            <w:hideMark/>
          </w:tcPr>
          <w:p w14:paraId="4F54A8DE"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 xml:space="preserve">Amount remaining </w:t>
            </w:r>
          </w:p>
        </w:tc>
        <w:tc>
          <w:tcPr>
            <w:tcW w:w="1525" w:type="dxa"/>
            <w:tcBorders>
              <w:top w:val="nil"/>
              <w:left w:val="nil"/>
              <w:bottom w:val="single" w:sz="4" w:space="0" w:color="auto"/>
              <w:right w:val="single" w:sz="4" w:space="0" w:color="auto"/>
            </w:tcBorders>
            <w:noWrap/>
            <w:vAlign w:val="bottom"/>
            <w:hideMark/>
          </w:tcPr>
          <w:p w14:paraId="7DDF304D"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4</w:t>
            </w:r>
          </w:p>
        </w:tc>
        <w:tc>
          <w:tcPr>
            <w:tcW w:w="3420" w:type="dxa"/>
            <w:tcBorders>
              <w:top w:val="nil"/>
              <w:left w:val="nil"/>
              <w:bottom w:val="nil"/>
              <w:right w:val="single" w:sz="8" w:space="0" w:color="auto"/>
            </w:tcBorders>
            <w:noWrap/>
            <w:vAlign w:val="bottom"/>
            <w:hideMark/>
          </w:tcPr>
          <w:p w14:paraId="764CEA23" w14:textId="77777777" w:rsidR="00747192" w:rsidRPr="00747192" w:rsidRDefault="00747192" w:rsidP="001854D3">
            <w:pPr>
              <w:spacing w:after="0"/>
              <w:jc w:val="left"/>
              <w:rPr>
                <w:rFonts w:cs="Arial"/>
                <w:color w:val="000000"/>
                <w:szCs w:val="24"/>
                <w:lang w:val="en-IN"/>
              </w:rPr>
            </w:pPr>
            <w:r w:rsidRPr="00747192">
              <w:rPr>
                <w:rFonts w:cs="Arial"/>
                <w:color w:val="000000"/>
                <w:szCs w:val="24"/>
                <w:lang w:val="en-IN"/>
              </w:rPr>
              <w:t> </w:t>
            </w:r>
          </w:p>
        </w:tc>
      </w:tr>
      <w:tr w:rsidR="00747192" w:rsidRPr="00747192" w14:paraId="54A64026" w14:textId="77777777" w:rsidTr="00D34B4D">
        <w:trPr>
          <w:trHeight w:val="413"/>
          <w:jc w:val="center"/>
        </w:trPr>
        <w:tc>
          <w:tcPr>
            <w:tcW w:w="3845" w:type="dxa"/>
            <w:tcBorders>
              <w:top w:val="nil"/>
              <w:left w:val="single" w:sz="8" w:space="0" w:color="auto"/>
              <w:bottom w:val="single" w:sz="4" w:space="0" w:color="auto"/>
              <w:right w:val="single" w:sz="4" w:space="0" w:color="auto"/>
            </w:tcBorders>
            <w:noWrap/>
            <w:vAlign w:val="bottom"/>
            <w:hideMark/>
          </w:tcPr>
          <w:p w14:paraId="66B18E8C"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Year 4 Inflow</w:t>
            </w:r>
          </w:p>
        </w:tc>
        <w:tc>
          <w:tcPr>
            <w:tcW w:w="1525" w:type="dxa"/>
            <w:tcBorders>
              <w:top w:val="nil"/>
              <w:left w:val="nil"/>
              <w:bottom w:val="single" w:sz="4" w:space="0" w:color="auto"/>
              <w:right w:val="single" w:sz="4" w:space="0" w:color="auto"/>
            </w:tcBorders>
            <w:noWrap/>
            <w:vAlign w:val="bottom"/>
            <w:hideMark/>
          </w:tcPr>
          <w:p w14:paraId="44B684EC"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10</w:t>
            </w:r>
          </w:p>
        </w:tc>
        <w:tc>
          <w:tcPr>
            <w:tcW w:w="3420" w:type="dxa"/>
            <w:tcBorders>
              <w:top w:val="nil"/>
              <w:left w:val="nil"/>
              <w:bottom w:val="nil"/>
              <w:right w:val="single" w:sz="8" w:space="0" w:color="auto"/>
            </w:tcBorders>
            <w:noWrap/>
            <w:vAlign w:val="bottom"/>
            <w:hideMark/>
          </w:tcPr>
          <w:p w14:paraId="29163970" w14:textId="77777777" w:rsidR="00747192" w:rsidRPr="00747192" w:rsidRDefault="00747192" w:rsidP="001854D3">
            <w:pPr>
              <w:spacing w:after="0"/>
              <w:jc w:val="left"/>
              <w:rPr>
                <w:rFonts w:cs="Arial"/>
                <w:color w:val="000000"/>
                <w:szCs w:val="24"/>
                <w:lang w:val="en-IN"/>
              </w:rPr>
            </w:pPr>
            <w:r w:rsidRPr="00747192">
              <w:rPr>
                <w:rFonts w:cs="Arial"/>
                <w:color w:val="000000"/>
                <w:szCs w:val="24"/>
                <w:lang w:val="en-IN"/>
              </w:rPr>
              <w:t> </w:t>
            </w:r>
          </w:p>
        </w:tc>
      </w:tr>
      <w:tr w:rsidR="00747192" w:rsidRPr="00747192" w14:paraId="71B299C9" w14:textId="77777777" w:rsidTr="00D34B4D">
        <w:trPr>
          <w:trHeight w:val="413"/>
          <w:jc w:val="center"/>
        </w:trPr>
        <w:tc>
          <w:tcPr>
            <w:tcW w:w="3845" w:type="dxa"/>
            <w:tcBorders>
              <w:top w:val="nil"/>
              <w:left w:val="single" w:sz="8" w:space="0" w:color="auto"/>
              <w:bottom w:val="single" w:sz="4" w:space="0" w:color="auto"/>
              <w:right w:val="single" w:sz="4" w:space="0" w:color="auto"/>
            </w:tcBorders>
            <w:noWrap/>
            <w:vAlign w:val="bottom"/>
            <w:hideMark/>
          </w:tcPr>
          <w:p w14:paraId="08F7D011" w14:textId="77777777" w:rsidR="00747192" w:rsidRPr="00747192" w:rsidRDefault="00747192" w:rsidP="001854D3">
            <w:pPr>
              <w:spacing w:after="0"/>
              <w:jc w:val="left"/>
              <w:rPr>
                <w:rFonts w:cs="Arial"/>
                <w:color w:val="000000"/>
                <w:szCs w:val="24"/>
                <w:lang w:val="en-IN"/>
              </w:rPr>
            </w:pPr>
            <w:r w:rsidRPr="00747192">
              <w:rPr>
                <w:rFonts w:cs="Arial"/>
                <w:color w:val="000000"/>
                <w:szCs w:val="24"/>
                <w:lang w:val="en-IN"/>
              </w:rPr>
              <w:t> </w:t>
            </w:r>
          </w:p>
        </w:tc>
        <w:tc>
          <w:tcPr>
            <w:tcW w:w="1525" w:type="dxa"/>
            <w:tcBorders>
              <w:top w:val="nil"/>
              <w:left w:val="nil"/>
              <w:bottom w:val="single" w:sz="4" w:space="0" w:color="auto"/>
              <w:right w:val="single" w:sz="4" w:space="0" w:color="auto"/>
            </w:tcBorders>
            <w:noWrap/>
            <w:vAlign w:val="bottom"/>
            <w:hideMark/>
          </w:tcPr>
          <w:p w14:paraId="25F5E2FC" w14:textId="77777777" w:rsidR="00747192" w:rsidRPr="00747192" w:rsidRDefault="00747192" w:rsidP="001854D3">
            <w:pPr>
              <w:spacing w:after="0"/>
              <w:jc w:val="left"/>
              <w:rPr>
                <w:rFonts w:cs="Arial"/>
                <w:color w:val="000000"/>
                <w:szCs w:val="24"/>
                <w:lang w:val="en-IN"/>
              </w:rPr>
            </w:pPr>
            <w:r w:rsidRPr="00747192">
              <w:rPr>
                <w:rFonts w:cs="Arial"/>
                <w:color w:val="000000"/>
                <w:szCs w:val="24"/>
                <w:lang w:val="en-IN"/>
              </w:rPr>
              <w:t> </w:t>
            </w:r>
          </w:p>
        </w:tc>
        <w:tc>
          <w:tcPr>
            <w:tcW w:w="3420" w:type="dxa"/>
            <w:tcBorders>
              <w:top w:val="nil"/>
              <w:left w:val="nil"/>
              <w:bottom w:val="nil"/>
              <w:right w:val="single" w:sz="8" w:space="0" w:color="auto"/>
            </w:tcBorders>
            <w:noWrap/>
            <w:vAlign w:val="bottom"/>
            <w:hideMark/>
          </w:tcPr>
          <w:p w14:paraId="6511A9F9" w14:textId="77777777" w:rsidR="00747192" w:rsidRPr="00747192" w:rsidRDefault="00747192" w:rsidP="001854D3">
            <w:pPr>
              <w:spacing w:after="0"/>
              <w:jc w:val="left"/>
              <w:rPr>
                <w:rFonts w:cs="Arial"/>
                <w:color w:val="000000"/>
                <w:szCs w:val="24"/>
                <w:lang w:val="en-IN"/>
              </w:rPr>
            </w:pPr>
            <w:r w:rsidRPr="00747192">
              <w:rPr>
                <w:rFonts w:cs="Arial"/>
                <w:color w:val="000000"/>
                <w:szCs w:val="24"/>
                <w:lang w:val="en-IN"/>
              </w:rPr>
              <w:t> </w:t>
            </w:r>
          </w:p>
        </w:tc>
      </w:tr>
      <w:tr w:rsidR="00747192" w:rsidRPr="00747192" w14:paraId="76C85B0E" w14:textId="77777777" w:rsidTr="00D34B4D">
        <w:trPr>
          <w:trHeight w:val="413"/>
          <w:jc w:val="center"/>
        </w:trPr>
        <w:tc>
          <w:tcPr>
            <w:tcW w:w="3845" w:type="dxa"/>
            <w:tcBorders>
              <w:top w:val="nil"/>
              <w:left w:val="single" w:sz="8" w:space="0" w:color="auto"/>
              <w:bottom w:val="single" w:sz="8" w:space="0" w:color="auto"/>
              <w:right w:val="single" w:sz="4" w:space="0" w:color="auto"/>
            </w:tcBorders>
            <w:noWrap/>
            <w:vAlign w:val="bottom"/>
            <w:hideMark/>
          </w:tcPr>
          <w:p w14:paraId="6BC2962C"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PBP</w:t>
            </w:r>
          </w:p>
        </w:tc>
        <w:tc>
          <w:tcPr>
            <w:tcW w:w="1525" w:type="dxa"/>
            <w:tcBorders>
              <w:top w:val="nil"/>
              <w:left w:val="nil"/>
              <w:bottom w:val="single" w:sz="8" w:space="0" w:color="auto"/>
              <w:right w:val="single" w:sz="4" w:space="0" w:color="auto"/>
            </w:tcBorders>
            <w:noWrap/>
            <w:vAlign w:val="bottom"/>
            <w:hideMark/>
          </w:tcPr>
          <w:p w14:paraId="23081464" w14:textId="77777777" w:rsidR="00747192" w:rsidRPr="00747192" w:rsidRDefault="00747192" w:rsidP="001854D3">
            <w:pPr>
              <w:spacing w:after="0"/>
              <w:jc w:val="right"/>
              <w:rPr>
                <w:rFonts w:cs="Arial"/>
                <w:b/>
                <w:bCs/>
                <w:color w:val="000000"/>
                <w:szCs w:val="24"/>
                <w:lang w:val="en-IN"/>
              </w:rPr>
            </w:pPr>
            <w:r w:rsidRPr="00747192">
              <w:rPr>
                <w:rFonts w:cs="Arial"/>
                <w:b/>
                <w:bCs/>
                <w:color w:val="000000"/>
                <w:szCs w:val="24"/>
                <w:lang w:val="en-IN"/>
              </w:rPr>
              <w:t>3.4</w:t>
            </w:r>
          </w:p>
        </w:tc>
        <w:tc>
          <w:tcPr>
            <w:tcW w:w="3420" w:type="dxa"/>
            <w:tcBorders>
              <w:top w:val="nil"/>
              <w:left w:val="nil"/>
              <w:bottom w:val="single" w:sz="8" w:space="0" w:color="auto"/>
              <w:right w:val="single" w:sz="8" w:space="0" w:color="auto"/>
            </w:tcBorders>
            <w:noWrap/>
            <w:vAlign w:val="bottom"/>
            <w:hideMark/>
          </w:tcPr>
          <w:p w14:paraId="0803044B" w14:textId="77777777" w:rsidR="00747192" w:rsidRPr="00747192" w:rsidRDefault="00747192" w:rsidP="001854D3">
            <w:pPr>
              <w:spacing w:after="0"/>
              <w:jc w:val="left"/>
              <w:rPr>
                <w:rFonts w:cs="Arial"/>
                <w:color w:val="000000"/>
                <w:szCs w:val="24"/>
                <w:lang w:val="en-IN"/>
              </w:rPr>
            </w:pPr>
            <w:r w:rsidRPr="00747192">
              <w:rPr>
                <w:rFonts w:cs="Arial"/>
                <w:color w:val="000000"/>
                <w:szCs w:val="24"/>
                <w:lang w:val="en-IN"/>
              </w:rPr>
              <w:t> </w:t>
            </w:r>
          </w:p>
        </w:tc>
      </w:tr>
    </w:tbl>
    <w:p w14:paraId="2DF7A85F" w14:textId="447B3682" w:rsidR="00747192" w:rsidRPr="001854D3" w:rsidRDefault="00D34B4D" w:rsidP="00D34B4D">
      <w:pPr>
        <w:jc w:val="center"/>
        <w:rPr>
          <w:rFonts w:cs="Arial"/>
        </w:rPr>
      </w:pPr>
      <w:r w:rsidRPr="00D34B4D">
        <w:rPr>
          <w:rFonts w:cs="Arial"/>
        </w:rPr>
        <w:t>(Source: Refer to the Excel)</w:t>
      </w:r>
    </w:p>
    <w:tbl>
      <w:tblPr>
        <w:tblW w:w="8800" w:type="dxa"/>
        <w:tblLook w:val="04A0" w:firstRow="1" w:lastRow="0" w:firstColumn="1" w:lastColumn="0" w:noHBand="0" w:noVBand="1"/>
      </w:tblPr>
      <w:tblGrid>
        <w:gridCol w:w="3247"/>
        <w:gridCol w:w="3517"/>
        <w:gridCol w:w="2036"/>
      </w:tblGrid>
      <w:tr w:rsidR="00747192" w:rsidRPr="00747192" w14:paraId="743AD4BC" w14:textId="77777777" w:rsidTr="00747192">
        <w:trPr>
          <w:trHeight w:val="396"/>
        </w:trPr>
        <w:tc>
          <w:tcPr>
            <w:tcW w:w="8800" w:type="dxa"/>
            <w:gridSpan w:val="3"/>
            <w:tcBorders>
              <w:top w:val="single" w:sz="8" w:space="0" w:color="auto"/>
              <w:left w:val="single" w:sz="8" w:space="0" w:color="auto"/>
              <w:bottom w:val="nil"/>
              <w:right w:val="single" w:sz="8" w:space="0" w:color="000000"/>
            </w:tcBorders>
            <w:noWrap/>
            <w:vAlign w:val="bottom"/>
            <w:hideMark/>
          </w:tcPr>
          <w:p w14:paraId="0BC734A2" w14:textId="77777777" w:rsidR="00747192" w:rsidRPr="00747192" w:rsidRDefault="00747192" w:rsidP="001854D3">
            <w:pPr>
              <w:spacing w:after="0"/>
              <w:jc w:val="center"/>
              <w:rPr>
                <w:rFonts w:cs="Arial"/>
                <w:b/>
                <w:bCs/>
                <w:color w:val="000000"/>
                <w:szCs w:val="24"/>
                <w:lang w:val="en-IN"/>
              </w:rPr>
            </w:pPr>
            <w:r w:rsidRPr="00747192">
              <w:rPr>
                <w:rFonts w:cs="Arial"/>
                <w:b/>
                <w:bCs/>
                <w:color w:val="000000"/>
                <w:szCs w:val="24"/>
                <w:lang w:val="en-IN"/>
              </w:rPr>
              <w:t>ARR</w:t>
            </w:r>
          </w:p>
        </w:tc>
      </w:tr>
      <w:tr w:rsidR="00747192" w:rsidRPr="00747192" w14:paraId="1478C1FB" w14:textId="77777777" w:rsidTr="00747192">
        <w:trPr>
          <w:trHeight w:val="396"/>
        </w:trPr>
        <w:tc>
          <w:tcPr>
            <w:tcW w:w="3247" w:type="dxa"/>
            <w:tcBorders>
              <w:top w:val="single" w:sz="4" w:space="0" w:color="auto"/>
              <w:left w:val="single" w:sz="8" w:space="0" w:color="auto"/>
              <w:bottom w:val="single" w:sz="4" w:space="0" w:color="auto"/>
              <w:right w:val="single" w:sz="4" w:space="0" w:color="auto"/>
            </w:tcBorders>
            <w:noWrap/>
            <w:vAlign w:val="bottom"/>
            <w:hideMark/>
          </w:tcPr>
          <w:p w14:paraId="10001EBF"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depreciation</w:t>
            </w:r>
          </w:p>
        </w:tc>
        <w:tc>
          <w:tcPr>
            <w:tcW w:w="3517" w:type="dxa"/>
            <w:tcBorders>
              <w:top w:val="single" w:sz="4" w:space="0" w:color="auto"/>
              <w:left w:val="nil"/>
              <w:bottom w:val="single" w:sz="4" w:space="0" w:color="auto"/>
              <w:right w:val="single" w:sz="4" w:space="0" w:color="auto"/>
            </w:tcBorders>
            <w:vAlign w:val="bottom"/>
            <w:hideMark/>
          </w:tcPr>
          <w:p w14:paraId="6FA82EF8"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straight-line depreciation to zero</w:t>
            </w:r>
          </w:p>
        </w:tc>
        <w:tc>
          <w:tcPr>
            <w:tcW w:w="2036" w:type="dxa"/>
            <w:tcBorders>
              <w:top w:val="nil"/>
              <w:left w:val="nil"/>
              <w:bottom w:val="nil"/>
              <w:right w:val="single" w:sz="8" w:space="0" w:color="auto"/>
            </w:tcBorders>
            <w:noWrap/>
            <w:vAlign w:val="bottom"/>
            <w:hideMark/>
          </w:tcPr>
          <w:p w14:paraId="221ED908" w14:textId="77777777" w:rsidR="00747192" w:rsidRPr="00747192" w:rsidRDefault="00747192" w:rsidP="001854D3">
            <w:pPr>
              <w:spacing w:after="0"/>
              <w:jc w:val="left"/>
              <w:rPr>
                <w:rFonts w:cs="Arial"/>
                <w:color w:val="000000"/>
                <w:szCs w:val="24"/>
                <w:lang w:val="en-IN"/>
              </w:rPr>
            </w:pPr>
            <w:r w:rsidRPr="00747192">
              <w:rPr>
                <w:rFonts w:cs="Arial"/>
                <w:color w:val="000000"/>
                <w:szCs w:val="24"/>
                <w:lang w:val="en-IN"/>
              </w:rPr>
              <w:t> </w:t>
            </w:r>
          </w:p>
        </w:tc>
      </w:tr>
      <w:tr w:rsidR="00747192" w:rsidRPr="00747192" w14:paraId="7ED6A00B" w14:textId="77777777" w:rsidTr="00747192">
        <w:trPr>
          <w:trHeight w:val="396"/>
        </w:trPr>
        <w:tc>
          <w:tcPr>
            <w:tcW w:w="3247" w:type="dxa"/>
            <w:tcBorders>
              <w:top w:val="nil"/>
              <w:left w:val="single" w:sz="8" w:space="0" w:color="auto"/>
              <w:bottom w:val="single" w:sz="4" w:space="0" w:color="auto"/>
              <w:right w:val="single" w:sz="4" w:space="0" w:color="auto"/>
            </w:tcBorders>
            <w:noWrap/>
            <w:vAlign w:val="bottom"/>
            <w:hideMark/>
          </w:tcPr>
          <w:p w14:paraId="77B664E4"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Initial investment £m</w:t>
            </w:r>
          </w:p>
        </w:tc>
        <w:tc>
          <w:tcPr>
            <w:tcW w:w="3517" w:type="dxa"/>
            <w:tcBorders>
              <w:top w:val="nil"/>
              <w:left w:val="nil"/>
              <w:bottom w:val="single" w:sz="4" w:space="0" w:color="auto"/>
              <w:right w:val="single" w:sz="4" w:space="0" w:color="auto"/>
            </w:tcBorders>
            <w:noWrap/>
            <w:vAlign w:val="bottom"/>
            <w:hideMark/>
          </w:tcPr>
          <w:p w14:paraId="2B496D33"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40</w:t>
            </w:r>
          </w:p>
        </w:tc>
        <w:tc>
          <w:tcPr>
            <w:tcW w:w="2036" w:type="dxa"/>
            <w:tcBorders>
              <w:top w:val="nil"/>
              <w:left w:val="nil"/>
              <w:bottom w:val="nil"/>
              <w:right w:val="single" w:sz="8" w:space="0" w:color="auto"/>
            </w:tcBorders>
            <w:noWrap/>
            <w:vAlign w:val="bottom"/>
            <w:hideMark/>
          </w:tcPr>
          <w:p w14:paraId="3AEF066F" w14:textId="77777777" w:rsidR="00747192" w:rsidRPr="00747192" w:rsidRDefault="00747192" w:rsidP="001854D3">
            <w:pPr>
              <w:spacing w:after="0"/>
              <w:jc w:val="left"/>
              <w:rPr>
                <w:rFonts w:cs="Arial"/>
                <w:color w:val="000000"/>
                <w:szCs w:val="24"/>
                <w:lang w:val="en-IN"/>
              </w:rPr>
            </w:pPr>
            <w:r w:rsidRPr="00747192">
              <w:rPr>
                <w:rFonts w:cs="Arial"/>
                <w:color w:val="000000"/>
                <w:szCs w:val="24"/>
                <w:lang w:val="en-IN"/>
              </w:rPr>
              <w:t> </w:t>
            </w:r>
          </w:p>
        </w:tc>
      </w:tr>
      <w:tr w:rsidR="00747192" w:rsidRPr="00747192" w14:paraId="45C0F810" w14:textId="77777777" w:rsidTr="00747192">
        <w:trPr>
          <w:trHeight w:val="396"/>
        </w:trPr>
        <w:tc>
          <w:tcPr>
            <w:tcW w:w="3247" w:type="dxa"/>
            <w:tcBorders>
              <w:top w:val="nil"/>
              <w:left w:val="single" w:sz="8" w:space="0" w:color="auto"/>
              <w:bottom w:val="single" w:sz="4" w:space="0" w:color="auto"/>
              <w:right w:val="single" w:sz="4" w:space="0" w:color="auto"/>
            </w:tcBorders>
            <w:noWrap/>
            <w:vAlign w:val="bottom"/>
            <w:hideMark/>
          </w:tcPr>
          <w:p w14:paraId="0AC6D064"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Years</w:t>
            </w:r>
          </w:p>
        </w:tc>
        <w:tc>
          <w:tcPr>
            <w:tcW w:w="3517" w:type="dxa"/>
            <w:tcBorders>
              <w:top w:val="nil"/>
              <w:left w:val="nil"/>
              <w:bottom w:val="single" w:sz="4" w:space="0" w:color="auto"/>
              <w:right w:val="single" w:sz="4" w:space="0" w:color="auto"/>
            </w:tcBorders>
            <w:noWrap/>
            <w:vAlign w:val="bottom"/>
            <w:hideMark/>
          </w:tcPr>
          <w:p w14:paraId="083552B1"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5</w:t>
            </w:r>
          </w:p>
        </w:tc>
        <w:tc>
          <w:tcPr>
            <w:tcW w:w="2036" w:type="dxa"/>
            <w:tcBorders>
              <w:top w:val="nil"/>
              <w:left w:val="nil"/>
              <w:bottom w:val="nil"/>
              <w:right w:val="single" w:sz="8" w:space="0" w:color="auto"/>
            </w:tcBorders>
            <w:noWrap/>
            <w:vAlign w:val="bottom"/>
            <w:hideMark/>
          </w:tcPr>
          <w:p w14:paraId="00B1F2EC" w14:textId="77777777" w:rsidR="00747192" w:rsidRPr="00747192" w:rsidRDefault="00747192" w:rsidP="001854D3">
            <w:pPr>
              <w:spacing w:after="0"/>
              <w:jc w:val="left"/>
              <w:rPr>
                <w:rFonts w:cs="Arial"/>
                <w:color w:val="000000"/>
                <w:szCs w:val="24"/>
                <w:lang w:val="en-IN"/>
              </w:rPr>
            </w:pPr>
            <w:r w:rsidRPr="00747192">
              <w:rPr>
                <w:rFonts w:cs="Arial"/>
                <w:color w:val="000000"/>
                <w:szCs w:val="24"/>
                <w:lang w:val="en-IN"/>
              </w:rPr>
              <w:t> </w:t>
            </w:r>
          </w:p>
        </w:tc>
      </w:tr>
      <w:tr w:rsidR="00747192" w:rsidRPr="00747192" w14:paraId="1B6613A3" w14:textId="77777777" w:rsidTr="00747192">
        <w:trPr>
          <w:trHeight w:val="396"/>
        </w:trPr>
        <w:tc>
          <w:tcPr>
            <w:tcW w:w="3247" w:type="dxa"/>
            <w:tcBorders>
              <w:top w:val="nil"/>
              <w:left w:val="single" w:sz="8" w:space="0" w:color="auto"/>
              <w:bottom w:val="single" w:sz="4" w:space="0" w:color="auto"/>
              <w:right w:val="single" w:sz="4" w:space="0" w:color="auto"/>
            </w:tcBorders>
            <w:noWrap/>
            <w:vAlign w:val="bottom"/>
            <w:hideMark/>
          </w:tcPr>
          <w:p w14:paraId="16F95DBA"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Annual depreciation</w:t>
            </w:r>
          </w:p>
        </w:tc>
        <w:tc>
          <w:tcPr>
            <w:tcW w:w="3517" w:type="dxa"/>
            <w:tcBorders>
              <w:top w:val="nil"/>
              <w:left w:val="nil"/>
              <w:bottom w:val="single" w:sz="4" w:space="0" w:color="auto"/>
              <w:right w:val="single" w:sz="4" w:space="0" w:color="auto"/>
            </w:tcBorders>
            <w:noWrap/>
            <w:vAlign w:val="bottom"/>
            <w:hideMark/>
          </w:tcPr>
          <w:p w14:paraId="778D5453"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8</w:t>
            </w:r>
          </w:p>
        </w:tc>
        <w:tc>
          <w:tcPr>
            <w:tcW w:w="2036" w:type="dxa"/>
            <w:tcBorders>
              <w:top w:val="nil"/>
              <w:left w:val="nil"/>
              <w:bottom w:val="nil"/>
              <w:right w:val="single" w:sz="8" w:space="0" w:color="auto"/>
            </w:tcBorders>
            <w:noWrap/>
            <w:vAlign w:val="bottom"/>
            <w:hideMark/>
          </w:tcPr>
          <w:p w14:paraId="03E8F75B" w14:textId="77777777" w:rsidR="00747192" w:rsidRPr="00747192" w:rsidRDefault="00747192" w:rsidP="001854D3">
            <w:pPr>
              <w:spacing w:after="0"/>
              <w:jc w:val="left"/>
              <w:rPr>
                <w:rFonts w:cs="Arial"/>
                <w:color w:val="000000"/>
                <w:szCs w:val="24"/>
                <w:lang w:val="en-IN"/>
              </w:rPr>
            </w:pPr>
            <w:r w:rsidRPr="00747192">
              <w:rPr>
                <w:rFonts w:cs="Arial"/>
                <w:color w:val="000000"/>
                <w:szCs w:val="24"/>
                <w:lang w:val="en-IN"/>
              </w:rPr>
              <w:t> </w:t>
            </w:r>
          </w:p>
        </w:tc>
      </w:tr>
      <w:tr w:rsidR="00747192" w:rsidRPr="00747192" w14:paraId="16EE4CE1" w14:textId="77777777" w:rsidTr="00747192">
        <w:trPr>
          <w:trHeight w:val="396"/>
        </w:trPr>
        <w:tc>
          <w:tcPr>
            <w:tcW w:w="3247" w:type="dxa"/>
            <w:tcBorders>
              <w:top w:val="nil"/>
              <w:left w:val="single" w:sz="8" w:space="0" w:color="auto"/>
              <w:bottom w:val="single" w:sz="4" w:space="0" w:color="auto"/>
              <w:right w:val="single" w:sz="4" w:space="0" w:color="auto"/>
            </w:tcBorders>
            <w:noWrap/>
            <w:vAlign w:val="bottom"/>
            <w:hideMark/>
          </w:tcPr>
          <w:p w14:paraId="360C02D2" w14:textId="77777777" w:rsidR="00747192" w:rsidRPr="00747192" w:rsidRDefault="00747192" w:rsidP="001854D3">
            <w:pPr>
              <w:spacing w:after="0"/>
              <w:jc w:val="center"/>
              <w:rPr>
                <w:rFonts w:cs="Arial"/>
                <w:b/>
                <w:bCs/>
                <w:color w:val="000000"/>
                <w:szCs w:val="24"/>
                <w:lang w:val="en-IN"/>
              </w:rPr>
            </w:pPr>
            <w:r w:rsidRPr="00747192">
              <w:rPr>
                <w:rFonts w:cs="Arial"/>
                <w:b/>
                <w:bCs/>
                <w:color w:val="000000"/>
                <w:szCs w:val="24"/>
                <w:lang w:val="en-IN"/>
              </w:rPr>
              <w:t>Year</w:t>
            </w:r>
          </w:p>
        </w:tc>
        <w:tc>
          <w:tcPr>
            <w:tcW w:w="3517" w:type="dxa"/>
            <w:tcBorders>
              <w:top w:val="nil"/>
              <w:left w:val="nil"/>
              <w:bottom w:val="single" w:sz="4" w:space="0" w:color="auto"/>
              <w:right w:val="single" w:sz="4" w:space="0" w:color="auto"/>
            </w:tcBorders>
            <w:noWrap/>
            <w:vAlign w:val="bottom"/>
            <w:hideMark/>
          </w:tcPr>
          <w:p w14:paraId="05D50B62" w14:textId="77777777" w:rsidR="00747192" w:rsidRPr="00747192" w:rsidRDefault="00747192" w:rsidP="001854D3">
            <w:pPr>
              <w:spacing w:after="0"/>
              <w:jc w:val="center"/>
              <w:rPr>
                <w:rFonts w:cs="Arial"/>
                <w:b/>
                <w:bCs/>
                <w:color w:val="000000"/>
                <w:szCs w:val="24"/>
                <w:lang w:val="en-IN"/>
              </w:rPr>
            </w:pPr>
            <w:r w:rsidRPr="00747192">
              <w:rPr>
                <w:rFonts w:cs="Arial"/>
                <w:b/>
                <w:bCs/>
                <w:color w:val="000000"/>
                <w:szCs w:val="24"/>
                <w:lang w:val="en-IN"/>
              </w:rPr>
              <w:t xml:space="preserve">Cashflow </w:t>
            </w:r>
          </w:p>
        </w:tc>
        <w:tc>
          <w:tcPr>
            <w:tcW w:w="2036" w:type="dxa"/>
            <w:tcBorders>
              <w:top w:val="single" w:sz="4" w:space="0" w:color="auto"/>
              <w:left w:val="nil"/>
              <w:bottom w:val="single" w:sz="4" w:space="0" w:color="auto"/>
              <w:right w:val="single" w:sz="8" w:space="0" w:color="auto"/>
            </w:tcBorders>
            <w:noWrap/>
            <w:vAlign w:val="bottom"/>
            <w:hideMark/>
          </w:tcPr>
          <w:p w14:paraId="592260F4" w14:textId="77777777" w:rsidR="00747192" w:rsidRPr="00747192" w:rsidRDefault="00747192" w:rsidP="001854D3">
            <w:pPr>
              <w:spacing w:after="0"/>
              <w:jc w:val="center"/>
              <w:rPr>
                <w:rFonts w:cs="Arial"/>
                <w:b/>
                <w:bCs/>
                <w:color w:val="000000"/>
                <w:szCs w:val="24"/>
                <w:lang w:val="en-IN"/>
              </w:rPr>
            </w:pPr>
            <w:r w:rsidRPr="00747192">
              <w:rPr>
                <w:rFonts w:cs="Arial"/>
                <w:b/>
                <w:bCs/>
                <w:color w:val="000000"/>
                <w:szCs w:val="24"/>
                <w:lang w:val="en-IN"/>
              </w:rPr>
              <w:t>Profit</w:t>
            </w:r>
          </w:p>
        </w:tc>
      </w:tr>
      <w:tr w:rsidR="00747192" w:rsidRPr="00747192" w14:paraId="21D185ED" w14:textId="77777777" w:rsidTr="00747192">
        <w:trPr>
          <w:trHeight w:val="396"/>
        </w:trPr>
        <w:tc>
          <w:tcPr>
            <w:tcW w:w="3247" w:type="dxa"/>
            <w:tcBorders>
              <w:top w:val="nil"/>
              <w:left w:val="single" w:sz="8" w:space="0" w:color="auto"/>
              <w:bottom w:val="single" w:sz="4" w:space="0" w:color="auto"/>
              <w:right w:val="single" w:sz="4" w:space="0" w:color="auto"/>
            </w:tcBorders>
            <w:noWrap/>
            <w:vAlign w:val="bottom"/>
            <w:hideMark/>
          </w:tcPr>
          <w:p w14:paraId="4F081E37"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1</w:t>
            </w:r>
          </w:p>
        </w:tc>
        <w:tc>
          <w:tcPr>
            <w:tcW w:w="3517" w:type="dxa"/>
            <w:tcBorders>
              <w:top w:val="nil"/>
              <w:left w:val="nil"/>
              <w:bottom w:val="single" w:sz="4" w:space="0" w:color="auto"/>
              <w:right w:val="single" w:sz="4" w:space="0" w:color="auto"/>
            </w:tcBorders>
            <w:noWrap/>
            <w:vAlign w:val="bottom"/>
            <w:hideMark/>
          </w:tcPr>
          <w:p w14:paraId="057C12F4"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10</w:t>
            </w:r>
          </w:p>
        </w:tc>
        <w:tc>
          <w:tcPr>
            <w:tcW w:w="2036" w:type="dxa"/>
            <w:tcBorders>
              <w:top w:val="nil"/>
              <w:left w:val="nil"/>
              <w:bottom w:val="single" w:sz="4" w:space="0" w:color="auto"/>
              <w:right w:val="single" w:sz="8" w:space="0" w:color="auto"/>
            </w:tcBorders>
            <w:noWrap/>
            <w:vAlign w:val="bottom"/>
            <w:hideMark/>
          </w:tcPr>
          <w:p w14:paraId="03EFCE7F"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2</w:t>
            </w:r>
          </w:p>
        </w:tc>
      </w:tr>
      <w:tr w:rsidR="00747192" w:rsidRPr="00747192" w14:paraId="3E21FD2E" w14:textId="77777777" w:rsidTr="00747192">
        <w:trPr>
          <w:trHeight w:val="396"/>
        </w:trPr>
        <w:tc>
          <w:tcPr>
            <w:tcW w:w="3247" w:type="dxa"/>
            <w:tcBorders>
              <w:top w:val="nil"/>
              <w:left w:val="single" w:sz="8" w:space="0" w:color="auto"/>
              <w:bottom w:val="single" w:sz="4" w:space="0" w:color="auto"/>
              <w:right w:val="single" w:sz="4" w:space="0" w:color="auto"/>
            </w:tcBorders>
            <w:noWrap/>
            <w:vAlign w:val="bottom"/>
            <w:hideMark/>
          </w:tcPr>
          <w:p w14:paraId="7E0B99E1"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2</w:t>
            </w:r>
          </w:p>
        </w:tc>
        <w:tc>
          <w:tcPr>
            <w:tcW w:w="3517" w:type="dxa"/>
            <w:tcBorders>
              <w:top w:val="nil"/>
              <w:left w:val="nil"/>
              <w:bottom w:val="single" w:sz="4" w:space="0" w:color="auto"/>
              <w:right w:val="single" w:sz="4" w:space="0" w:color="auto"/>
            </w:tcBorders>
            <w:noWrap/>
            <w:vAlign w:val="bottom"/>
            <w:hideMark/>
          </w:tcPr>
          <w:p w14:paraId="1E1B4334"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12</w:t>
            </w:r>
          </w:p>
        </w:tc>
        <w:tc>
          <w:tcPr>
            <w:tcW w:w="2036" w:type="dxa"/>
            <w:tcBorders>
              <w:top w:val="nil"/>
              <w:left w:val="nil"/>
              <w:bottom w:val="single" w:sz="4" w:space="0" w:color="auto"/>
              <w:right w:val="single" w:sz="8" w:space="0" w:color="auto"/>
            </w:tcBorders>
            <w:noWrap/>
            <w:vAlign w:val="bottom"/>
            <w:hideMark/>
          </w:tcPr>
          <w:p w14:paraId="16EDDC1D"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4</w:t>
            </w:r>
          </w:p>
        </w:tc>
      </w:tr>
      <w:tr w:rsidR="00747192" w:rsidRPr="00747192" w14:paraId="18130A9C" w14:textId="77777777" w:rsidTr="00747192">
        <w:trPr>
          <w:trHeight w:val="396"/>
        </w:trPr>
        <w:tc>
          <w:tcPr>
            <w:tcW w:w="3247" w:type="dxa"/>
            <w:tcBorders>
              <w:top w:val="nil"/>
              <w:left w:val="single" w:sz="8" w:space="0" w:color="auto"/>
              <w:bottom w:val="single" w:sz="4" w:space="0" w:color="auto"/>
              <w:right w:val="single" w:sz="4" w:space="0" w:color="auto"/>
            </w:tcBorders>
            <w:noWrap/>
            <w:vAlign w:val="bottom"/>
            <w:hideMark/>
          </w:tcPr>
          <w:p w14:paraId="38FAB3D7"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3</w:t>
            </w:r>
          </w:p>
        </w:tc>
        <w:tc>
          <w:tcPr>
            <w:tcW w:w="3517" w:type="dxa"/>
            <w:tcBorders>
              <w:top w:val="nil"/>
              <w:left w:val="nil"/>
              <w:bottom w:val="single" w:sz="4" w:space="0" w:color="auto"/>
              <w:right w:val="single" w:sz="4" w:space="0" w:color="auto"/>
            </w:tcBorders>
            <w:noWrap/>
            <w:vAlign w:val="bottom"/>
            <w:hideMark/>
          </w:tcPr>
          <w:p w14:paraId="04D208B0"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14</w:t>
            </w:r>
          </w:p>
        </w:tc>
        <w:tc>
          <w:tcPr>
            <w:tcW w:w="2036" w:type="dxa"/>
            <w:tcBorders>
              <w:top w:val="nil"/>
              <w:left w:val="nil"/>
              <w:bottom w:val="single" w:sz="4" w:space="0" w:color="auto"/>
              <w:right w:val="single" w:sz="8" w:space="0" w:color="auto"/>
            </w:tcBorders>
            <w:noWrap/>
            <w:vAlign w:val="bottom"/>
            <w:hideMark/>
          </w:tcPr>
          <w:p w14:paraId="08A409A7"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6</w:t>
            </w:r>
          </w:p>
        </w:tc>
      </w:tr>
      <w:tr w:rsidR="00747192" w:rsidRPr="00747192" w14:paraId="51BF365C" w14:textId="77777777" w:rsidTr="00747192">
        <w:trPr>
          <w:trHeight w:val="396"/>
        </w:trPr>
        <w:tc>
          <w:tcPr>
            <w:tcW w:w="3247" w:type="dxa"/>
            <w:tcBorders>
              <w:top w:val="nil"/>
              <w:left w:val="single" w:sz="8" w:space="0" w:color="auto"/>
              <w:bottom w:val="single" w:sz="4" w:space="0" w:color="auto"/>
              <w:right w:val="single" w:sz="4" w:space="0" w:color="auto"/>
            </w:tcBorders>
            <w:noWrap/>
            <w:vAlign w:val="bottom"/>
            <w:hideMark/>
          </w:tcPr>
          <w:p w14:paraId="2D8ACC54"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4</w:t>
            </w:r>
          </w:p>
        </w:tc>
        <w:tc>
          <w:tcPr>
            <w:tcW w:w="3517" w:type="dxa"/>
            <w:tcBorders>
              <w:top w:val="nil"/>
              <w:left w:val="nil"/>
              <w:bottom w:val="single" w:sz="4" w:space="0" w:color="auto"/>
              <w:right w:val="single" w:sz="4" w:space="0" w:color="auto"/>
            </w:tcBorders>
            <w:noWrap/>
            <w:vAlign w:val="bottom"/>
            <w:hideMark/>
          </w:tcPr>
          <w:p w14:paraId="40CD7B32"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10</w:t>
            </w:r>
          </w:p>
        </w:tc>
        <w:tc>
          <w:tcPr>
            <w:tcW w:w="2036" w:type="dxa"/>
            <w:tcBorders>
              <w:top w:val="nil"/>
              <w:left w:val="nil"/>
              <w:bottom w:val="single" w:sz="4" w:space="0" w:color="auto"/>
              <w:right w:val="single" w:sz="8" w:space="0" w:color="auto"/>
            </w:tcBorders>
            <w:noWrap/>
            <w:vAlign w:val="bottom"/>
            <w:hideMark/>
          </w:tcPr>
          <w:p w14:paraId="25FC0E59"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2</w:t>
            </w:r>
          </w:p>
        </w:tc>
      </w:tr>
      <w:tr w:rsidR="00747192" w:rsidRPr="00747192" w14:paraId="57A6C9C3" w14:textId="77777777" w:rsidTr="00747192">
        <w:trPr>
          <w:trHeight w:val="396"/>
        </w:trPr>
        <w:tc>
          <w:tcPr>
            <w:tcW w:w="3247" w:type="dxa"/>
            <w:tcBorders>
              <w:top w:val="nil"/>
              <w:left w:val="single" w:sz="8" w:space="0" w:color="auto"/>
              <w:bottom w:val="single" w:sz="4" w:space="0" w:color="auto"/>
              <w:right w:val="single" w:sz="4" w:space="0" w:color="auto"/>
            </w:tcBorders>
            <w:noWrap/>
            <w:vAlign w:val="bottom"/>
            <w:hideMark/>
          </w:tcPr>
          <w:p w14:paraId="2F9552F2"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5</w:t>
            </w:r>
          </w:p>
        </w:tc>
        <w:tc>
          <w:tcPr>
            <w:tcW w:w="3517" w:type="dxa"/>
            <w:tcBorders>
              <w:top w:val="nil"/>
              <w:left w:val="nil"/>
              <w:bottom w:val="single" w:sz="4" w:space="0" w:color="auto"/>
              <w:right w:val="single" w:sz="4" w:space="0" w:color="auto"/>
            </w:tcBorders>
            <w:noWrap/>
            <w:vAlign w:val="bottom"/>
            <w:hideMark/>
          </w:tcPr>
          <w:p w14:paraId="0E9BDA7E"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8</w:t>
            </w:r>
          </w:p>
        </w:tc>
        <w:tc>
          <w:tcPr>
            <w:tcW w:w="2036" w:type="dxa"/>
            <w:tcBorders>
              <w:top w:val="nil"/>
              <w:left w:val="nil"/>
              <w:bottom w:val="single" w:sz="4" w:space="0" w:color="auto"/>
              <w:right w:val="single" w:sz="8" w:space="0" w:color="auto"/>
            </w:tcBorders>
            <w:noWrap/>
            <w:vAlign w:val="bottom"/>
            <w:hideMark/>
          </w:tcPr>
          <w:p w14:paraId="0C19DFAE"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0</w:t>
            </w:r>
          </w:p>
        </w:tc>
      </w:tr>
      <w:tr w:rsidR="00747192" w:rsidRPr="00747192" w14:paraId="5F459EC1" w14:textId="77777777" w:rsidTr="00747192">
        <w:trPr>
          <w:trHeight w:val="396"/>
        </w:trPr>
        <w:tc>
          <w:tcPr>
            <w:tcW w:w="3247" w:type="dxa"/>
            <w:tcBorders>
              <w:top w:val="nil"/>
              <w:left w:val="single" w:sz="8" w:space="0" w:color="auto"/>
              <w:bottom w:val="single" w:sz="4" w:space="0" w:color="auto"/>
              <w:right w:val="single" w:sz="4" w:space="0" w:color="auto"/>
            </w:tcBorders>
            <w:noWrap/>
            <w:vAlign w:val="bottom"/>
            <w:hideMark/>
          </w:tcPr>
          <w:p w14:paraId="3497167B"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lastRenderedPageBreak/>
              <w:t xml:space="preserve">Average Annual profit </w:t>
            </w:r>
          </w:p>
        </w:tc>
        <w:tc>
          <w:tcPr>
            <w:tcW w:w="3517" w:type="dxa"/>
            <w:tcBorders>
              <w:top w:val="nil"/>
              <w:left w:val="nil"/>
              <w:bottom w:val="single" w:sz="4" w:space="0" w:color="auto"/>
              <w:right w:val="single" w:sz="4" w:space="0" w:color="auto"/>
            </w:tcBorders>
            <w:noWrap/>
            <w:vAlign w:val="bottom"/>
            <w:hideMark/>
          </w:tcPr>
          <w:p w14:paraId="234641F4"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2.8</w:t>
            </w:r>
          </w:p>
        </w:tc>
        <w:tc>
          <w:tcPr>
            <w:tcW w:w="2036" w:type="dxa"/>
            <w:tcBorders>
              <w:top w:val="nil"/>
              <w:left w:val="nil"/>
              <w:bottom w:val="single" w:sz="4" w:space="0" w:color="auto"/>
              <w:right w:val="single" w:sz="8" w:space="0" w:color="auto"/>
            </w:tcBorders>
            <w:noWrap/>
            <w:vAlign w:val="bottom"/>
            <w:hideMark/>
          </w:tcPr>
          <w:p w14:paraId="595CFC3D" w14:textId="77777777" w:rsidR="00747192" w:rsidRPr="00747192" w:rsidRDefault="00747192" w:rsidP="001854D3">
            <w:pPr>
              <w:spacing w:after="0"/>
              <w:jc w:val="left"/>
              <w:rPr>
                <w:rFonts w:cs="Arial"/>
                <w:color w:val="000000"/>
                <w:szCs w:val="24"/>
                <w:lang w:val="en-IN"/>
              </w:rPr>
            </w:pPr>
            <w:r w:rsidRPr="00747192">
              <w:rPr>
                <w:rFonts w:cs="Arial"/>
                <w:color w:val="000000"/>
                <w:szCs w:val="24"/>
                <w:lang w:val="en-IN"/>
              </w:rPr>
              <w:t> </w:t>
            </w:r>
          </w:p>
        </w:tc>
      </w:tr>
      <w:tr w:rsidR="00747192" w:rsidRPr="00747192" w14:paraId="4EA901E9" w14:textId="77777777" w:rsidTr="00747192">
        <w:trPr>
          <w:trHeight w:val="396"/>
        </w:trPr>
        <w:tc>
          <w:tcPr>
            <w:tcW w:w="3247" w:type="dxa"/>
            <w:tcBorders>
              <w:top w:val="nil"/>
              <w:left w:val="single" w:sz="8" w:space="0" w:color="auto"/>
              <w:bottom w:val="single" w:sz="4" w:space="0" w:color="auto"/>
              <w:right w:val="single" w:sz="4" w:space="0" w:color="auto"/>
            </w:tcBorders>
            <w:noWrap/>
            <w:vAlign w:val="bottom"/>
            <w:hideMark/>
          </w:tcPr>
          <w:p w14:paraId="0CE82FDA"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Average Investment</w:t>
            </w:r>
          </w:p>
        </w:tc>
        <w:tc>
          <w:tcPr>
            <w:tcW w:w="3517" w:type="dxa"/>
            <w:tcBorders>
              <w:top w:val="nil"/>
              <w:left w:val="nil"/>
              <w:bottom w:val="single" w:sz="4" w:space="0" w:color="auto"/>
              <w:right w:val="single" w:sz="4" w:space="0" w:color="auto"/>
            </w:tcBorders>
            <w:noWrap/>
            <w:vAlign w:val="bottom"/>
            <w:hideMark/>
          </w:tcPr>
          <w:p w14:paraId="42807A96"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20</w:t>
            </w:r>
          </w:p>
        </w:tc>
        <w:tc>
          <w:tcPr>
            <w:tcW w:w="2036" w:type="dxa"/>
            <w:tcBorders>
              <w:top w:val="nil"/>
              <w:left w:val="nil"/>
              <w:bottom w:val="single" w:sz="4" w:space="0" w:color="auto"/>
              <w:right w:val="single" w:sz="8" w:space="0" w:color="auto"/>
            </w:tcBorders>
            <w:noWrap/>
            <w:vAlign w:val="bottom"/>
            <w:hideMark/>
          </w:tcPr>
          <w:p w14:paraId="55EBB5C4" w14:textId="77777777" w:rsidR="00747192" w:rsidRPr="00747192" w:rsidRDefault="00747192" w:rsidP="001854D3">
            <w:pPr>
              <w:spacing w:after="0"/>
              <w:jc w:val="left"/>
              <w:rPr>
                <w:rFonts w:cs="Arial"/>
                <w:color w:val="000000"/>
                <w:szCs w:val="24"/>
                <w:lang w:val="en-IN"/>
              </w:rPr>
            </w:pPr>
            <w:r w:rsidRPr="00747192">
              <w:rPr>
                <w:rFonts w:cs="Arial"/>
                <w:color w:val="000000"/>
                <w:szCs w:val="24"/>
                <w:lang w:val="en-IN"/>
              </w:rPr>
              <w:t> </w:t>
            </w:r>
          </w:p>
        </w:tc>
      </w:tr>
      <w:tr w:rsidR="00747192" w:rsidRPr="00747192" w14:paraId="5BBB346C" w14:textId="77777777" w:rsidTr="00747192">
        <w:trPr>
          <w:trHeight w:val="396"/>
        </w:trPr>
        <w:tc>
          <w:tcPr>
            <w:tcW w:w="3247" w:type="dxa"/>
            <w:tcBorders>
              <w:top w:val="nil"/>
              <w:left w:val="single" w:sz="8" w:space="0" w:color="auto"/>
              <w:bottom w:val="single" w:sz="8" w:space="0" w:color="auto"/>
              <w:right w:val="single" w:sz="4" w:space="0" w:color="auto"/>
            </w:tcBorders>
            <w:noWrap/>
            <w:vAlign w:val="bottom"/>
            <w:hideMark/>
          </w:tcPr>
          <w:p w14:paraId="44BB1C17"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ARR</w:t>
            </w:r>
          </w:p>
        </w:tc>
        <w:tc>
          <w:tcPr>
            <w:tcW w:w="3517" w:type="dxa"/>
            <w:tcBorders>
              <w:top w:val="nil"/>
              <w:left w:val="nil"/>
              <w:bottom w:val="single" w:sz="8" w:space="0" w:color="auto"/>
              <w:right w:val="single" w:sz="4" w:space="0" w:color="auto"/>
            </w:tcBorders>
            <w:noWrap/>
            <w:vAlign w:val="bottom"/>
            <w:hideMark/>
          </w:tcPr>
          <w:p w14:paraId="59316D07"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14</w:t>
            </w:r>
          </w:p>
        </w:tc>
        <w:tc>
          <w:tcPr>
            <w:tcW w:w="2036" w:type="dxa"/>
            <w:tcBorders>
              <w:top w:val="nil"/>
              <w:left w:val="nil"/>
              <w:bottom w:val="single" w:sz="8" w:space="0" w:color="auto"/>
              <w:right w:val="single" w:sz="8" w:space="0" w:color="auto"/>
            </w:tcBorders>
            <w:noWrap/>
            <w:vAlign w:val="bottom"/>
            <w:hideMark/>
          </w:tcPr>
          <w:p w14:paraId="58309B1B"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 xml:space="preserve">In percentage </w:t>
            </w:r>
          </w:p>
        </w:tc>
      </w:tr>
    </w:tbl>
    <w:p w14:paraId="1D51BBE5" w14:textId="5ADD89C9" w:rsidR="00747192" w:rsidRPr="001854D3" w:rsidRDefault="00D34B4D" w:rsidP="00D34B4D">
      <w:pPr>
        <w:jc w:val="center"/>
        <w:rPr>
          <w:rFonts w:cs="Arial"/>
        </w:rPr>
      </w:pPr>
      <w:r w:rsidRPr="00D34B4D">
        <w:rPr>
          <w:rFonts w:cs="Arial"/>
        </w:rPr>
        <w:t>(Source: Refer to the Excel)</w:t>
      </w:r>
    </w:p>
    <w:tbl>
      <w:tblPr>
        <w:tblW w:w="8340" w:type="dxa"/>
        <w:jc w:val="center"/>
        <w:tblLook w:val="04A0" w:firstRow="1" w:lastRow="0" w:firstColumn="1" w:lastColumn="0" w:noHBand="0" w:noVBand="1"/>
      </w:tblPr>
      <w:tblGrid>
        <w:gridCol w:w="2453"/>
        <w:gridCol w:w="2274"/>
        <w:gridCol w:w="2672"/>
        <w:gridCol w:w="941"/>
      </w:tblGrid>
      <w:tr w:rsidR="00747192" w:rsidRPr="00747192" w14:paraId="13F67A5D" w14:textId="77777777" w:rsidTr="00747192">
        <w:trPr>
          <w:trHeight w:val="396"/>
          <w:jc w:val="center"/>
        </w:trPr>
        <w:tc>
          <w:tcPr>
            <w:tcW w:w="8340" w:type="dxa"/>
            <w:gridSpan w:val="4"/>
            <w:tcBorders>
              <w:top w:val="single" w:sz="8" w:space="0" w:color="auto"/>
              <w:left w:val="single" w:sz="8" w:space="0" w:color="auto"/>
              <w:bottom w:val="nil"/>
              <w:right w:val="single" w:sz="8" w:space="0" w:color="000000"/>
            </w:tcBorders>
            <w:noWrap/>
            <w:vAlign w:val="bottom"/>
            <w:hideMark/>
          </w:tcPr>
          <w:p w14:paraId="5CC53105" w14:textId="77777777" w:rsidR="00747192" w:rsidRPr="00747192" w:rsidRDefault="00747192" w:rsidP="001854D3">
            <w:pPr>
              <w:spacing w:after="0"/>
              <w:jc w:val="center"/>
              <w:rPr>
                <w:rFonts w:cs="Arial"/>
                <w:b/>
                <w:bCs/>
                <w:color w:val="000000"/>
                <w:szCs w:val="24"/>
                <w:lang w:val="en-IN"/>
              </w:rPr>
            </w:pPr>
            <w:r w:rsidRPr="00747192">
              <w:rPr>
                <w:rFonts w:cs="Arial"/>
                <w:b/>
                <w:bCs/>
                <w:color w:val="000000"/>
                <w:szCs w:val="24"/>
                <w:lang w:val="en-IN"/>
              </w:rPr>
              <w:t>NPV</w:t>
            </w:r>
          </w:p>
        </w:tc>
      </w:tr>
      <w:tr w:rsidR="00747192" w:rsidRPr="00747192" w14:paraId="1B1B1AEF" w14:textId="77777777" w:rsidTr="00747192">
        <w:trPr>
          <w:trHeight w:val="396"/>
          <w:jc w:val="center"/>
        </w:trPr>
        <w:tc>
          <w:tcPr>
            <w:tcW w:w="2453" w:type="dxa"/>
            <w:tcBorders>
              <w:top w:val="single" w:sz="4" w:space="0" w:color="auto"/>
              <w:left w:val="single" w:sz="8" w:space="0" w:color="auto"/>
              <w:bottom w:val="single" w:sz="4" w:space="0" w:color="auto"/>
              <w:right w:val="single" w:sz="4" w:space="0" w:color="auto"/>
            </w:tcBorders>
            <w:noWrap/>
            <w:vAlign w:val="bottom"/>
            <w:hideMark/>
          </w:tcPr>
          <w:p w14:paraId="71C10AB0"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Discount Rate</w:t>
            </w:r>
          </w:p>
        </w:tc>
        <w:tc>
          <w:tcPr>
            <w:tcW w:w="2274" w:type="dxa"/>
            <w:tcBorders>
              <w:top w:val="single" w:sz="4" w:space="0" w:color="auto"/>
              <w:left w:val="nil"/>
              <w:bottom w:val="single" w:sz="4" w:space="0" w:color="auto"/>
              <w:right w:val="single" w:sz="4" w:space="0" w:color="auto"/>
            </w:tcBorders>
            <w:noWrap/>
            <w:vAlign w:val="bottom"/>
            <w:hideMark/>
          </w:tcPr>
          <w:p w14:paraId="15C3F807"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10%</w:t>
            </w:r>
          </w:p>
        </w:tc>
        <w:tc>
          <w:tcPr>
            <w:tcW w:w="2672" w:type="dxa"/>
            <w:tcBorders>
              <w:top w:val="nil"/>
              <w:left w:val="nil"/>
              <w:bottom w:val="nil"/>
              <w:right w:val="nil"/>
            </w:tcBorders>
            <w:noWrap/>
            <w:vAlign w:val="bottom"/>
            <w:hideMark/>
          </w:tcPr>
          <w:p w14:paraId="1A0EE236" w14:textId="77777777" w:rsidR="00747192" w:rsidRPr="00747192" w:rsidRDefault="00747192" w:rsidP="001854D3">
            <w:pPr>
              <w:spacing w:after="0"/>
              <w:jc w:val="right"/>
              <w:rPr>
                <w:rFonts w:cs="Arial"/>
                <w:color w:val="000000"/>
                <w:szCs w:val="24"/>
                <w:lang w:val="en-IN"/>
              </w:rPr>
            </w:pPr>
          </w:p>
        </w:tc>
        <w:tc>
          <w:tcPr>
            <w:tcW w:w="941" w:type="dxa"/>
            <w:tcBorders>
              <w:top w:val="nil"/>
              <w:left w:val="nil"/>
              <w:bottom w:val="nil"/>
              <w:right w:val="single" w:sz="8" w:space="0" w:color="auto"/>
            </w:tcBorders>
            <w:noWrap/>
            <w:vAlign w:val="bottom"/>
            <w:hideMark/>
          </w:tcPr>
          <w:p w14:paraId="4808F7E6" w14:textId="77777777" w:rsidR="00747192" w:rsidRPr="00747192" w:rsidRDefault="00747192" w:rsidP="001854D3">
            <w:pPr>
              <w:spacing w:after="0"/>
              <w:jc w:val="left"/>
              <w:rPr>
                <w:rFonts w:cs="Arial"/>
                <w:color w:val="000000"/>
                <w:szCs w:val="24"/>
                <w:lang w:val="en-IN"/>
              </w:rPr>
            </w:pPr>
            <w:r w:rsidRPr="00747192">
              <w:rPr>
                <w:rFonts w:cs="Arial"/>
                <w:color w:val="000000"/>
                <w:szCs w:val="24"/>
                <w:lang w:val="en-IN"/>
              </w:rPr>
              <w:t> </w:t>
            </w:r>
          </w:p>
        </w:tc>
      </w:tr>
      <w:tr w:rsidR="00747192" w:rsidRPr="00747192" w14:paraId="2FEBB866" w14:textId="77777777" w:rsidTr="00747192">
        <w:trPr>
          <w:trHeight w:val="396"/>
          <w:jc w:val="center"/>
        </w:trPr>
        <w:tc>
          <w:tcPr>
            <w:tcW w:w="2453" w:type="dxa"/>
            <w:tcBorders>
              <w:top w:val="nil"/>
              <w:left w:val="single" w:sz="8" w:space="0" w:color="auto"/>
              <w:bottom w:val="single" w:sz="4" w:space="0" w:color="auto"/>
              <w:right w:val="single" w:sz="4" w:space="0" w:color="auto"/>
            </w:tcBorders>
            <w:noWrap/>
            <w:vAlign w:val="bottom"/>
            <w:hideMark/>
          </w:tcPr>
          <w:p w14:paraId="79E4F745"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Year</w:t>
            </w:r>
          </w:p>
        </w:tc>
        <w:tc>
          <w:tcPr>
            <w:tcW w:w="2274" w:type="dxa"/>
            <w:tcBorders>
              <w:top w:val="nil"/>
              <w:left w:val="nil"/>
              <w:bottom w:val="single" w:sz="4" w:space="0" w:color="auto"/>
              <w:right w:val="single" w:sz="4" w:space="0" w:color="auto"/>
            </w:tcBorders>
            <w:noWrap/>
            <w:vAlign w:val="bottom"/>
            <w:hideMark/>
          </w:tcPr>
          <w:p w14:paraId="5FEF17F6"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Formula</w:t>
            </w:r>
          </w:p>
        </w:tc>
        <w:tc>
          <w:tcPr>
            <w:tcW w:w="2672" w:type="dxa"/>
            <w:tcBorders>
              <w:top w:val="single" w:sz="4" w:space="0" w:color="auto"/>
              <w:left w:val="nil"/>
              <w:bottom w:val="single" w:sz="4" w:space="0" w:color="auto"/>
              <w:right w:val="single" w:sz="4" w:space="0" w:color="auto"/>
            </w:tcBorders>
            <w:noWrap/>
            <w:vAlign w:val="bottom"/>
            <w:hideMark/>
          </w:tcPr>
          <w:p w14:paraId="727728FB"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Discount factor</w:t>
            </w:r>
          </w:p>
        </w:tc>
        <w:tc>
          <w:tcPr>
            <w:tcW w:w="941" w:type="dxa"/>
            <w:tcBorders>
              <w:top w:val="nil"/>
              <w:left w:val="nil"/>
              <w:bottom w:val="single" w:sz="4" w:space="0" w:color="auto"/>
              <w:right w:val="single" w:sz="8" w:space="0" w:color="auto"/>
            </w:tcBorders>
            <w:noWrap/>
            <w:vAlign w:val="bottom"/>
            <w:hideMark/>
          </w:tcPr>
          <w:p w14:paraId="606C259C"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PV</w:t>
            </w:r>
          </w:p>
        </w:tc>
      </w:tr>
      <w:tr w:rsidR="00747192" w:rsidRPr="00747192" w14:paraId="48F62157" w14:textId="77777777" w:rsidTr="00747192">
        <w:trPr>
          <w:trHeight w:val="396"/>
          <w:jc w:val="center"/>
        </w:trPr>
        <w:tc>
          <w:tcPr>
            <w:tcW w:w="2453" w:type="dxa"/>
            <w:tcBorders>
              <w:top w:val="nil"/>
              <w:left w:val="single" w:sz="8" w:space="0" w:color="auto"/>
              <w:bottom w:val="single" w:sz="4" w:space="0" w:color="auto"/>
              <w:right w:val="single" w:sz="4" w:space="0" w:color="auto"/>
            </w:tcBorders>
            <w:noWrap/>
            <w:vAlign w:val="bottom"/>
            <w:hideMark/>
          </w:tcPr>
          <w:p w14:paraId="010DFC06"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1</w:t>
            </w:r>
          </w:p>
        </w:tc>
        <w:tc>
          <w:tcPr>
            <w:tcW w:w="2274" w:type="dxa"/>
            <w:tcBorders>
              <w:top w:val="nil"/>
              <w:left w:val="nil"/>
              <w:bottom w:val="single" w:sz="4" w:space="0" w:color="auto"/>
              <w:right w:val="single" w:sz="4" w:space="0" w:color="auto"/>
            </w:tcBorders>
            <w:noWrap/>
            <w:vAlign w:val="bottom"/>
            <w:hideMark/>
          </w:tcPr>
          <w:p w14:paraId="108A12ED"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[1</w:t>
            </w:r>
            <w:proofErr w:type="gramStart"/>
            <w:r w:rsidRPr="00747192">
              <w:rPr>
                <w:rFonts w:cs="Arial"/>
                <w:color w:val="000000"/>
                <w:szCs w:val="24"/>
                <w:lang w:val="en-IN"/>
              </w:rPr>
              <w:t>/(</w:t>
            </w:r>
            <w:proofErr w:type="gramEnd"/>
            <w:r w:rsidRPr="00747192">
              <w:rPr>
                <w:rFonts w:cs="Arial"/>
                <w:color w:val="000000"/>
                <w:szCs w:val="24"/>
                <w:lang w:val="en-IN"/>
              </w:rPr>
              <w:t>1+10%</w:t>
            </w:r>
            <w:proofErr w:type="gramStart"/>
            <w:r w:rsidRPr="00747192">
              <w:rPr>
                <w:rFonts w:cs="Arial"/>
                <w:color w:val="000000"/>
                <w:szCs w:val="24"/>
                <w:lang w:val="en-IN"/>
              </w:rPr>
              <w:t>)]^</w:t>
            </w:r>
            <w:proofErr w:type="gramEnd"/>
            <w:r w:rsidRPr="00747192">
              <w:rPr>
                <w:rFonts w:cs="Arial"/>
                <w:color w:val="000000"/>
                <w:szCs w:val="24"/>
                <w:lang w:val="en-IN"/>
              </w:rPr>
              <w:t>1</w:t>
            </w:r>
          </w:p>
        </w:tc>
        <w:tc>
          <w:tcPr>
            <w:tcW w:w="2672" w:type="dxa"/>
            <w:tcBorders>
              <w:top w:val="nil"/>
              <w:left w:val="nil"/>
              <w:bottom w:val="single" w:sz="4" w:space="0" w:color="auto"/>
              <w:right w:val="single" w:sz="4" w:space="0" w:color="auto"/>
            </w:tcBorders>
            <w:noWrap/>
            <w:vAlign w:val="bottom"/>
            <w:hideMark/>
          </w:tcPr>
          <w:p w14:paraId="1C04D00A"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0.91</w:t>
            </w:r>
          </w:p>
        </w:tc>
        <w:tc>
          <w:tcPr>
            <w:tcW w:w="941" w:type="dxa"/>
            <w:tcBorders>
              <w:top w:val="nil"/>
              <w:left w:val="nil"/>
              <w:bottom w:val="single" w:sz="4" w:space="0" w:color="auto"/>
              <w:right w:val="single" w:sz="8" w:space="0" w:color="auto"/>
            </w:tcBorders>
            <w:noWrap/>
            <w:vAlign w:val="bottom"/>
            <w:hideMark/>
          </w:tcPr>
          <w:p w14:paraId="7FADC89D"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9.09</w:t>
            </w:r>
          </w:p>
        </w:tc>
      </w:tr>
      <w:tr w:rsidR="00747192" w:rsidRPr="00747192" w14:paraId="59A36D04" w14:textId="77777777" w:rsidTr="00747192">
        <w:trPr>
          <w:trHeight w:val="396"/>
          <w:jc w:val="center"/>
        </w:trPr>
        <w:tc>
          <w:tcPr>
            <w:tcW w:w="2453" w:type="dxa"/>
            <w:tcBorders>
              <w:top w:val="nil"/>
              <w:left w:val="single" w:sz="8" w:space="0" w:color="auto"/>
              <w:bottom w:val="single" w:sz="4" w:space="0" w:color="auto"/>
              <w:right w:val="single" w:sz="4" w:space="0" w:color="auto"/>
            </w:tcBorders>
            <w:noWrap/>
            <w:vAlign w:val="bottom"/>
            <w:hideMark/>
          </w:tcPr>
          <w:p w14:paraId="2569D0DD"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2</w:t>
            </w:r>
          </w:p>
        </w:tc>
        <w:tc>
          <w:tcPr>
            <w:tcW w:w="2274" w:type="dxa"/>
            <w:tcBorders>
              <w:top w:val="nil"/>
              <w:left w:val="nil"/>
              <w:bottom w:val="single" w:sz="4" w:space="0" w:color="auto"/>
              <w:right w:val="single" w:sz="4" w:space="0" w:color="auto"/>
            </w:tcBorders>
            <w:noWrap/>
            <w:vAlign w:val="bottom"/>
            <w:hideMark/>
          </w:tcPr>
          <w:p w14:paraId="677E61FC"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[1</w:t>
            </w:r>
            <w:proofErr w:type="gramStart"/>
            <w:r w:rsidRPr="00747192">
              <w:rPr>
                <w:rFonts w:cs="Arial"/>
                <w:color w:val="000000"/>
                <w:szCs w:val="24"/>
                <w:lang w:val="en-IN"/>
              </w:rPr>
              <w:t>/(</w:t>
            </w:r>
            <w:proofErr w:type="gramEnd"/>
            <w:r w:rsidRPr="00747192">
              <w:rPr>
                <w:rFonts w:cs="Arial"/>
                <w:color w:val="000000"/>
                <w:szCs w:val="24"/>
                <w:lang w:val="en-IN"/>
              </w:rPr>
              <w:t>1+10%</w:t>
            </w:r>
            <w:proofErr w:type="gramStart"/>
            <w:r w:rsidRPr="00747192">
              <w:rPr>
                <w:rFonts w:cs="Arial"/>
                <w:color w:val="000000"/>
                <w:szCs w:val="24"/>
                <w:lang w:val="en-IN"/>
              </w:rPr>
              <w:t>)]^</w:t>
            </w:r>
            <w:proofErr w:type="gramEnd"/>
            <w:r w:rsidRPr="00747192">
              <w:rPr>
                <w:rFonts w:cs="Arial"/>
                <w:color w:val="000000"/>
                <w:szCs w:val="24"/>
                <w:lang w:val="en-IN"/>
              </w:rPr>
              <w:t>2</w:t>
            </w:r>
          </w:p>
        </w:tc>
        <w:tc>
          <w:tcPr>
            <w:tcW w:w="2672" w:type="dxa"/>
            <w:tcBorders>
              <w:top w:val="nil"/>
              <w:left w:val="nil"/>
              <w:bottom w:val="single" w:sz="4" w:space="0" w:color="auto"/>
              <w:right w:val="single" w:sz="4" w:space="0" w:color="auto"/>
            </w:tcBorders>
            <w:noWrap/>
            <w:vAlign w:val="bottom"/>
            <w:hideMark/>
          </w:tcPr>
          <w:p w14:paraId="7681E71F"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0.83</w:t>
            </w:r>
          </w:p>
        </w:tc>
        <w:tc>
          <w:tcPr>
            <w:tcW w:w="941" w:type="dxa"/>
            <w:tcBorders>
              <w:top w:val="nil"/>
              <w:left w:val="nil"/>
              <w:bottom w:val="single" w:sz="4" w:space="0" w:color="auto"/>
              <w:right w:val="single" w:sz="8" w:space="0" w:color="auto"/>
            </w:tcBorders>
            <w:noWrap/>
            <w:vAlign w:val="bottom"/>
            <w:hideMark/>
          </w:tcPr>
          <w:p w14:paraId="708C83A6"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9.92</w:t>
            </w:r>
          </w:p>
        </w:tc>
      </w:tr>
      <w:tr w:rsidR="00747192" w:rsidRPr="00747192" w14:paraId="6D12249A" w14:textId="77777777" w:rsidTr="00747192">
        <w:trPr>
          <w:trHeight w:val="396"/>
          <w:jc w:val="center"/>
        </w:trPr>
        <w:tc>
          <w:tcPr>
            <w:tcW w:w="2453" w:type="dxa"/>
            <w:tcBorders>
              <w:top w:val="nil"/>
              <w:left w:val="single" w:sz="8" w:space="0" w:color="auto"/>
              <w:bottom w:val="single" w:sz="4" w:space="0" w:color="auto"/>
              <w:right w:val="single" w:sz="4" w:space="0" w:color="auto"/>
            </w:tcBorders>
            <w:noWrap/>
            <w:vAlign w:val="bottom"/>
            <w:hideMark/>
          </w:tcPr>
          <w:p w14:paraId="6D9A1A14"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3</w:t>
            </w:r>
          </w:p>
        </w:tc>
        <w:tc>
          <w:tcPr>
            <w:tcW w:w="2274" w:type="dxa"/>
            <w:tcBorders>
              <w:top w:val="nil"/>
              <w:left w:val="nil"/>
              <w:bottom w:val="single" w:sz="4" w:space="0" w:color="auto"/>
              <w:right w:val="single" w:sz="4" w:space="0" w:color="auto"/>
            </w:tcBorders>
            <w:noWrap/>
            <w:vAlign w:val="bottom"/>
            <w:hideMark/>
          </w:tcPr>
          <w:p w14:paraId="4BE7531F"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[1</w:t>
            </w:r>
            <w:proofErr w:type="gramStart"/>
            <w:r w:rsidRPr="00747192">
              <w:rPr>
                <w:rFonts w:cs="Arial"/>
                <w:color w:val="000000"/>
                <w:szCs w:val="24"/>
                <w:lang w:val="en-IN"/>
              </w:rPr>
              <w:t>/(</w:t>
            </w:r>
            <w:proofErr w:type="gramEnd"/>
            <w:r w:rsidRPr="00747192">
              <w:rPr>
                <w:rFonts w:cs="Arial"/>
                <w:color w:val="000000"/>
                <w:szCs w:val="24"/>
                <w:lang w:val="en-IN"/>
              </w:rPr>
              <w:t>1+10%</w:t>
            </w:r>
            <w:proofErr w:type="gramStart"/>
            <w:r w:rsidRPr="00747192">
              <w:rPr>
                <w:rFonts w:cs="Arial"/>
                <w:color w:val="000000"/>
                <w:szCs w:val="24"/>
                <w:lang w:val="en-IN"/>
              </w:rPr>
              <w:t>)]^</w:t>
            </w:r>
            <w:proofErr w:type="gramEnd"/>
            <w:r w:rsidRPr="00747192">
              <w:rPr>
                <w:rFonts w:cs="Arial"/>
                <w:color w:val="000000"/>
                <w:szCs w:val="24"/>
                <w:lang w:val="en-IN"/>
              </w:rPr>
              <w:t>3</w:t>
            </w:r>
          </w:p>
        </w:tc>
        <w:tc>
          <w:tcPr>
            <w:tcW w:w="2672" w:type="dxa"/>
            <w:tcBorders>
              <w:top w:val="nil"/>
              <w:left w:val="nil"/>
              <w:bottom w:val="single" w:sz="4" w:space="0" w:color="auto"/>
              <w:right w:val="single" w:sz="4" w:space="0" w:color="auto"/>
            </w:tcBorders>
            <w:noWrap/>
            <w:vAlign w:val="bottom"/>
            <w:hideMark/>
          </w:tcPr>
          <w:p w14:paraId="046CAECC"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0.75</w:t>
            </w:r>
          </w:p>
        </w:tc>
        <w:tc>
          <w:tcPr>
            <w:tcW w:w="941" w:type="dxa"/>
            <w:tcBorders>
              <w:top w:val="nil"/>
              <w:left w:val="nil"/>
              <w:bottom w:val="single" w:sz="4" w:space="0" w:color="auto"/>
              <w:right w:val="single" w:sz="8" w:space="0" w:color="auto"/>
            </w:tcBorders>
            <w:noWrap/>
            <w:vAlign w:val="bottom"/>
            <w:hideMark/>
          </w:tcPr>
          <w:p w14:paraId="587A761D"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10.52</w:t>
            </w:r>
          </w:p>
        </w:tc>
      </w:tr>
      <w:tr w:rsidR="00747192" w:rsidRPr="00747192" w14:paraId="667C9882" w14:textId="77777777" w:rsidTr="00747192">
        <w:trPr>
          <w:trHeight w:val="396"/>
          <w:jc w:val="center"/>
        </w:trPr>
        <w:tc>
          <w:tcPr>
            <w:tcW w:w="2453" w:type="dxa"/>
            <w:tcBorders>
              <w:top w:val="nil"/>
              <w:left w:val="single" w:sz="8" w:space="0" w:color="auto"/>
              <w:bottom w:val="single" w:sz="4" w:space="0" w:color="auto"/>
              <w:right w:val="single" w:sz="4" w:space="0" w:color="auto"/>
            </w:tcBorders>
            <w:noWrap/>
            <w:vAlign w:val="bottom"/>
            <w:hideMark/>
          </w:tcPr>
          <w:p w14:paraId="6C1321A0"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4</w:t>
            </w:r>
          </w:p>
        </w:tc>
        <w:tc>
          <w:tcPr>
            <w:tcW w:w="2274" w:type="dxa"/>
            <w:tcBorders>
              <w:top w:val="nil"/>
              <w:left w:val="nil"/>
              <w:bottom w:val="single" w:sz="4" w:space="0" w:color="auto"/>
              <w:right w:val="single" w:sz="4" w:space="0" w:color="auto"/>
            </w:tcBorders>
            <w:noWrap/>
            <w:vAlign w:val="bottom"/>
            <w:hideMark/>
          </w:tcPr>
          <w:p w14:paraId="34FDF6BB"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[1</w:t>
            </w:r>
            <w:proofErr w:type="gramStart"/>
            <w:r w:rsidRPr="00747192">
              <w:rPr>
                <w:rFonts w:cs="Arial"/>
                <w:color w:val="000000"/>
                <w:szCs w:val="24"/>
                <w:lang w:val="en-IN"/>
              </w:rPr>
              <w:t>/(</w:t>
            </w:r>
            <w:proofErr w:type="gramEnd"/>
            <w:r w:rsidRPr="00747192">
              <w:rPr>
                <w:rFonts w:cs="Arial"/>
                <w:color w:val="000000"/>
                <w:szCs w:val="24"/>
                <w:lang w:val="en-IN"/>
              </w:rPr>
              <w:t>1+10%</w:t>
            </w:r>
            <w:proofErr w:type="gramStart"/>
            <w:r w:rsidRPr="00747192">
              <w:rPr>
                <w:rFonts w:cs="Arial"/>
                <w:color w:val="000000"/>
                <w:szCs w:val="24"/>
                <w:lang w:val="en-IN"/>
              </w:rPr>
              <w:t>)]^</w:t>
            </w:r>
            <w:proofErr w:type="gramEnd"/>
            <w:r w:rsidRPr="00747192">
              <w:rPr>
                <w:rFonts w:cs="Arial"/>
                <w:color w:val="000000"/>
                <w:szCs w:val="24"/>
                <w:lang w:val="en-IN"/>
              </w:rPr>
              <w:t>4</w:t>
            </w:r>
          </w:p>
        </w:tc>
        <w:tc>
          <w:tcPr>
            <w:tcW w:w="2672" w:type="dxa"/>
            <w:tcBorders>
              <w:top w:val="nil"/>
              <w:left w:val="nil"/>
              <w:bottom w:val="single" w:sz="4" w:space="0" w:color="auto"/>
              <w:right w:val="single" w:sz="4" w:space="0" w:color="auto"/>
            </w:tcBorders>
            <w:noWrap/>
            <w:vAlign w:val="bottom"/>
            <w:hideMark/>
          </w:tcPr>
          <w:p w14:paraId="0DEF244D"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0.68</w:t>
            </w:r>
          </w:p>
        </w:tc>
        <w:tc>
          <w:tcPr>
            <w:tcW w:w="941" w:type="dxa"/>
            <w:tcBorders>
              <w:top w:val="nil"/>
              <w:left w:val="nil"/>
              <w:bottom w:val="single" w:sz="4" w:space="0" w:color="auto"/>
              <w:right w:val="single" w:sz="8" w:space="0" w:color="auto"/>
            </w:tcBorders>
            <w:noWrap/>
            <w:vAlign w:val="bottom"/>
            <w:hideMark/>
          </w:tcPr>
          <w:p w14:paraId="2A505293"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6.83</w:t>
            </w:r>
          </w:p>
        </w:tc>
      </w:tr>
      <w:tr w:rsidR="00747192" w:rsidRPr="00747192" w14:paraId="3ACEAECB" w14:textId="77777777" w:rsidTr="00747192">
        <w:trPr>
          <w:trHeight w:val="396"/>
          <w:jc w:val="center"/>
        </w:trPr>
        <w:tc>
          <w:tcPr>
            <w:tcW w:w="2453" w:type="dxa"/>
            <w:tcBorders>
              <w:top w:val="nil"/>
              <w:left w:val="single" w:sz="8" w:space="0" w:color="auto"/>
              <w:bottom w:val="single" w:sz="4" w:space="0" w:color="auto"/>
              <w:right w:val="single" w:sz="4" w:space="0" w:color="auto"/>
            </w:tcBorders>
            <w:noWrap/>
            <w:vAlign w:val="bottom"/>
            <w:hideMark/>
          </w:tcPr>
          <w:p w14:paraId="54F39B87"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5</w:t>
            </w:r>
          </w:p>
        </w:tc>
        <w:tc>
          <w:tcPr>
            <w:tcW w:w="2274" w:type="dxa"/>
            <w:tcBorders>
              <w:top w:val="nil"/>
              <w:left w:val="nil"/>
              <w:bottom w:val="single" w:sz="4" w:space="0" w:color="auto"/>
              <w:right w:val="single" w:sz="4" w:space="0" w:color="auto"/>
            </w:tcBorders>
            <w:noWrap/>
            <w:vAlign w:val="bottom"/>
            <w:hideMark/>
          </w:tcPr>
          <w:p w14:paraId="20A25DE4"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[1</w:t>
            </w:r>
            <w:proofErr w:type="gramStart"/>
            <w:r w:rsidRPr="00747192">
              <w:rPr>
                <w:rFonts w:cs="Arial"/>
                <w:color w:val="000000"/>
                <w:szCs w:val="24"/>
                <w:lang w:val="en-IN"/>
              </w:rPr>
              <w:t>/(</w:t>
            </w:r>
            <w:proofErr w:type="gramEnd"/>
            <w:r w:rsidRPr="00747192">
              <w:rPr>
                <w:rFonts w:cs="Arial"/>
                <w:color w:val="000000"/>
                <w:szCs w:val="24"/>
                <w:lang w:val="en-IN"/>
              </w:rPr>
              <w:t>1+10%</w:t>
            </w:r>
            <w:proofErr w:type="gramStart"/>
            <w:r w:rsidRPr="00747192">
              <w:rPr>
                <w:rFonts w:cs="Arial"/>
                <w:color w:val="000000"/>
                <w:szCs w:val="24"/>
                <w:lang w:val="en-IN"/>
              </w:rPr>
              <w:t>)]^</w:t>
            </w:r>
            <w:proofErr w:type="gramEnd"/>
            <w:r w:rsidRPr="00747192">
              <w:rPr>
                <w:rFonts w:cs="Arial"/>
                <w:color w:val="000000"/>
                <w:szCs w:val="24"/>
                <w:lang w:val="en-IN"/>
              </w:rPr>
              <w:t>5</w:t>
            </w:r>
          </w:p>
        </w:tc>
        <w:tc>
          <w:tcPr>
            <w:tcW w:w="2672" w:type="dxa"/>
            <w:tcBorders>
              <w:top w:val="nil"/>
              <w:left w:val="nil"/>
              <w:bottom w:val="single" w:sz="4" w:space="0" w:color="auto"/>
              <w:right w:val="single" w:sz="4" w:space="0" w:color="auto"/>
            </w:tcBorders>
            <w:noWrap/>
            <w:vAlign w:val="bottom"/>
            <w:hideMark/>
          </w:tcPr>
          <w:p w14:paraId="0FF8B11F"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0.62</w:t>
            </w:r>
          </w:p>
        </w:tc>
        <w:tc>
          <w:tcPr>
            <w:tcW w:w="941" w:type="dxa"/>
            <w:tcBorders>
              <w:top w:val="nil"/>
              <w:left w:val="nil"/>
              <w:bottom w:val="single" w:sz="4" w:space="0" w:color="auto"/>
              <w:right w:val="single" w:sz="8" w:space="0" w:color="auto"/>
            </w:tcBorders>
            <w:noWrap/>
            <w:vAlign w:val="bottom"/>
            <w:hideMark/>
          </w:tcPr>
          <w:p w14:paraId="52AFBC11"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4.97</w:t>
            </w:r>
          </w:p>
        </w:tc>
      </w:tr>
      <w:tr w:rsidR="00747192" w:rsidRPr="00747192" w14:paraId="72FF5599" w14:textId="77777777" w:rsidTr="00747192">
        <w:trPr>
          <w:trHeight w:val="396"/>
          <w:jc w:val="center"/>
        </w:trPr>
        <w:tc>
          <w:tcPr>
            <w:tcW w:w="2453" w:type="dxa"/>
            <w:tcBorders>
              <w:top w:val="nil"/>
              <w:left w:val="single" w:sz="8" w:space="0" w:color="auto"/>
              <w:bottom w:val="single" w:sz="4" w:space="0" w:color="auto"/>
              <w:right w:val="single" w:sz="4" w:space="0" w:color="auto"/>
            </w:tcBorders>
            <w:noWrap/>
            <w:vAlign w:val="bottom"/>
            <w:hideMark/>
          </w:tcPr>
          <w:p w14:paraId="26147AB0"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 </w:t>
            </w:r>
          </w:p>
        </w:tc>
        <w:tc>
          <w:tcPr>
            <w:tcW w:w="2274" w:type="dxa"/>
            <w:tcBorders>
              <w:top w:val="nil"/>
              <w:left w:val="nil"/>
              <w:bottom w:val="single" w:sz="4" w:space="0" w:color="auto"/>
              <w:right w:val="single" w:sz="4" w:space="0" w:color="auto"/>
            </w:tcBorders>
            <w:noWrap/>
            <w:vAlign w:val="bottom"/>
            <w:hideMark/>
          </w:tcPr>
          <w:p w14:paraId="7AB37CB6" w14:textId="77777777" w:rsidR="00747192" w:rsidRPr="00747192" w:rsidRDefault="00747192" w:rsidP="001854D3">
            <w:pPr>
              <w:spacing w:after="0"/>
              <w:jc w:val="center"/>
              <w:rPr>
                <w:rFonts w:cs="Arial"/>
                <w:b/>
                <w:bCs/>
                <w:color w:val="000000"/>
                <w:szCs w:val="24"/>
                <w:lang w:val="en-IN"/>
              </w:rPr>
            </w:pPr>
            <w:r w:rsidRPr="00747192">
              <w:rPr>
                <w:rFonts w:cs="Arial"/>
                <w:b/>
                <w:bCs/>
                <w:color w:val="000000"/>
                <w:szCs w:val="24"/>
                <w:lang w:val="en-IN"/>
              </w:rPr>
              <w:t> </w:t>
            </w:r>
          </w:p>
        </w:tc>
        <w:tc>
          <w:tcPr>
            <w:tcW w:w="2672" w:type="dxa"/>
            <w:tcBorders>
              <w:top w:val="nil"/>
              <w:left w:val="nil"/>
              <w:bottom w:val="single" w:sz="4" w:space="0" w:color="auto"/>
              <w:right w:val="single" w:sz="4" w:space="0" w:color="auto"/>
            </w:tcBorders>
            <w:noWrap/>
            <w:vAlign w:val="bottom"/>
            <w:hideMark/>
          </w:tcPr>
          <w:p w14:paraId="52C45CF5"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 </w:t>
            </w:r>
          </w:p>
        </w:tc>
        <w:tc>
          <w:tcPr>
            <w:tcW w:w="941" w:type="dxa"/>
            <w:tcBorders>
              <w:top w:val="nil"/>
              <w:left w:val="nil"/>
              <w:bottom w:val="single" w:sz="4" w:space="0" w:color="auto"/>
              <w:right w:val="single" w:sz="8" w:space="0" w:color="auto"/>
            </w:tcBorders>
            <w:noWrap/>
            <w:vAlign w:val="bottom"/>
            <w:hideMark/>
          </w:tcPr>
          <w:p w14:paraId="522F132C" w14:textId="77777777" w:rsidR="00747192" w:rsidRPr="00747192" w:rsidRDefault="00747192" w:rsidP="001854D3">
            <w:pPr>
              <w:spacing w:after="0"/>
              <w:jc w:val="right"/>
              <w:rPr>
                <w:rFonts w:cs="Arial"/>
                <w:b/>
                <w:bCs/>
                <w:color w:val="000000"/>
                <w:szCs w:val="24"/>
                <w:lang w:val="en-IN"/>
              </w:rPr>
            </w:pPr>
            <w:r w:rsidRPr="00747192">
              <w:rPr>
                <w:rFonts w:cs="Arial"/>
                <w:b/>
                <w:bCs/>
                <w:color w:val="000000"/>
                <w:szCs w:val="24"/>
                <w:lang w:val="en-IN"/>
              </w:rPr>
              <w:t>41.32</w:t>
            </w:r>
          </w:p>
        </w:tc>
      </w:tr>
      <w:tr w:rsidR="00747192" w:rsidRPr="00747192" w14:paraId="25853792" w14:textId="77777777" w:rsidTr="00747192">
        <w:trPr>
          <w:trHeight w:val="396"/>
          <w:jc w:val="center"/>
        </w:trPr>
        <w:tc>
          <w:tcPr>
            <w:tcW w:w="2453" w:type="dxa"/>
            <w:tcBorders>
              <w:top w:val="nil"/>
              <w:left w:val="single" w:sz="8" w:space="0" w:color="auto"/>
              <w:bottom w:val="single" w:sz="8" w:space="0" w:color="auto"/>
              <w:right w:val="single" w:sz="4" w:space="0" w:color="auto"/>
            </w:tcBorders>
            <w:noWrap/>
            <w:vAlign w:val="bottom"/>
            <w:hideMark/>
          </w:tcPr>
          <w:p w14:paraId="4883CDE3"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NPV</w:t>
            </w:r>
          </w:p>
        </w:tc>
        <w:tc>
          <w:tcPr>
            <w:tcW w:w="2274" w:type="dxa"/>
            <w:tcBorders>
              <w:top w:val="nil"/>
              <w:left w:val="nil"/>
              <w:bottom w:val="single" w:sz="8" w:space="0" w:color="auto"/>
              <w:right w:val="single" w:sz="4" w:space="0" w:color="auto"/>
            </w:tcBorders>
            <w:noWrap/>
            <w:vAlign w:val="bottom"/>
            <w:hideMark/>
          </w:tcPr>
          <w:p w14:paraId="037E4852" w14:textId="77777777" w:rsidR="00747192" w:rsidRPr="00747192" w:rsidRDefault="00747192" w:rsidP="001854D3">
            <w:pPr>
              <w:spacing w:after="0"/>
              <w:jc w:val="right"/>
              <w:rPr>
                <w:rFonts w:cs="Arial"/>
                <w:b/>
                <w:bCs/>
                <w:color w:val="000000"/>
                <w:szCs w:val="24"/>
                <w:lang w:val="en-IN"/>
              </w:rPr>
            </w:pPr>
            <w:r w:rsidRPr="00747192">
              <w:rPr>
                <w:rFonts w:cs="Arial"/>
                <w:b/>
                <w:bCs/>
                <w:color w:val="000000"/>
                <w:szCs w:val="24"/>
                <w:lang w:val="en-IN"/>
              </w:rPr>
              <w:t>1.32</w:t>
            </w:r>
          </w:p>
        </w:tc>
        <w:tc>
          <w:tcPr>
            <w:tcW w:w="2672" w:type="dxa"/>
            <w:tcBorders>
              <w:top w:val="nil"/>
              <w:left w:val="nil"/>
              <w:bottom w:val="single" w:sz="8" w:space="0" w:color="auto"/>
              <w:right w:val="single" w:sz="4" w:space="0" w:color="auto"/>
            </w:tcBorders>
            <w:noWrap/>
            <w:vAlign w:val="bottom"/>
            <w:hideMark/>
          </w:tcPr>
          <w:p w14:paraId="1EA936E0"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 </w:t>
            </w:r>
          </w:p>
        </w:tc>
        <w:tc>
          <w:tcPr>
            <w:tcW w:w="941" w:type="dxa"/>
            <w:tcBorders>
              <w:top w:val="nil"/>
              <w:left w:val="nil"/>
              <w:bottom w:val="single" w:sz="8" w:space="0" w:color="auto"/>
              <w:right w:val="single" w:sz="8" w:space="0" w:color="auto"/>
            </w:tcBorders>
            <w:noWrap/>
            <w:vAlign w:val="bottom"/>
            <w:hideMark/>
          </w:tcPr>
          <w:p w14:paraId="5CAAF4FB"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 </w:t>
            </w:r>
          </w:p>
        </w:tc>
      </w:tr>
      <w:tr w:rsidR="00747192" w:rsidRPr="00747192" w14:paraId="01266D37" w14:textId="77777777" w:rsidTr="00747192">
        <w:trPr>
          <w:trHeight w:val="396"/>
          <w:jc w:val="center"/>
        </w:trPr>
        <w:tc>
          <w:tcPr>
            <w:tcW w:w="2453" w:type="dxa"/>
            <w:tcBorders>
              <w:top w:val="nil"/>
              <w:left w:val="nil"/>
              <w:bottom w:val="nil"/>
              <w:right w:val="nil"/>
            </w:tcBorders>
            <w:noWrap/>
            <w:vAlign w:val="bottom"/>
            <w:hideMark/>
          </w:tcPr>
          <w:p w14:paraId="02B1B595" w14:textId="77777777" w:rsidR="00747192" w:rsidRPr="00747192" w:rsidRDefault="00747192" w:rsidP="001854D3">
            <w:pPr>
              <w:spacing w:after="0"/>
              <w:jc w:val="left"/>
              <w:rPr>
                <w:rFonts w:cs="Arial"/>
                <w:b/>
                <w:bCs/>
                <w:color w:val="000000"/>
                <w:szCs w:val="24"/>
                <w:lang w:val="en-IN"/>
              </w:rPr>
            </w:pPr>
          </w:p>
        </w:tc>
        <w:tc>
          <w:tcPr>
            <w:tcW w:w="2274" w:type="dxa"/>
            <w:tcBorders>
              <w:top w:val="nil"/>
              <w:left w:val="nil"/>
              <w:bottom w:val="nil"/>
              <w:right w:val="nil"/>
            </w:tcBorders>
            <w:noWrap/>
            <w:vAlign w:val="bottom"/>
            <w:hideMark/>
          </w:tcPr>
          <w:p w14:paraId="768FCAED" w14:textId="77777777" w:rsidR="00747192" w:rsidRPr="00747192" w:rsidRDefault="00747192" w:rsidP="001854D3">
            <w:pPr>
              <w:spacing w:after="0"/>
              <w:jc w:val="left"/>
              <w:rPr>
                <w:rFonts w:cs="Arial"/>
                <w:sz w:val="20"/>
                <w:szCs w:val="20"/>
                <w:lang w:val="en-IN"/>
              </w:rPr>
            </w:pPr>
          </w:p>
        </w:tc>
        <w:tc>
          <w:tcPr>
            <w:tcW w:w="2672" w:type="dxa"/>
            <w:tcBorders>
              <w:top w:val="nil"/>
              <w:left w:val="nil"/>
              <w:bottom w:val="nil"/>
              <w:right w:val="nil"/>
            </w:tcBorders>
            <w:noWrap/>
            <w:vAlign w:val="bottom"/>
            <w:hideMark/>
          </w:tcPr>
          <w:p w14:paraId="0568CFFA" w14:textId="77777777" w:rsidR="00747192" w:rsidRPr="00747192" w:rsidRDefault="00747192" w:rsidP="001854D3">
            <w:pPr>
              <w:spacing w:after="0"/>
              <w:jc w:val="left"/>
              <w:rPr>
                <w:rFonts w:cs="Arial"/>
                <w:sz w:val="20"/>
                <w:szCs w:val="20"/>
                <w:lang w:val="en-IN"/>
              </w:rPr>
            </w:pPr>
          </w:p>
        </w:tc>
        <w:tc>
          <w:tcPr>
            <w:tcW w:w="941" w:type="dxa"/>
            <w:tcBorders>
              <w:top w:val="nil"/>
              <w:left w:val="nil"/>
              <w:bottom w:val="nil"/>
              <w:right w:val="nil"/>
            </w:tcBorders>
            <w:noWrap/>
            <w:vAlign w:val="bottom"/>
            <w:hideMark/>
          </w:tcPr>
          <w:p w14:paraId="20FF6730" w14:textId="77777777" w:rsidR="00747192" w:rsidRPr="00747192" w:rsidRDefault="00747192" w:rsidP="001854D3">
            <w:pPr>
              <w:spacing w:after="0"/>
              <w:jc w:val="left"/>
              <w:rPr>
                <w:rFonts w:cs="Arial"/>
                <w:sz w:val="20"/>
                <w:szCs w:val="20"/>
                <w:lang w:val="en-IN"/>
              </w:rPr>
            </w:pPr>
          </w:p>
        </w:tc>
      </w:tr>
      <w:tr w:rsidR="00747192" w:rsidRPr="00747192" w14:paraId="250AC8DA" w14:textId="77777777" w:rsidTr="00747192">
        <w:trPr>
          <w:trHeight w:val="396"/>
          <w:jc w:val="center"/>
        </w:trPr>
        <w:tc>
          <w:tcPr>
            <w:tcW w:w="8340" w:type="dxa"/>
            <w:gridSpan w:val="4"/>
            <w:tcBorders>
              <w:top w:val="single" w:sz="8" w:space="0" w:color="auto"/>
              <w:left w:val="single" w:sz="8" w:space="0" w:color="auto"/>
              <w:bottom w:val="nil"/>
              <w:right w:val="single" w:sz="8" w:space="0" w:color="000000"/>
            </w:tcBorders>
            <w:noWrap/>
            <w:vAlign w:val="bottom"/>
            <w:hideMark/>
          </w:tcPr>
          <w:p w14:paraId="3A38831D" w14:textId="77777777" w:rsidR="00747192" w:rsidRPr="00747192" w:rsidRDefault="00747192" w:rsidP="001854D3">
            <w:pPr>
              <w:spacing w:after="0"/>
              <w:jc w:val="center"/>
              <w:rPr>
                <w:rFonts w:cs="Arial"/>
                <w:b/>
                <w:bCs/>
                <w:color w:val="000000"/>
                <w:szCs w:val="24"/>
                <w:lang w:val="en-IN"/>
              </w:rPr>
            </w:pPr>
            <w:r w:rsidRPr="00747192">
              <w:rPr>
                <w:rFonts w:cs="Arial"/>
                <w:b/>
                <w:bCs/>
                <w:color w:val="000000"/>
                <w:szCs w:val="24"/>
                <w:lang w:val="en-IN"/>
              </w:rPr>
              <w:t>PI</w:t>
            </w:r>
          </w:p>
        </w:tc>
      </w:tr>
      <w:tr w:rsidR="00747192" w:rsidRPr="00747192" w14:paraId="4ED585BB" w14:textId="77777777" w:rsidTr="00747192">
        <w:trPr>
          <w:trHeight w:val="396"/>
          <w:jc w:val="center"/>
        </w:trPr>
        <w:tc>
          <w:tcPr>
            <w:tcW w:w="2453" w:type="dxa"/>
            <w:tcBorders>
              <w:top w:val="single" w:sz="4" w:space="0" w:color="auto"/>
              <w:left w:val="single" w:sz="8" w:space="0" w:color="auto"/>
              <w:bottom w:val="single" w:sz="8" w:space="0" w:color="auto"/>
              <w:right w:val="single" w:sz="4" w:space="0" w:color="auto"/>
            </w:tcBorders>
            <w:noWrap/>
            <w:vAlign w:val="bottom"/>
            <w:hideMark/>
          </w:tcPr>
          <w:p w14:paraId="29C825EB"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PI</w:t>
            </w:r>
          </w:p>
        </w:tc>
        <w:tc>
          <w:tcPr>
            <w:tcW w:w="2274" w:type="dxa"/>
            <w:tcBorders>
              <w:top w:val="single" w:sz="4" w:space="0" w:color="auto"/>
              <w:left w:val="nil"/>
              <w:bottom w:val="single" w:sz="8" w:space="0" w:color="auto"/>
              <w:right w:val="single" w:sz="4" w:space="0" w:color="auto"/>
            </w:tcBorders>
            <w:noWrap/>
            <w:vAlign w:val="bottom"/>
            <w:hideMark/>
          </w:tcPr>
          <w:p w14:paraId="7E637039"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1.03</w:t>
            </w:r>
          </w:p>
        </w:tc>
        <w:tc>
          <w:tcPr>
            <w:tcW w:w="2672" w:type="dxa"/>
            <w:tcBorders>
              <w:top w:val="nil"/>
              <w:left w:val="nil"/>
              <w:bottom w:val="single" w:sz="8" w:space="0" w:color="auto"/>
              <w:right w:val="nil"/>
            </w:tcBorders>
            <w:noWrap/>
            <w:vAlign w:val="bottom"/>
            <w:hideMark/>
          </w:tcPr>
          <w:p w14:paraId="47D54254" w14:textId="77777777" w:rsidR="00747192" w:rsidRPr="00747192" w:rsidRDefault="00747192" w:rsidP="001854D3">
            <w:pPr>
              <w:spacing w:after="0"/>
              <w:jc w:val="left"/>
              <w:rPr>
                <w:rFonts w:cs="Arial"/>
                <w:color w:val="000000"/>
                <w:szCs w:val="24"/>
                <w:lang w:val="en-IN"/>
              </w:rPr>
            </w:pPr>
            <w:r w:rsidRPr="00747192">
              <w:rPr>
                <w:rFonts w:cs="Arial"/>
                <w:color w:val="000000"/>
                <w:szCs w:val="24"/>
                <w:lang w:val="en-IN"/>
              </w:rPr>
              <w:t> </w:t>
            </w:r>
          </w:p>
        </w:tc>
        <w:tc>
          <w:tcPr>
            <w:tcW w:w="941" w:type="dxa"/>
            <w:tcBorders>
              <w:top w:val="nil"/>
              <w:left w:val="nil"/>
              <w:bottom w:val="single" w:sz="8" w:space="0" w:color="auto"/>
              <w:right w:val="single" w:sz="8" w:space="0" w:color="auto"/>
            </w:tcBorders>
            <w:noWrap/>
            <w:vAlign w:val="bottom"/>
            <w:hideMark/>
          </w:tcPr>
          <w:p w14:paraId="5B5E61A9" w14:textId="77777777" w:rsidR="00747192" w:rsidRPr="00747192" w:rsidRDefault="00747192" w:rsidP="001854D3">
            <w:pPr>
              <w:spacing w:after="0"/>
              <w:jc w:val="left"/>
              <w:rPr>
                <w:rFonts w:cs="Arial"/>
                <w:color w:val="000000"/>
                <w:szCs w:val="24"/>
                <w:lang w:val="en-IN"/>
              </w:rPr>
            </w:pPr>
            <w:r w:rsidRPr="00747192">
              <w:rPr>
                <w:rFonts w:cs="Arial"/>
                <w:color w:val="000000"/>
                <w:szCs w:val="24"/>
                <w:lang w:val="en-IN"/>
              </w:rPr>
              <w:t> </w:t>
            </w:r>
          </w:p>
        </w:tc>
      </w:tr>
    </w:tbl>
    <w:p w14:paraId="4D14E6A6" w14:textId="68BCD217" w:rsidR="00747192" w:rsidRPr="001854D3" w:rsidRDefault="00D34B4D" w:rsidP="00D13DB7">
      <w:pPr>
        <w:jc w:val="center"/>
        <w:rPr>
          <w:rFonts w:cs="Arial"/>
        </w:rPr>
      </w:pPr>
      <w:r w:rsidRPr="00D34B4D">
        <w:rPr>
          <w:rFonts w:cs="Arial"/>
        </w:rPr>
        <w:t>(Source: Refer to the Excel)</w:t>
      </w:r>
    </w:p>
    <w:tbl>
      <w:tblPr>
        <w:tblW w:w="6920" w:type="dxa"/>
        <w:jc w:val="center"/>
        <w:tblLook w:val="04A0" w:firstRow="1" w:lastRow="0" w:firstColumn="1" w:lastColumn="0" w:noHBand="0" w:noVBand="1"/>
      </w:tblPr>
      <w:tblGrid>
        <w:gridCol w:w="2023"/>
        <w:gridCol w:w="1876"/>
        <w:gridCol w:w="2204"/>
        <w:gridCol w:w="817"/>
      </w:tblGrid>
      <w:tr w:rsidR="00747192" w:rsidRPr="00747192" w14:paraId="39507792" w14:textId="77777777" w:rsidTr="00D34B4D">
        <w:trPr>
          <w:trHeight w:val="396"/>
          <w:jc w:val="center"/>
        </w:trPr>
        <w:tc>
          <w:tcPr>
            <w:tcW w:w="6920" w:type="dxa"/>
            <w:gridSpan w:val="4"/>
            <w:tcBorders>
              <w:top w:val="single" w:sz="8" w:space="0" w:color="auto"/>
              <w:left w:val="single" w:sz="8" w:space="0" w:color="auto"/>
              <w:bottom w:val="nil"/>
              <w:right w:val="single" w:sz="8" w:space="0" w:color="000000"/>
            </w:tcBorders>
            <w:noWrap/>
            <w:vAlign w:val="bottom"/>
            <w:hideMark/>
          </w:tcPr>
          <w:p w14:paraId="7EEBDB7E" w14:textId="77777777" w:rsidR="00747192" w:rsidRPr="00747192" w:rsidRDefault="00747192" w:rsidP="001854D3">
            <w:pPr>
              <w:spacing w:after="0"/>
              <w:jc w:val="center"/>
              <w:rPr>
                <w:rFonts w:cs="Arial"/>
                <w:b/>
                <w:bCs/>
                <w:color w:val="000000"/>
                <w:szCs w:val="24"/>
                <w:lang w:val="en-IN"/>
              </w:rPr>
            </w:pPr>
            <w:r w:rsidRPr="00747192">
              <w:rPr>
                <w:rFonts w:cs="Arial"/>
                <w:b/>
                <w:bCs/>
                <w:color w:val="000000"/>
                <w:szCs w:val="24"/>
                <w:lang w:val="en-IN"/>
              </w:rPr>
              <w:t>IRR</w:t>
            </w:r>
          </w:p>
        </w:tc>
      </w:tr>
      <w:tr w:rsidR="00747192" w:rsidRPr="00747192" w14:paraId="2D7FFB96" w14:textId="77777777" w:rsidTr="00D34B4D">
        <w:trPr>
          <w:trHeight w:val="396"/>
          <w:jc w:val="center"/>
        </w:trPr>
        <w:tc>
          <w:tcPr>
            <w:tcW w:w="2023" w:type="dxa"/>
            <w:tcBorders>
              <w:top w:val="single" w:sz="4" w:space="0" w:color="auto"/>
              <w:left w:val="single" w:sz="8" w:space="0" w:color="auto"/>
              <w:bottom w:val="single" w:sz="4" w:space="0" w:color="auto"/>
              <w:right w:val="single" w:sz="4" w:space="0" w:color="auto"/>
            </w:tcBorders>
            <w:noWrap/>
            <w:vAlign w:val="bottom"/>
            <w:hideMark/>
          </w:tcPr>
          <w:p w14:paraId="5F07ED2F"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Discount Rate</w:t>
            </w:r>
          </w:p>
        </w:tc>
        <w:tc>
          <w:tcPr>
            <w:tcW w:w="1876" w:type="dxa"/>
            <w:tcBorders>
              <w:top w:val="single" w:sz="4" w:space="0" w:color="auto"/>
              <w:left w:val="nil"/>
              <w:bottom w:val="single" w:sz="4" w:space="0" w:color="auto"/>
              <w:right w:val="single" w:sz="4" w:space="0" w:color="auto"/>
            </w:tcBorders>
            <w:noWrap/>
            <w:vAlign w:val="bottom"/>
            <w:hideMark/>
          </w:tcPr>
          <w:p w14:paraId="4E231969"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20%</w:t>
            </w:r>
          </w:p>
        </w:tc>
        <w:tc>
          <w:tcPr>
            <w:tcW w:w="2204" w:type="dxa"/>
            <w:tcBorders>
              <w:top w:val="nil"/>
              <w:left w:val="nil"/>
              <w:bottom w:val="nil"/>
              <w:right w:val="nil"/>
            </w:tcBorders>
            <w:noWrap/>
            <w:vAlign w:val="bottom"/>
            <w:hideMark/>
          </w:tcPr>
          <w:p w14:paraId="3392BC38" w14:textId="77777777" w:rsidR="00747192" w:rsidRPr="00747192" w:rsidRDefault="00747192" w:rsidP="001854D3">
            <w:pPr>
              <w:spacing w:after="0"/>
              <w:jc w:val="right"/>
              <w:rPr>
                <w:rFonts w:cs="Arial"/>
                <w:color w:val="000000"/>
                <w:szCs w:val="24"/>
                <w:lang w:val="en-IN"/>
              </w:rPr>
            </w:pPr>
          </w:p>
        </w:tc>
        <w:tc>
          <w:tcPr>
            <w:tcW w:w="817" w:type="dxa"/>
            <w:tcBorders>
              <w:top w:val="nil"/>
              <w:left w:val="nil"/>
              <w:bottom w:val="nil"/>
              <w:right w:val="single" w:sz="8" w:space="0" w:color="auto"/>
            </w:tcBorders>
            <w:noWrap/>
            <w:vAlign w:val="bottom"/>
            <w:hideMark/>
          </w:tcPr>
          <w:p w14:paraId="1F4B797A" w14:textId="77777777" w:rsidR="00747192" w:rsidRPr="00747192" w:rsidRDefault="00747192" w:rsidP="001854D3">
            <w:pPr>
              <w:spacing w:after="0"/>
              <w:jc w:val="left"/>
              <w:rPr>
                <w:rFonts w:cs="Arial"/>
                <w:color w:val="000000"/>
                <w:szCs w:val="24"/>
                <w:lang w:val="en-IN"/>
              </w:rPr>
            </w:pPr>
            <w:r w:rsidRPr="00747192">
              <w:rPr>
                <w:rFonts w:cs="Arial"/>
                <w:color w:val="000000"/>
                <w:szCs w:val="24"/>
                <w:lang w:val="en-IN"/>
              </w:rPr>
              <w:t> </w:t>
            </w:r>
          </w:p>
        </w:tc>
      </w:tr>
      <w:tr w:rsidR="00747192" w:rsidRPr="00747192" w14:paraId="21D15465" w14:textId="77777777" w:rsidTr="00D34B4D">
        <w:trPr>
          <w:trHeight w:val="396"/>
          <w:jc w:val="center"/>
        </w:trPr>
        <w:tc>
          <w:tcPr>
            <w:tcW w:w="2023" w:type="dxa"/>
            <w:tcBorders>
              <w:top w:val="nil"/>
              <w:left w:val="single" w:sz="8" w:space="0" w:color="auto"/>
              <w:bottom w:val="single" w:sz="4" w:space="0" w:color="auto"/>
              <w:right w:val="single" w:sz="4" w:space="0" w:color="auto"/>
            </w:tcBorders>
            <w:noWrap/>
            <w:vAlign w:val="bottom"/>
            <w:hideMark/>
          </w:tcPr>
          <w:p w14:paraId="21E38129"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Year</w:t>
            </w:r>
          </w:p>
        </w:tc>
        <w:tc>
          <w:tcPr>
            <w:tcW w:w="1876" w:type="dxa"/>
            <w:tcBorders>
              <w:top w:val="nil"/>
              <w:left w:val="nil"/>
              <w:bottom w:val="single" w:sz="4" w:space="0" w:color="auto"/>
              <w:right w:val="single" w:sz="4" w:space="0" w:color="auto"/>
            </w:tcBorders>
            <w:noWrap/>
            <w:vAlign w:val="bottom"/>
            <w:hideMark/>
          </w:tcPr>
          <w:p w14:paraId="2FDEC94D"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Formula</w:t>
            </w:r>
          </w:p>
        </w:tc>
        <w:tc>
          <w:tcPr>
            <w:tcW w:w="2204" w:type="dxa"/>
            <w:tcBorders>
              <w:top w:val="single" w:sz="4" w:space="0" w:color="auto"/>
              <w:left w:val="nil"/>
              <w:bottom w:val="single" w:sz="4" w:space="0" w:color="auto"/>
              <w:right w:val="single" w:sz="4" w:space="0" w:color="auto"/>
            </w:tcBorders>
            <w:noWrap/>
            <w:vAlign w:val="bottom"/>
            <w:hideMark/>
          </w:tcPr>
          <w:p w14:paraId="10DD6CC9"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Discount factor</w:t>
            </w:r>
          </w:p>
        </w:tc>
        <w:tc>
          <w:tcPr>
            <w:tcW w:w="817" w:type="dxa"/>
            <w:tcBorders>
              <w:top w:val="single" w:sz="4" w:space="0" w:color="auto"/>
              <w:left w:val="nil"/>
              <w:bottom w:val="single" w:sz="4" w:space="0" w:color="auto"/>
              <w:right w:val="single" w:sz="8" w:space="0" w:color="auto"/>
            </w:tcBorders>
            <w:noWrap/>
            <w:vAlign w:val="bottom"/>
            <w:hideMark/>
          </w:tcPr>
          <w:p w14:paraId="19A31E62"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PV</w:t>
            </w:r>
          </w:p>
        </w:tc>
      </w:tr>
      <w:tr w:rsidR="00747192" w:rsidRPr="00747192" w14:paraId="51B0C364" w14:textId="77777777" w:rsidTr="00D34B4D">
        <w:trPr>
          <w:trHeight w:val="396"/>
          <w:jc w:val="center"/>
        </w:trPr>
        <w:tc>
          <w:tcPr>
            <w:tcW w:w="2023" w:type="dxa"/>
            <w:tcBorders>
              <w:top w:val="nil"/>
              <w:left w:val="single" w:sz="8" w:space="0" w:color="auto"/>
              <w:bottom w:val="single" w:sz="4" w:space="0" w:color="auto"/>
              <w:right w:val="single" w:sz="4" w:space="0" w:color="auto"/>
            </w:tcBorders>
            <w:noWrap/>
            <w:vAlign w:val="bottom"/>
            <w:hideMark/>
          </w:tcPr>
          <w:p w14:paraId="769F6268"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1</w:t>
            </w:r>
          </w:p>
        </w:tc>
        <w:tc>
          <w:tcPr>
            <w:tcW w:w="1876" w:type="dxa"/>
            <w:tcBorders>
              <w:top w:val="nil"/>
              <w:left w:val="nil"/>
              <w:bottom w:val="single" w:sz="4" w:space="0" w:color="auto"/>
              <w:right w:val="single" w:sz="4" w:space="0" w:color="auto"/>
            </w:tcBorders>
            <w:noWrap/>
            <w:vAlign w:val="bottom"/>
            <w:hideMark/>
          </w:tcPr>
          <w:p w14:paraId="5B8F2711"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[1</w:t>
            </w:r>
            <w:proofErr w:type="gramStart"/>
            <w:r w:rsidRPr="00747192">
              <w:rPr>
                <w:rFonts w:cs="Arial"/>
                <w:color w:val="000000"/>
                <w:szCs w:val="24"/>
                <w:lang w:val="en-IN"/>
              </w:rPr>
              <w:t>/(</w:t>
            </w:r>
            <w:proofErr w:type="gramEnd"/>
            <w:r w:rsidRPr="00747192">
              <w:rPr>
                <w:rFonts w:cs="Arial"/>
                <w:color w:val="000000"/>
                <w:szCs w:val="24"/>
                <w:lang w:val="en-IN"/>
              </w:rPr>
              <w:t>1+20%</w:t>
            </w:r>
            <w:proofErr w:type="gramStart"/>
            <w:r w:rsidRPr="00747192">
              <w:rPr>
                <w:rFonts w:cs="Arial"/>
                <w:color w:val="000000"/>
                <w:szCs w:val="24"/>
                <w:lang w:val="en-IN"/>
              </w:rPr>
              <w:t>)]^</w:t>
            </w:r>
            <w:proofErr w:type="gramEnd"/>
            <w:r w:rsidRPr="00747192">
              <w:rPr>
                <w:rFonts w:cs="Arial"/>
                <w:color w:val="000000"/>
                <w:szCs w:val="24"/>
                <w:lang w:val="en-IN"/>
              </w:rPr>
              <w:t>1</w:t>
            </w:r>
          </w:p>
        </w:tc>
        <w:tc>
          <w:tcPr>
            <w:tcW w:w="2204" w:type="dxa"/>
            <w:tcBorders>
              <w:top w:val="nil"/>
              <w:left w:val="nil"/>
              <w:bottom w:val="single" w:sz="4" w:space="0" w:color="auto"/>
              <w:right w:val="single" w:sz="4" w:space="0" w:color="auto"/>
            </w:tcBorders>
            <w:noWrap/>
            <w:vAlign w:val="bottom"/>
            <w:hideMark/>
          </w:tcPr>
          <w:p w14:paraId="1DDA979C"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0.83</w:t>
            </w:r>
          </w:p>
        </w:tc>
        <w:tc>
          <w:tcPr>
            <w:tcW w:w="817" w:type="dxa"/>
            <w:tcBorders>
              <w:top w:val="nil"/>
              <w:left w:val="nil"/>
              <w:bottom w:val="single" w:sz="4" w:space="0" w:color="auto"/>
              <w:right w:val="single" w:sz="8" w:space="0" w:color="auto"/>
            </w:tcBorders>
            <w:noWrap/>
            <w:vAlign w:val="bottom"/>
            <w:hideMark/>
          </w:tcPr>
          <w:p w14:paraId="65F70CBE"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8.33</w:t>
            </w:r>
          </w:p>
        </w:tc>
      </w:tr>
      <w:tr w:rsidR="00747192" w:rsidRPr="00747192" w14:paraId="3301C00B" w14:textId="77777777" w:rsidTr="00D34B4D">
        <w:trPr>
          <w:trHeight w:val="396"/>
          <w:jc w:val="center"/>
        </w:trPr>
        <w:tc>
          <w:tcPr>
            <w:tcW w:w="2023" w:type="dxa"/>
            <w:tcBorders>
              <w:top w:val="nil"/>
              <w:left w:val="single" w:sz="8" w:space="0" w:color="auto"/>
              <w:bottom w:val="single" w:sz="4" w:space="0" w:color="auto"/>
              <w:right w:val="single" w:sz="4" w:space="0" w:color="auto"/>
            </w:tcBorders>
            <w:noWrap/>
            <w:vAlign w:val="bottom"/>
            <w:hideMark/>
          </w:tcPr>
          <w:p w14:paraId="0544C287"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2</w:t>
            </w:r>
          </w:p>
        </w:tc>
        <w:tc>
          <w:tcPr>
            <w:tcW w:w="1876" w:type="dxa"/>
            <w:tcBorders>
              <w:top w:val="nil"/>
              <w:left w:val="nil"/>
              <w:bottom w:val="single" w:sz="4" w:space="0" w:color="auto"/>
              <w:right w:val="single" w:sz="4" w:space="0" w:color="auto"/>
            </w:tcBorders>
            <w:noWrap/>
            <w:vAlign w:val="bottom"/>
            <w:hideMark/>
          </w:tcPr>
          <w:p w14:paraId="39E75770"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[1</w:t>
            </w:r>
            <w:proofErr w:type="gramStart"/>
            <w:r w:rsidRPr="00747192">
              <w:rPr>
                <w:rFonts w:cs="Arial"/>
                <w:color w:val="000000"/>
                <w:szCs w:val="24"/>
                <w:lang w:val="en-IN"/>
              </w:rPr>
              <w:t>/(</w:t>
            </w:r>
            <w:proofErr w:type="gramEnd"/>
            <w:r w:rsidRPr="00747192">
              <w:rPr>
                <w:rFonts w:cs="Arial"/>
                <w:color w:val="000000"/>
                <w:szCs w:val="24"/>
                <w:lang w:val="en-IN"/>
              </w:rPr>
              <w:t>1+20%</w:t>
            </w:r>
            <w:proofErr w:type="gramStart"/>
            <w:r w:rsidRPr="00747192">
              <w:rPr>
                <w:rFonts w:cs="Arial"/>
                <w:color w:val="000000"/>
                <w:szCs w:val="24"/>
                <w:lang w:val="en-IN"/>
              </w:rPr>
              <w:t>)]^</w:t>
            </w:r>
            <w:proofErr w:type="gramEnd"/>
            <w:r w:rsidRPr="00747192">
              <w:rPr>
                <w:rFonts w:cs="Arial"/>
                <w:color w:val="000000"/>
                <w:szCs w:val="24"/>
                <w:lang w:val="en-IN"/>
              </w:rPr>
              <w:t>2</w:t>
            </w:r>
          </w:p>
        </w:tc>
        <w:tc>
          <w:tcPr>
            <w:tcW w:w="2204" w:type="dxa"/>
            <w:tcBorders>
              <w:top w:val="nil"/>
              <w:left w:val="nil"/>
              <w:bottom w:val="single" w:sz="4" w:space="0" w:color="auto"/>
              <w:right w:val="single" w:sz="4" w:space="0" w:color="auto"/>
            </w:tcBorders>
            <w:noWrap/>
            <w:vAlign w:val="bottom"/>
            <w:hideMark/>
          </w:tcPr>
          <w:p w14:paraId="7B122579"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0.69</w:t>
            </w:r>
          </w:p>
        </w:tc>
        <w:tc>
          <w:tcPr>
            <w:tcW w:w="817" w:type="dxa"/>
            <w:tcBorders>
              <w:top w:val="nil"/>
              <w:left w:val="nil"/>
              <w:bottom w:val="single" w:sz="4" w:space="0" w:color="auto"/>
              <w:right w:val="single" w:sz="8" w:space="0" w:color="auto"/>
            </w:tcBorders>
            <w:noWrap/>
            <w:vAlign w:val="bottom"/>
            <w:hideMark/>
          </w:tcPr>
          <w:p w14:paraId="02347F3C"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8.33</w:t>
            </w:r>
          </w:p>
        </w:tc>
      </w:tr>
      <w:tr w:rsidR="00747192" w:rsidRPr="00747192" w14:paraId="142E7F53" w14:textId="77777777" w:rsidTr="00D34B4D">
        <w:trPr>
          <w:trHeight w:val="396"/>
          <w:jc w:val="center"/>
        </w:trPr>
        <w:tc>
          <w:tcPr>
            <w:tcW w:w="2023" w:type="dxa"/>
            <w:tcBorders>
              <w:top w:val="nil"/>
              <w:left w:val="single" w:sz="8" w:space="0" w:color="auto"/>
              <w:bottom w:val="single" w:sz="4" w:space="0" w:color="auto"/>
              <w:right w:val="single" w:sz="4" w:space="0" w:color="auto"/>
            </w:tcBorders>
            <w:noWrap/>
            <w:vAlign w:val="bottom"/>
            <w:hideMark/>
          </w:tcPr>
          <w:p w14:paraId="65313605"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3</w:t>
            </w:r>
          </w:p>
        </w:tc>
        <w:tc>
          <w:tcPr>
            <w:tcW w:w="1876" w:type="dxa"/>
            <w:tcBorders>
              <w:top w:val="nil"/>
              <w:left w:val="nil"/>
              <w:bottom w:val="single" w:sz="4" w:space="0" w:color="auto"/>
              <w:right w:val="single" w:sz="4" w:space="0" w:color="auto"/>
            </w:tcBorders>
            <w:noWrap/>
            <w:vAlign w:val="bottom"/>
            <w:hideMark/>
          </w:tcPr>
          <w:p w14:paraId="2BF24E5C"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[1</w:t>
            </w:r>
            <w:proofErr w:type="gramStart"/>
            <w:r w:rsidRPr="00747192">
              <w:rPr>
                <w:rFonts w:cs="Arial"/>
                <w:color w:val="000000"/>
                <w:szCs w:val="24"/>
                <w:lang w:val="en-IN"/>
              </w:rPr>
              <w:t>/(</w:t>
            </w:r>
            <w:proofErr w:type="gramEnd"/>
            <w:r w:rsidRPr="00747192">
              <w:rPr>
                <w:rFonts w:cs="Arial"/>
                <w:color w:val="000000"/>
                <w:szCs w:val="24"/>
                <w:lang w:val="en-IN"/>
              </w:rPr>
              <w:t>1+20%</w:t>
            </w:r>
            <w:proofErr w:type="gramStart"/>
            <w:r w:rsidRPr="00747192">
              <w:rPr>
                <w:rFonts w:cs="Arial"/>
                <w:color w:val="000000"/>
                <w:szCs w:val="24"/>
                <w:lang w:val="en-IN"/>
              </w:rPr>
              <w:t>)]^</w:t>
            </w:r>
            <w:proofErr w:type="gramEnd"/>
            <w:r w:rsidRPr="00747192">
              <w:rPr>
                <w:rFonts w:cs="Arial"/>
                <w:color w:val="000000"/>
                <w:szCs w:val="24"/>
                <w:lang w:val="en-IN"/>
              </w:rPr>
              <w:t>3</w:t>
            </w:r>
          </w:p>
        </w:tc>
        <w:tc>
          <w:tcPr>
            <w:tcW w:w="2204" w:type="dxa"/>
            <w:tcBorders>
              <w:top w:val="nil"/>
              <w:left w:val="nil"/>
              <w:bottom w:val="single" w:sz="4" w:space="0" w:color="auto"/>
              <w:right w:val="single" w:sz="4" w:space="0" w:color="auto"/>
            </w:tcBorders>
            <w:noWrap/>
            <w:vAlign w:val="bottom"/>
            <w:hideMark/>
          </w:tcPr>
          <w:p w14:paraId="09B4F285"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0.58</w:t>
            </w:r>
          </w:p>
        </w:tc>
        <w:tc>
          <w:tcPr>
            <w:tcW w:w="817" w:type="dxa"/>
            <w:tcBorders>
              <w:top w:val="nil"/>
              <w:left w:val="nil"/>
              <w:bottom w:val="single" w:sz="4" w:space="0" w:color="auto"/>
              <w:right w:val="single" w:sz="8" w:space="0" w:color="auto"/>
            </w:tcBorders>
            <w:noWrap/>
            <w:vAlign w:val="bottom"/>
            <w:hideMark/>
          </w:tcPr>
          <w:p w14:paraId="7DC89CA6"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8.10</w:t>
            </w:r>
          </w:p>
        </w:tc>
      </w:tr>
      <w:tr w:rsidR="00747192" w:rsidRPr="00747192" w14:paraId="7E525930" w14:textId="77777777" w:rsidTr="00D34B4D">
        <w:trPr>
          <w:trHeight w:val="396"/>
          <w:jc w:val="center"/>
        </w:trPr>
        <w:tc>
          <w:tcPr>
            <w:tcW w:w="2023" w:type="dxa"/>
            <w:tcBorders>
              <w:top w:val="nil"/>
              <w:left w:val="single" w:sz="8" w:space="0" w:color="auto"/>
              <w:bottom w:val="single" w:sz="4" w:space="0" w:color="auto"/>
              <w:right w:val="single" w:sz="4" w:space="0" w:color="auto"/>
            </w:tcBorders>
            <w:noWrap/>
            <w:vAlign w:val="bottom"/>
            <w:hideMark/>
          </w:tcPr>
          <w:p w14:paraId="56D73FBC"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4</w:t>
            </w:r>
          </w:p>
        </w:tc>
        <w:tc>
          <w:tcPr>
            <w:tcW w:w="1876" w:type="dxa"/>
            <w:tcBorders>
              <w:top w:val="nil"/>
              <w:left w:val="nil"/>
              <w:bottom w:val="single" w:sz="4" w:space="0" w:color="auto"/>
              <w:right w:val="single" w:sz="4" w:space="0" w:color="auto"/>
            </w:tcBorders>
            <w:noWrap/>
            <w:vAlign w:val="bottom"/>
            <w:hideMark/>
          </w:tcPr>
          <w:p w14:paraId="1AB4EC10"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[1</w:t>
            </w:r>
            <w:proofErr w:type="gramStart"/>
            <w:r w:rsidRPr="00747192">
              <w:rPr>
                <w:rFonts w:cs="Arial"/>
                <w:color w:val="000000"/>
                <w:szCs w:val="24"/>
                <w:lang w:val="en-IN"/>
              </w:rPr>
              <w:t>/(</w:t>
            </w:r>
            <w:proofErr w:type="gramEnd"/>
            <w:r w:rsidRPr="00747192">
              <w:rPr>
                <w:rFonts w:cs="Arial"/>
                <w:color w:val="000000"/>
                <w:szCs w:val="24"/>
                <w:lang w:val="en-IN"/>
              </w:rPr>
              <w:t>1+20%</w:t>
            </w:r>
            <w:proofErr w:type="gramStart"/>
            <w:r w:rsidRPr="00747192">
              <w:rPr>
                <w:rFonts w:cs="Arial"/>
                <w:color w:val="000000"/>
                <w:szCs w:val="24"/>
                <w:lang w:val="en-IN"/>
              </w:rPr>
              <w:t>)]^</w:t>
            </w:r>
            <w:proofErr w:type="gramEnd"/>
            <w:r w:rsidRPr="00747192">
              <w:rPr>
                <w:rFonts w:cs="Arial"/>
                <w:color w:val="000000"/>
                <w:szCs w:val="24"/>
                <w:lang w:val="en-IN"/>
              </w:rPr>
              <w:t>4</w:t>
            </w:r>
          </w:p>
        </w:tc>
        <w:tc>
          <w:tcPr>
            <w:tcW w:w="2204" w:type="dxa"/>
            <w:tcBorders>
              <w:top w:val="nil"/>
              <w:left w:val="nil"/>
              <w:bottom w:val="single" w:sz="4" w:space="0" w:color="auto"/>
              <w:right w:val="single" w:sz="4" w:space="0" w:color="auto"/>
            </w:tcBorders>
            <w:noWrap/>
            <w:vAlign w:val="bottom"/>
            <w:hideMark/>
          </w:tcPr>
          <w:p w14:paraId="29D0D058"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0.48</w:t>
            </w:r>
          </w:p>
        </w:tc>
        <w:tc>
          <w:tcPr>
            <w:tcW w:w="817" w:type="dxa"/>
            <w:tcBorders>
              <w:top w:val="nil"/>
              <w:left w:val="nil"/>
              <w:bottom w:val="single" w:sz="4" w:space="0" w:color="auto"/>
              <w:right w:val="single" w:sz="8" w:space="0" w:color="auto"/>
            </w:tcBorders>
            <w:noWrap/>
            <w:vAlign w:val="bottom"/>
            <w:hideMark/>
          </w:tcPr>
          <w:p w14:paraId="4AD59217"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4.82</w:t>
            </w:r>
          </w:p>
        </w:tc>
      </w:tr>
      <w:tr w:rsidR="00747192" w:rsidRPr="00747192" w14:paraId="65718DF4" w14:textId="77777777" w:rsidTr="00D34B4D">
        <w:trPr>
          <w:trHeight w:val="396"/>
          <w:jc w:val="center"/>
        </w:trPr>
        <w:tc>
          <w:tcPr>
            <w:tcW w:w="2023" w:type="dxa"/>
            <w:tcBorders>
              <w:top w:val="nil"/>
              <w:left w:val="single" w:sz="8" w:space="0" w:color="auto"/>
              <w:bottom w:val="single" w:sz="4" w:space="0" w:color="auto"/>
              <w:right w:val="single" w:sz="4" w:space="0" w:color="auto"/>
            </w:tcBorders>
            <w:noWrap/>
            <w:vAlign w:val="bottom"/>
            <w:hideMark/>
          </w:tcPr>
          <w:p w14:paraId="383488AA"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lastRenderedPageBreak/>
              <w:t>5</w:t>
            </w:r>
          </w:p>
        </w:tc>
        <w:tc>
          <w:tcPr>
            <w:tcW w:w="1876" w:type="dxa"/>
            <w:tcBorders>
              <w:top w:val="nil"/>
              <w:left w:val="nil"/>
              <w:bottom w:val="single" w:sz="4" w:space="0" w:color="auto"/>
              <w:right w:val="single" w:sz="4" w:space="0" w:color="auto"/>
            </w:tcBorders>
            <w:noWrap/>
            <w:vAlign w:val="bottom"/>
            <w:hideMark/>
          </w:tcPr>
          <w:p w14:paraId="526BAFE8"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[1</w:t>
            </w:r>
            <w:proofErr w:type="gramStart"/>
            <w:r w:rsidRPr="00747192">
              <w:rPr>
                <w:rFonts w:cs="Arial"/>
                <w:color w:val="000000"/>
                <w:szCs w:val="24"/>
                <w:lang w:val="en-IN"/>
              </w:rPr>
              <w:t>/(</w:t>
            </w:r>
            <w:proofErr w:type="gramEnd"/>
            <w:r w:rsidRPr="00747192">
              <w:rPr>
                <w:rFonts w:cs="Arial"/>
                <w:color w:val="000000"/>
                <w:szCs w:val="24"/>
                <w:lang w:val="en-IN"/>
              </w:rPr>
              <w:t>1+20%</w:t>
            </w:r>
            <w:proofErr w:type="gramStart"/>
            <w:r w:rsidRPr="00747192">
              <w:rPr>
                <w:rFonts w:cs="Arial"/>
                <w:color w:val="000000"/>
                <w:szCs w:val="24"/>
                <w:lang w:val="en-IN"/>
              </w:rPr>
              <w:t>)]^</w:t>
            </w:r>
            <w:proofErr w:type="gramEnd"/>
            <w:r w:rsidRPr="00747192">
              <w:rPr>
                <w:rFonts w:cs="Arial"/>
                <w:color w:val="000000"/>
                <w:szCs w:val="24"/>
                <w:lang w:val="en-IN"/>
              </w:rPr>
              <w:t>5</w:t>
            </w:r>
          </w:p>
        </w:tc>
        <w:tc>
          <w:tcPr>
            <w:tcW w:w="2204" w:type="dxa"/>
            <w:tcBorders>
              <w:top w:val="nil"/>
              <w:left w:val="nil"/>
              <w:bottom w:val="single" w:sz="4" w:space="0" w:color="auto"/>
              <w:right w:val="single" w:sz="4" w:space="0" w:color="auto"/>
            </w:tcBorders>
            <w:noWrap/>
            <w:vAlign w:val="bottom"/>
            <w:hideMark/>
          </w:tcPr>
          <w:p w14:paraId="0848426F"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0.40</w:t>
            </w:r>
          </w:p>
        </w:tc>
        <w:tc>
          <w:tcPr>
            <w:tcW w:w="817" w:type="dxa"/>
            <w:tcBorders>
              <w:top w:val="nil"/>
              <w:left w:val="nil"/>
              <w:bottom w:val="single" w:sz="4" w:space="0" w:color="auto"/>
              <w:right w:val="single" w:sz="8" w:space="0" w:color="auto"/>
            </w:tcBorders>
            <w:noWrap/>
            <w:vAlign w:val="bottom"/>
            <w:hideMark/>
          </w:tcPr>
          <w:p w14:paraId="5729460F"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3.22</w:t>
            </w:r>
          </w:p>
        </w:tc>
      </w:tr>
      <w:tr w:rsidR="00747192" w:rsidRPr="00747192" w14:paraId="10A9CF30" w14:textId="77777777" w:rsidTr="00D34B4D">
        <w:trPr>
          <w:trHeight w:val="396"/>
          <w:jc w:val="center"/>
        </w:trPr>
        <w:tc>
          <w:tcPr>
            <w:tcW w:w="2023" w:type="dxa"/>
            <w:tcBorders>
              <w:top w:val="nil"/>
              <w:left w:val="single" w:sz="8" w:space="0" w:color="auto"/>
              <w:bottom w:val="single" w:sz="4" w:space="0" w:color="auto"/>
              <w:right w:val="single" w:sz="4" w:space="0" w:color="auto"/>
            </w:tcBorders>
            <w:noWrap/>
            <w:vAlign w:val="bottom"/>
            <w:hideMark/>
          </w:tcPr>
          <w:p w14:paraId="505FC80B"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 </w:t>
            </w:r>
          </w:p>
        </w:tc>
        <w:tc>
          <w:tcPr>
            <w:tcW w:w="1876" w:type="dxa"/>
            <w:tcBorders>
              <w:top w:val="nil"/>
              <w:left w:val="nil"/>
              <w:bottom w:val="single" w:sz="4" w:space="0" w:color="auto"/>
              <w:right w:val="single" w:sz="4" w:space="0" w:color="auto"/>
            </w:tcBorders>
            <w:noWrap/>
            <w:vAlign w:val="bottom"/>
            <w:hideMark/>
          </w:tcPr>
          <w:p w14:paraId="058A3840" w14:textId="77777777" w:rsidR="00747192" w:rsidRPr="00747192" w:rsidRDefault="00747192" w:rsidP="001854D3">
            <w:pPr>
              <w:spacing w:after="0"/>
              <w:jc w:val="center"/>
              <w:rPr>
                <w:rFonts w:cs="Arial"/>
                <w:b/>
                <w:bCs/>
                <w:color w:val="000000"/>
                <w:szCs w:val="24"/>
                <w:lang w:val="en-IN"/>
              </w:rPr>
            </w:pPr>
            <w:r w:rsidRPr="00747192">
              <w:rPr>
                <w:rFonts w:cs="Arial"/>
                <w:b/>
                <w:bCs/>
                <w:color w:val="000000"/>
                <w:szCs w:val="24"/>
                <w:lang w:val="en-IN"/>
              </w:rPr>
              <w:t> </w:t>
            </w:r>
          </w:p>
        </w:tc>
        <w:tc>
          <w:tcPr>
            <w:tcW w:w="2204" w:type="dxa"/>
            <w:tcBorders>
              <w:top w:val="nil"/>
              <w:left w:val="nil"/>
              <w:bottom w:val="single" w:sz="4" w:space="0" w:color="auto"/>
              <w:right w:val="single" w:sz="4" w:space="0" w:color="auto"/>
            </w:tcBorders>
            <w:noWrap/>
            <w:vAlign w:val="bottom"/>
            <w:hideMark/>
          </w:tcPr>
          <w:p w14:paraId="229C9218"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 </w:t>
            </w:r>
          </w:p>
        </w:tc>
        <w:tc>
          <w:tcPr>
            <w:tcW w:w="817" w:type="dxa"/>
            <w:tcBorders>
              <w:top w:val="nil"/>
              <w:left w:val="nil"/>
              <w:bottom w:val="single" w:sz="4" w:space="0" w:color="auto"/>
              <w:right w:val="single" w:sz="8" w:space="0" w:color="auto"/>
            </w:tcBorders>
            <w:noWrap/>
            <w:vAlign w:val="bottom"/>
            <w:hideMark/>
          </w:tcPr>
          <w:p w14:paraId="6B9D67F3" w14:textId="77777777" w:rsidR="00747192" w:rsidRPr="00747192" w:rsidRDefault="00747192" w:rsidP="001854D3">
            <w:pPr>
              <w:spacing w:after="0"/>
              <w:jc w:val="right"/>
              <w:rPr>
                <w:rFonts w:cs="Arial"/>
                <w:b/>
                <w:bCs/>
                <w:color w:val="000000"/>
                <w:szCs w:val="24"/>
                <w:lang w:val="en-IN"/>
              </w:rPr>
            </w:pPr>
            <w:r w:rsidRPr="00747192">
              <w:rPr>
                <w:rFonts w:cs="Arial"/>
                <w:b/>
                <w:bCs/>
                <w:color w:val="000000"/>
                <w:szCs w:val="24"/>
                <w:lang w:val="en-IN"/>
              </w:rPr>
              <w:t>32.81</w:t>
            </w:r>
          </w:p>
        </w:tc>
      </w:tr>
      <w:tr w:rsidR="00747192" w:rsidRPr="00747192" w14:paraId="1D09CF1B" w14:textId="77777777" w:rsidTr="00D34B4D">
        <w:trPr>
          <w:trHeight w:val="396"/>
          <w:jc w:val="center"/>
        </w:trPr>
        <w:tc>
          <w:tcPr>
            <w:tcW w:w="2023" w:type="dxa"/>
            <w:tcBorders>
              <w:top w:val="nil"/>
              <w:left w:val="single" w:sz="8" w:space="0" w:color="auto"/>
              <w:bottom w:val="single" w:sz="4" w:space="0" w:color="auto"/>
              <w:right w:val="single" w:sz="4" w:space="0" w:color="auto"/>
            </w:tcBorders>
            <w:noWrap/>
            <w:vAlign w:val="bottom"/>
            <w:hideMark/>
          </w:tcPr>
          <w:p w14:paraId="5D7E2C4B"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NPV</w:t>
            </w:r>
          </w:p>
        </w:tc>
        <w:tc>
          <w:tcPr>
            <w:tcW w:w="1876" w:type="dxa"/>
            <w:tcBorders>
              <w:top w:val="nil"/>
              <w:left w:val="nil"/>
              <w:bottom w:val="single" w:sz="4" w:space="0" w:color="auto"/>
              <w:right w:val="single" w:sz="4" w:space="0" w:color="auto"/>
            </w:tcBorders>
            <w:noWrap/>
            <w:vAlign w:val="bottom"/>
            <w:hideMark/>
          </w:tcPr>
          <w:p w14:paraId="4C761A81" w14:textId="77777777" w:rsidR="00747192" w:rsidRPr="00747192" w:rsidRDefault="00747192" w:rsidP="001854D3">
            <w:pPr>
              <w:spacing w:after="0"/>
              <w:jc w:val="right"/>
              <w:rPr>
                <w:rFonts w:cs="Arial"/>
                <w:b/>
                <w:bCs/>
                <w:color w:val="000000"/>
                <w:szCs w:val="24"/>
                <w:lang w:val="en-IN"/>
              </w:rPr>
            </w:pPr>
            <w:r w:rsidRPr="00747192">
              <w:rPr>
                <w:rFonts w:cs="Arial"/>
                <w:b/>
                <w:bCs/>
                <w:color w:val="000000"/>
                <w:szCs w:val="24"/>
                <w:lang w:val="en-IN"/>
              </w:rPr>
              <w:t>-7.19</w:t>
            </w:r>
          </w:p>
        </w:tc>
        <w:tc>
          <w:tcPr>
            <w:tcW w:w="2204" w:type="dxa"/>
            <w:tcBorders>
              <w:top w:val="nil"/>
              <w:left w:val="nil"/>
              <w:bottom w:val="single" w:sz="4" w:space="0" w:color="auto"/>
              <w:right w:val="single" w:sz="4" w:space="0" w:color="auto"/>
            </w:tcBorders>
            <w:noWrap/>
            <w:vAlign w:val="bottom"/>
            <w:hideMark/>
          </w:tcPr>
          <w:p w14:paraId="69E397DC"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 </w:t>
            </w:r>
          </w:p>
        </w:tc>
        <w:tc>
          <w:tcPr>
            <w:tcW w:w="817" w:type="dxa"/>
            <w:tcBorders>
              <w:top w:val="nil"/>
              <w:left w:val="nil"/>
              <w:bottom w:val="single" w:sz="4" w:space="0" w:color="auto"/>
              <w:right w:val="single" w:sz="8" w:space="0" w:color="auto"/>
            </w:tcBorders>
            <w:noWrap/>
            <w:vAlign w:val="bottom"/>
            <w:hideMark/>
          </w:tcPr>
          <w:p w14:paraId="5B45BA52"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 </w:t>
            </w:r>
          </w:p>
        </w:tc>
      </w:tr>
      <w:tr w:rsidR="00747192" w:rsidRPr="00747192" w14:paraId="5CFA333E" w14:textId="77777777" w:rsidTr="00D34B4D">
        <w:trPr>
          <w:trHeight w:val="396"/>
          <w:jc w:val="center"/>
        </w:trPr>
        <w:tc>
          <w:tcPr>
            <w:tcW w:w="2023" w:type="dxa"/>
            <w:tcBorders>
              <w:top w:val="nil"/>
              <w:left w:val="single" w:sz="8" w:space="0" w:color="auto"/>
              <w:bottom w:val="single" w:sz="4" w:space="0" w:color="auto"/>
              <w:right w:val="single" w:sz="4" w:space="0" w:color="auto"/>
            </w:tcBorders>
            <w:noWrap/>
            <w:vAlign w:val="bottom"/>
            <w:hideMark/>
          </w:tcPr>
          <w:p w14:paraId="1C5B0731"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Discount rate</w:t>
            </w:r>
          </w:p>
        </w:tc>
        <w:tc>
          <w:tcPr>
            <w:tcW w:w="1876" w:type="dxa"/>
            <w:tcBorders>
              <w:top w:val="nil"/>
              <w:left w:val="nil"/>
              <w:bottom w:val="single" w:sz="4" w:space="0" w:color="auto"/>
              <w:right w:val="single" w:sz="4" w:space="0" w:color="auto"/>
            </w:tcBorders>
            <w:noWrap/>
            <w:vAlign w:val="bottom"/>
            <w:hideMark/>
          </w:tcPr>
          <w:p w14:paraId="6B2FA81B"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10%</w:t>
            </w:r>
          </w:p>
        </w:tc>
        <w:tc>
          <w:tcPr>
            <w:tcW w:w="2204" w:type="dxa"/>
            <w:tcBorders>
              <w:top w:val="nil"/>
              <w:left w:val="nil"/>
              <w:bottom w:val="single" w:sz="4" w:space="0" w:color="auto"/>
              <w:right w:val="single" w:sz="4" w:space="0" w:color="auto"/>
            </w:tcBorders>
            <w:noWrap/>
            <w:vAlign w:val="bottom"/>
            <w:hideMark/>
          </w:tcPr>
          <w:p w14:paraId="1E5114B0"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20%</w:t>
            </w:r>
          </w:p>
        </w:tc>
        <w:tc>
          <w:tcPr>
            <w:tcW w:w="817" w:type="dxa"/>
            <w:tcBorders>
              <w:top w:val="nil"/>
              <w:left w:val="nil"/>
              <w:bottom w:val="nil"/>
              <w:right w:val="single" w:sz="8" w:space="0" w:color="auto"/>
            </w:tcBorders>
            <w:noWrap/>
            <w:vAlign w:val="bottom"/>
            <w:hideMark/>
          </w:tcPr>
          <w:p w14:paraId="27936799" w14:textId="77777777" w:rsidR="00747192" w:rsidRPr="00747192" w:rsidRDefault="00747192" w:rsidP="001854D3">
            <w:pPr>
              <w:spacing w:after="0"/>
              <w:jc w:val="left"/>
              <w:rPr>
                <w:rFonts w:cs="Arial"/>
                <w:color w:val="000000"/>
                <w:szCs w:val="24"/>
                <w:lang w:val="en-IN"/>
              </w:rPr>
            </w:pPr>
            <w:r w:rsidRPr="00747192">
              <w:rPr>
                <w:rFonts w:cs="Arial"/>
                <w:color w:val="000000"/>
                <w:szCs w:val="24"/>
                <w:lang w:val="en-IN"/>
              </w:rPr>
              <w:t> </w:t>
            </w:r>
          </w:p>
        </w:tc>
      </w:tr>
      <w:tr w:rsidR="00747192" w:rsidRPr="00747192" w14:paraId="7BD0D2F5" w14:textId="77777777" w:rsidTr="00D34B4D">
        <w:trPr>
          <w:trHeight w:val="396"/>
          <w:jc w:val="center"/>
        </w:trPr>
        <w:tc>
          <w:tcPr>
            <w:tcW w:w="2023" w:type="dxa"/>
            <w:tcBorders>
              <w:top w:val="nil"/>
              <w:left w:val="single" w:sz="8" w:space="0" w:color="auto"/>
              <w:bottom w:val="single" w:sz="4" w:space="0" w:color="auto"/>
              <w:right w:val="single" w:sz="4" w:space="0" w:color="auto"/>
            </w:tcBorders>
            <w:noWrap/>
            <w:vAlign w:val="bottom"/>
            <w:hideMark/>
          </w:tcPr>
          <w:p w14:paraId="058CC97D"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NPV</w:t>
            </w:r>
          </w:p>
        </w:tc>
        <w:tc>
          <w:tcPr>
            <w:tcW w:w="1876" w:type="dxa"/>
            <w:tcBorders>
              <w:top w:val="nil"/>
              <w:left w:val="nil"/>
              <w:bottom w:val="single" w:sz="4" w:space="0" w:color="auto"/>
              <w:right w:val="single" w:sz="4" w:space="0" w:color="auto"/>
            </w:tcBorders>
            <w:noWrap/>
            <w:vAlign w:val="bottom"/>
            <w:hideMark/>
          </w:tcPr>
          <w:p w14:paraId="051A6C79"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1.32</w:t>
            </w:r>
          </w:p>
        </w:tc>
        <w:tc>
          <w:tcPr>
            <w:tcW w:w="2204" w:type="dxa"/>
            <w:tcBorders>
              <w:top w:val="nil"/>
              <w:left w:val="nil"/>
              <w:bottom w:val="single" w:sz="4" w:space="0" w:color="auto"/>
              <w:right w:val="single" w:sz="4" w:space="0" w:color="auto"/>
            </w:tcBorders>
            <w:noWrap/>
            <w:vAlign w:val="bottom"/>
            <w:hideMark/>
          </w:tcPr>
          <w:p w14:paraId="61C009F0"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-7.19</w:t>
            </w:r>
          </w:p>
        </w:tc>
        <w:tc>
          <w:tcPr>
            <w:tcW w:w="817" w:type="dxa"/>
            <w:tcBorders>
              <w:top w:val="nil"/>
              <w:left w:val="nil"/>
              <w:bottom w:val="nil"/>
              <w:right w:val="single" w:sz="8" w:space="0" w:color="auto"/>
            </w:tcBorders>
            <w:noWrap/>
            <w:vAlign w:val="bottom"/>
            <w:hideMark/>
          </w:tcPr>
          <w:p w14:paraId="1F4A2DEE" w14:textId="77777777" w:rsidR="00747192" w:rsidRPr="00747192" w:rsidRDefault="00747192" w:rsidP="001854D3">
            <w:pPr>
              <w:spacing w:after="0"/>
              <w:jc w:val="left"/>
              <w:rPr>
                <w:rFonts w:cs="Arial"/>
                <w:color w:val="000000"/>
                <w:szCs w:val="24"/>
                <w:lang w:val="en-IN"/>
              </w:rPr>
            </w:pPr>
            <w:r w:rsidRPr="00747192">
              <w:rPr>
                <w:rFonts w:cs="Arial"/>
                <w:color w:val="000000"/>
                <w:szCs w:val="24"/>
                <w:lang w:val="en-IN"/>
              </w:rPr>
              <w:t> </w:t>
            </w:r>
          </w:p>
        </w:tc>
      </w:tr>
      <w:tr w:rsidR="00747192" w:rsidRPr="00747192" w14:paraId="50790FF1" w14:textId="77777777" w:rsidTr="00D34B4D">
        <w:trPr>
          <w:trHeight w:val="396"/>
          <w:jc w:val="center"/>
        </w:trPr>
        <w:tc>
          <w:tcPr>
            <w:tcW w:w="2023" w:type="dxa"/>
            <w:vMerge w:val="restart"/>
            <w:tcBorders>
              <w:top w:val="nil"/>
              <w:left w:val="single" w:sz="8" w:space="0" w:color="auto"/>
              <w:bottom w:val="single" w:sz="8" w:space="0" w:color="000000"/>
              <w:right w:val="single" w:sz="4" w:space="0" w:color="auto"/>
            </w:tcBorders>
            <w:noWrap/>
            <w:vAlign w:val="center"/>
            <w:hideMark/>
          </w:tcPr>
          <w:p w14:paraId="1539F67F" w14:textId="77777777" w:rsidR="00747192" w:rsidRPr="00747192" w:rsidRDefault="00747192" w:rsidP="001854D3">
            <w:pPr>
              <w:spacing w:after="0"/>
              <w:jc w:val="center"/>
              <w:rPr>
                <w:rFonts w:cs="Arial"/>
                <w:b/>
                <w:bCs/>
                <w:color w:val="000000"/>
                <w:szCs w:val="24"/>
                <w:lang w:val="en-IN"/>
              </w:rPr>
            </w:pPr>
            <w:r w:rsidRPr="00747192">
              <w:rPr>
                <w:rFonts w:cs="Arial"/>
                <w:b/>
                <w:bCs/>
                <w:color w:val="000000"/>
                <w:szCs w:val="24"/>
                <w:lang w:val="en-IN"/>
              </w:rPr>
              <w:t>IRR</w:t>
            </w:r>
          </w:p>
        </w:tc>
        <w:tc>
          <w:tcPr>
            <w:tcW w:w="1876" w:type="dxa"/>
            <w:tcBorders>
              <w:top w:val="nil"/>
              <w:left w:val="nil"/>
              <w:bottom w:val="single" w:sz="4" w:space="0" w:color="auto"/>
              <w:right w:val="single" w:sz="4" w:space="0" w:color="auto"/>
            </w:tcBorders>
            <w:noWrap/>
            <w:vAlign w:val="bottom"/>
            <w:hideMark/>
          </w:tcPr>
          <w:p w14:paraId="6BB2126B" w14:textId="77777777" w:rsidR="00747192" w:rsidRPr="00747192" w:rsidRDefault="00747192" w:rsidP="001854D3">
            <w:pPr>
              <w:spacing w:after="0"/>
              <w:jc w:val="right"/>
              <w:rPr>
                <w:rFonts w:cs="Arial"/>
                <w:color w:val="000000"/>
                <w:szCs w:val="24"/>
                <w:lang w:val="en-IN"/>
              </w:rPr>
            </w:pPr>
            <w:r w:rsidRPr="00747192">
              <w:rPr>
                <w:rFonts w:cs="Arial"/>
                <w:color w:val="000000"/>
                <w:szCs w:val="24"/>
                <w:lang w:val="en-IN"/>
              </w:rPr>
              <w:t>0.1155</w:t>
            </w:r>
          </w:p>
        </w:tc>
        <w:tc>
          <w:tcPr>
            <w:tcW w:w="2204" w:type="dxa"/>
            <w:tcBorders>
              <w:top w:val="nil"/>
              <w:left w:val="nil"/>
              <w:bottom w:val="nil"/>
              <w:right w:val="nil"/>
            </w:tcBorders>
            <w:noWrap/>
            <w:vAlign w:val="bottom"/>
            <w:hideMark/>
          </w:tcPr>
          <w:p w14:paraId="29797A20" w14:textId="77777777" w:rsidR="00747192" w:rsidRPr="00747192" w:rsidRDefault="00747192" w:rsidP="001854D3">
            <w:pPr>
              <w:spacing w:after="0"/>
              <w:jc w:val="right"/>
              <w:rPr>
                <w:rFonts w:cs="Arial"/>
                <w:color w:val="000000"/>
                <w:szCs w:val="24"/>
                <w:lang w:val="en-IN"/>
              </w:rPr>
            </w:pPr>
          </w:p>
        </w:tc>
        <w:tc>
          <w:tcPr>
            <w:tcW w:w="817" w:type="dxa"/>
            <w:tcBorders>
              <w:top w:val="nil"/>
              <w:left w:val="nil"/>
              <w:bottom w:val="nil"/>
              <w:right w:val="single" w:sz="8" w:space="0" w:color="auto"/>
            </w:tcBorders>
            <w:noWrap/>
            <w:vAlign w:val="bottom"/>
            <w:hideMark/>
          </w:tcPr>
          <w:p w14:paraId="344EDCCA" w14:textId="77777777" w:rsidR="00747192" w:rsidRPr="00747192" w:rsidRDefault="00747192" w:rsidP="001854D3">
            <w:pPr>
              <w:spacing w:after="0"/>
              <w:jc w:val="left"/>
              <w:rPr>
                <w:rFonts w:cs="Arial"/>
                <w:color w:val="000000"/>
                <w:szCs w:val="24"/>
                <w:lang w:val="en-IN"/>
              </w:rPr>
            </w:pPr>
            <w:r w:rsidRPr="00747192">
              <w:rPr>
                <w:rFonts w:cs="Arial"/>
                <w:color w:val="000000"/>
                <w:szCs w:val="24"/>
                <w:lang w:val="en-IN"/>
              </w:rPr>
              <w:t> </w:t>
            </w:r>
          </w:p>
        </w:tc>
      </w:tr>
      <w:tr w:rsidR="00747192" w:rsidRPr="00747192" w14:paraId="2C91C2E2" w14:textId="77777777" w:rsidTr="00D34B4D">
        <w:trPr>
          <w:trHeight w:val="396"/>
          <w:jc w:val="center"/>
        </w:trPr>
        <w:tc>
          <w:tcPr>
            <w:tcW w:w="2023" w:type="dxa"/>
            <w:vMerge/>
            <w:tcBorders>
              <w:top w:val="nil"/>
              <w:left w:val="single" w:sz="8" w:space="0" w:color="auto"/>
              <w:bottom w:val="single" w:sz="8" w:space="0" w:color="000000"/>
              <w:right w:val="single" w:sz="4" w:space="0" w:color="auto"/>
            </w:tcBorders>
            <w:vAlign w:val="center"/>
            <w:hideMark/>
          </w:tcPr>
          <w:p w14:paraId="4F65733B" w14:textId="77777777" w:rsidR="00747192" w:rsidRPr="00747192" w:rsidRDefault="00747192" w:rsidP="001854D3">
            <w:pPr>
              <w:spacing w:after="0"/>
              <w:jc w:val="left"/>
              <w:rPr>
                <w:rFonts w:cs="Arial"/>
                <w:b/>
                <w:bCs/>
                <w:color w:val="000000"/>
                <w:szCs w:val="24"/>
                <w:lang w:val="en-IN"/>
              </w:rPr>
            </w:pPr>
          </w:p>
        </w:tc>
        <w:tc>
          <w:tcPr>
            <w:tcW w:w="1876" w:type="dxa"/>
            <w:tcBorders>
              <w:top w:val="nil"/>
              <w:left w:val="nil"/>
              <w:bottom w:val="single" w:sz="8" w:space="0" w:color="auto"/>
              <w:right w:val="single" w:sz="4" w:space="0" w:color="auto"/>
            </w:tcBorders>
            <w:noWrap/>
            <w:vAlign w:val="bottom"/>
            <w:hideMark/>
          </w:tcPr>
          <w:p w14:paraId="020280BE" w14:textId="77777777" w:rsidR="00747192" w:rsidRPr="00747192" w:rsidRDefault="00747192" w:rsidP="001854D3">
            <w:pPr>
              <w:spacing w:after="0"/>
              <w:jc w:val="right"/>
              <w:rPr>
                <w:rFonts w:cs="Arial"/>
                <w:b/>
                <w:bCs/>
                <w:color w:val="000000"/>
                <w:szCs w:val="24"/>
                <w:lang w:val="en-IN"/>
              </w:rPr>
            </w:pPr>
            <w:r w:rsidRPr="00747192">
              <w:rPr>
                <w:rFonts w:cs="Arial"/>
                <w:b/>
                <w:bCs/>
                <w:color w:val="000000"/>
                <w:szCs w:val="24"/>
                <w:lang w:val="en-IN"/>
              </w:rPr>
              <w:t>11.55</w:t>
            </w:r>
          </w:p>
        </w:tc>
        <w:tc>
          <w:tcPr>
            <w:tcW w:w="2204" w:type="dxa"/>
            <w:tcBorders>
              <w:top w:val="single" w:sz="4" w:space="0" w:color="auto"/>
              <w:left w:val="nil"/>
              <w:bottom w:val="single" w:sz="8" w:space="0" w:color="auto"/>
              <w:right w:val="single" w:sz="8" w:space="0" w:color="auto"/>
            </w:tcBorders>
            <w:noWrap/>
            <w:vAlign w:val="bottom"/>
            <w:hideMark/>
          </w:tcPr>
          <w:p w14:paraId="3511B87D" w14:textId="77777777" w:rsidR="00747192" w:rsidRPr="00747192" w:rsidRDefault="00747192" w:rsidP="001854D3">
            <w:pPr>
              <w:spacing w:after="0"/>
              <w:jc w:val="left"/>
              <w:rPr>
                <w:rFonts w:cs="Arial"/>
                <w:b/>
                <w:bCs/>
                <w:color w:val="000000"/>
                <w:szCs w:val="24"/>
                <w:lang w:val="en-IN"/>
              </w:rPr>
            </w:pPr>
            <w:r w:rsidRPr="00747192">
              <w:rPr>
                <w:rFonts w:cs="Arial"/>
                <w:b/>
                <w:bCs/>
                <w:color w:val="000000"/>
                <w:szCs w:val="24"/>
                <w:lang w:val="en-IN"/>
              </w:rPr>
              <w:t xml:space="preserve">In percentage </w:t>
            </w:r>
          </w:p>
        </w:tc>
        <w:tc>
          <w:tcPr>
            <w:tcW w:w="817" w:type="dxa"/>
            <w:tcBorders>
              <w:top w:val="nil"/>
              <w:left w:val="nil"/>
              <w:bottom w:val="single" w:sz="8" w:space="0" w:color="auto"/>
              <w:right w:val="single" w:sz="8" w:space="0" w:color="auto"/>
            </w:tcBorders>
            <w:noWrap/>
            <w:vAlign w:val="bottom"/>
            <w:hideMark/>
          </w:tcPr>
          <w:p w14:paraId="03DF677C" w14:textId="77777777" w:rsidR="00747192" w:rsidRPr="00747192" w:rsidRDefault="00747192" w:rsidP="001854D3">
            <w:pPr>
              <w:spacing w:after="0"/>
              <w:jc w:val="left"/>
              <w:rPr>
                <w:rFonts w:cs="Arial"/>
                <w:color w:val="000000"/>
                <w:szCs w:val="24"/>
                <w:lang w:val="en-IN"/>
              </w:rPr>
            </w:pPr>
            <w:r w:rsidRPr="00747192">
              <w:rPr>
                <w:rFonts w:cs="Arial"/>
                <w:color w:val="000000"/>
                <w:szCs w:val="24"/>
                <w:lang w:val="en-IN"/>
              </w:rPr>
              <w:t> </w:t>
            </w:r>
          </w:p>
        </w:tc>
      </w:tr>
    </w:tbl>
    <w:p w14:paraId="6062EE1A" w14:textId="2ED4B36B" w:rsidR="00747192" w:rsidRPr="001854D3" w:rsidRDefault="00D34B4D" w:rsidP="00D13DB7">
      <w:pPr>
        <w:jc w:val="center"/>
        <w:rPr>
          <w:rFonts w:cs="Arial"/>
        </w:rPr>
      </w:pPr>
      <w:r w:rsidRPr="00D34B4D">
        <w:rPr>
          <w:rFonts w:cs="Arial"/>
        </w:rPr>
        <w:t>(Source: Refer to the Excel)</w:t>
      </w:r>
    </w:p>
    <w:p w14:paraId="20AA4406" w14:textId="7F2C0B45" w:rsidR="00747192" w:rsidRPr="001854D3" w:rsidRDefault="00747192" w:rsidP="001854D3">
      <w:pPr>
        <w:rPr>
          <w:rFonts w:cs="Arial"/>
          <w:b/>
          <w:bCs/>
          <w:i/>
          <w:iCs/>
          <w:szCs w:val="24"/>
        </w:rPr>
      </w:pPr>
      <w:r w:rsidRPr="001854D3">
        <w:rPr>
          <w:rFonts w:cs="Arial"/>
          <w:b/>
          <w:bCs/>
          <w:i/>
          <w:iCs/>
          <w:szCs w:val="24"/>
        </w:rPr>
        <w:t>Project B</w:t>
      </w:r>
    </w:p>
    <w:tbl>
      <w:tblPr>
        <w:tblW w:w="9827" w:type="dxa"/>
        <w:jc w:val="center"/>
        <w:tblLook w:val="04A0" w:firstRow="1" w:lastRow="0" w:firstColumn="1" w:lastColumn="0" w:noHBand="0" w:noVBand="1"/>
      </w:tblPr>
      <w:tblGrid>
        <w:gridCol w:w="5846"/>
        <w:gridCol w:w="1283"/>
        <w:gridCol w:w="2698"/>
      </w:tblGrid>
      <w:tr w:rsidR="00747192" w:rsidRPr="00747192" w14:paraId="43B2B5D4" w14:textId="77777777" w:rsidTr="00D34B4D">
        <w:trPr>
          <w:trHeight w:val="784"/>
          <w:jc w:val="center"/>
        </w:trPr>
        <w:tc>
          <w:tcPr>
            <w:tcW w:w="9827" w:type="dxa"/>
            <w:gridSpan w:val="3"/>
            <w:tcBorders>
              <w:top w:val="single" w:sz="8" w:space="0" w:color="auto"/>
              <w:left w:val="single" w:sz="8" w:space="0" w:color="auto"/>
              <w:bottom w:val="nil"/>
              <w:right w:val="single" w:sz="8" w:space="0" w:color="000000"/>
            </w:tcBorders>
            <w:noWrap/>
            <w:vAlign w:val="bottom"/>
            <w:hideMark/>
          </w:tcPr>
          <w:p w14:paraId="60AC0E70" w14:textId="77777777" w:rsidR="00747192" w:rsidRPr="00747192" w:rsidRDefault="00747192" w:rsidP="001854D3">
            <w:pPr>
              <w:spacing w:after="0"/>
              <w:jc w:val="center"/>
              <w:rPr>
                <w:rFonts w:cs="Arial"/>
                <w:b/>
                <w:bCs/>
                <w:color w:val="000000"/>
                <w:szCs w:val="24"/>
                <w:lang w:val="en-IN"/>
              </w:rPr>
            </w:pPr>
            <w:r w:rsidRPr="00747192">
              <w:rPr>
                <w:rFonts w:cs="Arial"/>
                <w:b/>
                <w:bCs/>
                <w:color w:val="000000"/>
                <w:szCs w:val="24"/>
                <w:lang w:val="en-IN"/>
              </w:rPr>
              <w:t>PBP</w:t>
            </w:r>
          </w:p>
        </w:tc>
      </w:tr>
      <w:tr w:rsidR="00747192" w:rsidRPr="00747192" w14:paraId="5B3CFCA1" w14:textId="77777777" w:rsidTr="00D34B4D">
        <w:trPr>
          <w:trHeight w:val="784"/>
          <w:jc w:val="center"/>
        </w:trPr>
        <w:tc>
          <w:tcPr>
            <w:tcW w:w="5846" w:type="dxa"/>
            <w:tcBorders>
              <w:top w:val="single" w:sz="4" w:space="0" w:color="auto"/>
              <w:left w:val="single" w:sz="8" w:space="0" w:color="auto"/>
              <w:bottom w:val="single" w:sz="4" w:space="0" w:color="auto"/>
              <w:right w:val="single" w:sz="4" w:space="0" w:color="auto"/>
            </w:tcBorders>
            <w:noWrap/>
            <w:vAlign w:val="bottom"/>
            <w:hideMark/>
          </w:tcPr>
          <w:p w14:paraId="39F6695F" w14:textId="77777777" w:rsidR="00747192" w:rsidRPr="00747192" w:rsidRDefault="00747192" w:rsidP="001854D3">
            <w:pPr>
              <w:spacing w:after="0"/>
              <w:jc w:val="center"/>
              <w:rPr>
                <w:rFonts w:cs="Arial"/>
                <w:b/>
                <w:bCs/>
                <w:color w:val="000000"/>
                <w:szCs w:val="24"/>
                <w:lang w:val="en-IN"/>
              </w:rPr>
            </w:pPr>
            <w:r w:rsidRPr="00747192">
              <w:rPr>
                <w:rFonts w:cs="Arial"/>
                <w:b/>
                <w:bCs/>
                <w:color w:val="000000"/>
                <w:szCs w:val="24"/>
                <w:lang w:val="en-IN"/>
              </w:rPr>
              <w:t>Year</w:t>
            </w:r>
          </w:p>
        </w:tc>
        <w:tc>
          <w:tcPr>
            <w:tcW w:w="1283" w:type="dxa"/>
            <w:tcBorders>
              <w:top w:val="single" w:sz="4" w:space="0" w:color="auto"/>
              <w:left w:val="nil"/>
              <w:bottom w:val="single" w:sz="4" w:space="0" w:color="auto"/>
              <w:right w:val="single" w:sz="4" w:space="0" w:color="auto"/>
            </w:tcBorders>
            <w:noWrap/>
            <w:vAlign w:val="bottom"/>
            <w:hideMark/>
          </w:tcPr>
          <w:p w14:paraId="3D3535CE" w14:textId="69ACAC97" w:rsidR="00747192" w:rsidRPr="00747192" w:rsidRDefault="00747192" w:rsidP="001854D3">
            <w:pPr>
              <w:spacing w:after="0"/>
              <w:jc w:val="center"/>
              <w:rPr>
                <w:rFonts w:cs="Arial"/>
                <w:b/>
                <w:bCs/>
                <w:color w:val="000000"/>
                <w:szCs w:val="24"/>
                <w:lang w:val="en-IN"/>
              </w:rPr>
            </w:pPr>
            <w:r w:rsidRPr="00747192">
              <w:rPr>
                <w:rFonts w:cs="Arial"/>
                <w:b/>
                <w:bCs/>
                <w:color w:val="000000"/>
                <w:szCs w:val="24"/>
                <w:lang w:val="en-IN"/>
              </w:rPr>
              <w:t>Cashflow</w:t>
            </w:r>
          </w:p>
        </w:tc>
        <w:tc>
          <w:tcPr>
            <w:tcW w:w="2698" w:type="dxa"/>
            <w:tcBorders>
              <w:top w:val="single" w:sz="4" w:space="0" w:color="auto"/>
              <w:left w:val="nil"/>
              <w:bottom w:val="single" w:sz="4" w:space="0" w:color="auto"/>
              <w:right w:val="single" w:sz="8" w:space="0" w:color="auto"/>
            </w:tcBorders>
            <w:noWrap/>
            <w:vAlign w:val="bottom"/>
            <w:hideMark/>
          </w:tcPr>
          <w:p w14:paraId="3D5E06F0" w14:textId="77777777" w:rsidR="00747192" w:rsidRPr="00747192" w:rsidRDefault="00747192" w:rsidP="001854D3">
            <w:pPr>
              <w:spacing w:after="0"/>
              <w:jc w:val="center"/>
              <w:rPr>
                <w:rFonts w:cs="Arial"/>
                <w:b/>
                <w:bCs/>
                <w:color w:val="000000"/>
                <w:szCs w:val="24"/>
                <w:lang w:val="en-IN"/>
              </w:rPr>
            </w:pPr>
            <w:r w:rsidRPr="00747192">
              <w:rPr>
                <w:rFonts w:cs="Arial"/>
                <w:b/>
                <w:bCs/>
                <w:color w:val="000000"/>
                <w:szCs w:val="24"/>
                <w:lang w:val="en-IN"/>
              </w:rPr>
              <w:t>Cumulative Cashflow</w:t>
            </w:r>
          </w:p>
        </w:tc>
      </w:tr>
      <w:tr w:rsidR="00747192" w:rsidRPr="00747192" w14:paraId="6001689A" w14:textId="77777777" w:rsidTr="00D34B4D">
        <w:trPr>
          <w:trHeight w:val="784"/>
          <w:jc w:val="center"/>
        </w:trPr>
        <w:tc>
          <w:tcPr>
            <w:tcW w:w="5846" w:type="dxa"/>
            <w:tcBorders>
              <w:top w:val="nil"/>
              <w:left w:val="single" w:sz="8" w:space="0" w:color="auto"/>
              <w:bottom w:val="single" w:sz="4" w:space="0" w:color="auto"/>
              <w:right w:val="single" w:sz="4" w:space="0" w:color="auto"/>
            </w:tcBorders>
            <w:noWrap/>
            <w:vAlign w:val="bottom"/>
            <w:hideMark/>
          </w:tcPr>
          <w:p w14:paraId="4DB4855A"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1</w:t>
            </w:r>
          </w:p>
        </w:tc>
        <w:tc>
          <w:tcPr>
            <w:tcW w:w="1283" w:type="dxa"/>
            <w:tcBorders>
              <w:top w:val="nil"/>
              <w:left w:val="nil"/>
              <w:bottom w:val="single" w:sz="4" w:space="0" w:color="auto"/>
              <w:right w:val="single" w:sz="4" w:space="0" w:color="auto"/>
            </w:tcBorders>
            <w:noWrap/>
            <w:vAlign w:val="bottom"/>
            <w:hideMark/>
          </w:tcPr>
          <w:p w14:paraId="216CB7DF"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6</w:t>
            </w:r>
          </w:p>
        </w:tc>
        <w:tc>
          <w:tcPr>
            <w:tcW w:w="2698" w:type="dxa"/>
            <w:tcBorders>
              <w:top w:val="nil"/>
              <w:left w:val="nil"/>
              <w:bottom w:val="single" w:sz="4" w:space="0" w:color="auto"/>
              <w:right w:val="single" w:sz="8" w:space="0" w:color="auto"/>
            </w:tcBorders>
            <w:noWrap/>
            <w:vAlign w:val="bottom"/>
            <w:hideMark/>
          </w:tcPr>
          <w:p w14:paraId="62D6A83F"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6</w:t>
            </w:r>
          </w:p>
        </w:tc>
      </w:tr>
      <w:tr w:rsidR="00747192" w:rsidRPr="00747192" w14:paraId="3D67564C" w14:textId="77777777" w:rsidTr="00D34B4D">
        <w:trPr>
          <w:trHeight w:val="784"/>
          <w:jc w:val="center"/>
        </w:trPr>
        <w:tc>
          <w:tcPr>
            <w:tcW w:w="5846" w:type="dxa"/>
            <w:tcBorders>
              <w:top w:val="nil"/>
              <w:left w:val="single" w:sz="8" w:space="0" w:color="auto"/>
              <w:bottom w:val="single" w:sz="4" w:space="0" w:color="auto"/>
              <w:right w:val="single" w:sz="4" w:space="0" w:color="auto"/>
            </w:tcBorders>
            <w:noWrap/>
            <w:vAlign w:val="bottom"/>
            <w:hideMark/>
          </w:tcPr>
          <w:p w14:paraId="3116D57B"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2</w:t>
            </w:r>
          </w:p>
        </w:tc>
        <w:tc>
          <w:tcPr>
            <w:tcW w:w="1283" w:type="dxa"/>
            <w:tcBorders>
              <w:top w:val="nil"/>
              <w:left w:val="nil"/>
              <w:bottom w:val="single" w:sz="4" w:space="0" w:color="auto"/>
              <w:right w:val="single" w:sz="4" w:space="0" w:color="auto"/>
            </w:tcBorders>
            <w:noWrap/>
            <w:vAlign w:val="bottom"/>
            <w:hideMark/>
          </w:tcPr>
          <w:p w14:paraId="54089AFC"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6</w:t>
            </w:r>
          </w:p>
        </w:tc>
        <w:tc>
          <w:tcPr>
            <w:tcW w:w="2698" w:type="dxa"/>
            <w:tcBorders>
              <w:top w:val="nil"/>
              <w:left w:val="nil"/>
              <w:bottom w:val="single" w:sz="4" w:space="0" w:color="auto"/>
              <w:right w:val="single" w:sz="8" w:space="0" w:color="auto"/>
            </w:tcBorders>
            <w:noWrap/>
            <w:vAlign w:val="bottom"/>
            <w:hideMark/>
          </w:tcPr>
          <w:p w14:paraId="692EA470"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12</w:t>
            </w:r>
          </w:p>
        </w:tc>
      </w:tr>
      <w:tr w:rsidR="00747192" w:rsidRPr="00747192" w14:paraId="7F4CD85D" w14:textId="77777777" w:rsidTr="00D34B4D">
        <w:trPr>
          <w:trHeight w:val="784"/>
          <w:jc w:val="center"/>
        </w:trPr>
        <w:tc>
          <w:tcPr>
            <w:tcW w:w="5846" w:type="dxa"/>
            <w:tcBorders>
              <w:top w:val="nil"/>
              <w:left w:val="single" w:sz="8" w:space="0" w:color="auto"/>
              <w:bottom w:val="single" w:sz="4" w:space="0" w:color="auto"/>
              <w:right w:val="single" w:sz="4" w:space="0" w:color="auto"/>
            </w:tcBorders>
            <w:noWrap/>
            <w:vAlign w:val="bottom"/>
            <w:hideMark/>
          </w:tcPr>
          <w:p w14:paraId="406673E2"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3</w:t>
            </w:r>
          </w:p>
        </w:tc>
        <w:tc>
          <w:tcPr>
            <w:tcW w:w="1283" w:type="dxa"/>
            <w:tcBorders>
              <w:top w:val="nil"/>
              <w:left w:val="nil"/>
              <w:bottom w:val="single" w:sz="4" w:space="0" w:color="auto"/>
              <w:right w:val="single" w:sz="4" w:space="0" w:color="auto"/>
            </w:tcBorders>
            <w:noWrap/>
            <w:vAlign w:val="bottom"/>
            <w:hideMark/>
          </w:tcPr>
          <w:p w14:paraId="35786983"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6</w:t>
            </w:r>
          </w:p>
        </w:tc>
        <w:tc>
          <w:tcPr>
            <w:tcW w:w="2698" w:type="dxa"/>
            <w:tcBorders>
              <w:top w:val="nil"/>
              <w:left w:val="nil"/>
              <w:bottom w:val="single" w:sz="4" w:space="0" w:color="auto"/>
              <w:right w:val="single" w:sz="8" w:space="0" w:color="auto"/>
            </w:tcBorders>
            <w:noWrap/>
            <w:vAlign w:val="bottom"/>
            <w:hideMark/>
          </w:tcPr>
          <w:p w14:paraId="67749A35"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18</w:t>
            </w:r>
          </w:p>
        </w:tc>
      </w:tr>
      <w:tr w:rsidR="00747192" w:rsidRPr="00747192" w14:paraId="264E6564" w14:textId="77777777" w:rsidTr="00D34B4D">
        <w:trPr>
          <w:trHeight w:val="784"/>
          <w:jc w:val="center"/>
        </w:trPr>
        <w:tc>
          <w:tcPr>
            <w:tcW w:w="5846" w:type="dxa"/>
            <w:tcBorders>
              <w:top w:val="nil"/>
              <w:left w:val="single" w:sz="8" w:space="0" w:color="auto"/>
              <w:bottom w:val="single" w:sz="4" w:space="0" w:color="auto"/>
              <w:right w:val="single" w:sz="4" w:space="0" w:color="auto"/>
            </w:tcBorders>
            <w:noWrap/>
            <w:vAlign w:val="bottom"/>
            <w:hideMark/>
          </w:tcPr>
          <w:p w14:paraId="42156451"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4</w:t>
            </w:r>
          </w:p>
        </w:tc>
        <w:tc>
          <w:tcPr>
            <w:tcW w:w="1283" w:type="dxa"/>
            <w:tcBorders>
              <w:top w:val="nil"/>
              <w:left w:val="nil"/>
              <w:bottom w:val="single" w:sz="4" w:space="0" w:color="auto"/>
              <w:right w:val="single" w:sz="4" w:space="0" w:color="auto"/>
            </w:tcBorders>
            <w:noWrap/>
            <w:vAlign w:val="bottom"/>
            <w:hideMark/>
          </w:tcPr>
          <w:p w14:paraId="49B64D12"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6</w:t>
            </w:r>
          </w:p>
        </w:tc>
        <w:tc>
          <w:tcPr>
            <w:tcW w:w="2698" w:type="dxa"/>
            <w:tcBorders>
              <w:top w:val="nil"/>
              <w:left w:val="nil"/>
              <w:bottom w:val="single" w:sz="4" w:space="0" w:color="auto"/>
              <w:right w:val="single" w:sz="8" w:space="0" w:color="auto"/>
            </w:tcBorders>
            <w:noWrap/>
            <w:vAlign w:val="bottom"/>
            <w:hideMark/>
          </w:tcPr>
          <w:p w14:paraId="71B7769D"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24</w:t>
            </w:r>
          </w:p>
        </w:tc>
      </w:tr>
      <w:tr w:rsidR="00747192" w:rsidRPr="00747192" w14:paraId="7FBE7F70" w14:textId="77777777" w:rsidTr="00D34B4D">
        <w:trPr>
          <w:trHeight w:val="784"/>
          <w:jc w:val="center"/>
        </w:trPr>
        <w:tc>
          <w:tcPr>
            <w:tcW w:w="5846" w:type="dxa"/>
            <w:tcBorders>
              <w:top w:val="nil"/>
              <w:left w:val="single" w:sz="8" w:space="0" w:color="auto"/>
              <w:bottom w:val="single" w:sz="4" w:space="0" w:color="auto"/>
              <w:right w:val="single" w:sz="4" w:space="0" w:color="auto"/>
            </w:tcBorders>
            <w:noWrap/>
            <w:vAlign w:val="bottom"/>
            <w:hideMark/>
          </w:tcPr>
          <w:p w14:paraId="289466A6"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5</w:t>
            </w:r>
          </w:p>
        </w:tc>
        <w:tc>
          <w:tcPr>
            <w:tcW w:w="1283" w:type="dxa"/>
            <w:tcBorders>
              <w:top w:val="nil"/>
              <w:left w:val="nil"/>
              <w:bottom w:val="single" w:sz="4" w:space="0" w:color="auto"/>
              <w:right w:val="single" w:sz="4" w:space="0" w:color="auto"/>
            </w:tcBorders>
            <w:noWrap/>
            <w:vAlign w:val="bottom"/>
            <w:hideMark/>
          </w:tcPr>
          <w:p w14:paraId="6032C66B"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6</w:t>
            </w:r>
          </w:p>
        </w:tc>
        <w:tc>
          <w:tcPr>
            <w:tcW w:w="2698" w:type="dxa"/>
            <w:tcBorders>
              <w:top w:val="nil"/>
              <w:left w:val="nil"/>
              <w:bottom w:val="single" w:sz="4" w:space="0" w:color="auto"/>
              <w:right w:val="single" w:sz="8" w:space="0" w:color="auto"/>
            </w:tcBorders>
            <w:noWrap/>
            <w:vAlign w:val="bottom"/>
            <w:hideMark/>
          </w:tcPr>
          <w:p w14:paraId="16F2E817"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30</w:t>
            </w:r>
          </w:p>
        </w:tc>
      </w:tr>
      <w:tr w:rsidR="00747192" w:rsidRPr="00747192" w14:paraId="2A08CA33" w14:textId="77777777" w:rsidTr="00D34B4D">
        <w:trPr>
          <w:trHeight w:val="784"/>
          <w:jc w:val="center"/>
        </w:trPr>
        <w:tc>
          <w:tcPr>
            <w:tcW w:w="5846" w:type="dxa"/>
            <w:tcBorders>
              <w:top w:val="nil"/>
              <w:left w:val="single" w:sz="8" w:space="0" w:color="auto"/>
              <w:bottom w:val="single" w:sz="4" w:space="0" w:color="auto"/>
              <w:right w:val="single" w:sz="4" w:space="0" w:color="auto"/>
            </w:tcBorders>
            <w:noWrap/>
            <w:vAlign w:val="bottom"/>
            <w:hideMark/>
          </w:tcPr>
          <w:p w14:paraId="4A2BD7A9" w14:textId="77777777" w:rsidR="00747192" w:rsidRPr="00747192" w:rsidRDefault="00747192" w:rsidP="001854D3">
            <w:pPr>
              <w:spacing w:after="0"/>
              <w:jc w:val="center"/>
              <w:rPr>
                <w:rFonts w:cs="Arial"/>
                <w:b/>
                <w:bCs/>
                <w:color w:val="000000"/>
                <w:szCs w:val="24"/>
                <w:lang w:val="en-IN"/>
              </w:rPr>
            </w:pPr>
            <w:r w:rsidRPr="00747192">
              <w:rPr>
                <w:rFonts w:cs="Arial"/>
                <w:b/>
                <w:bCs/>
                <w:color w:val="000000"/>
                <w:szCs w:val="24"/>
                <w:lang w:val="en-IN"/>
              </w:rPr>
              <w:t>Investment to recover</w:t>
            </w:r>
          </w:p>
        </w:tc>
        <w:tc>
          <w:tcPr>
            <w:tcW w:w="1283" w:type="dxa"/>
            <w:tcBorders>
              <w:top w:val="nil"/>
              <w:left w:val="nil"/>
              <w:bottom w:val="single" w:sz="4" w:space="0" w:color="auto"/>
              <w:right w:val="single" w:sz="4" w:space="0" w:color="auto"/>
            </w:tcBorders>
            <w:noWrap/>
            <w:vAlign w:val="bottom"/>
            <w:hideMark/>
          </w:tcPr>
          <w:p w14:paraId="0EFD3E7F"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30</w:t>
            </w:r>
          </w:p>
        </w:tc>
        <w:tc>
          <w:tcPr>
            <w:tcW w:w="2698" w:type="dxa"/>
            <w:tcBorders>
              <w:top w:val="nil"/>
              <w:left w:val="nil"/>
              <w:bottom w:val="nil"/>
              <w:right w:val="single" w:sz="8" w:space="0" w:color="auto"/>
            </w:tcBorders>
            <w:noWrap/>
            <w:vAlign w:val="bottom"/>
            <w:hideMark/>
          </w:tcPr>
          <w:p w14:paraId="24534848" w14:textId="206608FB" w:rsidR="00747192" w:rsidRPr="00747192" w:rsidRDefault="00747192" w:rsidP="001854D3">
            <w:pPr>
              <w:spacing w:after="0"/>
              <w:jc w:val="center"/>
              <w:rPr>
                <w:rFonts w:cs="Arial"/>
                <w:color w:val="000000"/>
                <w:szCs w:val="24"/>
                <w:lang w:val="en-IN"/>
              </w:rPr>
            </w:pPr>
          </w:p>
        </w:tc>
      </w:tr>
      <w:tr w:rsidR="00747192" w:rsidRPr="00747192" w14:paraId="43E24207" w14:textId="77777777" w:rsidTr="00D34B4D">
        <w:trPr>
          <w:trHeight w:val="784"/>
          <w:jc w:val="center"/>
        </w:trPr>
        <w:tc>
          <w:tcPr>
            <w:tcW w:w="5846" w:type="dxa"/>
            <w:tcBorders>
              <w:top w:val="nil"/>
              <w:left w:val="single" w:sz="8" w:space="0" w:color="auto"/>
              <w:bottom w:val="single" w:sz="4" w:space="0" w:color="auto"/>
              <w:right w:val="single" w:sz="4" w:space="0" w:color="auto"/>
            </w:tcBorders>
            <w:noWrap/>
            <w:vAlign w:val="bottom"/>
            <w:hideMark/>
          </w:tcPr>
          <w:p w14:paraId="2E41CA6A" w14:textId="1D5FD50B" w:rsidR="00747192" w:rsidRPr="00747192" w:rsidRDefault="00747192" w:rsidP="001854D3">
            <w:pPr>
              <w:spacing w:after="0"/>
              <w:jc w:val="center"/>
              <w:rPr>
                <w:rFonts w:cs="Arial"/>
                <w:b/>
                <w:bCs/>
                <w:color w:val="000000"/>
                <w:szCs w:val="24"/>
                <w:lang w:val="en-IN"/>
              </w:rPr>
            </w:pPr>
            <w:r w:rsidRPr="00747192">
              <w:rPr>
                <w:rFonts w:cs="Arial"/>
                <w:b/>
                <w:bCs/>
                <w:color w:val="000000"/>
                <w:szCs w:val="24"/>
                <w:lang w:val="en-IN"/>
              </w:rPr>
              <w:t xml:space="preserve">In the 5th year, the </w:t>
            </w:r>
            <w:r w:rsidRPr="001854D3">
              <w:rPr>
                <w:rFonts w:cs="Arial"/>
                <w:b/>
                <w:bCs/>
                <w:color w:val="000000"/>
                <w:szCs w:val="24"/>
                <w:lang w:val="en-IN"/>
              </w:rPr>
              <w:t>investment fully</w:t>
            </w:r>
            <w:r w:rsidRPr="00747192">
              <w:rPr>
                <w:rFonts w:cs="Arial"/>
                <w:b/>
                <w:bCs/>
                <w:color w:val="000000"/>
                <w:szCs w:val="24"/>
                <w:lang w:val="en-IN"/>
              </w:rPr>
              <w:t xml:space="preserve"> recovered</w:t>
            </w:r>
          </w:p>
        </w:tc>
        <w:tc>
          <w:tcPr>
            <w:tcW w:w="1283" w:type="dxa"/>
            <w:tcBorders>
              <w:top w:val="nil"/>
              <w:left w:val="nil"/>
              <w:bottom w:val="single" w:sz="4" w:space="0" w:color="auto"/>
              <w:right w:val="single" w:sz="4" w:space="0" w:color="auto"/>
            </w:tcBorders>
            <w:noWrap/>
            <w:vAlign w:val="bottom"/>
            <w:hideMark/>
          </w:tcPr>
          <w:p w14:paraId="2CFF0DB7" w14:textId="05733CC9" w:rsidR="00747192" w:rsidRPr="00747192" w:rsidRDefault="00747192" w:rsidP="001854D3">
            <w:pPr>
              <w:spacing w:after="0"/>
              <w:jc w:val="center"/>
              <w:rPr>
                <w:rFonts w:cs="Arial"/>
                <w:color w:val="000000"/>
                <w:szCs w:val="24"/>
                <w:lang w:val="en-IN"/>
              </w:rPr>
            </w:pPr>
          </w:p>
        </w:tc>
        <w:tc>
          <w:tcPr>
            <w:tcW w:w="2698" w:type="dxa"/>
            <w:tcBorders>
              <w:top w:val="nil"/>
              <w:left w:val="nil"/>
              <w:bottom w:val="nil"/>
              <w:right w:val="single" w:sz="8" w:space="0" w:color="auto"/>
            </w:tcBorders>
            <w:noWrap/>
            <w:vAlign w:val="bottom"/>
            <w:hideMark/>
          </w:tcPr>
          <w:p w14:paraId="4FBDEAB7" w14:textId="30EF95F4" w:rsidR="00747192" w:rsidRPr="00747192" w:rsidRDefault="00747192" w:rsidP="001854D3">
            <w:pPr>
              <w:spacing w:after="0"/>
              <w:jc w:val="center"/>
              <w:rPr>
                <w:rFonts w:cs="Arial"/>
                <w:color w:val="000000"/>
                <w:szCs w:val="24"/>
                <w:lang w:val="en-IN"/>
              </w:rPr>
            </w:pPr>
          </w:p>
        </w:tc>
      </w:tr>
      <w:tr w:rsidR="00747192" w:rsidRPr="00747192" w14:paraId="4DA3ACA6" w14:textId="77777777" w:rsidTr="00D34B4D">
        <w:trPr>
          <w:trHeight w:val="784"/>
          <w:jc w:val="center"/>
        </w:trPr>
        <w:tc>
          <w:tcPr>
            <w:tcW w:w="5846" w:type="dxa"/>
            <w:tcBorders>
              <w:top w:val="nil"/>
              <w:left w:val="single" w:sz="8" w:space="0" w:color="auto"/>
              <w:bottom w:val="single" w:sz="8" w:space="0" w:color="auto"/>
              <w:right w:val="single" w:sz="4" w:space="0" w:color="auto"/>
            </w:tcBorders>
            <w:noWrap/>
            <w:vAlign w:val="bottom"/>
            <w:hideMark/>
          </w:tcPr>
          <w:p w14:paraId="5A0BCE53" w14:textId="77777777" w:rsidR="00747192" w:rsidRPr="00747192" w:rsidRDefault="00747192" w:rsidP="001854D3">
            <w:pPr>
              <w:spacing w:after="0"/>
              <w:jc w:val="center"/>
              <w:rPr>
                <w:rFonts w:cs="Arial"/>
                <w:b/>
                <w:bCs/>
                <w:color w:val="000000"/>
                <w:szCs w:val="24"/>
                <w:lang w:val="en-IN"/>
              </w:rPr>
            </w:pPr>
            <w:r w:rsidRPr="00747192">
              <w:rPr>
                <w:rFonts w:cs="Arial"/>
                <w:b/>
                <w:bCs/>
                <w:color w:val="000000"/>
                <w:szCs w:val="24"/>
                <w:lang w:val="en-IN"/>
              </w:rPr>
              <w:t>PBP</w:t>
            </w:r>
          </w:p>
        </w:tc>
        <w:tc>
          <w:tcPr>
            <w:tcW w:w="1283" w:type="dxa"/>
            <w:tcBorders>
              <w:top w:val="nil"/>
              <w:left w:val="nil"/>
              <w:bottom w:val="single" w:sz="8" w:space="0" w:color="auto"/>
              <w:right w:val="single" w:sz="4" w:space="0" w:color="auto"/>
            </w:tcBorders>
            <w:noWrap/>
            <w:vAlign w:val="bottom"/>
            <w:hideMark/>
          </w:tcPr>
          <w:p w14:paraId="11F72072" w14:textId="77777777" w:rsidR="00747192" w:rsidRPr="00747192" w:rsidRDefault="00747192" w:rsidP="001854D3">
            <w:pPr>
              <w:spacing w:after="0"/>
              <w:jc w:val="center"/>
              <w:rPr>
                <w:rFonts w:cs="Arial"/>
                <w:color w:val="000000"/>
                <w:szCs w:val="24"/>
                <w:lang w:val="en-IN"/>
              </w:rPr>
            </w:pPr>
            <w:r w:rsidRPr="00747192">
              <w:rPr>
                <w:rFonts w:cs="Arial"/>
                <w:color w:val="000000"/>
                <w:szCs w:val="24"/>
                <w:lang w:val="en-IN"/>
              </w:rPr>
              <w:t>5</w:t>
            </w:r>
          </w:p>
        </w:tc>
        <w:tc>
          <w:tcPr>
            <w:tcW w:w="2698" w:type="dxa"/>
            <w:tcBorders>
              <w:top w:val="nil"/>
              <w:left w:val="nil"/>
              <w:bottom w:val="single" w:sz="8" w:space="0" w:color="auto"/>
              <w:right w:val="single" w:sz="8" w:space="0" w:color="auto"/>
            </w:tcBorders>
            <w:noWrap/>
            <w:vAlign w:val="bottom"/>
            <w:hideMark/>
          </w:tcPr>
          <w:p w14:paraId="50A4642B" w14:textId="72588E8D" w:rsidR="00747192" w:rsidRPr="00747192" w:rsidRDefault="00747192" w:rsidP="001854D3">
            <w:pPr>
              <w:spacing w:after="0"/>
              <w:jc w:val="center"/>
              <w:rPr>
                <w:rFonts w:cs="Arial"/>
                <w:color w:val="000000"/>
                <w:szCs w:val="24"/>
                <w:lang w:val="en-IN"/>
              </w:rPr>
            </w:pPr>
          </w:p>
        </w:tc>
      </w:tr>
    </w:tbl>
    <w:p w14:paraId="3514FF7C" w14:textId="30F3DB66" w:rsidR="00747192" w:rsidRPr="00D13DB7" w:rsidRDefault="00D34B4D" w:rsidP="00D13DB7">
      <w:pPr>
        <w:jc w:val="center"/>
        <w:rPr>
          <w:rFonts w:cs="Arial"/>
        </w:rPr>
      </w:pPr>
      <w:r w:rsidRPr="00D34B4D">
        <w:rPr>
          <w:rFonts w:cs="Arial"/>
        </w:rPr>
        <w:t>(Source: Refer to the Excel)</w:t>
      </w:r>
    </w:p>
    <w:tbl>
      <w:tblPr>
        <w:tblW w:w="8800" w:type="dxa"/>
        <w:jc w:val="center"/>
        <w:tblLook w:val="04A0" w:firstRow="1" w:lastRow="0" w:firstColumn="1" w:lastColumn="0" w:noHBand="0" w:noVBand="1"/>
      </w:tblPr>
      <w:tblGrid>
        <w:gridCol w:w="3247"/>
        <w:gridCol w:w="3517"/>
        <w:gridCol w:w="2036"/>
      </w:tblGrid>
      <w:tr w:rsidR="001854D3" w:rsidRPr="001854D3" w14:paraId="567DEF49" w14:textId="77777777" w:rsidTr="001854D3">
        <w:trPr>
          <w:trHeight w:val="396"/>
          <w:jc w:val="center"/>
        </w:trPr>
        <w:tc>
          <w:tcPr>
            <w:tcW w:w="8800" w:type="dxa"/>
            <w:gridSpan w:val="3"/>
            <w:tcBorders>
              <w:top w:val="single" w:sz="8" w:space="0" w:color="auto"/>
              <w:left w:val="single" w:sz="8" w:space="0" w:color="auto"/>
              <w:bottom w:val="nil"/>
              <w:right w:val="single" w:sz="8" w:space="0" w:color="000000"/>
            </w:tcBorders>
            <w:noWrap/>
            <w:vAlign w:val="bottom"/>
            <w:hideMark/>
          </w:tcPr>
          <w:p w14:paraId="7A56295E" w14:textId="77777777" w:rsidR="001854D3" w:rsidRPr="001854D3" w:rsidRDefault="001854D3" w:rsidP="001854D3">
            <w:pPr>
              <w:spacing w:after="0"/>
              <w:jc w:val="center"/>
              <w:rPr>
                <w:rFonts w:cs="Arial"/>
                <w:b/>
                <w:bCs/>
                <w:color w:val="000000"/>
                <w:szCs w:val="24"/>
                <w:lang w:val="en-IN"/>
              </w:rPr>
            </w:pPr>
            <w:r w:rsidRPr="001854D3">
              <w:rPr>
                <w:rFonts w:cs="Arial"/>
                <w:b/>
                <w:bCs/>
                <w:color w:val="000000"/>
                <w:szCs w:val="24"/>
                <w:lang w:val="en-IN"/>
              </w:rPr>
              <w:lastRenderedPageBreak/>
              <w:t>ARR</w:t>
            </w:r>
          </w:p>
        </w:tc>
      </w:tr>
      <w:tr w:rsidR="001854D3" w:rsidRPr="001854D3" w14:paraId="5100E72C" w14:textId="77777777" w:rsidTr="001854D3">
        <w:trPr>
          <w:trHeight w:val="396"/>
          <w:jc w:val="center"/>
        </w:trPr>
        <w:tc>
          <w:tcPr>
            <w:tcW w:w="3247" w:type="dxa"/>
            <w:tcBorders>
              <w:top w:val="single" w:sz="4" w:space="0" w:color="auto"/>
              <w:left w:val="single" w:sz="8" w:space="0" w:color="auto"/>
              <w:bottom w:val="single" w:sz="4" w:space="0" w:color="auto"/>
              <w:right w:val="single" w:sz="4" w:space="0" w:color="auto"/>
            </w:tcBorders>
            <w:noWrap/>
            <w:vAlign w:val="bottom"/>
            <w:hideMark/>
          </w:tcPr>
          <w:p w14:paraId="3851B257"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depreciation</w:t>
            </w:r>
          </w:p>
        </w:tc>
        <w:tc>
          <w:tcPr>
            <w:tcW w:w="3517" w:type="dxa"/>
            <w:tcBorders>
              <w:top w:val="single" w:sz="4" w:space="0" w:color="auto"/>
              <w:left w:val="nil"/>
              <w:bottom w:val="single" w:sz="4" w:space="0" w:color="auto"/>
              <w:right w:val="single" w:sz="4" w:space="0" w:color="auto"/>
            </w:tcBorders>
            <w:vAlign w:val="bottom"/>
            <w:hideMark/>
          </w:tcPr>
          <w:p w14:paraId="31337FE2"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straight-line depreciation to zero</w:t>
            </w:r>
          </w:p>
        </w:tc>
        <w:tc>
          <w:tcPr>
            <w:tcW w:w="2036" w:type="dxa"/>
            <w:tcBorders>
              <w:top w:val="nil"/>
              <w:left w:val="nil"/>
              <w:bottom w:val="nil"/>
              <w:right w:val="single" w:sz="8" w:space="0" w:color="auto"/>
            </w:tcBorders>
            <w:noWrap/>
            <w:vAlign w:val="bottom"/>
            <w:hideMark/>
          </w:tcPr>
          <w:p w14:paraId="1FBDD77F"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2B569C80" w14:textId="77777777" w:rsidTr="001854D3">
        <w:trPr>
          <w:trHeight w:val="396"/>
          <w:jc w:val="center"/>
        </w:trPr>
        <w:tc>
          <w:tcPr>
            <w:tcW w:w="3247" w:type="dxa"/>
            <w:tcBorders>
              <w:top w:val="nil"/>
              <w:left w:val="single" w:sz="8" w:space="0" w:color="auto"/>
              <w:bottom w:val="single" w:sz="4" w:space="0" w:color="auto"/>
              <w:right w:val="single" w:sz="4" w:space="0" w:color="auto"/>
            </w:tcBorders>
            <w:noWrap/>
            <w:vAlign w:val="bottom"/>
            <w:hideMark/>
          </w:tcPr>
          <w:p w14:paraId="2AB15A21"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Initial investment £m</w:t>
            </w:r>
          </w:p>
        </w:tc>
        <w:tc>
          <w:tcPr>
            <w:tcW w:w="3517" w:type="dxa"/>
            <w:tcBorders>
              <w:top w:val="nil"/>
              <w:left w:val="nil"/>
              <w:bottom w:val="single" w:sz="4" w:space="0" w:color="auto"/>
              <w:right w:val="single" w:sz="4" w:space="0" w:color="auto"/>
            </w:tcBorders>
            <w:noWrap/>
            <w:vAlign w:val="bottom"/>
            <w:hideMark/>
          </w:tcPr>
          <w:p w14:paraId="70DB60FA"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30</w:t>
            </w:r>
          </w:p>
        </w:tc>
        <w:tc>
          <w:tcPr>
            <w:tcW w:w="2036" w:type="dxa"/>
            <w:tcBorders>
              <w:top w:val="nil"/>
              <w:left w:val="nil"/>
              <w:bottom w:val="nil"/>
              <w:right w:val="single" w:sz="8" w:space="0" w:color="auto"/>
            </w:tcBorders>
            <w:noWrap/>
            <w:vAlign w:val="bottom"/>
            <w:hideMark/>
          </w:tcPr>
          <w:p w14:paraId="2B24517B"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430E6DDA" w14:textId="77777777" w:rsidTr="001854D3">
        <w:trPr>
          <w:trHeight w:val="396"/>
          <w:jc w:val="center"/>
        </w:trPr>
        <w:tc>
          <w:tcPr>
            <w:tcW w:w="3247" w:type="dxa"/>
            <w:tcBorders>
              <w:top w:val="nil"/>
              <w:left w:val="single" w:sz="8" w:space="0" w:color="auto"/>
              <w:bottom w:val="single" w:sz="4" w:space="0" w:color="auto"/>
              <w:right w:val="single" w:sz="4" w:space="0" w:color="auto"/>
            </w:tcBorders>
            <w:noWrap/>
            <w:vAlign w:val="bottom"/>
            <w:hideMark/>
          </w:tcPr>
          <w:p w14:paraId="34BE928C"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Years</w:t>
            </w:r>
          </w:p>
        </w:tc>
        <w:tc>
          <w:tcPr>
            <w:tcW w:w="3517" w:type="dxa"/>
            <w:tcBorders>
              <w:top w:val="nil"/>
              <w:left w:val="nil"/>
              <w:bottom w:val="single" w:sz="4" w:space="0" w:color="auto"/>
              <w:right w:val="single" w:sz="4" w:space="0" w:color="auto"/>
            </w:tcBorders>
            <w:noWrap/>
            <w:vAlign w:val="bottom"/>
            <w:hideMark/>
          </w:tcPr>
          <w:p w14:paraId="0E08D99B"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5</w:t>
            </w:r>
          </w:p>
        </w:tc>
        <w:tc>
          <w:tcPr>
            <w:tcW w:w="2036" w:type="dxa"/>
            <w:tcBorders>
              <w:top w:val="nil"/>
              <w:left w:val="nil"/>
              <w:bottom w:val="nil"/>
              <w:right w:val="single" w:sz="8" w:space="0" w:color="auto"/>
            </w:tcBorders>
            <w:noWrap/>
            <w:vAlign w:val="bottom"/>
            <w:hideMark/>
          </w:tcPr>
          <w:p w14:paraId="0490D37F"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651E2D39" w14:textId="77777777" w:rsidTr="001854D3">
        <w:trPr>
          <w:trHeight w:val="396"/>
          <w:jc w:val="center"/>
        </w:trPr>
        <w:tc>
          <w:tcPr>
            <w:tcW w:w="3247" w:type="dxa"/>
            <w:tcBorders>
              <w:top w:val="nil"/>
              <w:left w:val="single" w:sz="8" w:space="0" w:color="auto"/>
              <w:bottom w:val="single" w:sz="4" w:space="0" w:color="auto"/>
              <w:right w:val="single" w:sz="4" w:space="0" w:color="auto"/>
            </w:tcBorders>
            <w:noWrap/>
            <w:vAlign w:val="bottom"/>
            <w:hideMark/>
          </w:tcPr>
          <w:p w14:paraId="1B991F50"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Annual depreciation</w:t>
            </w:r>
          </w:p>
        </w:tc>
        <w:tc>
          <w:tcPr>
            <w:tcW w:w="3517" w:type="dxa"/>
            <w:tcBorders>
              <w:top w:val="nil"/>
              <w:left w:val="nil"/>
              <w:bottom w:val="single" w:sz="4" w:space="0" w:color="auto"/>
              <w:right w:val="single" w:sz="4" w:space="0" w:color="auto"/>
            </w:tcBorders>
            <w:noWrap/>
            <w:vAlign w:val="bottom"/>
            <w:hideMark/>
          </w:tcPr>
          <w:p w14:paraId="5C52EEBE"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6</w:t>
            </w:r>
          </w:p>
        </w:tc>
        <w:tc>
          <w:tcPr>
            <w:tcW w:w="2036" w:type="dxa"/>
            <w:tcBorders>
              <w:top w:val="nil"/>
              <w:left w:val="nil"/>
              <w:bottom w:val="nil"/>
              <w:right w:val="single" w:sz="8" w:space="0" w:color="auto"/>
            </w:tcBorders>
            <w:noWrap/>
            <w:vAlign w:val="bottom"/>
            <w:hideMark/>
          </w:tcPr>
          <w:p w14:paraId="749DCF14"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529B370A" w14:textId="77777777" w:rsidTr="001854D3">
        <w:trPr>
          <w:trHeight w:val="396"/>
          <w:jc w:val="center"/>
        </w:trPr>
        <w:tc>
          <w:tcPr>
            <w:tcW w:w="3247" w:type="dxa"/>
            <w:tcBorders>
              <w:top w:val="nil"/>
              <w:left w:val="single" w:sz="8" w:space="0" w:color="auto"/>
              <w:bottom w:val="single" w:sz="4" w:space="0" w:color="auto"/>
              <w:right w:val="single" w:sz="4" w:space="0" w:color="auto"/>
            </w:tcBorders>
            <w:noWrap/>
            <w:vAlign w:val="bottom"/>
            <w:hideMark/>
          </w:tcPr>
          <w:p w14:paraId="51B9C064" w14:textId="77777777" w:rsidR="001854D3" w:rsidRPr="001854D3" w:rsidRDefault="001854D3" w:rsidP="001854D3">
            <w:pPr>
              <w:spacing w:after="0"/>
              <w:jc w:val="center"/>
              <w:rPr>
                <w:rFonts w:cs="Arial"/>
                <w:b/>
                <w:bCs/>
                <w:color w:val="000000"/>
                <w:szCs w:val="24"/>
                <w:lang w:val="en-IN"/>
              </w:rPr>
            </w:pPr>
            <w:r w:rsidRPr="001854D3">
              <w:rPr>
                <w:rFonts w:cs="Arial"/>
                <w:b/>
                <w:bCs/>
                <w:color w:val="000000"/>
                <w:szCs w:val="24"/>
                <w:lang w:val="en-IN"/>
              </w:rPr>
              <w:t>Year</w:t>
            </w:r>
          </w:p>
        </w:tc>
        <w:tc>
          <w:tcPr>
            <w:tcW w:w="3517" w:type="dxa"/>
            <w:tcBorders>
              <w:top w:val="nil"/>
              <w:left w:val="nil"/>
              <w:bottom w:val="single" w:sz="4" w:space="0" w:color="auto"/>
              <w:right w:val="single" w:sz="4" w:space="0" w:color="auto"/>
            </w:tcBorders>
            <w:noWrap/>
            <w:vAlign w:val="bottom"/>
            <w:hideMark/>
          </w:tcPr>
          <w:p w14:paraId="5E16B09E" w14:textId="77777777" w:rsidR="001854D3" w:rsidRPr="001854D3" w:rsidRDefault="001854D3" w:rsidP="001854D3">
            <w:pPr>
              <w:spacing w:after="0"/>
              <w:jc w:val="center"/>
              <w:rPr>
                <w:rFonts w:cs="Arial"/>
                <w:b/>
                <w:bCs/>
                <w:color w:val="000000"/>
                <w:szCs w:val="24"/>
                <w:lang w:val="en-IN"/>
              </w:rPr>
            </w:pPr>
            <w:r w:rsidRPr="001854D3">
              <w:rPr>
                <w:rFonts w:cs="Arial"/>
                <w:b/>
                <w:bCs/>
                <w:color w:val="000000"/>
                <w:szCs w:val="24"/>
                <w:lang w:val="en-IN"/>
              </w:rPr>
              <w:t xml:space="preserve">Cashflow </w:t>
            </w:r>
          </w:p>
        </w:tc>
        <w:tc>
          <w:tcPr>
            <w:tcW w:w="2036" w:type="dxa"/>
            <w:tcBorders>
              <w:top w:val="single" w:sz="4" w:space="0" w:color="auto"/>
              <w:left w:val="nil"/>
              <w:bottom w:val="single" w:sz="4" w:space="0" w:color="auto"/>
              <w:right w:val="single" w:sz="8" w:space="0" w:color="auto"/>
            </w:tcBorders>
            <w:noWrap/>
            <w:vAlign w:val="bottom"/>
            <w:hideMark/>
          </w:tcPr>
          <w:p w14:paraId="278273A5" w14:textId="77777777" w:rsidR="001854D3" w:rsidRPr="001854D3" w:rsidRDefault="001854D3" w:rsidP="001854D3">
            <w:pPr>
              <w:spacing w:after="0"/>
              <w:jc w:val="center"/>
              <w:rPr>
                <w:rFonts w:cs="Arial"/>
                <w:b/>
                <w:bCs/>
                <w:color w:val="000000"/>
                <w:szCs w:val="24"/>
                <w:lang w:val="en-IN"/>
              </w:rPr>
            </w:pPr>
            <w:r w:rsidRPr="001854D3">
              <w:rPr>
                <w:rFonts w:cs="Arial"/>
                <w:b/>
                <w:bCs/>
                <w:color w:val="000000"/>
                <w:szCs w:val="24"/>
                <w:lang w:val="en-IN"/>
              </w:rPr>
              <w:t>Profit</w:t>
            </w:r>
          </w:p>
        </w:tc>
      </w:tr>
      <w:tr w:rsidR="001854D3" w:rsidRPr="001854D3" w14:paraId="35FE98F8" w14:textId="77777777" w:rsidTr="001854D3">
        <w:trPr>
          <w:trHeight w:val="396"/>
          <w:jc w:val="center"/>
        </w:trPr>
        <w:tc>
          <w:tcPr>
            <w:tcW w:w="3247" w:type="dxa"/>
            <w:tcBorders>
              <w:top w:val="nil"/>
              <w:left w:val="single" w:sz="8" w:space="0" w:color="auto"/>
              <w:bottom w:val="single" w:sz="4" w:space="0" w:color="auto"/>
              <w:right w:val="single" w:sz="4" w:space="0" w:color="auto"/>
            </w:tcBorders>
            <w:noWrap/>
            <w:vAlign w:val="bottom"/>
            <w:hideMark/>
          </w:tcPr>
          <w:p w14:paraId="279B5A05"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w:t>
            </w:r>
          </w:p>
        </w:tc>
        <w:tc>
          <w:tcPr>
            <w:tcW w:w="3517" w:type="dxa"/>
            <w:tcBorders>
              <w:top w:val="nil"/>
              <w:left w:val="nil"/>
              <w:bottom w:val="single" w:sz="4" w:space="0" w:color="auto"/>
              <w:right w:val="single" w:sz="4" w:space="0" w:color="auto"/>
            </w:tcBorders>
            <w:noWrap/>
            <w:vAlign w:val="bottom"/>
            <w:hideMark/>
          </w:tcPr>
          <w:p w14:paraId="0DD92E10"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6</w:t>
            </w:r>
          </w:p>
        </w:tc>
        <w:tc>
          <w:tcPr>
            <w:tcW w:w="2036" w:type="dxa"/>
            <w:tcBorders>
              <w:top w:val="nil"/>
              <w:left w:val="nil"/>
              <w:bottom w:val="single" w:sz="4" w:space="0" w:color="auto"/>
              <w:right w:val="single" w:sz="8" w:space="0" w:color="auto"/>
            </w:tcBorders>
            <w:noWrap/>
            <w:vAlign w:val="bottom"/>
            <w:hideMark/>
          </w:tcPr>
          <w:p w14:paraId="5FC8D0C9"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w:t>
            </w:r>
          </w:p>
        </w:tc>
      </w:tr>
      <w:tr w:rsidR="001854D3" w:rsidRPr="001854D3" w14:paraId="58C785A5" w14:textId="77777777" w:rsidTr="001854D3">
        <w:trPr>
          <w:trHeight w:val="396"/>
          <w:jc w:val="center"/>
        </w:trPr>
        <w:tc>
          <w:tcPr>
            <w:tcW w:w="3247" w:type="dxa"/>
            <w:tcBorders>
              <w:top w:val="nil"/>
              <w:left w:val="single" w:sz="8" w:space="0" w:color="auto"/>
              <w:bottom w:val="single" w:sz="4" w:space="0" w:color="auto"/>
              <w:right w:val="single" w:sz="4" w:space="0" w:color="auto"/>
            </w:tcBorders>
            <w:noWrap/>
            <w:vAlign w:val="bottom"/>
            <w:hideMark/>
          </w:tcPr>
          <w:p w14:paraId="033F35CB"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2</w:t>
            </w:r>
          </w:p>
        </w:tc>
        <w:tc>
          <w:tcPr>
            <w:tcW w:w="3517" w:type="dxa"/>
            <w:tcBorders>
              <w:top w:val="nil"/>
              <w:left w:val="nil"/>
              <w:bottom w:val="single" w:sz="4" w:space="0" w:color="auto"/>
              <w:right w:val="single" w:sz="4" w:space="0" w:color="auto"/>
            </w:tcBorders>
            <w:noWrap/>
            <w:vAlign w:val="bottom"/>
            <w:hideMark/>
          </w:tcPr>
          <w:p w14:paraId="2AFF5C1A"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6</w:t>
            </w:r>
          </w:p>
        </w:tc>
        <w:tc>
          <w:tcPr>
            <w:tcW w:w="2036" w:type="dxa"/>
            <w:tcBorders>
              <w:top w:val="nil"/>
              <w:left w:val="nil"/>
              <w:bottom w:val="single" w:sz="4" w:space="0" w:color="auto"/>
              <w:right w:val="single" w:sz="8" w:space="0" w:color="auto"/>
            </w:tcBorders>
            <w:noWrap/>
            <w:vAlign w:val="bottom"/>
            <w:hideMark/>
          </w:tcPr>
          <w:p w14:paraId="217D237F"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w:t>
            </w:r>
          </w:p>
        </w:tc>
      </w:tr>
      <w:tr w:rsidR="001854D3" w:rsidRPr="001854D3" w14:paraId="47FE9B78" w14:textId="77777777" w:rsidTr="001854D3">
        <w:trPr>
          <w:trHeight w:val="396"/>
          <w:jc w:val="center"/>
        </w:trPr>
        <w:tc>
          <w:tcPr>
            <w:tcW w:w="3247" w:type="dxa"/>
            <w:tcBorders>
              <w:top w:val="nil"/>
              <w:left w:val="single" w:sz="8" w:space="0" w:color="auto"/>
              <w:bottom w:val="single" w:sz="4" w:space="0" w:color="auto"/>
              <w:right w:val="single" w:sz="4" w:space="0" w:color="auto"/>
            </w:tcBorders>
            <w:noWrap/>
            <w:vAlign w:val="bottom"/>
            <w:hideMark/>
          </w:tcPr>
          <w:p w14:paraId="795EE1DB"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3</w:t>
            </w:r>
          </w:p>
        </w:tc>
        <w:tc>
          <w:tcPr>
            <w:tcW w:w="3517" w:type="dxa"/>
            <w:tcBorders>
              <w:top w:val="nil"/>
              <w:left w:val="nil"/>
              <w:bottom w:val="single" w:sz="4" w:space="0" w:color="auto"/>
              <w:right w:val="single" w:sz="4" w:space="0" w:color="auto"/>
            </w:tcBorders>
            <w:noWrap/>
            <w:vAlign w:val="bottom"/>
            <w:hideMark/>
          </w:tcPr>
          <w:p w14:paraId="480B835F"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6</w:t>
            </w:r>
          </w:p>
        </w:tc>
        <w:tc>
          <w:tcPr>
            <w:tcW w:w="2036" w:type="dxa"/>
            <w:tcBorders>
              <w:top w:val="nil"/>
              <w:left w:val="nil"/>
              <w:bottom w:val="single" w:sz="4" w:space="0" w:color="auto"/>
              <w:right w:val="single" w:sz="8" w:space="0" w:color="auto"/>
            </w:tcBorders>
            <w:noWrap/>
            <w:vAlign w:val="bottom"/>
            <w:hideMark/>
          </w:tcPr>
          <w:p w14:paraId="7CBBB43E"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w:t>
            </w:r>
          </w:p>
        </w:tc>
      </w:tr>
      <w:tr w:rsidR="001854D3" w:rsidRPr="001854D3" w14:paraId="62EE351F" w14:textId="77777777" w:rsidTr="001854D3">
        <w:trPr>
          <w:trHeight w:val="396"/>
          <w:jc w:val="center"/>
        </w:trPr>
        <w:tc>
          <w:tcPr>
            <w:tcW w:w="3247" w:type="dxa"/>
            <w:tcBorders>
              <w:top w:val="nil"/>
              <w:left w:val="single" w:sz="8" w:space="0" w:color="auto"/>
              <w:bottom w:val="single" w:sz="4" w:space="0" w:color="auto"/>
              <w:right w:val="single" w:sz="4" w:space="0" w:color="auto"/>
            </w:tcBorders>
            <w:noWrap/>
            <w:vAlign w:val="bottom"/>
            <w:hideMark/>
          </w:tcPr>
          <w:p w14:paraId="0D9F28A2"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4</w:t>
            </w:r>
          </w:p>
        </w:tc>
        <w:tc>
          <w:tcPr>
            <w:tcW w:w="3517" w:type="dxa"/>
            <w:tcBorders>
              <w:top w:val="nil"/>
              <w:left w:val="nil"/>
              <w:bottom w:val="single" w:sz="4" w:space="0" w:color="auto"/>
              <w:right w:val="single" w:sz="4" w:space="0" w:color="auto"/>
            </w:tcBorders>
            <w:noWrap/>
            <w:vAlign w:val="bottom"/>
            <w:hideMark/>
          </w:tcPr>
          <w:p w14:paraId="2DE680C1"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6</w:t>
            </w:r>
          </w:p>
        </w:tc>
        <w:tc>
          <w:tcPr>
            <w:tcW w:w="2036" w:type="dxa"/>
            <w:tcBorders>
              <w:top w:val="nil"/>
              <w:left w:val="nil"/>
              <w:bottom w:val="single" w:sz="4" w:space="0" w:color="auto"/>
              <w:right w:val="single" w:sz="8" w:space="0" w:color="auto"/>
            </w:tcBorders>
            <w:noWrap/>
            <w:vAlign w:val="bottom"/>
            <w:hideMark/>
          </w:tcPr>
          <w:p w14:paraId="7EE644E6"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w:t>
            </w:r>
          </w:p>
        </w:tc>
      </w:tr>
      <w:tr w:rsidR="001854D3" w:rsidRPr="001854D3" w14:paraId="7E2A3F34" w14:textId="77777777" w:rsidTr="001854D3">
        <w:trPr>
          <w:trHeight w:val="396"/>
          <w:jc w:val="center"/>
        </w:trPr>
        <w:tc>
          <w:tcPr>
            <w:tcW w:w="3247" w:type="dxa"/>
            <w:tcBorders>
              <w:top w:val="nil"/>
              <w:left w:val="single" w:sz="8" w:space="0" w:color="auto"/>
              <w:bottom w:val="single" w:sz="4" w:space="0" w:color="auto"/>
              <w:right w:val="single" w:sz="4" w:space="0" w:color="auto"/>
            </w:tcBorders>
            <w:noWrap/>
            <w:vAlign w:val="bottom"/>
            <w:hideMark/>
          </w:tcPr>
          <w:p w14:paraId="6778D2FB"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5</w:t>
            </w:r>
          </w:p>
        </w:tc>
        <w:tc>
          <w:tcPr>
            <w:tcW w:w="3517" w:type="dxa"/>
            <w:tcBorders>
              <w:top w:val="nil"/>
              <w:left w:val="nil"/>
              <w:bottom w:val="single" w:sz="4" w:space="0" w:color="auto"/>
              <w:right w:val="single" w:sz="4" w:space="0" w:color="auto"/>
            </w:tcBorders>
            <w:noWrap/>
            <w:vAlign w:val="bottom"/>
            <w:hideMark/>
          </w:tcPr>
          <w:p w14:paraId="2142D687"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6</w:t>
            </w:r>
          </w:p>
        </w:tc>
        <w:tc>
          <w:tcPr>
            <w:tcW w:w="2036" w:type="dxa"/>
            <w:tcBorders>
              <w:top w:val="nil"/>
              <w:left w:val="nil"/>
              <w:bottom w:val="single" w:sz="4" w:space="0" w:color="auto"/>
              <w:right w:val="single" w:sz="8" w:space="0" w:color="auto"/>
            </w:tcBorders>
            <w:noWrap/>
            <w:vAlign w:val="bottom"/>
            <w:hideMark/>
          </w:tcPr>
          <w:p w14:paraId="1C2CCFBD"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w:t>
            </w:r>
          </w:p>
        </w:tc>
      </w:tr>
      <w:tr w:rsidR="001854D3" w:rsidRPr="001854D3" w14:paraId="22D4980E" w14:textId="77777777" w:rsidTr="001854D3">
        <w:trPr>
          <w:trHeight w:val="396"/>
          <w:jc w:val="center"/>
        </w:trPr>
        <w:tc>
          <w:tcPr>
            <w:tcW w:w="3247" w:type="dxa"/>
            <w:tcBorders>
              <w:top w:val="nil"/>
              <w:left w:val="single" w:sz="8" w:space="0" w:color="auto"/>
              <w:bottom w:val="single" w:sz="4" w:space="0" w:color="auto"/>
              <w:right w:val="single" w:sz="4" w:space="0" w:color="auto"/>
            </w:tcBorders>
            <w:noWrap/>
            <w:vAlign w:val="bottom"/>
            <w:hideMark/>
          </w:tcPr>
          <w:p w14:paraId="35C79AEA"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 xml:space="preserve">Average Annual profit </w:t>
            </w:r>
          </w:p>
        </w:tc>
        <w:tc>
          <w:tcPr>
            <w:tcW w:w="3517" w:type="dxa"/>
            <w:tcBorders>
              <w:top w:val="nil"/>
              <w:left w:val="nil"/>
              <w:bottom w:val="single" w:sz="4" w:space="0" w:color="auto"/>
              <w:right w:val="single" w:sz="4" w:space="0" w:color="auto"/>
            </w:tcBorders>
            <w:noWrap/>
            <w:vAlign w:val="bottom"/>
            <w:hideMark/>
          </w:tcPr>
          <w:p w14:paraId="458EC193"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w:t>
            </w:r>
          </w:p>
        </w:tc>
        <w:tc>
          <w:tcPr>
            <w:tcW w:w="2036" w:type="dxa"/>
            <w:tcBorders>
              <w:top w:val="nil"/>
              <w:left w:val="nil"/>
              <w:bottom w:val="single" w:sz="4" w:space="0" w:color="auto"/>
              <w:right w:val="single" w:sz="8" w:space="0" w:color="auto"/>
            </w:tcBorders>
            <w:noWrap/>
            <w:vAlign w:val="bottom"/>
            <w:hideMark/>
          </w:tcPr>
          <w:p w14:paraId="10A4F195"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3172B137" w14:textId="77777777" w:rsidTr="001854D3">
        <w:trPr>
          <w:trHeight w:val="396"/>
          <w:jc w:val="center"/>
        </w:trPr>
        <w:tc>
          <w:tcPr>
            <w:tcW w:w="3247" w:type="dxa"/>
            <w:tcBorders>
              <w:top w:val="nil"/>
              <w:left w:val="single" w:sz="8" w:space="0" w:color="auto"/>
              <w:bottom w:val="single" w:sz="4" w:space="0" w:color="auto"/>
              <w:right w:val="single" w:sz="4" w:space="0" w:color="auto"/>
            </w:tcBorders>
            <w:noWrap/>
            <w:vAlign w:val="bottom"/>
            <w:hideMark/>
          </w:tcPr>
          <w:p w14:paraId="50DA0A08"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 xml:space="preserve">Average investment </w:t>
            </w:r>
          </w:p>
        </w:tc>
        <w:tc>
          <w:tcPr>
            <w:tcW w:w="3517" w:type="dxa"/>
            <w:tcBorders>
              <w:top w:val="nil"/>
              <w:left w:val="nil"/>
              <w:bottom w:val="single" w:sz="4" w:space="0" w:color="auto"/>
              <w:right w:val="single" w:sz="4" w:space="0" w:color="auto"/>
            </w:tcBorders>
            <w:noWrap/>
            <w:vAlign w:val="bottom"/>
            <w:hideMark/>
          </w:tcPr>
          <w:p w14:paraId="57BFB08B"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15</w:t>
            </w:r>
          </w:p>
        </w:tc>
        <w:tc>
          <w:tcPr>
            <w:tcW w:w="2036" w:type="dxa"/>
            <w:tcBorders>
              <w:top w:val="nil"/>
              <w:left w:val="nil"/>
              <w:bottom w:val="single" w:sz="4" w:space="0" w:color="auto"/>
              <w:right w:val="single" w:sz="8" w:space="0" w:color="auto"/>
            </w:tcBorders>
            <w:noWrap/>
            <w:vAlign w:val="bottom"/>
            <w:hideMark/>
          </w:tcPr>
          <w:p w14:paraId="6FE4A3F4"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05FF9CD0" w14:textId="77777777" w:rsidTr="001854D3">
        <w:trPr>
          <w:trHeight w:val="396"/>
          <w:jc w:val="center"/>
        </w:trPr>
        <w:tc>
          <w:tcPr>
            <w:tcW w:w="3247" w:type="dxa"/>
            <w:tcBorders>
              <w:top w:val="nil"/>
              <w:left w:val="single" w:sz="8" w:space="0" w:color="auto"/>
              <w:bottom w:val="single" w:sz="8" w:space="0" w:color="auto"/>
              <w:right w:val="single" w:sz="4" w:space="0" w:color="auto"/>
            </w:tcBorders>
            <w:noWrap/>
            <w:vAlign w:val="bottom"/>
            <w:hideMark/>
          </w:tcPr>
          <w:p w14:paraId="18056246"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ARR</w:t>
            </w:r>
          </w:p>
        </w:tc>
        <w:tc>
          <w:tcPr>
            <w:tcW w:w="3517" w:type="dxa"/>
            <w:tcBorders>
              <w:top w:val="nil"/>
              <w:left w:val="nil"/>
              <w:bottom w:val="single" w:sz="8" w:space="0" w:color="auto"/>
              <w:right w:val="single" w:sz="4" w:space="0" w:color="auto"/>
            </w:tcBorders>
            <w:noWrap/>
            <w:vAlign w:val="bottom"/>
            <w:hideMark/>
          </w:tcPr>
          <w:p w14:paraId="2197E25C"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w:t>
            </w:r>
          </w:p>
        </w:tc>
        <w:tc>
          <w:tcPr>
            <w:tcW w:w="2036" w:type="dxa"/>
            <w:tcBorders>
              <w:top w:val="nil"/>
              <w:left w:val="nil"/>
              <w:bottom w:val="single" w:sz="8" w:space="0" w:color="auto"/>
              <w:right w:val="single" w:sz="8" w:space="0" w:color="auto"/>
            </w:tcBorders>
            <w:noWrap/>
            <w:vAlign w:val="bottom"/>
            <w:hideMark/>
          </w:tcPr>
          <w:p w14:paraId="5AD3AF79"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 xml:space="preserve">In percentage </w:t>
            </w:r>
          </w:p>
        </w:tc>
      </w:tr>
    </w:tbl>
    <w:p w14:paraId="4DA59322" w14:textId="5A37EF3C" w:rsidR="00747192" w:rsidRPr="00D13DB7" w:rsidRDefault="00D34B4D" w:rsidP="00D13DB7">
      <w:pPr>
        <w:jc w:val="center"/>
        <w:rPr>
          <w:rFonts w:cs="Arial"/>
        </w:rPr>
      </w:pPr>
      <w:r w:rsidRPr="00D34B4D">
        <w:rPr>
          <w:rFonts w:cs="Arial"/>
        </w:rPr>
        <w:t>(Source: Refer to the Excel)</w:t>
      </w:r>
    </w:p>
    <w:tbl>
      <w:tblPr>
        <w:tblW w:w="8340" w:type="dxa"/>
        <w:jc w:val="center"/>
        <w:tblLook w:val="04A0" w:firstRow="1" w:lastRow="0" w:firstColumn="1" w:lastColumn="0" w:noHBand="0" w:noVBand="1"/>
      </w:tblPr>
      <w:tblGrid>
        <w:gridCol w:w="2453"/>
        <w:gridCol w:w="2274"/>
        <w:gridCol w:w="2672"/>
        <w:gridCol w:w="941"/>
      </w:tblGrid>
      <w:tr w:rsidR="001854D3" w:rsidRPr="001854D3" w14:paraId="56A10997" w14:textId="77777777" w:rsidTr="001854D3">
        <w:trPr>
          <w:trHeight w:val="396"/>
          <w:jc w:val="center"/>
        </w:trPr>
        <w:tc>
          <w:tcPr>
            <w:tcW w:w="8340" w:type="dxa"/>
            <w:gridSpan w:val="4"/>
            <w:tcBorders>
              <w:top w:val="single" w:sz="8" w:space="0" w:color="auto"/>
              <w:left w:val="single" w:sz="8" w:space="0" w:color="auto"/>
              <w:bottom w:val="nil"/>
              <w:right w:val="single" w:sz="8" w:space="0" w:color="000000"/>
            </w:tcBorders>
            <w:noWrap/>
            <w:vAlign w:val="bottom"/>
            <w:hideMark/>
          </w:tcPr>
          <w:p w14:paraId="3672367C" w14:textId="77777777" w:rsidR="001854D3" w:rsidRPr="001854D3" w:rsidRDefault="001854D3" w:rsidP="001854D3">
            <w:pPr>
              <w:spacing w:after="0"/>
              <w:jc w:val="center"/>
              <w:rPr>
                <w:rFonts w:cs="Arial"/>
                <w:b/>
                <w:bCs/>
                <w:color w:val="000000"/>
                <w:szCs w:val="24"/>
                <w:lang w:val="en-IN"/>
              </w:rPr>
            </w:pPr>
            <w:r w:rsidRPr="001854D3">
              <w:rPr>
                <w:rFonts w:cs="Arial"/>
                <w:b/>
                <w:bCs/>
                <w:color w:val="000000"/>
                <w:szCs w:val="24"/>
                <w:lang w:val="en-IN"/>
              </w:rPr>
              <w:t>NPV</w:t>
            </w:r>
          </w:p>
        </w:tc>
      </w:tr>
      <w:tr w:rsidR="001854D3" w:rsidRPr="001854D3" w14:paraId="37E8812A" w14:textId="77777777" w:rsidTr="001854D3">
        <w:trPr>
          <w:trHeight w:val="396"/>
          <w:jc w:val="center"/>
        </w:trPr>
        <w:tc>
          <w:tcPr>
            <w:tcW w:w="2453" w:type="dxa"/>
            <w:tcBorders>
              <w:top w:val="single" w:sz="4" w:space="0" w:color="auto"/>
              <w:left w:val="single" w:sz="8" w:space="0" w:color="auto"/>
              <w:bottom w:val="nil"/>
              <w:right w:val="single" w:sz="4" w:space="0" w:color="auto"/>
            </w:tcBorders>
            <w:noWrap/>
            <w:vAlign w:val="bottom"/>
            <w:hideMark/>
          </w:tcPr>
          <w:p w14:paraId="7AF9B7D3"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Discount Rate</w:t>
            </w:r>
          </w:p>
        </w:tc>
        <w:tc>
          <w:tcPr>
            <w:tcW w:w="2274" w:type="dxa"/>
            <w:tcBorders>
              <w:top w:val="single" w:sz="4" w:space="0" w:color="auto"/>
              <w:left w:val="nil"/>
              <w:bottom w:val="nil"/>
              <w:right w:val="single" w:sz="4" w:space="0" w:color="auto"/>
            </w:tcBorders>
            <w:noWrap/>
            <w:vAlign w:val="bottom"/>
            <w:hideMark/>
          </w:tcPr>
          <w:p w14:paraId="590E0EEA"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10%</w:t>
            </w:r>
          </w:p>
        </w:tc>
        <w:tc>
          <w:tcPr>
            <w:tcW w:w="2672" w:type="dxa"/>
            <w:tcBorders>
              <w:top w:val="nil"/>
              <w:left w:val="nil"/>
              <w:bottom w:val="nil"/>
              <w:right w:val="nil"/>
            </w:tcBorders>
            <w:noWrap/>
            <w:vAlign w:val="bottom"/>
            <w:hideMark/>
          </w:tcPr>
          <w:p w14:paraId="0B5F0B31" w14:textId="77777777" w:rsidR="001854D3" w:rsidRPr="001854D3" w:rsidRDefault="001854D3" w:rsidP="001854D3">
            <w:pPr>
              <w:spacing w:after="0"/>
              <w:jc w:val="right"/>
              <w:rPr>
                <w:rFonts w:cs="Arial"/>
                <w:color w:val="000000"/>
                <w:szCs w:val="24"/>
                <w:lang w:val="en-IN"/>
              </w:rPr>
            </w:pPr>
          </w:p>
        </w:tc>
        <w:tc>
          <w:tcPr>
            <w:tcW w:w="941" w:type="dxa"/>
            <w:tcBorders>
              <w:top w:val="nil"/>
              <w:left w:val="nil"/>
              <w:bottom w:val="nil"/>
              <w:right w:val="single" w:sz="8" w:space="0" w:color="auto"/>
            </w:tcBorders>
            <w:noWrap/>
            <w:vAlign w:val="bottom"/>
            <w:hideMark/>
          </w:tcPr>
          <w:p w14:paraId="583D04A8"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2C37D77D" w14:textId="77777777" w:rsidTr="001854D3">
        <w:trPr>
          <w:trHeight w:val="396"/>
          <w:jc w:val="center"/>
        </w:trPr>
        <w:tc>
          <w:tcPr>
            <w:tcW w:w="2453" w:type="dxa"/>
            <w:tcBorders>
              <w:top w:val="single" w:sz="4" w:space="0" w:color="auto"/>
              <w:left w:val="single" w:sz="8" w:space="0" w:color="auto"/>
              <w:bottom w:val="single" w:sz="4" w:space="0" w:color="auto"/>
              <w:right w:val="single" w:sz="4" w:space="0" w:color="auto"/>
            </w:tcBorders>
            <w:noWrap/>
            <w:vAlign w:val="bottom"/>
            <w:hideMark/>
          </w:tcPr>
          <w:p w14:paraId="6DB003D1"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Year</w:t>
            </w:r>
          </w:p>
        </w:tc>
        <w:tc>
          <w:tcPr>
            <w:tcW w:w="2274" w:type="dxa"/>
            <w:tcBorders>
              <w:top w:val="single" w:sz="4" w:space="0" w:color="auto"/>
              <w:left w:val="nil"/>
              <w:bottom w:val="single" w:sz="4" w:space="0" w:color="auto"/>
              <w:right w:val="single" w:sz="4" w:space="0" w:color="auto"/>
            </w:tcBorders>
            <w:noWrap/>
            <w:vAlign w:val="bottom"/>
            <w:hideMark/>
          </w:tcPr>
          <w:p w14:paraId="148F67C8"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Formula</w:t>
            </w:r>
          </w:p>
        </w:tc>
        <w:tc>
          <w:tcPr>
            <w:tcW w:w="2672" w:type="dxa"/>
            <w:tcBorders>
              <w:top w:val="single" w:sz="4" w:space="0" w:color="auto"/>
              <w:left w:val="nil"/>
              <w:bottom w:val="single" w:sz="4" w:space="0" w:color="auto"/>
              <w:right w:val="single" w:sz="4" w:space="0" w:color="auto"/>
            </w:tcBorders>
            <w:noWrap/>
            <w:vAlign w:val="bottom"/>
            <w:hideMark/>
          </w:tcPr>
          <w:p w14:paraId="5C8D2B10"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Discount factor</w:t>
            </w:r>
          </w:p>
        </w:tc>
        <w:tc>
          <w:tcPr>
            <w:tcW w:w="941" w:type="dxa"/>
            <w:tcBorders>
              <w:top w:val="single" w:sz="4" w:space="0" w:color="auto"/>
              <w:left w:val="nil"/>
              <w:bottom w:val="single" w:sz="4" w:space="0" w:color="auto"/>
              <w:right w:val="single" w:sz="8" w:space="0" w:color="auto"/>
            </w:tcBorders>
            <w:noWrap/>
            <w:vAlign w:val="bottom"/>
            <w:hideMark/>
          </w:tcPr>
          <w:p w14:paraId="2EB9E2A0"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PV</w:t>
            </w:r>
          </w:p>
        </w:tc>
      </w:tr>
      <w:tr w:rsidR="001854D3" w:rsidRPr="001854D3" w14:paraId="6B398880" w14:textId="77777777" w:rsidTr="001854D3">
        <w:trPr>
          <w:trHeight w:val="396"/>
          <w:jc w:val="center"/>
        </w:trPr>
        <w:tc>
          <w:tcPr>
            <w:tcW w:w="2453" w:type="dxa"/>
            <w:tcBorders>
              <w:top w:val="nil"/>
              <w:left w:val="single" w:sz="8" w:space="0" w:color="auto"/>
              <w:bottom w:val="single" w:sz="4" w:space="0" w:color="auto"/>
              <w:right w:val="single" w:sz="4" w:space="0" w:color="auto"/>
            </w:tcBorders>
            <w:noWrap/>
            <w:vAlign w:val="bottom"/>
            <w:hideMark/>
          </w:tcPr>
          <w:p w14:paraId="75529532"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w:t>
            </w:r>
          </w:p>
        </w:tc>
        <w:tc>
          <w:tcPr>
            <w:tcW w:w="2274" w:type="dxa"/>
            <w:tcBorders>
              <w:top w:val="nil"/>
              <w:left w:val="nil"/>
              <w:bottom w:val="single" w:sz="4" w:space="0" w:color="auto"/>
              <w:right w:val="single" w:sz="4" w:space="0" w:color="auto"/>
            </w:tcBorders>
            <w:noWrap/>
            <w:vAlign w:val="bottom"/>
            <w:hideMark/>
          </w:tcPr>
          <w:p w14:paraId="7C32A79B" w14:textId="77777777" w:rsidR="001854D3" w:rsidRPr="001854D3" w:rsidRDefault="001854D3" w:rsidP="001854D3">
            <w:pPr>
              <w:spacing w:after="0"/>
              <w:jc w:val="center"/>
              <w:rPr>
                <w:rFonts w:cs="Arial"/>
                <w:color w:val="000000"/>
                <w:szCs w:val="24"/>
                <w:lang w:val="en-IN"/>
              </w:rPr>
            </w:pPr>
            <w:r w:rsidRPr="001854D3">
              <w:rPr>
                <w:rFonts w:cs="Arial"/>
                <w:color w:val="000000"/>
                <w:szCs w:val="24"/>
                <w:lang w:val="en-IN"/>
              </w:rPr>
              <w:t>[1</w:t>
            </w:r>
            <w:proofErr w:type="gramStart"/>
            <w:r w:rsidRPr="001854D3">
              <w:rPr>
                <w:rFonts w:cs="Arial"/>
                <w:color w:val="000000"/>
                <w:szCs w:val="24"/>
                <w:lang w:val="en-IN"/>
              </w:rPr>
              <w:t>/(</w:t>
            </w:r>
            <w:proofErr w:type="gramEnd"/>
            <w:r w:rsidRPr="001854D3">
              <w:rPr>
                <w:rFonts w:cs="Arial"/>
                <w:color w:val="000000"/>
                <w:szCs w:val="24"/>
                <w:lang w:val="en-IN"/>
              </w:rPr>
              <w:t>1+10%</w:t>
            </w:r>
            <w:proofErr w:type="gramStart"/>
            <w:r w:rsidRPr="001854D3">
              <w:rPr>
                <w:rFonts w:cs="Arial"/>
                <w:color w:val="000000"/>
                <w:szCs w:val="24"/>
                <w:lang w:val="en-IN"/>
              </w:rPr>
              <w:t>)]^</w:t>
            </w:r>
            <w:proofErr w:type="gramEnd"/>
            <w:r w:rsidRPr="001854D3">
              <w:rPr>
                <w:rFonts w:cs="Arial"/>
                <w:color w:val="000000"/>
                <w:szCs w:val="24"/>
                <w:lang w:val="en-IN"/>
              </w:rPr>
              <w:t>1</w:t>
            </w:r>
          </w:p>
        </w:tc>
        <w:tc>
          <w:tcPr>
            <w:tcW w:w="2672" w:type="dxa"/>
            <w:tcBorders>
              <w:top w:val="nil"/>
              <w:left w:val="nil"/>
              <w:bottom w:val="single" w:sz="4" w:space="0" w:color="auto"/>
              <w:right w:val="single" w:sz="4" w:space="0" w:color="auto"/>
            </w:tcBorders>
            <w:noWrap/>
            <w:vAlign w:val="bottom"/>
            <w:hideMark/>
          </w:tcPr>
          <w:p w14:paraId="3E54DCAB"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0.91</w:t>
            </w:r>
          </w:p>
        </w:tc>
        <w:tc>
          <w:tcPr>
            <w:tcW w:w="941" w:type="dxa"/>
            <w:tcBorders>
              <w:top w:val="nil"/>
              <w:left w:val="nil"/>
              <w:bottom w:val="single" w:sz="4" w:space="0" w:color="auto"/>
              <w:right w:val="single" w:sz="8" w:space="0" w:color="auto"/>
            </w:tcBorders>
            <w:noWrap/>
            <w:vAlign w:val="bottom"/>
            <w:hideMark/>
          </w:tcPr>
          <w:p w14:paraId="58A27399"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5.45</w:t>
            </w:r>
          </w:p>
        </w:tc>
      </w:tr>
      <w:tr w:rsidR="001854D3" w:rsidRPr="001854D3" w14:paraId="4B61C995" w14:textId="77777777" w:rsidTr="001854D3">
        <w:trPr>
          <w:trHeight w:val="396"/>
          <w:jc w:val="center"/>
        </w:trPr>
        <w:tc>
          <w:tcPr>
            <w:tcW w:w="2453" w:type="dxa"/>
            <w:tcBorders>
              <w:top w:val="nil"/>
              <w:left w:val="single" w:sz="8" w:space="0" w:color="auto"/>
              <w:bottom w:val="single" w:sz="4" w:space="0" w:color="auto"/>
              <w:right w:val="single" w:sz="4" w:space="0" w:color="auto"/>
            </w:tcBorders>
            <w:noWrap/>
            <w:vAlign w:val="bottom"/>
            <w:hideMark/>
          </w:tcPr>
          <w:p w14:paraId="19368120"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2</w:t>
            </w:r>
          </w:p>
        </w:tc>
        <w:tc>
          <w:tcPr>
            <w:tcW w:w="2274" w:type="dxa"/>
            <w:tcBorders>
              <w:top w:val="nil"/>
              <w:left w:val="nil"/>
              <w:bottom w:val="single" w:sz="4" w:space="0" w:color="auto"/>
              <w:right w:val="single" w:sz="4" w:space="0" w:color="auto"/>
            </w:tcBorders>
            <w:noWrap/>
            <w:vAlign w:val="bottom"/>
            <w:hideMark/>
          </w:tcPr>
          <w:p w14:paraId="5B046E62" w14:textId="77777777" w:rsidR="001854D3" w:rsidRPr="001854D3" w:rsidRDefault="001854D3" w:rsidP="001854D3">
            <w:pPr>
              <w:spacing w:after="0"/>
              <w:jc w:val="center"/>
              <w:rPr>
                <w:rFonts w:cs="Arial"/>
                <w:color w:val="000000"/>
                <w:szCs w:val="24"/>
                <w:lang w:val="en-IN"/>
              </w:rPr>
            </w:pPr>
            <w:r w:rsidRPr="001854D3">
              <w:rPr>
                <w:rFonts w:cs="Arial"/>
                <w:color w:val="000000"/>
                <w:szCs w:val="24"/>
                <w:lang w:val="en-IN"/>
              </w:rPr>
              <w:t>[1</w:t>
            </w:r>
            <w:proofErr w:type="gramStart"/>
            <w:r w:rsidRPr="001854D3">
              <w:rPr>
                <w:rFonts w:cs="Arial"/>
                <w:color w:val="000000"/>
                <w:szCs w:val="24"/>
                <w:lang w:val="en-IN"/>
              </w:rPr>
              <w:t>/(</w:t>
            </w:r>
            <w:proofErr w:type="gramEnd"/>
            <w:r w:rsidRPr="001854D3">
              <w:rPr>
                <w:rFonts w:cs="Arial"/>
                <w:color w:val="000000"/>
                <w:szCs w:val="24"/>
                <w:lang w:val="en-IN"/>
              </w:rPr>
              <w:t>1+10%</w:t>
            </w:r>
            <w:proofErr w:type="gramStart"/>
            <w:r w:rsidRPr="001854D3">
              <w:rPr>
                <w:rFonts w:cs="Arial"/>
                <w:color w:val="000000"/>
                <w:szCs w:val="24"/>
                <w:lang w:val="en-IN"/>
              </w:rPr>
              <w:t>)]^</w:t>
            </w:r>
            <w:proofErr w:type="gramEnd"/>
            <w:r w:rsidRPr="001854D3">
              <w:rPr>
                <w:rFonts w:cs="Arial"/>
                <w:color w:val="000000"/>
                <w:szCs w:val="24"/>
                <w:lang w:val="en-IN"/>
              </w:rPr>
              <w:t>2</w:t>
            </w:r>
          </w:p>
        </w:tc>
        <w:tc>
          <w:tcPr>
            <w:tcW w:w="2672" w:type="dxa"/>
            <w:tcBorders>
              <w:top w:val="nil"/>
              <w:left w:val="nil"/>
              <w:bottom w:val="single" w:sz="4" w:space="0" w:color="auto"/>
              <w:right w:val="single" w:sz="4" w:space="0" w:color="auto"/>
            </w:tcBorders>
            <w:noWrap/>
            <w:vAlign w:val="bottom"/>
            <w:hideMark/>
          </w:tcPr>
          <w:p w14:paraId="540B8390"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0.83</w:t>
            </w:r>
          </w:p>
        </w:tc>
        <w:tc>
          <w:tcPr>
            <w:tcW w:w="941" w:type="dxa"/>
            <w:tcBorders>
              <w:top w:val="nil"/>
              <w:left w:val="nil"/>
              <w:bottom w:val="single" w:sz="4" w:space="0" w:color="auto"/>
              <w:right w:val="single" w:sz="8" w:space="0" w:color="auto"/>
            </w:tcBorders>
            <w:noWrap/>
            <w:vAlign w:val="bottom"/>
            <w:hideMark/>
          </w:tcPr>
          <w:p w14:paraId="58C2FC9C"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4.96</w:t>
            </w:r>
          </w:p>
        </w:tc>
      </w:tr>
      <w:tr w:rsidR="001854D3" w:rsidRPr="001854D3" w14:paraId="3ECCE3A2" w14:textId="77777777" w:rsidTr="001854D3">
        <w:trPr>
          <w:trHeight w:val="396"/>
          <w:jc w:val="center"/>
        </w:trPr>
        <w:tc>
          <w:tcPr>
            <w:tcW w:w="2453" w:type="dxa"/>
            <w:tcBorders>
              <w:top w:val="nil"/>
              <w:left w:val="single" w:sz="8" w:space="0" w:color="auto"/>
              <w:bottom w:val="single" w:sz="4" w:space="0" w:color="auto"/>
              <w:right w:val="single" w:sz="4" w:space="0" w:color="auto"/>
            </w:tcBorders>
            <w:noWrap/>
            <w:vAlign w:val="bottom"/>
            <w:hideMark/>
          </w:tcPr>
          <w:p w14:paraId="017F3BF7"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3</w:t>
            </w:r>
          </w:p>
        </w:tc>
        <w:tc>
          <w:tcPr>
            <w:tcW w:w="2274" w:type="dxa"/>
            <w:tcBorders>
              <w:top w:val="nil"/>
              <w:left w:val="nil"/>
              <w:bottom w:val="single" w:sz="4" w:space="0" w:color="auto"/>
              <w:right w:val="single" w:sz="4" w:space="0" w:color="auto"/>
            </w:tcBorders>
            <w:noWrap/>
            <w:vAlign w:val="bottom"/>
            <w:hideMark/>
          </w:tcPr>
          <w:p w14:paraId="092C1640" w14:textId="77777777" w:rsidR="001854D3" w:rsidRPr="001854D3" w:rsidRDefault="001854D3" w:rsidP="001854D3">
            <w:pPr>
              <w:spacing w:after="0"/>
              <w:jc w:val="center"/>
              <w:rPr>
                <w:rFonts w:cs="Arial"/>
                <w:color w:val="000000"/>
                <w:szCs w:val="24"/>
                <w:lang w:val="en-IN"/>
              </w:rPr>
            </w:pPr>
            <w:r w:rsidRPr="001854D3">
              <w:rPr>
                <w:rFonts w:cs="Arial"/>
                <w:color w:val="000000"/>
                <w:szCs w:val="24"/>
                <w:lang w:val="en-IN"/>
              </w:rPr>
              <w:t>[1</w:t>
            </w:r>
            <w:proofErr w:type="gramStart"/>
            <w:r w:rsidRPr="001854D3">
              <w:rPr>
                <w:rFonts w:cs="Arial"/>
                <w:color w:val="000000"/>
                <w:szCs w:val="24"/>
                <w:lang w:val="en-IN"/>
              </w:rPr>
              <w:t>/(</w:t>
            </w:r>
            <w:proofErr w:type="gramEnd"/>
            <w:r w:rsidRPr="001854D3">
              <w:rPr>
                <w:rFonts w:cs="Arial"/>
                <w:color w:val="000000"/>
                <w:szCs w:val="24"/>
                <w:lang w:val="en-IN"/>
              </w:rPr>
              <w:t>1+10%</w:t>
            </w:r>
            <w:proofErr w:type="gramStart"/>
            <w:r w:rsidRPr="001854D3">
              <w:rPr>
                <w:rFonts w:cs="Arial"/>
                <w:color w:val="000000"/>
                <w:szCs w:val="24"/>
                <w:lang w:val="en-IN"/>
              </w:rPr>
              <w:t>)]^</w:t>
            </w:r>
            <w:proofErr w:type="gramEnd"/>
            <w:r w:rsidRPr="001854D3">
              <w:rPr>
                <w:rFonts w:cs="Arial"/>
                <w:color w:val="000000"/>
                <w:szCs w:val="24"/>
                <w:lang w:val="en-IN"/>
              </w:rPr>
              <w:t>3</w:t>
            </w:r>
          </w:p>
        </w:tc>
        <w:tc>
          <w:tcPr>
            <w:tcW w:w="2672" w:type="dxa"/>
            <w:tcBorders>
              <w:top w:val="nil"/>
              <w:left w:val="nil"/>
              <w:bottom w:val="single" w:sz="4" w:space="0" w:color="auto"/>
              <w:right w:val="single" w:sz="4" w:space="0" w:color="auto"/>
            </w:tcBorders>
            <w:noWrap/>
            <w:vAlign w:val="bottom"/>
            <w:hideMark/>
          </w:tcPr>
          <w:p w14:paraId="7B5E4C78"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0.75</w:t>
            </w:r>
          </w:p>
        </w:tc>
        <w:tc>
          <w:tcPr>
            <w:tcW w:w="941" w:type="dxa"/>
            <w:tcBorders>
              <w:top w:val="nil"/>
              <w:left w:val="nil"/>
              <w:bottom w:val="single" w:sz="4" w:space="0" w:color="auto"/>
              <w:right w:val="single" w:sz="8" w:space="0" w:color="auto"/>
            </w:tcBorders>
            <w:noWrap/>
            <w:vAlign w:val="bottom"/>
            <w:hideMark/>
          </w:tcPr>
          <w:p w14:paraId="6BA89E46"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4.51</w:t>
            </w:r>
          </w:p>
        </w:tc>
      </w:tr>
      <w:tr w:rsidR="001854D3" w:rsidRPr="001854D3" w14:paraId="58F28159" w14:textId="77777777" w:rsidTr="001854D3">
        <w:trPr>
          <w:trHeight w:val="396"/>
          <w:jc w:val="center"/>
        </w:trPr>
        <w:tc>
          <w:tcPr>
            <w:tcW w:w="2453" w:type="dxa"/>
            <w:tcBorders>
              <w:top w:val="nil"/>
              <w:left w:val="single" w:sz="8" w:space="0" w:color="auto"/>
              <w:bottom w:val="single" w:sz="4" w:space="0" w:color="auto"/>
              <w:right w:val="single" w:sz="4" w:space="0" w:color="auto"/>
            </w:tcBorders>
            <w:noWrap/>
            <w:vAlign w:val="bottom"/>
            <w:hideMark/>
          </w:tcPr>
          <w:p w14:paraId="55458F99"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4</w:t>
            </w:r>
          </w:p>
        </w:tc>
        <w:tc>
          <w:tcPr>
            <w:tcW w:w="2274" w:type="dxa"/>
            <w:tcBorders>
              <w:top w:val="nil"/>
              <w:left w:val="nil"/>
              <w:bottom w:val="single" w:sz="4" w:space="0" w:color="auto"/>
              <w:right w:val="single" w:sz="4" w:space="0" w:color="auto"/>
            </w:tcBorders>
            <w:noWrap/>
            <w:vAlign w:val="bottom"/>
            <w:hideMark/>
          </w:tcPr>
          <w:p w14:paraId="68A2C0F0" w14:textId="77777777" w:rsidR="001854D3" w:rsidRPr="001854D3" w:rsidRDefault="001854D3" w:rsidP="001854D3">
            <w:pPr>
              <w:spacing w:after="0"/>
              <w:jc w:val="center"/>
              <w:rPr>
                <w:rFonts w:cs="Arial"/>
                <w:color w:val="000000"/>
                <w:szCs w:val="24"/>
                <w:lang w:val="en-IN"/>
              </w:rPr>
            </w:pPr>
            <w:r w:rsidRPr="001854D3">
              <w:rPr>
                <w:rFonts w:cs="Arial"/>
                <w:color w:val="000000"/>
                <w:szCs w:val="24"/>
                <w:lang w:val="en-IN"/>
              </w:rPr>
              <w:t>[1</w:t>
            </w:r>
            <w:proofErr w:type="gramStart"/>
            <w:r w:rsidRPr="001854D3">
              <w:rPr>
                <w:rFonts w:cs="Arial"/>
                <w:color w:val="000000"/>
                <w:szCs w:val="24"/>
                <w:lang w:val="en-IN"/>
              </w:rPr>
              <w:t>/(</w:t>
            </w:r>
            <w:proofErr w:type="gramEnd"/>
            <w:r w:rsidRPr="001854D3">
              <w:rPr>
                <w:rFonts w:cs="Arial"/>
                <w:color w:val="000000"/>
                <w:szCs w:val="24"/>
                <w:lang w:val="en-IN"/>
              </w:rPr>
              <w:t>1+10%</w:t>
            </w:r>
            <w:proofErr w:type="gramStart"/>
            <w:r w:rsidRPr="001854D3">
              <w:rPr>
                <w:rFonts w:cs="Arial"/>
                <w:color w:val="000000"/>
                <w:szCs w:val="24"/>
                <w:lang w:val="en-IN"/>
              </w:rPr>
              <w:t>)]^</w:t>
            </w:r>
            <w:proofErr w:type="gramEnd"/>
            <w:r w:rsidRPr="001854D3">
              <w:rPr>
                <w:rFonts w:cs="Arial"/>
                <w:color w:val="000000"/>
                <w:szCs w:val="24"/>
                <w:lang w:val="en-IN"/>
              </w:rPr>
              <w:t>4</w:t>
            </w:r>
          </w:p>
        </w:tc>
        <w:tc>
          <w:tcPr>
            <w:tcW w:w="2672" w:type="dxa"/>
            <w:tcBorders>
              <w:top w:val="nil"/>
              <w:left w:val="nil"/>
              <w:bottom w:val="single" w:sz="4" w:space="0" w:color="auto"/>
              <w:right w:val="single" w:sz="4" w:space="0" w:color="auto"/>
            </w:tcBorders>
            <w:noWrap/>
            <w:vAlign w:val="bottom"/>
            <w:hideMark/>
          </w:tcPr>
          <w:p w14:paraId="46D0A7A8"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0.68</w:t>
            </w:r>
          </w:p>
        </w:tc>
        <w:tc>
          <w:tcPr>
            <w:tcW w:w="941" w:type="dxa"/>
            <w:tcBorders>
              <w:top w:val="nil"/>
              <w:left w:val="nil"/>
              <w:bottom w:val="single" w:sz="4" w:space="0" w:color="auto"/>
              <w:right w:val="single" w:sz="8" w:space="0" w:color="auto"/>
            </w:tcBorders>
            <w:noWrap/>
            <w:vAlign w:val="bottom"/>
            <w:hideMark/>
          </w:tcPr>
          <w:p w14:paraId="4DBCA428"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4.10</w:t>
            </w:r>
          </w:p>
        </w:tc>
      </w:tr>
      <w:tr w:rsidR="001854D3" w:rsidRPr="001854D3" w14:paraId="34CB3AC2" w14:textId="77777777" w:rsidTr="001854D3">
        <w:trPr>
          <w:trHeight w:val="396"/>
          <w:jc w:val="center"/>
        </w:trPr>
        <w:tc>
          <w:tcPr>
            <w:tcW w:w="2453" w:type="dxa"/>
            <w:tcBorders>
              <w:top w:val="nil"/>
              <w:left w:val="single" w:sz="8" w:space="0" w:color="auto"/>
              <w:bottom w:val="single" w:sz="4" w:space="0" w:color="auto"/>
              <w:right w:val="single" w:sz="4" w:space="0" w:color="auto"/>
            </w:tcBorders>
            <w:noWrap/>
            <w:vAlign w:val="bottom"/>
            <w:hideMark/>
          </w:tcPr>
          <w:p w14:paraId="6A5925F8"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5</w:t>
            </w:r>
          </w:p>
        </w:tc>
        <w:tc>
          <w:tcPr>
            <w:tcW w:w="2274" w:type="dxa"/>
            <w:tcBorders>
              <w:top w:val="nil"/>
              <w:left w:val="nil"/>
              <w:bottom w:val="single" w:sz="4" w:space="0" w:color="auto"/>
              <w:right w:val="single" w:sz="4" w:space="0" w:color="auto"/>
            </w:tcBorders>
            <w:noWrap/>
            <w:vAlign w:val="bottom"/>
            <w:hideMark/>
          </w:tcPr>
          <w:p w14:paraId="791297D9" w14:textId="77777777" w:rsidR="001854D3" w:rsidRPr="001854D3" w:rsidRDefault="001854D3" w:rsidP="001854D3">
            <w:pPr>
              <w:spacing w:after="0"/>
              <w:jc w:val="center"/>
              <w:rPr>
                <w:rFonts w:cs="Arial"/>
                <w:color w:val="000000"/>
                <w:szCs w:val="24"/>
                <w:lang w:val="en-IN"/>
              </w:rPr>
            </w:pPr>
            <w:r w:rsidRPr="001854D3">
              <w:rPr>
                <w:rFonts w:cs="Arial"/>
                <w:color w:val="000000"/>
                <w:szCs w:val="24"/>
                <w:lang w:val="en-IN"/>
              </w:rPr>
              <w:t>[1</w:t>
            </w:r>
            <w:proofErr w:type="gramStart"/>
            <w:r w:rsidRPr="001854D3">
              <w:rPr>
                <w:rFonts w:cs="Arial"/>
                <w:color w:val="000000"/>
                <w:szCs w:val="24"/>
                <w:lang w:val="en-IN"/>
              </w:rPr>
              <w:t>/(</w:t>
            </w:r>
            <w:proofErr w:type="gramEnd"/>
            <w:r w:rsidRPr="001854D3">
              <w:rPr>
                <w:rFonts w:cs="Arial"/>
                <w:color w:val="000000"/>
                <w:szCs w:val="24"/>
                <w:lang w:val="en-IN"/>
              </w:rPr>
              <w:t>1+10%</w:t>
            </w:r>
            <w:proofErr w:type="gramStart"/>
            <w:r w:rsidRPr="001854D3">
              <w:rPr>
                <w:rFonts w:cs="Arial"/>
                <w:color w:val="000000"/>
                <w:szCs w:val="24"/>
                <w:lang w:val="en-IN"/>
              </w:rPr>
              <w:t>)]^</w:t>
            </w:r>
            <w:proofErr w:type="gramEnd"/>
            <w:r w:rsidRPr="001854D3">
              <w:rPr>
                <w:rFonts w:cs="Arial"/>
                <w:color w:val="000000"/>
                <w:szCs w:val="24"/>
                <w:lang w:val="en-IN"/>
              </w:rPr>
              <w:t>5</w:t>
            </w:r>
          </w:p>
        </w:tc>
        <w:tc>
          <w:tcPr>
            <w:tcW w:w="2672" w:type="dxa"/>
            <w:tcBorders>
              <w:top w:val="nil"/>
              <w:left w:val="nil"/>
              <w:bottom w:val="single" w:sz="4" w:space="0" w:color="auto"/>
              <w:right w:val="single" w:sz="4" w:space="0" w:color="auto"/>
            </w:tcBorders>
            <w:noWrap/>
            <w:vAlign w:val="bottom"/>
            <w:hideMark/>
          </w:tcPr>
          <w:p w14:paraId="59584A3B"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0.62</w:t>
            </w:r>
          </w:p>
        </w:tc>
        <w:tc>
          <w:tcPr>
            <w:tcW w:w="941" w:type="dxa"/>
            <w:tcBorders>
              <w:top w:val="nil"/>
              <w:left w:val="nil"/>
              <w:bottom w:val="single" w:sz="4" w:space="0" w:color="auto"/>
              <w:right w:val="single" w:sz="8" w:space="0" w:color="auto"/>
            </w:tcBorders>
            <w:noWrap/>
            <w:vAlign w:val="bottom"/>
            <w:hideMark/>
          </w:tcPr>
          <w:p w14:paraId="2B249094"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3.73</w:t>
            </w:r>
          </w:p>
        </w:tc>
      </w:tr>
      <w:tr w:rsidR="001854D3" w:rsidRPr="001854D3" w14:paraId="16842465" w14:textId="77777777" w:rsidTr="001854D3">
        <w:trPr>
          <w:trHeight w:val="396"/>
          <w:jc w:val="center"/>
        </w:trPr>
        <w:tc>
          <w:tcPr>
            <w:tcW w:w="2453" w:type="dxa"/>
            <w:tcBorders>
              <w:top w:val="nil"/>
              <w:left w:val="single" w:sz="8" w:space="0" w:color="auto"/>
              <w:bottom w:val="single" w:sz="4" w:space="0" w:color="auto"/>
              <w:right w:val="single" w:sz="4" w:space="0" w:color="auto"/>
            </w:tcBorders>
            <w:noWrap/>
            <w:vAlign w:val="bottom"/>
            <w:hideMark/>
          </w:tcPr>
          <w:p w14:paraId="7399F8C5"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 </w:t>
            </w:r>
          </w:p>
        </w:tc>
        <w:tc>
          <w:tcPr>
            <w:tcW w:w="2274" w:type="dxa"/>
            <w:tcBorders>
              <w:top w:val="nil"/>
              <w:left w:val="nil"/>
              <w:bottom w:val="single" w:sz="4" w:space="0" w:color="auto"/>
              <w:right w:val="single" w:sz="4" w:space="0" w:color="auto"/>
            </w:tcBorders>
            <w:noWrap/>
            <w:vAlign w:val="bottom"/>
            <w:hideMark/>
          </w:tcPr>
          <w:p w14:paraId="74E984AA"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 </w:t>
            </w:r>
          </w:p>
        </w:tc>
        <w:tc>
          <w:tcPr>
            <w:tcW w:w="2672" w:type="dxa"/>
            <w:tcBorders>
              <w:top w:val="nil"/>
              <w:left w:val="nil"/>
              <w:bottom w:val="single" w:sz="4" w:space="0" w:color="auto"/>
              <w:right w:val="single" w:sz="4" w:space="0" w:color="auto"/>
            </w:tcBorders>
            <w:noWrap/>
            <w:vAlign w:val="bottom"/>
            <w:hideMark/>
          </w:tcPr>
          <w:p w14:paraId="3D936B90"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 </w:t>
            </w:r>
          </w:p>
        </w:tc>
        <w:tc>
          <w:tcPr>
            <w:tcW w:w="941" w:type="dxa"/>
            <w:tcBorders>
              <w:top w:val="nil"/>
              <w:left w:val="nil"/>
              <w:bottom w:val="single" w:sz="4" w:space="0" w:color="auto"/>
              <w:right w:val="single" w:sz="8" w:space="0" w:color="auto"/>
            </w:tcBorders>
            <w:noWrap/>
            <w:vAlign w:val="bottom"/>
            <w:hideMark/>
          </w:tcPr>
          <w:p w14:paraId="5B924C40" w14:textId="77777777" w:rsidR="001854D3" w:rsidRPr="001854D3" w:rsidRDefault="001854D3" w:rsidP="001854D3">
            <w:pPr>
              <w:spacing w:after="0"/>
              <w:jc w:val="right"/>
              <w:rPr>
                <w:rFonts w:cs="Arial"/>
                <w:b/>
                <w:bCs/>
                <w:color w:val="000000"/>
                <w:szCs w:val="24"/>
                <w:lang w:val="en-IN"/>
              </w:rPr>
            </w:pPr>
            <w:r w:rsidRPr="001854D3">
              <w:rPr>
                <w:rFonts w:cs="Arial"/>
                <w:b/>
                <w:bCs/>
                <w:color w:val="000000"/>
                <w:szCs w:val="24"/>
                <w:lang w:val="en-IN"/>
              </w:rPr>
              <w:t>22.74</w:t>
            </w:r>
          </w:p>
        </w:tc>
      </w:tr>
      <w:tr w:rsidR="001854D3" w:rsidRPr="001854D3" w14:paraId="60163F33" w14:textId="77777777" w:rsidTr="001854D3">
        <w:trPr>
          <w:trHeight w:val="396"/>
          <w:jc w:val="center"/>
        </w:trPr>
        <w:tc>
          <w:tcPr>
            <w:tcW w:w="2453" w:type="dxa"/>
            <w:tcBorders>
              <w:top w:val="nil"/>
              <w:left w:val="single" w:sz="8" w:space="0" w:color="auto"/>
              <w:bottom w:val="single" w:sz="8" w:space="0" w:color="auto"/>
              <w:right w:val="single" w:sz="4" w:space="0" w:color="auto"/>
            </w:tcBorders>
            <w:noWrap/>
            <w:vAlign w:val="bottom"/>
            <w:hideMark/>
          </w:tcPr>
          <w:p w14:paraId="6674F4CE"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lastRenderedPageBreak/>
              <w:t>NPV</w:t>
            </w:r>
          </w:p>
        </w:tc>
        <w:tc>
          <w:tcPr>
            <w:tcW w:w="2274" w:type="dxa"/>
            <w:tcBorders>
              <w:top w:val="nil"/>
              <w:left w:val="nil"/>
              <w:bottom w:val="single" w:sz="8" w:space="0" w:color="auto"/>
              <w:right w:val="single" w:sz="4" w:space="0" w:color="auto"/>
            </w:tcBorders>
            <w:noWrap/>
            <w:vAlign w:val="bottom"/>
            <w:hideMark/>
          </w:tcPr>
          <w:p w14:paraId="2FE072EE" w14:textId="77777777" w:rsidR="001854D3" w:rsidRPr="001854D3" w:rsidRDefault="001854D3" w:rsidP="001854D3">
            <w:pPr>
              <w:spacing w:after="0"/>
              <w:jc w:val="right"/>
              <w:rPr>
                <w:rFonts w:cs="Arial"/>
                <w:b/>
                <w:bCs/>
                <w:color w:val="000000"/>
                <w:szCs w:val="24"/>
                <w:lang w:val="en-IN"/>
              </w:rPr>
            </w:pPr>
            <w:r w:rsidRPr="001854D3">
              <w:rPr>
                <w:rFonts w:cs="Arial"/>
                <w:b/>
                <w:bCs/>
                <w:color w:val="000000"/>
                <w:szCs w:val="24"/>
                <w:lang w:val="en-IN"/>
              </w:rPr>
              <w:t>-7.26</w:t>
            </w:r>
          </w:p>
        </w:tc>
        <w:tc>
          <w:tcPr>
            <w:tcW w:w="2672" w:type="dxa"/>
            <w:tcBorders>
              <w:top w:val="nil"/>
              <w:left w:val="nil"/>
              <w:bottom w:val="single" w:sz="8" w:space="0" w:color="auto"/>
              <w:right w:val="single" w:sz="4" w:space="0" w:color="auto"/>
            </w:tcBorders>
            <w:noWrap/>
            <w:vAlign w:val="bottom"/>
            <w:hideMark/>
          </w:tcPr>
          <w:p w14:paraId="50A5E41C"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 </w:t>
            </w:r>
          </w:p>
        </w:tc>
        <w:tc>
          <w:tcPr>
            <w:tcW w:w="941" w:type="dxa"/>
            <w:tcBorders>
              <w:top w:val="nil"/>
              <w:left w:val="nil"/>
              <w:bottom w:val="single" w:sz="8" w:space="0" w:color="auto"/>
              <w:right w:val="single" w:sz="8" w:space="0" w:color="auto"/>
            </w:tcBorders>
            <w:noWrap/>
            <w:vAlign w:val="bottom"/>
            <w:hideMark/>
          </w:tcPr>
          <w:p w14:paraId="072CE33D"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 </w:t>
            </w:r>
          </w:p>
        </w:tc>
      </w:tr>
      <w:tr w:rsidR="001854D3" w:rsidRPr="001854D3" w14:paraId="47429F41" w14:textId="77777777" w:rsidTr="001854D3">
        <w:trPr>
          <w:trHeight w:val="396"/>
          <w:jc w:val="center"/>
        </w:trPr>
        <w:tc>
          <w:tcPr>
            <w:tcW w:w="2453" w:type="dxa"/>
            <w:tcBorders>
              <w:top w:val="nil"/>
              <w:left w:val="single" w:sz="8" w:space="0" w:color="auto"/>
              <w:bottom w:val="nil"/>
              <w:right w:val="nil"/>
            </w:tcBorders>
            <w:noWrap/>
            <w:vAlign w:val="bottom"/>
            <w:hideMark/>
          </w:tcPr>
          <w:p w14:paraId="50836F87"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c>
          <w:tcPr>
            <w:tcW w:w="2274" w:type="dxa"/>
            <w:tcBorders>
              <w:top w:val="nil"/>
              <w:left w:val="nil"/>
              <w:bottom w:val="nil"/>
              <w:right w:val="nil"/>
            </w:tcBorders>
            <w:noWrap/>
            <w:vAlign w:val="bottom"/>
            <w:hideMark/>
          </w:tcPr>
          <w:p w14:paraId="5D5A6C60" w14:textId="77777777" w:rsidR="001854D3" w:rsidRPr="001854D3" w:rsidRDefault="001854D3" w:rsidP="001854D3">
            <w:pPr>
              <w:spacing w:after="0"/>
              <w:jc w:val="left"/>
              <w:rPr>
                <w:rFonts w:cs="Arial"/>
                <w:color w:val="000000"/>
                <w:szCs w:val="24"/>
                <w:lang w:val="en-IN"/>
              </w:rPr>
            </w:pPr>
          </w:p>
        </w:tc>
        <w:tc>
          <w:tcPr>
            <w:tcW w:w="2672" w:type="dxa"/>
            <w:tcBorders>
              <w:top w:val="nil"/>
              <w:left w:val="nil"/>
              <w:bottom w:val="nil"/>
              <w:right w:val="nil"/>
            </w:tcBorders>
            <w:noWrap/>
            <w:vAlign w:val="bottom"/>
            <w:hideMark/>
          </w:tcPr>
          <w:p w14:paraId="70FC9303" w14:textId="77777777" w:rsidR="001854D3" w:rsidRPr="001854D3" w:rsidRDefault="001854D3" w:rsidP="001854D3">
            <w:pPr>
              <w:spacing w:after="0"/>
              <w:jc w:val="left"/>
              <w:rPr>
                <w:rFonts w:cs="Arial"/>
                <w:sz w:val="20"/>
                <w:szCs w:val="20"/>
                <w:lang w:val="en-IN"/>
              </w:rPr>
            </w:pPr>
          </w:p>
        </w:tc>
        <w:tc>
          <w:tcPr>
            <w:tcW w:w="941" w:type="dxa"/>
            <w:tcBorders>
              <w:top w:val="nil"/>
              <w:left w:val="nil"/>
              <w:bottom w:val="nil"/>
              <w:right w:val="single" w:sz="8" w:space="0" w:color="auto"/>
            </w:tcBorders>
            <w:noWrap/>
            <w:vAlign w:val="bottom"/>
            <w:hideMark/>
          </w:tcPr>
          <w:p w14:paraId="24A0C8C3"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12323183" w14:textId="77777777" w:rsidTr="001854D3">
        <w:trPr>
          <w:trHeight w:val="396"/>
          <w:jc w:val="center"/>
        </w:trPr>
        <w:tc>
          <w:tcPr>
            <w:tcW w:w="8340" w:type="dxa"/>
            <w:gridSpan w:val="4"/>
            <w:tcBorders>
              <w:top w:val="single" w:sz="8" w:space="0" w:color="auto"/>
              <w:left w:val="single" w:sz="8" w:space="0" w:color="auto"/>
              <w:bottom w:val="nil"/>
              <w:right w:val="single" w:sz="8" w:space="0" w:color="000000"/>
            </w:tcBorders>
            <w:noWrap/>
            <w:vAlign w:val="bottom"/>
            <w:hideMark/>
          </w:tcPr>
          <w:p w14:paraId="61E46637" w14:textId="77777777" w:rsidR="001854D3" w:rsidRPr="001854D3" w:rsidRDefault="001854D3" w:rsidP="001854D3">
            <w:pPr>
              <w:spacing w:after="0"/>
              <w:jc w:val="center"/>
              <w:rPr>
                <w:rFonts w:cs="Arial"/>
                <w:b/>
                <w:bCs/>
                <w:color w:val="000000"/>
                <w:szCs w:val="24"/>
                <w:lang w:val="en-IN"/>
              </w:rPr>
            </w:pPr>
            <w:r w:rsidRPr="001854D3">
              <w:rPr>
                <w:rFonts w:cs="Arial"/>
                <w:b/>
                <w:bCs/>
                <w:color w:val="000000"/>
                <w:szCs w:val="24"/>
                <w:lang w:val="en-IN"/>
              </w:rPr>
              <w:t>PI</w:t>
            </w:r>
          </w:p>
        </w:tc>
      </w:tr>
      <w:tr w:rsidR="001854D3" w:rsidRPr="001854D3" w14:paraId="2E9BF5D3" w14:textId="77777777" w:rsidTr="001854D3">
        <w:trPr>
          <w:trHeight w:val="396"/>
          <w:jc w:val="center"/>
        </w:trPr>
        <w:tc>
          <w:tcPr>
            <w:tcW w:w="2453" w:type="dxa"/>
            <w:tcBorders>
              <w:top w:val="single" w:sz="4" w:space="0" w:color="auto"/>
              <w:left w:val="single" w:sz="8" w:space="0" w:color="auto"/>
              <w:bottom w:val="single" w:sz="8" w:space="0" w:color="auto"/>
              <w:right w:val="single" w:sz="4" w:space="0" w:color="auto"/>
            </w:tcBorders>
            <w:noWrap/>
            <w:vAlign w:val="bottom"/>
            <w:hideMark/>
          </w:tcPr>
          <w:p w14:paraId="2AA226CA"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PI</w:t>
            </w:r>
          </w:p>
        </w:tc>
        <w:tc>
          <w:tcPr>
            <w:tcW w:w="2274" w:type="dxa"/>
            <w:tcBorders>
              <w:top w:val="single" w:sz="4" w:space="0" w:color="auto"/>
              <w:left w:val="nil"/>
              <w:bottom w:val="single" w:sz="8" w:space="0" w:color="auto"/>
              <w:right w:val="single" w:sz="4" w:space="0" w:color="auto"/>
            </w:tcBorders>
            <w:noWrap/>
            <w:vAlign w:val="bottom"/>
            <w:hideMark/>
          </w:tcPr>
          <w:p w14:paraId="29B6CFB4"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0.76</w:t>
            </w:r>
          </w:p>
        </w:tc>
        <w:tc>
          <w:tcPr>
            <w:tcW w:w="2672" w:type="dxa"/>
            <w:tcBorders>
              <w:top w:val="nil"/>
              <w:left w:val="nil"/>
              <w:bottom w:val="single" w:sz="8" w:space="0" w:color="auto"/>
              <w:right w:val="nil"/>
            </w:tcBorders>
            <w:noWrap/>
            <w:vAlign w:val="bottom"/>
            <w:hideMark/>
          </w:tcPr>
          <w:p w14:paraId="654AE855"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c>
          <w:tcPr>
            <w:tcW w:w="941" w:type="dxa"/>
            <w:tcBorders>
              <w:top w:val="nil"/>
              <w:left w:val="nil"/>
              <w:bottom w:val="single" w:sz="8" w:space="0" w:color="auto"/>
              <w:right w:val="single" w:sz="8" w:space="0" w:color="auto"/>
            </w:tcBorders>
            <w:noWrap/>
            <w:vAlign w:val="bottom"/>
            <w:hideMark/>
          </w:tcPr>
          <w:p w14:paraId="05BFEAB6"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bl>
    <w:p w14:paraId="0F694940" w14:textId="2EE1C769" w:rsidR="001854D3" w:rsidRPr="00D13DB7" w:rsidRDefault="00D34B4D" w:rsidP="00D13DB7">
      <w:pPr>
        <w:jc w:val="center"/>
        <w:rPr>
          <w:rFonts w:cs="Arial"/>
        </w:rPr>
      </w:pPr>
      <w:r w:rsidRPr="00D34B4D">
        <w:rPr>
          <w:rFonts w:cs="Arial"/>
        </w:rPr>
        <w:t>(Source: Refer to the Excel)</w:t>
      </w:r>
    </w:p>
    <w:tbl>
      <w:tblPr>
        <w:tblW w:w="6961" w:type="dxa"/>
        <w:jc w:val="center"/>
        <w:tblLook w:val="04A0" w:firstRow="1" w:lastRow="0" w:firstColumn="1" w:lastColumn="0" w:noHBand="0" w:noVBand="1"/>
      </w:tblPr>
      <w:tblGrid>
        <w:gridCol w:w="2135"/>
        <w:gridCol w:w="1963"/>
        <w:gridCol w:w="2326"/>
        <w:gridCol w:w="537"/>
      </w:tblGrid>
      <w:tr w:rsidR="001854D3" w:rsidRPr="001854D3" w14:paraId="4B61AAE7" w14:textId="77777777" w:rsidTr="00D34B4D">
        <w:trPr>
          <w:trHeight w:val="396"/>
          <w:jc w:val="center"/>
        </w:trPr>
        <w:tc>
          <w:tcPr>
            <w:tcW w:w="6961" w:type="dxa"/>
            <w:gridSpan w:val="4"/>
            <w:tcBorders>
              <w:top w:val="single" w:sz="8" w:space="0" w:color="auto"/>
              <w:left w:val="single" w:sz="8" w:space="0" w:color="auto"/>
              <w:bottom w:val="nil"/>
              <w:right w:val="single" w:sz="8" w:space="0" w:color="000000"/>
            </w:tcBorders>
            <w:noWrap/>
            <w:vAlign w:val="bottom"/>
            <w:hideMark/>
          </w:tcPr>
          <w:p w14:paraId="7D80A5B2" w14:textId="77777777" w:rsidR="001854D3" w:rsidRPr="001854D3" w:rsidRDefault="001854D3" w:rsidP="001854D3">
            <w:pPr>
              <w:spacing w:after="0"/>
              <w:jc w:val="center"/>
              <w:rPr>
                <w:rFonts w:cs="Arial"/>
                <w:b/>
                <w:bCs/>
                <w:color w:val="000000"/>
                <w:szCs w:val="24"/>
                <w:lang w:val="en-IN"/>
              </w:rPr>
            </w:pPr>
            <w:r w:rsidRPr="001854D3">
              <w:rPr>
                <w:rFonts w:cs="Arial"/>
                <w:b/>
                <w:bCs/>
                <w:color w:val="000000"/>
                <w:szCs w:val="24"/>
                <w:lang w:val="en-IN"/>
              </w:rPr>
              <w:t>IRR</w:t>
            </w:r>
          </w:p>
        </w:tc>
      </w:tr>
      <w:tr w:rsidR="001854D3" w:rsidRPr="001854D3" w14:paraId="3DB0749E" w14:textId="77777777" w:rsidTr="00D34B4D">
        <w:trPr>
          <w:trHeight w:val="396"/>
          <w:jc w:val="center"/>
        </w:trPr>
        <w:tc>
          <w:tcPr>
            <w:tcW w:w="2135" w:type="dxa"/>
            <w:tcBorders>
              <w:top w:val="single" w:sz="4" w:space="0" w:color="auto"/>
              <w:left w:val="single" w:sz="8" w:space="0" w:color="auto"/>
              <w:bottom w:val="nil"/>
              <w:right w:val="single" w:sz="4" w:space="0" w:color="auto"/>
            </w:tcBorders>
            <w:noWrap/>
            <w:vAlign w:val="bottom"/>
            <w:hideMark/>
          </w:tcPr>
          <w:p w14:paraId="7CE648E4"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Discount Rate</w:t>
            </w:r>
          </w:p>
        </w:tc>
        <w:tc>
          <w:tcPr>
            <w:tcW w:w="1963" w:type="dxa"/>
            <w:tcBorders>
              <w:top w:val="single" w:sz="4" w:space="0" w:color="auto"/>
              <w:left w:val="nil"/>
              <w:bottom w:val="nil"/>
              <w:right w:val="single" w:sz="4" w:space="0" w:color="auto"/>
            </w:tcBorders>
            <w:noWrap/>
            <w:vAlign w:val="bottom"/>
            <w:hideMark/>
          </w:tcPr>
          <w:p w14:paraId="29873F07"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w:t>
            </w:r>
          </w:p>
        </w:tc>
        <w:tc>
          <w:tcPr>
            <w:tcW w:w="2326" w:type="dxa"/>
            <w:tcBorders>
              <w:top w:val="nil"/>
              <w:left w:val="nil"/>
              <w:bottom w:val="nil"/>
              <w:right w:val="nil"/>
            </w:tcBorders>
            <w:noWrap/>
            <w:vAlign w:val="bottom"/>
            <w:hideMark/>
          </w:tcPr>
          <w:p w14:paraId="4489AE1C" w14:textId="77777777" w:rsidR="001854D3" w:rsidRPr="001854D3" w:rsidRDefault="001854D3" w:rsidP="001854D3">
            <w:pPr>
              <w:spacing w:after="0"/>
              <w:jc w:val="right"/>
              <w:rPr>
                <w:rFonts w:cs="Arial"/>
                <w:color w:val="000000"/>
                <w:szCs w:val="24"/>
                <w:lang w:val="en-IN"/>
              </w:rPr>
            </w:pPr>
          </w:p>
        </w:tc>
        <w:tc>
          <w:tcPr>
            <w:tcW w:w="537" w:type="dxa"/>
            <w:tcBorders>
              <w:top w:val="nil"/>
              <w:left w:val="nil"/>
              <w:bottom w:val="nil"/>
              <w:right w:val="single" w:sz="8" w:space="0" w:color="auto"/>
            </w:tcBorders>
            <w:noWrap/>
            <w:vAlign w:val="bottom"/>
            <w:hideMark/>
          </w:tcPr>
          <w:p w14:paraId="70E93558"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2DB9E7CE" w14:textId="77777777" w:rsidTr="00D34B4D">
        <w:trPr>
          <w:trHeight w:val="396"/>
          <w:jc w:val="center"/>
        </w:trPr>
        <w:tc>
          <w:tcPr>
            <w:tcW w:w="2135" w:type="dxa"/>
            <w:tcBorders>
              <w:top w:val="single" w:sz="4" w:space="0" w:color="auto"/>
              <w:left w:val="single" w:sz="8" w:space="0" w:color="auto"/>
              <w:bottom w:val="single" w:sz="4" w:space="0" w:color="auto"/>
              <w:right w:val="single" w:sz="4" w:space="0" w:color="auto"/>
            </w:tcBorders>
            <w:noWrap/>
            <w:vAlign w:val="bottom"/>
            <w:hideMark/>
          </w:tcPr>
          <w:p w14:paraId="3576B0C8"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Year</w:t>
            </w:r>
          </w:p>
        </w:tc>
        <w:tc>
          <w:tcPr>
            <w:tcW w:w="1963" w:type="dxa"/>
            <w:tcBorders>
              <w:top w:val="single" w:sz="4" w:space="0" w:color="auto"/>
              <w:left w:val="nil"/>
              <w:bottom w:val="single" w:sz="4" w:space="0" w:color="auto"/>
              <w:right w:val="single" w:sz="4" w:space="0" w:color="auto"/>
            </w:tcBorders>
            <w:noWrap/>
            <w:vAlign w:val="bottom"/>
            <w:hideMark/>
          </w:tcPr>
          <w:p w14:paraId="2568CB44" w14:textId="5DA82ED9"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Formula</w:t>
            </w:r>
          </w:p>
        </w:tc>
        <w:tc>
          <w:tcPr>
            <w:tcW w:w="2326" w:type="dxa"/>
            <w:tcBorders>
              <w:top w:val="single" w:sz="4" w:space="0" w:color="auto"/>
              <w:left w:val="nil"/>
              <w:bottom w:val="single" w:sz="4" w:space="0" w:color="auto"/>
              <w:right w:val="single" w:sz="4" w:space="0" w:color="auto"/>
            </w:tcBorders>
            <w:noWrap/>
            <w:vAlign w:val="bottom"/>
            <w:hideMark/>
          </w:tcPr>
          <w:p w14:paraId="404AA4AE"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Discount factor</w:t>
            </w:r>
          </w:p>
        </w:tc>
        <w:tc>
          <w:tcPr>
            <w:tcW w:w="537" w:type="dxa"/>
            <w:tcBorders>
              <w:top w:val="single" w:sz="4" w:space="0" w:color="auto"/>
              <w:left w:val="nil"/>
              <w:bottom w:val="single" w:sz="4" w:space="0" w:color="auto"/>
              <w:right w:val="single" w:sz="8" w:space="0" w:color="auto"/>
            </w:tcBorders>
            <w:noWrap/>
            <w:vAlign w:val="bottom"/>
            <w:hideMark/>
          </w:tcPr>
          <w:p w14:paraId="0A9C6ACD"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PV</w:t>
            </w:r>
          </w:p>
        </w:tc>
      </w:tr>
      <w:tr w:rsidR="001854D3" w:rsidRPr="001854D3" w14:paraId="7AAA0474" w14:textId="77777777" w:rsidTr="00D34B4D">
        <w:trPr>
          <w:trHeight w:val="396"/>
          <w:jc w:val="center"/>
        </w:trPr>
        <w:tc>
          <w:tcPr>
            <w:tcW w:w="2135" w:type="dxa"/>
            <w:tcBorders>
              <w:top w:val="nil"/>
              <w:left w:val="single" w:sz="8" w:space="0" w:color="auto"/>
              <w:bottom w:val="single" w:sz="4" w:space="0" w:color="auto"/>
              <w:right w:val="single" w:sz="4" w:space="0" w:color="auto"/>
            </w:tcBorders>
            <w:noWrap/>
            <w:vAlign w:val="bottom"/>
            <w:hideMark/>
          </w:tcPr>
          <w:p w14:paraId="4FFE9F8E"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w:t>
            </w:r>
          </w:p>
        </w:tc>
        <w:tc>
          <w:tcPr>
            <w:tcW w:w="1963" w:type="dxa"/>
            <w:tcBorders>
              <w:top w:val="nil"/>
              <w:left w:val="nil"/>
              <w:bottom w:val="single" w:sz="4" w:space="0" w:color="auto"/>
              <w:right w:val="single" w:sz="4" w:space="0" w:color="auto"/>
            </w:tcBorders>
            <w:noWrap/>
            <w:vAlign w:val="bottom"/>
            <w:hideMark/>
          </w:tcPr>
          <w:p w14:paraId="763BDCA1" w14:textId="77777777" w:rsidR="001854D3" w:rsidRPr="001854D3" w:rsidRDefault="001854D3" w:rsidP="001854D3">
            <w:pPr>
              <w:spacing w:after="0"/>
              <w:jc w:val="center"/>
              <w:rPr>
                <w:rFonts w:cs="Arial"/>
                <w:color w:val="000000"/>
                <w:szCs w:val="24"/>
                <w:lang w:val="en-IN"/>
              </w:rPr>
            </w:pPr>
            <w:r w:rsidRPr="001854D3">
              <w:rPr>
                <w:rFonts w:cs="Arial"/>
                <w:color w:val="000000"/>
                <w:szCs w:val="24"/>
                <w:lang w:val="en-IN"/>
              </w:rPr>
              <w:t>[1</w:t>
            </w:r>
            <w:proofErr w:type="gramStart"/>
            <w:r w:rsidRPr="001854D3">
              <w:rPr>
                <w:rFonts w:cs="Arial"/>
                <w:color w:val="000000"/>
                <w:szCs w:val="24"/>
                <w:lang w:val="en-IN"/>
              </w:rPr>
              <w:t>/(</w:t>
            </w:r>
            <w:proofErr w:type="gramEnd"/>
            <w:r w:rsidRPr="001854D3">
              <w:rPr>
                <w:rFonts w:cs="Arial"/>
                <w:color w:val="000000"/>
                <w:szCs w:val="24"/>
                <w:lang w:val="en-IN"/>
              </w:rPr>
              <w:t>1+1%</w:t>
            </w:r>
            <w:proofErr w:type="gramStart"/>
            <w:r w:rsidRPr="001854D3">
              <w:rPr>
                <w:rFonts w:cs="Arial"/>
                <w:color w:val="000000"/>
                <w:szCs w:val="24"/>
                <w:lang w:val="en-IN"/>
              </w:rPr>
              <w:t>)]^</w:t>
            </w:r>
            <w:proofErr w:type="gramEnd"/>
            <w:r w:rsidRPr="001854D3">
              <w:rPr>
                <w:rFonts w:cs="Arial"/>
                <w:color w:val="000000"/>
                <w:szCs w:val="24"/>
                <w:lang w:val="en-IN"/>
              </w:rPr>
              <w:t>1</w:t>
            </w:r>
          </w:p>
        </w:tc>
        <w:tc>
          <w:tcPr>
            <w:tcW w:w="2326" w:type="dxa"/>
            <w:tcBorders>
              <w:top w:val="nil"/>
              <w:left w:val="nil"/>
              <w:bottom w:val="single" w:sz="4" w:space="0" w:color="auto"/>
              <w:right w:val="single" w:sz="4" w:space="0" w:color="auto"/>
            </w:tcBorders>
            <w:noWrap/>
            <w:vAlign w:val="bottom"/>
            <w:hideMark/>
          </w:tcPr>
          <w:p w14:paraId="718C08B7"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w:t>
            </w:r>
          </w:p>
        </w:tc>
        <w:tc>
          <w:tcPr>
            <w:tcW w:w="537" w:type="dxa"/>
            <w:tcBorders>
              <w:top w:val="nil"/>
              <w:left w:val="nil"/>
              <w:bottom w:val="single" w:sz="4" w:space="0" w:color="auto"/>
              <w:right w:val="single" w:sz="8" w:space="0" w:color="auto"/>
            </w:tcBorders>
            <w:noWrap/>
            <w:vAlign w:val="bottom"/>
            <w:hideMark/>
          </w:tcPr>
          <w:p w14:paraId="24375AFB"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6</w:t>
            </w:r>
          </w:p>
        </w:tc>
      </w:tr>
      <w:tr w:rsidR="001854D3" w:rsidRPr="001854D3" w14:paraId="4EC16DB2" w14:textId="77777777" w:rsidTr="00D34B4D">
        <w:trPr>
          <w:trHeight w:val="396"/>
          <w:jc w:val="center"/>
        </w:trPr>
        <w:tc>
          <w:tcPr>
            <w:tcW w:w="2135" w:type="dxa"/>
            <w:tcBorders>
              <w:top w:val="nil"/>
              <w:left w:val="single" w:sz="8" w:space="0" w:color="auto"/>
              <w:bottom w:val="single" w:sz="4" w:space="0" w:color="auto"/>
              <w:right w:val="single" w:sz="4" w:space="0" w:color="auto"/>
            </w:tcBorders>
            <w:noWrap/>
            <w:vAlign w:val="bottom"/>
            <w:hideMark/>
          </w:tcPr>
          <w:p w14:paraId="6779DBF6"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2</w:t>
            </w:r>
          </w:p>
        </w:tc>
        <w:tc>
          <w:tcPr>
            <w:tcW w:w="1963" w:type="dxa"/>
            <w:tcBorders>
              <w:top w:val="nil"/>
              <w:left w:val="nil"/>
              <w:bottom w:val="single" w:sz="4" w:space="0" w:color="auto"/>
              <w:right w:val="single" w:sz="4" w:space="0" w:color="auto"/>
            </w:tcBorders>
            <w:noWrap/>
            <w:vAlign w:val="bottom"/>
            <w:hideMark/>
          </w:tcPr>
          <w:p w14:paraId="48F85617" w14:textId="77777777" w:rsidR="001854D3" w:rsidRPr="001854D3" w:rsidRDefault="001854D3" w:rsidP="001854D3">
            <w:pPr>
              <w:spacing w:after="0"/>
              <w:jc w:val="center"/>
              <w:rPr>
                <w:rFonts w:cs="Arial"/>
                <w:color w:val="000000"/>
                <w:szCs w:val="24"/>
                <w:lang w:val="en-IN"/>
              </w:rPr>
            </w:pPr>
            <w:r w:rsidRPr="001854D3">
              <w:rPr>
                <w:rFonts w:cs="Arial"/>
                <w:color w:val="000000"/>
                <w:szCs w:val="24"/>
                <w:lang w:val="en-IN"/>
              </w:rPr>
              <w:t>[1</w:t>
            </w:r>
            <w:proofErr w:type="gramStart"/>
            <w:r w:rsidRPr="001854D3">
              <w:rPr>
                <w:rFonts w:cs="Arial"/>
                <w:color w:val="000000"/>
                <w:szCs w:val="24"/>
                <w:lang w:val="en-IN"/>
              </w:rPr>
              <w:t>/(</w:t>
            </w:r>
            <w:proofErr w:type="gramEnd"/>
            <w:r w:rsidRPr="001854D3">
              <w:rPr>
                <w:rFonts w:cs="Arial"/>
                <w:color w:val="000000"/>
                <w:szCs w:val="24"/>
                <w:lang w:val="en-IN"/>
              </w:rPr>
              <w:t>1+1%</w:t>
            </w:r>
            <w:proofErr w:type="gramStart"/>
            <w:r w:rsidRPr="001854D3">
              <w:rPr>
                <w:rFonts w:cs="Arial"/>
                <w:color w:val="000000"/>
                <w:szCs w:val="24"/>
                <w:lang w:val="en-IN"/>
              </w:rPr>
              <w:t>)]^</w:t>
            </w:r>
            <w:proofErr w:type="gramEnd"/>
            <w:r w:rsidRPr="001854D3">
              <w:rPr>
                <w:rFonts w:cs="Arial"/>
                <w:color w:val="000000"/>
                <w:szCs w:val="24"/>
                <w:lang w:val="en-IN"/>
              </w:rPr>
              <w:t>2</w:t>
            </w:r>
          </w:p>
        </w:tc>
        <w:tc>
          <w:tcPr>
            <w:tcW w:w="2326" w:type="dxa"/>
            <w:tcBorders>
              <w:top w:val="nil"/>
              <w:left w:val="nil"/>
              <w:bottom w:val="single" w:sz="4" w:space="0" w:color="auto"/>
              <w:right w:val="single" w:sz="4" w:space="0" w:color="auto"/>
            </w:tcBorders>
            <w:noWrap/>
            <w:vAlign w:val="bottom"/>
            <w:hideMark/>
          </w:tcPr>
          <w:p w14:paraId="7A0B9581"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w:t>
            </w:r>
          </w:p>
        </w:tc>
        <w:tc>
          <w:tcPr>
            <w:tcW w:w="537" w:type="dxa"/>
            <w:tcBorders>
              <w:top w:val="nil"/>
              <w:left w:val="nil"/>
              <w:bottom w:val="single" w:sz="4" w:space="0" w:color="auto"/>
              <w:right w:val="single" w:sz="8" w:space="0" w:color="auto"/>
            </w:tcBorders>
            <w:noWrap/>
            <w:vAlign w:val="bottom"/>
            <w:hideMark/>
          </w:tcPr>
          <w:p w14:paraId="29737E4F"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6</w:t>
            </w:r>
          </w:p>
        </w:tc>
      </w:tr>
      <w:tr w:rsidR="001854D3" w:rsidRPr="001854D3" w14:paraId="04739DB2" w14:textId="77777777" w:rsidTr="00D34B4D">
        <w:trPr>
          <w:trHeight w:val="396"/>
          <w:jc w:val="center"/>
        </w:trPr>
        <w:tc>
          <w:tcPr>
            <w:tcW w:w="2135" w:type="dxa"/>
            <w:tcBorders>
              <w:top w:val="nil"/>
              <w:left w:val="single" w:sz="8" w:space="0" w:color="auto"/>
              <w:bottom w:val="single" w:sz="4" w:space="0" w:color="auto"/>
              <w:right w:val="single" w:sz="4" w:space="0" w:color="auto"/>
            </w:tcBorders>
            <w:noWrap/>
            <w:vAlign w:val="bottom"/>
            <w:hideMark/>
          </w:tcPr>
          <w:p w14:paraId="6D9A2D10"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3</w:t>
            </w:r>
          </w:p>
        </w:tc>
        <w:tc>
          <w:tcPr>
            <w:tcW w:w="1963" w:type="dxa"/>
            <w:tcBorders>
              <w:top w:val="nil"/>
              <w:left w:val="nil"/>
              <w:bottom w:val="single" w:sz="4" w:space="0" w:color="auto"/>
              <w:right w:val="single" w:sz="4" w:space="0" w:color="auto"/>
            </w:tcBorders>
            <w:noWrap/>
            <w:vAlign w:val="bottom"/>
            <w:hideMark/>
          </w:tcPr>
          <w:p w14:paraId="4EBFB220" w14:textId="77777777" w:rsidR="001854D3" w:rsidRPr="001854D3" w:rsidRDefault="001854D3" w:rsidP="001854D3">
            <w:pPr>
              <w:spacing w:after="0"/>
              <w:jc w:val="center"/>
              <w:rPr>
                <w:rFonts w:cs="Arial"/>
                <w:color w:val="000000"/>
                <w:szCs w:val="24"/>
                <w:lang w:val="en-IN"/>
              </w:rPr>
            </w:pPr>
            <w:r w:rsidRPr="001854D3">
              <w:rPr>
                <w:rFonts w:cs="Arial"/>
                <w:color w:val="000000"/>
                <w:szCs w:val="24"/>
                <w:lang w:val="en-IN"/>
              </w:rPr>
              <w:t>[1</w:t>
            </w:r>
            <w:proofErr w:type="gramStart"/>
            <w:r w:rsidRPr="001854D3">
              <w:rPr>
                <w:rFonts w:cs="Arial"/>
                <w:color w:val="000000"/>
                <w:szCs w:val="24"/>
                <w:lang w:val="en-IN"/>
              </w:rPr>
              <w:t>/(</w:t>
            </w:r>
            <w:proofErr w:type="gramEnd"/>
            <w:r w:rsidRPr="001854D3">
              <w:rPr>
                <w:rFonts w:cs="Arial"/>
                <w:color w:val="000000"/>
                <w:szCs w:val="24"/>
                <w:lang w:val="en-IN"/>
              </w:rPr>
              <w:t>1+1%</w:t>
            </w:r>
            <w:proofErr w:type="gramStart"/>
            <w:r w:rsidRPr="001854D3">
              <w:rPr>
                <w:rFonts w:cs="Arial"/>
                <w:color w:val="000000"/>
                <w:szCs w:val="24"/>
                <w:lang w:val="en-IN"/>
              </w:rPr>
              <w:t>)]^</w:t>
            </w:r>
            <w:proofErr w:type="gramEnd"/>
            <w:r w:rsidRPr="001854D3">
              <w:rPr>
                <w:rFonts w:cs="Arial"/>
                <w:color w:val="000000"/>
                <w:szCs w:val="24"/>
                <w:lang w:val="en-IN"/>
              </w:rPr>
              <w:t>3</w:t>
            </w:r>
          </w:p>
        </w:tc>
        <w:tc>
          <w:tcPr>
            <w:tcW w:w="2326" w:type="dxa"/>
            <w:tcBorders>
              <w:top w:val="nil"/>
              <w:left w:val="nil"/>
              <w:bottom w:val="single" w:sz="4" w:space="0" w:color="auto"/>
              <w:right w:val="single" w:sz="4" w:space="0" w:color="auto"/>
            </w:tcBorders>
            <w:noWrap/>
            <w:vAlign w:val="bottom"/>
            <w:hideMark/>
          </w:tcPr>
          <w:p w14:paraId="2B216472"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w:t>
            </w:r>
          </w:p>
        </w:tc>
        <w:tc>
          <w:tcPr>
            <w:tcW w:w="537" w:type="dxa"/>
            <w:tcBorders>
              <w:top w:val="nil"/>
              <w:left w:val="nil"/>
              <w:bottom w:val="single" w:sz="4" w:space="0" w:color="auto"/>
              <w:right w:val="single" w:sz="8" w:space="0" w:color="auto"/>
            </w:tcBorders>
            <w:noWrap/>
            <w:vAlign w:val="bottom"/>
            <w:hideMark/>
          </w:tcPr>
          <w:p w14:paraId="3B1735B1"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6</w:t>
            </w:r>
          </w:p>
        </w:tc>
      </w:tr>
      <w:tr w:rsidR="001854D3" w:rsidRPr="001854D3" w14:paraId="0ED68DA4" w14:textId="77777777" w:rsidTr="00D34B4D">
        <w:trPr>
          <w:trHeight w:val="396"/>
          <w:jc w:val="center"/>
        </w:trPr>
        <w:tc>
          <w:tcPr>
            <w:tcW w:w="2135" w:type="dxa"/>
            <w:tcBorders>
              <w:top w:val="nil"/>
              <w:left w:val="single" w:sz="8" w:space="0" w:color="auto"/>
              <w:bottom w:val="single" w:sz="4" w:space="0" w:color="auto"/>
              <w:right w:val="single" w:sz="4" w:space="0" w:color="auto"/>
            </w:tcBorders>
            <w:noWrap/>
            <w:vAlign w:val="bottom"/>
            <w:hideMark/>
          </w:tcPr>
          <w:p w14:paraId="627579B2"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4</w:t>
            </w:r>
          </w:p>
        </w:tc>
        <w:tc>
          <w:tcPr>
            <w:tcW w:w="1963" w:type="dxa"/>
            <w:tcBorders>
              <w:top w:val="nil"/>
              <w:left w:val="nil"/>
              <w:bottom w:val="single" w:sz="4" w:space="0" w:color="auto"/>
              <w:right w:val="single" w:sz="4" w:space="0" w:color="auto"/>
            </w:tcBorders>
            <w:noWrap/>
            <w:vAlign w:val="bottom"/>
            <w:hideMark/>
          </w:tcPr>
          <w:p w14:paraId="4FCA9F2B" w14:textId="77777777" w:rsidR="001854D3" w:rsidRPr="001854D3" w:rsidRDefault="001854D3" w:rsidP="001854D3">
            <w:pPr>
              <w:spacing w:after="0"/>
              <w:jc w:val="center"/>
              <w:rPr>
                <w:rFonts w:cs="Arial"/>
                <w:color w:val="000000"/>
                <w:szCs w:val="24"/>
                <w:lang w:val="en-IN"/>
              </w:rPr>
            </w:pPr>
            <w:r w:rsidRPr="001854D3">
              <w:rPr>
                <w:rFonts w:cs="Arial"/>
                <w:color w:val="000000"/>
                <w:szCs w:val="24"/>
                <w:lang w:val="en-IN"/>
              </w:rPr>
              <w:t>[1</w:t>
            </w:r>
            <w:proofErr w:type="gramStart"/>
            <w:r w:rsidRPr="001854D3">
              <w:rPr>
                <w:rFonts w:cs="Arial"/>
                <w:color w:val="000000"/>
                <w:szCs w:val="24"/>
                <w:lang w:val="en-IN"/>
              </w:rPr>
              <w:t>/(</w:t>
            </w:r>
            <w:proofErr w:type="gramEnd"/>
            <w:r w:rsidRPr="001854D3">
              <w:rPr>
                <w:rFonts w:cs="Arial"/>
                <w:color w:val="000000"/>
                <w:szCs w:val="24"/>
                <w:lang w:val="en-IN"/>
              </w:rPr>
              <w:t>1+1%</w:t>
            </w:r>
            <w:proofErr w:type="gramStart"/>
            <w:r w:rsidRPr="001854D3">
              <w:rPr>
                <w:rFonts w:cs="Arial"/>
                <w:color w:val="000000"/>
                <w:szCs w:val="24"/>
                <w:lang w:val="en-IN"/>
              </w:rPr>
              <w:t>)]^</w:t>
            </w:r>
            <w:proofErr w:type="gramEnd"/>
            <w:r w:rsidRPr="001854D3">
              <w:rPr>
                <w:rFonts w:cs="Arial"/>
                <w:color w:val="000000"/>
                <w:szCs w:val="24"/>
                <w:lang w:val="en-IN"/>
              </w:rPr>
              <w:t>4</w:t>
            </w:r>
          </w:p>
        </w:tc>
        <w:tc>
          <w:tcPr>
            <w:tcW w:w="2326" w:type="dxa"/>
            <w:tcBorders>
              <w:top w:val="nil"/>
              <w:left w:val="nil"/>
              <w:bottom w:val="single" w:sz="4" w:space="0" w:color="auto"/>
              <w:right w:val="single" w:sz="4" w:space="0" w:color="auto"/>
            </w:tcBorders>
            <w:noWrap/>
            <w:vAlign w:val="bottom"/>
            <w:hideMark/>
          </w:tcPr>
          <w:p w14:paraId="2B4917FA"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w:t>
            </w:r>
          </w:p>
        </w:tc>
        <w:tc>
          <w:tcPr>
            <w:tcW w:w="537" w:type="dxa"/>
            <w:tcBorders>
              <w:top w:val="nil"/>
              <w:left w:val="nil"/>
              <w:bottom w:val="single" w:sz="4" w:space="0" w:color="auto"/>
              <w:right w:val="single" w:sz="8" w:space="0" w:color="auto"/>
            </w:tcBorders>
            <w:noWrap/>
            <w:vAlign w:val="bottom"/>
            <w:hideMark/>
          </w:tcPr>
          <w:p w14:paraId="2E29A61E"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6</w:t>
            </w:r>
          </w:p>
        </w:tc>
      </w:tr>
      <w:tr w:rsidR="001854D3" w:rsidRPr="001854D3" w14:paraId="502B9052" w14:textId="77777777" w:rsidTr="00D34B4D">
        <w:trPr>
          <w:trHeight w:val="396"/>
          <w:jc w:val="center"/>
        </w:trPr>
        <w:tc>
          <w:tcPr>
            <w:tcW w:w="2135" w:type="dxa"/>
            <w:tcBorders>
              <w:top w:val="nil"/>
              <w:left w:val="single" w:sz="8" w:space="0" w:color="auto"/>
              <w:bottom w:val="single" w:sz="4" w:space="0" w:color="auto"/>
              <w:right w:val="single" w:sz="4" w:space="0" w:color="auto"/>
            </w:tcBorders>
            <w:noWrap/>
            <w:vAlign w:val="bottom"/>
            <w:hideMark/>
          </w:tcPr>
          <w:p w14:paraId="58047DA8"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5</w:t>
            </w:r>
          </w:p>
        </w:tc>
        <w:tc>
          <w:tcPr>
            <w:tcW w:w="1963" w:type="dxa"/>
            <w:tcBorders>
              <w:top w:val="nil"/>
              <w:left w:val="nil"/>
              <w:bottom w:val="single" w:sz="4" w:space="0" w:color="auto"/>
              <w:right w:val="single" w:sz="4" w:space="0" w:color="auto"/>
            </w:tcBorders>
            <w:noWrap/>
            <w:vAlign w:val="bottom"/>
            <w:hideMark/>
          </w:tcPr>
          <w:p w14:paraId="3F556EE6" w14:textId="77777777" w:rsidR="001854D3" w:rsidRPr="001854D3" w:rsidRDefault="001854D3" w:rsidP="001854D3">
            <w:pPr>
              <w:spacing w:after="0"/>
              <w:jc w:val="center"/>
              <w:rPr>
                <w:rFonts w:cs="Arial"/>
                <w:color w:val="000000"/>
                <w:szCs w:val="24"/>
                <w:lang w:val="en-IN"/>
              </w:rPr>
            </w:pPr>
            <w:r w:rsidRPr="001854D3">
              <w:rPr>
                <w:rFonts w:cs="Arial"/>
                <w:color w:val="000000"/>
                <w:szCs w:val="24"/>
                <w:lang w:val="en-IN"/>
              </w:rPr>
              <w:t>[1</w:t>
            </w:r>
            <w:proofErr w:type="gramStart"/>
            <w:r w:rsidRPr="001854D3">
              <w:rPr>
                <w:rFonts w:cs="Arial"/>
                <w:color w:val="000000"/>
                <w:szCs w:val="24"/>
                <w:lang w:val="en-IN"/>
              </w:rPr>
              <w:t>/(</w:t>
            </w:r>
            <w:proofErr w:type="gramEnd"/>
            <w:r w:rsidRPr="001854D3">
              <w:rPr>
                <w:rFonts w:cs="Arial"/>
                <w:color w:val="000000"/>
                <w:szCs w:val="24"/>
                <w:lang w:val="en-IN"/>
              </w:rPr>
              <w:t>1+1%</w:t>
            </w:r>
            <w:proofErr w:type="gramStart"/>
            <w:r w:rsidRPr="001854D3">
              <w:rPr>
                <w:rFonts w:cs="Arial"/>
                <w:color w:val="000000"/>
                <w:szCs w:val="24"/>
                <w:lang w:val="en-IN"/>
              </w:rPr>
              <w:t>)]^</w:t>
            </w:r>
            <w:proofErr w:type="gramEnd"/>
            <w:r w:rsidRPr="001854D3">
              <w:rPr>
                <w:rFonts w:cs="Arial"/>
                <w:color w:val="000000"/>
                <w:szCs w:val="24"/>
                <w:lang w:val="en-IN"/>
              </w:rPr>
              <w:t>5</w:t>
            </w:r>
          </w:p>
        </w:tc>
        <w:tc>
          <w:tcPr>
            <w:tcW w:w="2326" w:type="dxa"/>
            <w:tcBorders>
              <w:top w:val="nil"/>
              <w:left w:val="nil"/>
              <w:bottom w:val="single" w:sz="4" w:space="0" w:color="auto"/>
              <w:right w:val="single" w:sz="4" w:space="0" w:color="auto"/>
            </w:tcBorders>
            <w:noWrap/>
            <w:vAlign w:val="bottom"/>
            <w:hideMark/>
          </w:tcPr>
          <w:p w14:paraId="4B8C315D"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w:t>
            </w:r>
          </w:p>
        </w:tc>
        <w:tc>
          <w:tcPr>
            <w:tcW w:w="537" w:type="dxa"/>
            <w:tcBorders>
              <w:top w:val="nil"/>
              <w:left w:val="nil"/>
              <w:bottom w:val="single" w:sz="4" w:space="0" w:color="auto"/>
              <w:right w:val="single" w:sz="8" w:space="0" w:color="auto"/>
            </w:tcBorders>
            <w:noWrap/>
            <w:vAlign w:val="bottom"/>
            <w:hideMark/>
          </w:tcPr>
          <w:p w14:paraId="5C4EA562"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6</w:t>
            </w:r>
          </w:p>
        </w:tc>
      </w:tr>
      <w:tr w:rsidR="001854D3" w:rsidRPr="001854D3" w14:paraId="01F99C4D" w14:textId="77777777" w:rsidTr="00D34B4D">
        <w:trPr>
          <w:trHeight w:val="396"/>
          <w:jc w:val="center"/>
        </w:trPr>
        <w:tc>
          <w:tcPr>
            <w:tcW w:w="2135" w:type="dxa"/>
            <w:tcBorders>
              <w:top w:val="nil"/>
              <w:left w:val="single" w:sz="8" w:space="0" w:color="auto"/>
              <w:bottom w:val="single" w:sz="4" w:space="0" w:color="auto"/>
              <w:right w:val="single" w:sz="4" w:space="0" w:color="auto"/>
            </w:tcBorders>
            <w:noWrap/>
            <w:vAlign w:val="bottom"/>
            <w:hideMark/>
          </w:tcPr>
          <w:p w14:paraId="324C6CF6"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c>
          <w:tcPr>
            <w:tcW w:w="1963" w:type="dxa"/>
            <w:tcBorders>
              <w:top w:val="nil"/>
              <w:left w:val="nil"/>
              <w:bottom w:val="single" w:sz="4" w:space="0" w:color="auto"/>
              <w:right w:val="single" w:sz="4" w:space="0" w:color="auto"/>
            </w:tcBorders>
            <w:noWrap/>
            <w:vAlign w:val="bottom"/>
            <w:hideMark/>
          </w:tcPr>
          <w:p w14:paraId="38FCE4AC"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c>
          <w:tcPr>
            <w:tcW w:w="2326" w:type="dxa"/>
            <w:tcBorders>
              <w:top w:val="nil"/>
              <w:left w:val="nil"/>
              <w:bottom w:val="single" w:sz="4" w:space="0" w:color="auto"/>
              <w:right w:val="single" w:sz="4" w:space="0" w:color="auto"/>
            </w:tcBorders>
            <w:noWrap/>
            <w:vAlign w:val="bottom"/>
            <w:hideMark/>
          </w:tcPr>
          <w:p w14:paraId="58DD6304"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c>
          <w:tcPr>
            <w:tcW w:w="537" w:type="dxa"/>
            <w:tcBorders>
              <w:top w:val="nil"/>
              <w:left w:val="nil"/>
              <w:bottom w:val="single" w:sz="4" w:space="0" w:color="auto"/>
              <w:right w:val="single" w:sz="8" w:space="0" w:color="auto"/>
            </w:tcBorders>
            <w:noWrap/>
            <w:vAlign w:val="bottom"/>
            <w:hideMark/>
          </w:tcPr>
          <w:p w14:paraId="402C63B3" w14:textId="77777777" w:rsidR="001854D3" w:rsidRPr="001854D3" w:rsidRDefault="001854D3" w:rsidP="001854D3">
            <w:pPr>
              <w:spacing w:after="0"/>
              <w:jc w:val="right"/>
              <w:rPr>
                <w:rFonts w:cs="Arial"/>
                <w:b/>
                <w:bCs/>
                <w:color w:val="000000"/>
                <w:szCs w:val="24"/>
                <w:lang w:val="en-IN"/>
              </w:rPr>
            </w:pPr>
            <w:r w:rsidRPr="001854D3">
              <w:rPr>
                <w:rFonts w:cs="Arial"/>
                <w:b/>
                <w:bCs/>
                <w:color w:val="000000"/>
                <w:szCs w:val="24"/>
                <w:lang w:val="en-IN"/>
              </w:rPr>
              <w:t>30</w:t>
            </w:r>
          </w:p>
        </w:tc>
      </w:tr>
      <w:tr w:rsidR="001854D3" w:rsidRPr="001854D3" w14:paraId="72CC4869" w14:textId="77777777" w:rsidTr="00D34B4D">
        <w:trPr>
          <w:trHeight w:val="396"/>
          <w:jc w:val="center"/>
        </w:trPr>
        <w:tc>
          <w:tcPr>
            <w:tcW w:w="2135" w:type="dxa"/>
            <w:tcBorders>
              <w:top w:val="nil"/>
              <w:left w:val="single" w:sz="8" w:space="0" w:color="auto"/>
              <w:bottom w:val="single" w:sz="4" w:space="0" w:color="auto"/>
              <w:right w:val="single" w:sz="4" w:space="0" w:color="auto"/>
            </w:tcBorders>
            <w:noWrap/>
            <w:vAlign w:val="bottom"/>
            <w:hideMark/>
          </w:tcPr>
          <w:p w14:paraId="5FEDFA61"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NPV</w:t>
            </w:r>
          </w:p>
        </w:tc>
        <w:tc>
          <w:tcPr>
            <w:tcW w:w="1963" w:type="dxa"/>
            <w:tcBorders>
              <w:top w:val="nil"/>
              <w:left w:val="nil"/>
              <w:bottom w:val="single" w:sz="4" w:space="0" w:color="auto"/>
              <w:right w:val="single" w:sz="4" w:space="0" w:color="auto"/>
            </w:tcBorders>
            <w:noWrap/>
            <w:vAlign w:val="bottom"/>
            <w:hideMark/>
          </w:tcPr>
          <w:p w14:paraId="47AB5539" w14:textId="77777777" w:rsidR="001854D3" w:rsidRPr="001854D3" w:rsidRDefault="001854D3" w:rsidP="001854D3">
            <w:pPr>
              <w:spacing w:after="0"/>
              <w:jc w:val="right"/>
              <w:rPr>
                <w:rFonts w:cs="Arial"/>
                <w:b/>
                <w:bCs/>
                <w:color w:val="000000"/>
                <w:szCs w:val="24"/>
                <w:lang w:val="en-IN"/>
              </w:rPr>
            </w:pPr>
            <w:r w:rsidRPr="001854D3">
              <w:rPr>
                <w:rFonts w:cs="Arial"/>
                <w:b/>
                <w:bCs/>
                <w:color w:val="000000"/>
                <w:szCs w:val="24"/>
                <w:lang w:val="en-IN"/>
              </w:rPr>
              <w:t>0</w:t>
            </w:r>
          </w:p>
        </w:tc>
        <w:tc>
          <w:tcPr>
            <w:tcW w:w="2326" w:type="dxa"/>
            <w:tcBorders>
              <w:top w:val="nil"/>
              <w:left w:val="nil"/>
              <w:bottom w:val="single" w:sz="4" w:space="0" w:color="auto"/>
              <w:right w:val="single" w:sz="4" w:space="0" w:color="auto"/>
            </w:tcBorders>
            <w:noWrap/>
            <w:vAlign w:val="bottom"/>
            <w:hideMark/>
          </w:tcPr>
          <w:p w14:paraId="12F15176"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c>
          <w:tcPr>
            <w:tcW w:w="537" w:type="dxa"/>
            <w:tcBorders>
              <w:top w:val="nil"/>
              <w:left w:val="nil"/>
              <w:bottom w:val="single" w:sz="4" w:space="0" w:color="auto"/>
              <w:right w:val="single" w:sz="8" w:space="0" w:color="auto"/>
            </w:tcBorders>
            <w:noWrap/>
            <w:vAlign w:val="bottom"/>
            <w:hideMark/>
          </w:tcPr>
          <w:p w14:paraId="4ECEE8F8"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3039CCDE" w14:textId="77777777" w:rsidTr="00D34B4D">
        <w:trPr>
          <w:trHeight w:val="396"/>
          <w:jc w:val="center"/>
        </w:trPr>
        <w:tc>
          <w:tcPr>
            <w:tcW w:w="2135" w:type="dxa"/>
            <w:tcBorders>
              <w:top w:val="nil"/>
              <w:left w:val="single" w:sz="8" w:space="0" w:color="auto"/>
              <w:bottom w:val="single" w:sz="4" w:space="0" w:color="auto"/>
              <w:right w:val="single" w:sz="4" w:space="0" w:color="auto"/>
            </w:tcBorders>
            <w:noWrap/>
            <w:vAlign w:val="bottom"/>
            <w:hideMark/>
          </w:tcPr>
          <w:p w14:paraId="2202C794"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Discount rate</w:t>
            </w:r>
          </w:p>
        </w:tc>
        <w:tc>
          <w:tcPr>
            <w:tcW w:w="1963" w:type="dxa"/>
            <w:tcBorders>
              <w:top w:val="nil"/>
              <w:left w:val="nil"/>
              <w:bottom w:val="single" w:sz="4" w:space="0" w:color="auto"/>
              <w:right w:val="single" w:sz="4" w:space="0" w:color="auto"/>
            </w:tcBorders>
            <w:noWrap/>
            <w:vAlign w:val="bottom"/>
            <w:hideMark/>
          </w:tcPr>
          <w:p w14:paraId="5FAF2DBD"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10%</w:t>
            </w:r>
          </w:p>
        </w:tc>
        <w:tc>
          <w:tcPr>
            <w:tcW w:w="2326" w:type="dxa"/>
            <w:tcBorders>
              <w:top w:val="nil"/>
              <w:left w:val="nil"/>
              <w:bottom w:val="single" w:sz="4" w:space="0" w:color="auto"/>
              <w:right w:val="single" w:sz="4" w:space="0" w:color="auto"/>
            </w:tcBorders>
            <w:noWrap/>
            <w:vAlign w:val="bottom"/>
            <w:hideMark/>
          </w:tcPr>
          <w:p w14:paraId="5E7A959B"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w:t>
            </w:r>
          </w:p>
        </w:tc>
        <w:tc>
          <w:tcPr>
            <w:tcW w:w="537" w:type="dxa"/>
            <w:tcBorders>
              <w:top w:val="nil"/>
              <w:left w:val="nil"/>
              <w:bottom w:val="nil"/>
              <w:right w:val="single" w:sz="8" w:space="0" w:color="auto"/>
            </w:tcBorders>
            <w:noWrap/>
            <w:vAlign w:val="bottom"/>
            <w:hideMark/>
          </w:tcPr>
          <w:p w14:paraId="1FCA555E"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3359DB60" w14:textId="77777777" w:rsidTr="00D34B4D">
        <w:trPr>
          <w:trHeight w:val="396"/>
          <w:jc w:val="center"/>
        </w:trPr>
        <w:tc>
          <w:tcPr>
            <w:tcW w:w="2135" w:type="dxa"/>
            <w:tcBorders>
              <w:top w:val="nil"/>
              <w:left w:val="single" w:sz="8" w:space="0" w:color="auto"/>
              <w:bottom w:val="single" w:sz="4" w:space="0" w:color="auto"/>
              <w:right w:val="single" w:sz="4" w:space="0" w:color="auto"/>
            </w:tcBorders>
            <w:noWrap/>
            <w:vAlign w:val="bottom"/>
            <w:hideMark/>
          </w:tcPr>
          <w:p w14:paraId="347532B2"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NPV</w:t>
            </w:r>
          </w:p>
        </w:tc>
        <w:tc>
          <w:tcPr>
            <w:tcW w:w="1963" w:type="dxa"/>
            <w:tcBorders>
              <w:top w:val="nil"/>
              <w:left w:val="nil"/>
              <w:bottom w:val="single" w:sz="4" w:space="0" w:color="auto"/>
              <w:right w:val="single" w:sz="4" w:space="0" w:color="auto"/>
            </w:tcBorders>
            <w:noWrap/>
            <w:vAlign w:val="bottom"/>
            <w:hideMark/>
          </w:tcPr>
          <w:p w14:paraId="0F26AC89"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xml:space="preserve">-              7.26 </w:t>
            </w:r>
          </w:p>
        </w:tc>
        <w:tc>
          <w:tcPr>
            <w:tcW w:w="2326" w:type="dxa"/>
            <w:tcBorders>
              <w:top w:val="nil"/>
              <w:left w:val="nil"/>
              <w:bottom w:val="single" w:sz="4" w:space="0" w:color="auto"/>
              <w:right w:val="single" w:sz="4" w:space="0" w:color="auto"/>
            </w:tcBorders>
            <w:noWrap/>
            <w:vAlign w:val="bottom"/>
            <w:hideMark/>
          </w:tcPr>
          <w:p w14:paraId="59B5BD63"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w:t>
            </w:r>
          </w:p>
        </w:tc>
        <w:tc>
          <w:tcPr>
            <w:tcW w:w="537" w:type="dxa"/>
            <w:tcBorders>
              <w:top w:val="nil"/>
              <w:left w:val="nil"/>
              <w:bottom w:val="nil"/>
              <w:right w:val="single" w:sz="8" w:space="0" w:color="auto"/>
            </w:tcBorders>
            <w:noWrap/>
            <w:vAlign w:val="bottom"/>
            <w:hideMark/>
          </w:tcPr>
          <w:p w14:paraId="2C2F72F5"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0AEA0A46" w14:textId="77777777" w:rsidTr="00D34B4D">
        <w:trPr>
          <w:trHeight w:val="396"/>
          <w:jc w:val="center"/>
        </w:trPr>
        <w:tc>
          <w:tcPr>
            <w:tcW w:w="2135" w:type="dxa"/>
            <w:tcBorders>
              <w:top w:val="nil"/>
              <w:left w:val="single" w:sz="8" w:space="0" w:color="auto"/>
              <w:bottom w:val="single" w:sz="8" w:space="0" w:color="auto"/>
              <w:right w:val="single" w:sz="4" w:space="0" w:color="auto"/>
            </w:tcBorders>
            <w:noWrap/>
            <w:vAlign w:val="bottom"/>
            <w:hideMark/>
          </w:tcPr>
          <w:p w14:paraId="1941B876"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IRR</w:t>
            </w:r>
          </w:p>
        </w:tc>
        <w:tc>
          <w:tcPr>
            <w:tcW w:w="1963" w:type="dxa"/>
            <w:tcBorders>
              <w:top w:val="nil"/>
              <w:left w:val="nil"/>
              <w:bottom w:val="single" w:sz="8" w:space="0" w:color="auto"/>
              <w:right w:val="single" w:sz="4" w:space="0" w:color="auto"/>
            </w:tcBorders>
            <w:noWrap/>
            <w:vAlign w:val="bottom"/>
            <w:hideMark/>
          </w:tcPr>
          <w:p w14:paraId="094E3E65"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w:t>
            </w:r>
          </w:p>
        </w:tc>
        <w:tc>
          <w:tcPr>
            <w:tcW w:w="2326" w:type="dxa"/>
            <w:tcBorders>
              <w:top w:val="nil"/>
              <w:left w:val="nil"/>
              <w:bottom w:val="single" w:sz="8" w:space="0" w:color="auto"/>
              <w:right w:val="nil"/>
            </w:tcBorders>
            <w:noWrap/>
            <w:vAlign w:val="bottom"/>
            <w:hideMark/>
          </w:tcPr>
          <w:p w14:paraId="19BC4CA9"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c>
          <w:tcPr>
            <w:tcW w:w="537" w:type="dxa"/>
            <w:tcBorders>
              <w:top w:val="nil"/>
              <w:left w:val="nil"/>
              <w:bottom w:val="single" w:sz="8" w:space="0" w:color="auto"/>
              <w:right w:val="single" w:sz="8" w:space="0" w:color="auto"/>
            </w:tcBorders>
            <w:noWrap/>
            <w:vAlign w:val="bottom"/>
            <w:hideMark/>
          </w:tcPr>
          <w:p w14:paraId="67D5AA10"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bl>
    <w:p w14:paraId="70861660" w14:textId="26ABCF3A" w:rsidR="001854D3" w:rsidRPr="00D13DB7" w:rsidRDefault="00D34B4D" w:rsidP="00D13DB7">
      <w:pPr>
        <w:jc w:val="center"/>
        <w:rPr>
          <w:rFonts w:cs="Arial"/>
        </w:rPr>
      </w:pPr>
      <w:r w:rsidRPr="00D34B4D">
        <w:rPr>
          <w:rFonts w:cs="Arial"/>
        </w:rPr>
        <w:t>(Source: Refer to the Excel)</w:t>
      </w:r>
    </w:p>
    <w:p w14:paraId="7A6C1B30" w14:textId="3E5664CD" w:rsidR="00747192" w:rsidRPr="001854D3" w:rsidRDefault="00747192" w:rsidP="001854D3">
      <w:pPr>
        <w:rPr>
          <w:rFonts w:cs="Arial"/>
          <w:b/>
          <w:bCs/>
          <w:i/>
          <w:iCs/>
          <w:szCs w:val="24"/>
        </w:rPr>
      </w:pPr>
      <w:r w:rsidRPr="001854D3">
        <w:rPr>
          <w:rFonts w:cs="Arial"/>
          <w:b/>
          <w:bCs/>
          <w:i/>
          <w:iCs/>
          <w:szCs w:val="24"/>
        </w:rPr>
        <w:t>Project C</w:t>
      </w:r>
    </w:p>
    <w:tbl>
      <w:tblPr>
        <w:tblW w:w="8240" w:type="dxa"/>
        <w:jc w:val="center"/>
        <w:tblLook w:val="04A0" w:firstRow="1" w:lastRow="0" w:firstColumn="1" w:lastColumn="0" w:noHBand="0" w:noVBand="1"/>
      </w:tblPr>
      <w:tblGrid>
        <w:gridCol w:w="3605"/>
        <w:gridCol w:w="1430"/>
        <w:gridCol w:w="3205"/>
      </w:tblGrid>
      <w:tr w:rsidR="001854D3" w:rsidRPr="001854D3" w14:paraId="06B3CCB4" w14:textId="77777777" w:rsidTr="001854D3">
        <w:trPr>
          <w:trHeight w:val="396"/>
          <w:jc w:val="center"/>
        </w:trPr>
        <w:tc>
          <w:tcPr>
            <w:tcW w:w="8240" w:type="dxa"/>
            <w:gridSpan w:val="3"/>
            <w:tcBorders>
              <w:top w:val="single" w:sz="8" w:space="0" w:color="auto"/>
              <w:left w:val="single" w:sz="8" w:space="0" w:color="auto"/>
              <w:bottom w:val="nil"/>
              <w:right w:val="single" w:sz="8" w:space="0" w:color="000000"/>
            </w:tcBorders>
            <w:noWrap/>
            <w:vAlign w:val="bottom"/>
            <w:hideMark/>
          </w:tcPr>
          <w:p w14:paraId="52C26544" w14:textId="77777777" w:rsidR="001854D3" w:rsidRPr="001854D3" w:rsidRDefault="001854D3" w:rsidP="001854D3">
            <w:pPr>
              <w:spacing w:after="0"/>
              <w:jc w:val="center"/>
              <w:rPr>
                <w:rFonts w:cs="Arial"/>
                <w:b/>
                <w:bCs/>
                <w:color w:val="000000"/>
                <w:szCs w:val="24"/>
                <w:lang w:val="en-IN"/>
              </w:rPr>
            </w:pPr>
            <w:r w:rsidRPr="001854D3">
              <w:rPr>
                <w:rFonts w:cs="Arial"/>
                <w:b/>
                <w:bCs/>
                <w:color w:val="000000"/>
                <w:szCs w:val="24"/>
                <w:lang w:val="en-IN"/>
              </w:rPr>
              <w:t>PBP</w:t>
            </w:r>
          </w:p>
        </w:tc>
      </w:tr>
      <w:tr w:rsidR="001854D3" w:rsidRPr="001854D3" w14:paraId="1645FFAE" w14:textId="77777777" w:rsidTr="001854D3">
        <w:trPr>
          <w:trHeight w:val="396"/>
          <w:jc w:val="center"/>
        </w:trPr>
        <w:tc>
          <w:tcPr>
            <w:tcW w:w="3605" w:type="dxa"/>
            <w:tcBorders>
              <w:top w:val="single" w:sz="4" w:space="0" w:color="auto"/>
              <w:left w:val="single" w:sz="8" w:space="0" w:color="auto"/>
              <w:bottom w:val="single" w:sz="4" w:space="0" w:color="auto"/>
              <w:right w:val="single" w:sz="4" w:space="0" w:color="auto"/>
            </w:tcBorders>
            <w:noWrap/>
            <w:vAlign w:val="bottom"/>
            <w:hideMark/>
          </w:tcPr>
          <w:p w14:paraId="3AC0D78E" w14:textId="77777777" w:rsidR="001854D3" w:rsidRPr="001854D3" w:rsidRDefault="001854D3" w:rsidP="001854D3">
            <w:pPr>
              <w:spacing w:after="0"/>
              <w:jc w:val="center"/>
              <w:rPr>
                <w:rFonts w:cs="Arial"/>
                <w:b/>
                <w:bCs/>
                <w:color w:val="000000"/>
                <w:szCs w:val="24"/>
                <w:lang w:val="en-IN"/>
              </w:rPr>
            </w:pPr>
            <w:r w:rsidRPr="001854D3">
              <w:rPr>
                <w:rFonts w:cs="Arial"/>
                <w:b/>
                <w:bCs/>
                <w:color w:val="000000"/>
                <w:szCs w:val="24"/>
                <w:lang w:val="en-IN"/>
              </w:rPr>
              <w:t>Year</w:t>
            </w:r>
          </w:p>
        </w:tc>
        <w:tc>
          <w:tcPr>
            <w:tcW w:w="1430" w:type="dxa"/>
            <w:tcBorders>
              <w:top w:val="single" w:sz="4" w:space="0" w:color="auto"/>
              <w:left w:val="nil"/>
              <w:bottom w:val="single" w:sz="4" w:space="0" w:color="auto"/>
              <w:right w:val="single" w:sz="4" w:space="0" w:color="auto"/>
            </w:tcBorders>
            <w:noWrap/>
            <w:vAlign w:val="bottom"/>
            <w:hideMark/>
          </w:tcPr>
          <w:p w14:paraId="131A24FA" w14:textId="77777777" w:rsidR="001854D3" w:rsidRPr="001854D3" w:rsidRDefault="001854D3" w:rsidP="001854D3">
            <w:pPr>
              <w:spacing w:after="0"/>
              <w:jc w:val="center"/>
              <w:rPr>
                <w:rFonts w:cs="Arial"/>
                <w:b/>
                <w:bCs/>
                <w:color w:val="000000"/>
                <w:szCs w:val="24"/>
                <w:lang w:val="en-IN"/>
              </w:rPr>
            </w:pPr>
            <w:r w:rsidRPr="001854D3">
              <w:rPr>
                <w:rFonts w:cs="Arial"/>
                <w:b/>
                <w:bCs/>
                <w:color w:val="000000"/>
                <w:szCs w:val="24"/>
                <w:lang w:val="en-IN"/>
              </w:rPr>
              <w:t xml:space="preserve">Cashflow </w:t>
            </w:r>
          </w:p>
        </w:tc>
        <w:tc>
          <w:tcPr>
            <w:tcW w:w="3205" w:type="dxa"/>
            <w:tcBorders>
              <w:top w:val="single" w:sz="4" w:space="0" w:color="auto"/>
              <w:left w:val="nil"/>
              <w:bottom w:val="single" w:sz="4" w:space="0" w:color="auto"/>
              <w:right w:val="single" w:sz="8" w:space="0" w:color="auto"/>
            </w:tcBorders>
            <w:noWrap/>
            <w:vAlign w:val="bottom"/>
            <w:hideMark/>
          </w:tcPr>
          <w:p w14:paraId="6D093BBF" w14:textId="77777777" w:rsidR="001854D3" w:rsidRPr="001854D3" w:rsidRDefault="001854D3" w:rsidP="001854D3">
            <w:pPr>
              <w:spacing w:after="0"/>
              <w:jc w:val="center"/>
              <w:rPr>
                <w:rFonts w:cs="Arial"/>
                <w:b/>
                <w:bCs/>
                <w:color w:val="000000"/>
                <w:szCs w:val="24"/>
                <w:lang w:val="en-IN"/>
              </w:rPr>
            </w:pPr>
            <w:r w:rsidRPr="001854D3">
              <w:rPr>
                <w:rFonts w:cs="Arial"/>
                <w:b/>
                <w:bCs/>
                <w:color w:val="000000"/>
                <w:szCs w:val="24"/>
                <w:lang w:val="en-IN"/>
              </w:rPr>
              <w:t>Cumulative Cashflow</w:t>
            </w:r>
          </w:p>
        </w:tc>
      </w:tr>
      <w:tr w:rsidR="001854D3" w:rsidRPr="001854D3" w14:paraId="1EBD8E8C" w14:textId="77777777" w:rsidTr="001854D3">
        <w:trPr>
          <w:trHeight w:val="396"/>
          <w:jc w:val="center"/>
        </w:trPr>
        <w:tc>
          <w:tcPr>
            <w:tcW w:w="3605" w:type="dxa"/>
            <w:tcBorders>
              <w:top w:val="nil"/>
              <w:left w:val="single" w:sz="8" w:space="0" w:color="auto"/>
              <w:bottom w:val="single" w:sz="4" w:space="0" w:color="auto"/>
              <w:right w:val="single" w:sz="4" w:space="0" w:color="auto"/>
            </w:tcBorders>
            <w:noWrap/>
            <w:vAlign w:val="bottom"/>
            <w:hideMark/>
          </w:tcPr>
          <w:p w14:paraId="166E8244"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w:t>
            </w:r>
          </w:p>
        </w:tc>
        <w:tc>
          <w:tcPr>
            <w:tcW w:w="1430" w:type="dxa"/>
            <w:tcBorders>
              <w:top w:val="nil"/>
              <w:left w:val="nil"/>
              <w:bottom w:val="single" w:sz="4" w:space="0" w:color="auto"/>
              <w:right w:val="single" w:sz="4" w:space="0" w:color="auto"/>
            </w:tcBorders>
            <w:noWrap/>
            <w:vAlign w:val="bottom"/>
            <w:hideMark/>
          </w:tcPr>
          <w:p w14:paraId="28882C31"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5</w:t>
            </w:r>
          </w:p>
        </w:tc>
        <w:tc>
          <w:tcPr>
            <w:tcW w:w="3205" w:type="dxa"/>
            <w:tcBorders>
              <w:top w:val="nil"/>
              <w:left w:val="nil"/>
              <w:bottom w:val="single" w:sz="4" w:space="0" w:color="auto"/>
              <w:right w:val="single" w:sz="8" w:space="0" w:color="auto"/>
            </w:tcBorders>
            <w:noWrap/>
            <w:vAlign w:val="bottom"/>
            <w:hideMark/>
          </w:tcPr>
          <w:p w14:paraId="0B142434"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5</w:t>
            </w:r>
          </w:p>
        </w:tc>
      </w:tr>
      <w:tr w:rsidR="001854D3" w:rsidRPr="001854D3" w14:paraId="77B1B7B1" w14:textId="77777777" w:rsidTr="001854D3">
        <w:trPr>
          <w:trHeight w:val="396"/>
          <w:jc w:val="center"/>
        </w:trPr>
        <w:tc>
          <w:tcPr>
            <w:tcW w:w="3605" w:type="dxa"/>
            <w:tcBorders>
              <w:top w:val="nil"/>
              <w:left w:val="single" w:sz="8" w:space="0" w:color="auto"/>
              <w:bottom w:val="single" w:sz="4" w:space="0" w:color="auto"/>
              <w:right w:val="single" w:sz="4" w:space="0" w:color="auto"/>
            </w:tcBorders>
            <w:noWrap/>
            <w:vAlign w:val="bottom"/>
            <w:hideMark/>
          </w:tcPr>
          <w:p w14:paraId="6912586A"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2</w:t>
            </w:r>
          </w:p>
        </w:tc>
        <w:tc>
          <w:tcPr>
            <w:tcW w:w="1430" w:type="dxa"/>
            <w:tcBorders>
              <w:top w:val="nil"/>
              <w:left w:val="nil"/>
              <w:bottom w:val="single" w:sz="4" w:space="0" w:color="auto"/>
              <w:right w:val="single" w:sz="4" w:space="0" w:color="auto"/>
            </w:tcBorders>
            <w:noWrap/>
            <w:vAlign w:val="bottom"/>
            <w:hideMark/>
          </w:tcPr>
          <w:p w14:paraId="7FD6C640"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10</w:t>
            </w:r>
          </w:p>
        </w:tc>
        <w:tc>
          <w:tcPr>
            <w:tcW w:w="3205" w:type="dxa"/>
            <w:tcBorders>
              <w:top w:val="nil"/>
              <w:left w:val="nil"/>
              <w:bottom w:val="single" w:sz="4" w:space="0" w:color="auto"/>
              <w:right w:val="single" w:sz="8" w:space="0" w:color="auto"/>
            </w:tcBorders>
            <w:noWrap/>
            <w:vAlign w:val="bottom"/>
            <w:hideMark/>
          </w:tcPr>
          <w:p w14:paraId="6D808D18"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15</w:t>
            </w:r>
          </w:p>
        </w:tc>
      </w:tr>
      <w:tr w:rsidR="001854D3" w:rsidRPr="001854D3" w14:paraId="1925CB30" w14:textId="77777777" w:rsidTr="001854D3">
        <w:trPr>
          <w:trHeight w:val="396"/>
          <w:jc w:val="center"/>
        </w:trPr>
        <w:tc>
          <w:tcPr>
            <w:tcW w:w="3605" w:type="dxa"/>
            <w:tcBorders>
              <w:top w:val="nil"/>
              <w:left w:val="single" w:sz="8" w:space="0" w:color="auto"/>
              <w:bottom w:val="single" w:sz="4" w:space="0" w:color="auto"/>
              <w:right w:val="single" w:sz="4" w:space="0" w:color="auto"/>
            </w:tcBorders>
            <w:noWrap/>
            <w:vAlign w:val="bottom"/>
            <w:hideMark/>
          </w:tcPr>
          <w:p w14:paraId="77E109BE"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3</w:t>
            </w:r>
          </w:p>
        </w:tc>
        <w:tc>
          <w:tcPr>
            <w:tcW w:w="1430" w:type="dxa"/>
            <w:tcBorders>
              <w:top w:val="nil"/>
              <w:left w:val="nil"/>
              <w:bottom w:val="single" w:sz="4" w:space="0" w:color="auto"/>
              <w:right w:val="single" w:sz="4" w:space="0" w:color="auto"/>
            </w:tcBorders>
            <w:noWrap/>
            <w:vAlign w:val="bottom"/>
            <w:hideMark/>
          </w:tcPr>
          <w:p w14:paraId="0F3FB563"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20</w:t>
            </w:r>
          </w:p>
        </w:tc>
        <w:tc>
          <w:tcPr>
            <w:tcW w:w="3205" w:type="dxa"/>
            <w:tcBorders>
              <w:top w:val="nil"/>
              <w:left w:val="nil"/>
              <w:bottom w:val="single" w:sz="4" w:space="0" w:color="auto"/>
              <w:right w:val="single" w:sz="8" w:space="0" w:color="auto"/>
            </w:tcBorders>
            <w:noWrap/>
            <w:vAlign w:val="bottom"/>
            <w:hideMark/>
          </w:tcPr>
          <w:p w14:paraId="1A1E5815"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35</w:t>
            </w:r>
          </w:p>
        </w:tc>
      </w:tr>
      <w:tr w:rsidR="001854D3" w:rsidRPr="001854D3" w14:paraId="0C936C99" w14:textId="77777777" w:rsidTr="001854D3">
        <w:trPr>
          <w:trHeight w:val="396"/>
          <w:jc w:val="center"/>
        </w:trPr>
        <w:tc>
          <w:tcPr>
            <w:tcW w:w="3605" w:type="dxa"/>
            <w:tcBorders>
              <w:top w:val="nil"/>
              <w:left w:val="single" w:sz="8" w:space="0" w:color="auto"/>
              <w:bottom w:val="single" w:sz="4" w:space="0" w:color="auto"/>
              <w:right w:val="single" w:sz="4" w:space="0" w:color="auto"/>
            </w:tcBorders>
            <w:noWrap/>
            <w:vAlign w:val="bottom"/>
            <w:hideMark/>
          </w:tcPr>
          <w:p w14:paraId="59F0B4B2"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lastRenderedPageBreak/>
              <w:t>4</w:t>
            </w:r>
          </w:p>
        </w:tc>
        <w:tc>
          <w:tcPr>
            <w:tcW w:w="1430" w:type="dxa"/>
            <w:tcBorders>
              <w:top w:val="nil"/>
              <w:left w:val="nil"/>
              <w:bottom w:val="single" w:sz="4" w:space="0" w:color="auto"/>
              <w:right w:val="single" w:sz="4" w:space="0" w:color="auto"/>
            </w:tcBorders>
            <w:noWrap/>
            <w:vAlign w:val="bottom"/>
            <w:hideMark/>
          </w:tcPr>
          <w:p w14:paraId="0250FCB7"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25</w:t>
            </w:r>
          </w:p>
        </w:tc>
        <w:tc>
          <w:tcPr>
            <w:tcW w:w="3205" w:type="dxa"/>
            <w:tcBorders>
              <w:top w:val="nil"/>
              <w:left w:val="nil"/>
              <w:bottom w:val="single" w:sz="4" w:space="0" w:color="auto"/>
              <w:right w:val="single" w:sz="8" w:space="0" w:color="auto"/>
            </w:tcBorders>
            <w:noWrap/>
            <w:vAlign w:val="bottom"/>
            <w:hideMark/>
          </w:tcPr>
          <w:p w14:paraId="77FBA91B"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60</w:t>
            </w:r>
          </w:p>
        </w:tc>
      </w:tr>
      <w:tr w:rsidR="001854D3" w:rsidRPr="001854D3" w14:paraId="11CAA2D5" w14:textId="77777777" w:rsidTr="001854D3">
        <w:trPr>
          <w:trHeight w:val="396"/>
          <w:jc w:val="center"/>
        </w:trPr>
        <w:tc>
          <w:tcPr>
            <w:tcW w:w="3605" w:type="dxa"/>
            <w:tcBorders>
              <w:top w:val="nil"/>
              <w:left w:val="single" w:sz="8" w:space="0" w:color="auto"/>
              <w:bottom w:val="single" w:sz="4" w:space="0" w:color="auto"/>
              <w:right w:val="single" w:sz="4" w:space="0" w:color="auto"/>
            </w:tcBorders>
            <w:noWrap/>
            <w:vAlign w:val="bottom"/>
            <w:hideMark/>
          </w:tcPr>
          <w:p w14:paraId="0EB9D079"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5</w:t>
            </w:r>
          </w:p>
        </w:tc>
        <w:tc>
          <w:tcPr>
            <w:tcW w:w="1430" w:type="dxa"/>
            <w:tcBorders>
              <w:top w:val="nil"/>
              <w:left w:val="nil"/>
              <w:bottom w:val="single" w:sz="4" w:space="0" w:color="auto"/>
              <w:right w:val="single" w:sz="4" w:space="0" w:color="auto"/>
            </w:tcBorders>
            <w:noWrap/>
            <w:vAlign w:val="bottom"/>
            <w:hideMark/>
          </w:tcPr>
          <w:p w14:paraId="097F6FDA"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15</w:t>
            </w:r>
          </w:p>
        </w:tc>
        <w:tc>
          <w:tcPr>
            <w:tcW w:w="3205" w:type="dxa"/>
            <w:tcBorders>
              <w:top w:val="nil"/>
              <w:left w:val="nil"/>
              <w:bottom w:val="single" w:sz="4" w:space="0" w:color="auto"/>
              <w:right w:val="single" w:sz="8" w:space="0" w:color="auto"/>
            </w:tcBorders>
            <w:noWrap/>
            <w:vAlign w:val="bottom"/>
            <w:hideMark/>
          </w:tcPr>
          <w:p w14:paraId="78F2B304"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75</w:t>
            </w:r>
          </w:p>
        </w:tc>
      </w:tr>
      <w:tr w:rsidR="001854D3" w:rsidRPr="001854D3" w14:paraId="169D758F" w14:textId="77777777" w:rsidTr="001854D3">
        <w:trPr>
          <w:trHeight w:val="396"/>
          <w:jc w:val="center"/>
        </w:trPr>
        <w:tc>
          <w:tcPr>
            <w:tcW w:w="3605" w:type="dxa"/>
            <w:tcBorders>
              <w:top w:val="nil"/>
              <w:left w:val="single" w:sz="8" w:space="0" w:color="auto"/>
              <w:bottom w:val="single" w:sz="4" w:space="0" w:color="auto"/>
              <w:right w:val="single" w:sz="4" w:space="0" w:color="auto"/>
            </w:tcBorders>
            <w:noWrap/>
            <w:vAlign w:val="bottom"/>
            <w:hideMark/>
          </w:tcPr>
          <w:p w14:paraId="25D57AF4"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Investment to recover</w:t>
            </w:r>
          </w:p>
        </w:tc>
        <w:tc>
          <w:tcPr>
            <w:tcW w:w="1430" w:type="dxa"/>
            <w:tcBorders>
              <w:top w:val="nil"/>
              <w:left w:val="nil"/>
              <w:bottom w:val="single" w:sz="4" w:space="0" w:color="auto"/>
              <w:right w:val="single" w:sz="4" w:space="0" w:color="auto"/>
            </w:tcBorders>
            <w:noWrap/>
            <w:vAlign w:val="bottom"/>
            <w:hideMark/>
          </w:tcPr>
          <w:p w14:paraId="09DAB79D"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50</w:t>
            </w:r>
          </w:p>
        </w:tc>
        <w:tc>
          <w:tcPr>
            <w:tcW w:w="3205" w:type="dxa"/>
            <w:tcBorders>
              <w:top w:val="nil"/>
              <w:left w:val="nil"/>
              <w:bottom w:val="nil"/>
              <w:right w:val="single" w:sz="8" w:space="0" w:color="auto"/>
            </w:tcBorders>
            <w:noWrap/>
            <w:vAlign w:val="bottom"/>
            <w:hideMark/>
          </w:tcPr>
          <w:p w14:paraId="26C2B4C3"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0AF59639" w14:textId="77777777" w:rsidTr="001854D3">
        <w:trPr>
          <w:trHeight w:val="396"/>
          <w:jc w:val="center"/>
        </w:trPr>
        <w:tc>
          <w:tcPr>
            <w:tcW w:w="3605" w:type="dxa"/>
            <w:tcBorders>
              <w:top w:val="nil"/>
              <w:left w:val="single" w:sz="8" w:space="0" w:color="auto"/>
              <w:bottom w:val="single" w:sz="4" w:space="0" w:color="auto"/>
              <w:right w:val="single" w:sz="4" w:space="0" w:color="auto"/>
            </w:tcBorders>
            <w:noWrap/>
            <w:vAlign w:val="bottom"/>
            <w:hideMark/>
          </w:tcPr>
          <w:p w14:paraId="31B3A4D3"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After 3 years, recovered</w:t>
            </w:r>
          </w:p>
        </w:tc>
        <w:tc>
          <w:tcPr>
            <w:tcW w:w="1430" w:type="dxa"/>
            <w:tcBorders>
              <w:top w:val="nil"/>
              <w:left w:val="nil"/>
              <w:bottom w:val="single" w:sz="4" w:space="0" w:color="auto"/>
              <w:right w:val="single" w:sz="4" w:space="0" w:color="auto"/>
            </w:tcBorders>
            <w:noWrap/>
            <w:vAlign w:val="bottom"/>
            <w:hideMark/>
          </w:tcPr>
          <w:p w14:paraId="53C6FD21"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35</w:t>
            </w:r>
          </w:p>
        </w:tc>
        <w:tc>
          <w:tcPr>
            <w:tcW w:w="3205" w:type="dxa"/>
            <w:tcBorders>
              <w:top w:val="nil"/>
              <w:left w:val="nil"/>
              <w:bottom w:val="nil"/>
              <w:right w:val="single" w:sz="8" w:space="0" w:color="auto"/>
            </w:tcBorders>
            <w:noWrap/>
            <w:vAlign w:val="bottom"/>
            <w:hideMark/>
          </w:tcPr>
          <w:p w14:paraId="13E9C9F6"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6A41C0F6" w14:textId="77777777" w:rsidTr="001854D3">
        <w:trPr>
          <w:trHeight w:val="396"/>
          <w:jc w:val="center"/>
        </w:trPr>
        <w:tc>
          <w:tcPr>
            <w:tcW w:w="3605" w:type="dxa"/>
            <w:tcBorders>
              <w:top w:val="nil"/>
              <w:left w:val="single" w:sz="8" w:space="0" w:color="auto"/>
              <w:bottom w:val="single" w:sz="4" w:space="0" w:color="auto"/>
              <w:right w:val="single" w:sz="4" w:space="0" w:color="auto"/>
            </w:tcBorders>
            <w:noWrap/>
            <w:vAlign w:val="bottom"/>
            <w:hideMark/>
          </w:tcPr>
          <w:p w14:paraId="0A90B07F"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 xml:space="preserve">Amount remaining </w:t>
            </w:r>
          </w:p>
        </w:tc>
        <w:tc>
          <w:tcPr>
            <w:tcW w:w="1430" w:type="dxa"/>
            <w:tcBorders>
              <w:top w:val="nil"/>
              <w:left w:val="nil"/>
              <w:bottom w:val="single" w:sz="4" w:space="0" w:color="auto"/>
              <w:right w:val="single" w:sz="4" w:space="0" w:color="auto"/>
            </w:tcBorders>
            <w:noWrap/>
            <w:vAlign w:val="bottom"/>
            <w:hideMark/>
          </w:tcPr>
          <w:p w14:paraId="6BCFBCEB"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15</w:t>
            </w:r>
          </w:p>
        </w:tc>
        <w:tc>
          <w:tcPr>
            <w:tcW w:w="3205" w:type="dxa"/>
            <w:tcBorders>
              <w:top w:val="nil"/>
              <w:left w:val="nil"/>
              <w:bottom w:val="nil"/>
              <w:right w:val="single" w:sz="8" w:space="0" w:color="auto"/>
            </w:tcBorders>
            <w:noWrap/>
            <w:vAlign w:val="bottom"/>
            <w:hideMark/>
          </w:tcPr>
          <w:p w14:paraId="1B8F79D6"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4978757F" w14:textId="77777777" w:rsidTr="001854D3">
        <w:trPr>
          <w:trHeight w:val="396"/>
          <w:jc w:val="center"/>
        </w:trPr>
        <w:tc>
          <w:tcPr>
            <w:tcW w:w="3605" w:type="dxa"/>
            <w:tcBorders>
              <w:top w:val="nil"/>
              <w:left w:val="single" w:sz="8" w:space="0" w:color="auto"/>
              <w:bottom w:val="single" w:sz="4" w:space="0" w:color="auto"/>
              <w:right w:val="single" w:sz="4" w:space="0" w:color="auto"/>
            </w:tcBorders>
            <w:noWrap/>
            <w:vAlign w:val="bottom"/>
            <w:hideMark/>
          </w:tcPr>
          <w:p w14:paraId="77947C60"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Year 4 Inflow</w:t>
            </w:r>
          </w:p>
        </w:tc>
        <w:tc>
          <w:tcPr>
            <w:tcW w:w="1430" w:type="dxa"/>
            <w:tcBorders>
              <w:top w:val="nil"/>
              <w:left w:val="nil"/>
              <w:bottom w:val="single" w:sz="4" w:space="0" w:color="auto"/>
              <w:right w:val="single" w:sz="4" w:space="0" w:color="auto"/>
            </w:tcBorders>
            <w:noWrap/>
            <w:vAlign w:val="bottom"/>
            <w:hideMark/>
          </w:tcPr>
          <w:p w14:paraId="16745501"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25</w:t>
            </w:r>
          </w:p>
        </w:tc>
        <w:tc>
          <w:tcPr>
            <w:tcW w:w="3205" w:type="dxa"/>
            <w:tcBorders>
              <w:top w:val="nil"/>
              <w:left w:val="nil"/>
              <w:bottom w:val="nil"/>
              <w:right w:val="single" w:sz="8" w:space="0" w:color="auto"/>
            </w:tcBorders>
            <w:noWrap/>
            <w:vAlign w:val="bottom"/>
            <w:hideMark/>
          </w:tcPr>
          <w:p w14:paraId="07EDD106"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15072E5B" w14:textId="77777777" w:rsidTr="001854D3">
        <w:trPr>
          <w:trHeight w:val="396"/>
          <w:jc w:val="center"/>
        </w:trPr>
        <w:tc>
          <w:tcPr>
            <w:tcW w:w="3605" w:type="dxa"/>
            <w:tcBorders>
              <w:top w:val="nil"/>
              <w:left w:val="single" w:sz="8" w:space="0" w:color="auto"/>
              <w:bottom w:val="single" w:sz="4" w:space="0" w:color="auto"/>
              <w:right w:val="single" w:sz="4" w:space="0" w:color="auto"/>
            </w:tcBorders>
            <w:noWrap/>
            <w:vAlign w:val="bottom"/>
            <w:hideMark/>
          </w:tcPr>
          <w:p w14:paraId="2D406A52"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c>
          <w:tcPr>
            <w:tcW w:w="1430" w:type="dxa"/>
            <w:tcBorders>
              <w:top w:val="nil"/>
              <w:left w:val="nil"/>
              <w:bottom w:val="single" w:sz="4" w:space="0" w:color="auto"/>
              <w:right w:val="single" w:sz="4" w:space="0" w:color="auto"/>
            </w:tcBorders>
            <w:noWrap/>
            <w:vAlign w:val="bottom"/>
            <w:hideMark/>
          </w:tcPr>
          <w:p w14:paraId="1B3B95D2"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c>
          <w:tcPr>
            <w:tcW w:w="3205" w:type="dxa"/>
            <w:tcBorders>
              <w:top w:val="nil"/>
              <w:left w:val="nil"/>
              <w:bottom w:val="nil"/>
              <w:right w:val="single" w:sz="8" w:space="0" w:color="auto"/>
            </w:tcBorders>
            <w:noWrap/>
            <w:vAlign w:val="bottom"/>
            <w:hideMark/>
          </w:tcPr>
          <w:p w14:paraId="57EF5E72"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31C3A462" w14:textId="77777777" w:rsidTr="001854D3">
        <w:trPr>
          <w:trHeight w:val="396"/>
          <w:jc w:val="center"/>
        </w:trPr>
        <w:tc>
          <w:tcPr>
            <w:tcW w:w="3605" w:type="dxa"/>
            <w:tcBorders>
              <w:top w:val="nil"/>
              <w:left w:val="single" w:sz="8" w:space="0" w:color="auto"/>
              <w:bottom w:val="single" w:sz="8" w:space="0" w:color="auto"/>
              <w:right w:val="single" w:sz="4" w:space="0" w:color="auto"/>
            </w:tcBorders>
            <w:noWrap/>
            <w:vAlign w:val="bottom"/>
            <w:hideMark/>
          </w:tcPr>
          <w:p w14:paraId="4F8A24F6"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PBP</w:t>
            </w:r>
          </w:p>
        </w:tc>
        <w:tc>
          <w:tcPr>
            <w:tcW w:w="1430" w:type="dxa"/>
            <w:tcBorders>
              <w:top w:val="nil"/>
              <w:left w:val="nil"/>
              <w:bottom w:val="single" w:sz="8" w:space="0" w:color="auto"/>
              <w:right w:val="single" w:sz="4" w:space="0" w:color="auto"/>
            </w:tcBorders>
            <w:noWrap/>
            <w:vAlign w:val="bottom"/>
            <w:hideMark/>
          </w:tcPr>
          <w:p w14:paraId="01B8CB49"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3.6</w:t>
            </w:r>
          </w:p>
        </w:tc>
        <w:tc>
          <w:tcPr>
            <w:tcW w:w="3205" w:type="dxa"/>
            <w:tcBorders>
              <w:top w:val="nil"/>
              <w:left w:val="nil"/>
              <w:bottom w:val="single" w:sz="8" w:space="0" w:color="auto"/>
              <w:right w:val="single" w:sz="8" w:space="0" w:color="auto"/>
            </w:tcBorders>
            <w:noWrap/>
            <w:vAlign w:val="bottom"/>
            <w:hideMark/>
          </w:tcPr>
          <w:p w14:paraId="295B61CC"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bl>
    <w:p w14:paraId="7A64F133" w14:textId="2839B3DF" w:rsidR="001854D3" w:rsidRPr="00D13DB7" w:rsidRDefault="00D34B4D" w:rsidP="00D13DB7">
      <w:pPr>
        <w:jc w:val="center"/>
        <w:rPr>
          <w:rFonts w:cs="Arial"/>
        </w:rPr>
      </w:pPr>
      <w:r w:rsidRPr="00D34B4D">
        <w:rPr>
          <w:rFonts w:cs="Arial"/>
        </w:rPr>
        <w:t>(Source: Refer to the Excel)</w:t>
      </w:r>
    </w:p>
    <w:tbl>
      <w:tblPr>
        <w:tblW w:w="8800" w:type="dxa"/>
        <w:jc w:val="center"/>
        <w:tblLook w:val="04A0" w:firstRow="1" w:lastRow="0" w:firstColumn="1" w:lastColumn="0" w:noHBand="0" w:noVBand="1"/>
      </w:tblPr>
      <w:tblGrid>
        <w:gridCol w:w="3247"/>
        <w:gridCol w:w="3517"/>
        <w:gridCol w:w="2036"/>
      </w:tblGrid>
      <w:tr w:rsidR="001854D3" w:rsidRPr="001854D3" w14:paraId="5CBF4F75" w14:textId="77777777" w:rsidTr="001854D3">
        <w:trPr>
          <w:trHeight w:val="396"/>
          <w:jc w:val="center"/>
        </w:trPr>
        <w:tc>
          <w:tcPr>
            <w:tcW w:w="8800" w:type="dxa"/>
            <w:gridSpan w:val="3"/>
            <w:tcBorders>
              <w:top w:val="single" w:sz="8" w:space="0" w:color="auto"/>
              <w:left w:val="single" w:sz="8" w:space="0" w:color="auto"/>
              <w:bottom w:val="nil"/>
              <w:right w:val="single" w:sz="8" w:space="0" w:color="000000"/>
            </w:tcBorders>
            <w:noWrap/>
            <w:vAlign w:val="bottom"/>
            <w:hideMark/>
          </w:tcPr>
          <w:p w14:paraId="7396015D" w14:textId="77777777" w:rsidR="001854D3" w:rsidRPr="001854D3" w:rsidRDefault="001854D3" w:rsidP="001854D3">
            <w:pPr>
              <w:spacing w:after="0"/>
              <w:jc w:val="center"/>
              <w:rPr>
                <w:rFonts w:cs="Arial"/>
                <w:b/>
                <w:bCs/>
                <w:color w:val="000000"/>
                <w:szCs w:val="24"/>
                <w:lang w:val="en-IN"/>
              </w:rPr>
            </w:pPr>
            <w:r w:rsidRPr="001854D3">
              <w:rPr>
                <w:rFonts w:cs="Arial"/>
                <w:b/>
                <w:bCs/>
                <w:color w:val="000000"/>
                <w:szCs w:val="24"/>
                <w:lang w:val="en-IN"/>
              </w:rPr>
              <w:t>ARR</w:t>
            </w:r>
          </w:p>
        </w:tc>
      </w:tr>
      <w:tr w:rsidR="001854D3" w:rsidRPr="001854D3" w14:paraId="0157B781" w14:textId="77777777" w:rsidTr="001854D3">
        <w:trPr>
          <w:trHeight w:val="396"/>
          <w:jc w:val="center"/>
        </w:trPr>
        <w:tc>
          <w:tcPr>
            <w:tcW w:w="3247" w:type="dxa"/>
            <w:tcBorders>
              <w:top w:val="single" w:sz="4" w:space="0" w:color="auto"/>
              <w:left w:val="single" w:sz="8" w:space="0" w:color="auto"/>
              <w:bottom w:val="single" w:sz="4" w:space="0" w:color="auto"/>
              <w:right w:val="single" w:sz="4" w:space="0" w:color="auto"/>
            </w:tcBorders>
            <w:noWrap/>
            <w:vAlign w:val="bottom"/>
            <w:hideMark/>
          </w:tcPr>
          <w:p w14:paraId="32583351"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depreciation</w:t>
            </w:r>
          </w:p>
        </w:tc>
        <w:tc>
          <w:tcPr>
            <w:tcW w:w="3517" w:type="dxa"/>
            <w:tcBorders>
              <w:top w:val="single" w:sz="4" w:space="0" w:color="auto"/>
              <w:left w:val="nil"/>
              <w:bottom w:val="single" w:sz="4" w:space="0" w:color="auto"/>
              <w:right w:val="single" w:sz="4" w:space="0" w:color="auto"/>
            </w:tcBorders>
            <w:vAlign w:val="bottom"/>
            <w:hideMark/>
          </w:tcPr>
          <w:p w14:paraId="7CB56EE8"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straight-line depreciation to zero</w:t>
            </w:r>
          </w:p>
        </w:tc>
        <w:tc>
          <w:tcPr>
            <w:tcW w:w="2036" w:type="dxa"/>
            <w:tcBorders>
              <w:top w:val="nil"/>
              <w:left w:val="nil"/>
              <w:bottom w:val="nil"/>
              <w:right w:val="single" w:sz="8" w:space="0" w:color="auto"/>
            </w:tcBorders>
            <w:noWrap/>
            <w:vAlign w:val="bottom"/>
            <w:hideMark/>
          </w:tcPr>
          <w:p w14:paraId="576CBB3B"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3E985A62" w14:textId="77777777" w:rsidTr="001854D3">
        <w:trPr>
          <w:trHeight w:val="396"/>
          <w:jc w:val="center"/>
        </w:trPr>
        <w:tc>
          <w:tcPr>
            <w:tcW w:w="3247" w:type="dxa"/>
            <w:tcBorders>
              <w:top w:val="nil"/>
              <w:left w:val="single" w:sz="8" w:space="0" w:color="auto"/>
              <w:bottom w:val="single" w:sz="4" w:space="0" w:color="auto"/>
              <w:right w:val="single" w:sz="4" w:space="0" w:color="auto"/>
            </w:tcBorders>
            <w:noWrap/>
            <w:vAlign w:val="bottom"/>
            <w:hideMark/>
          </w:tcPr>
          <w:p w14:paraId="1D278703"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Initial investment £m</w:t>
            </w:r>
          </w:p>
        </w:tc>
        <w:tc>
          <w:tcPr>
            <w:tcW w:w="3517" w:type="dxa"/>
            <w:tcBorders>
              <w:top w:val="nil"/>
              <w:left w:val="nil"/>
              <w:bottom w:val="single" w:sz="4" w:space="0" w:color="auto"/>
              <w:right w:val="single" w:sz="4" w:space="0" w:color="auto"/>
            </w:tcBorders>
            <w:noWrap/>
            <w:vAlign w:val="bottom"/>
            <w:hideMark/>
          </w:tcPr>
          <w:p w14:paraId="10734BF2"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50</w:t>
            </w:r>
          </w:p>
        </w:tc>
        <w:tc>
          <w:tcPr>
            <w:tcW w:w="2036" w:type="dxa"/>
            <w:tcBorders>
              <w:top w:val="nil"/>
              <w:left w:val="nil"/>
              <w:bottom w:val="nil"/>
              <w:right w:val="single" w:sz="8" w:space="0" w:color="auto"/>
            </w:tcBorders>
            <w:noWrap/>
            <w:vAlign w:val="bottom"/>
            <w:hideMark/>
          </w:tcPr>
          <w:p w14:paraId="32353754"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1A698EB6" w14:textId="77777777" w:rsidTr="001854D3">
        <w:trPr>
          <w:trHeight w:val="396"/>
          <w:jc w:val="center"/>
        </w:trPr>
        <w:tc>
          <w:tcPr>
            <w:tcW w:w="3247" w:type="dxa"/>
            <w:tcBorders>
              <w:top w:val="nil"/>
              <w:left w:val="single" w:sz="8" w:space="0" w:color="auto"/>
              <w:bottom w:val="single" w:sz="4" w:space="0" w:color="auto"/>
              <w:right w:val="single" w:sz="4" w:space="0" w:color="auto"/>
            </w:tcBorders>
            <w:noWrap/>
            <w:vAlign w:val="bottom"/>
            <w:hideMark/>
          </w:tcPr>
          <w:p w14:paraId="75D04105"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Years</w:t>
            </w:r>
          </w:p>
        </w:tc>
        <w:tc>
          <w:tcPr>
            <w:tcW w:w="3517" w:type="dxa"/>
            <w:tcBorders>
              <w:top w:val="nil"/>
              <w:left w:val="nil"/>
              <w:bottom w:val="single" w:sz="4" w:space="0" w:color="auto"/>
              <w:right w:val="single" w:sz="4" w:space="0" w:color="auto"/>
            </w:tcBorders>
            <w:noWrap/>
            <w:vAlign w:val="bottom"/>
            <w:hideMark/>
          </w:tcPr>
          <w:p w14:paraId="515B560D"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5</w:t>
            </w:r>
          </w:p>
        </w:tc>
        <w:tc>
          <w:tcPr>
            <w:tcW w:w="2036" w:type="dxa"/>
            <w:tcBorders>
              <w:top w:val="nil"/>
              <w:left w:val="nil"/>
              <w:bottom w:val="nil"/>
              <w:right w:val="single" w:sz="8" w:space="0" w:color="auto"/>
            </w:tcBorders>
            <w:noWrap/>
            <w:vAlign w:val="bottom"/>
            <w:hideMark/>
          </w:tcPr>
          <w:p w14:paraId="380106AB"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032EE530" w14:textId="77777777" w:rsidTr="001854D3">
        <w:trPr>
          <w:trHeight w:val="396"/>
          <w:jc w:val="center"/>
        </w:trPr>
        <w:tc>
          <w:tcPr>
            <w:tcW w:w="3247" w:type="dxa"/>
            <w:tcBorders>
              <w:top w:val="nil"/>
              <w:left w:val="single" w:sz="8" w:space="0" w:color="auto"/>
              <w:bottom w:val="single" w:sz="4" w:space="0" w:color="auto"/>
              <w:right w:val="single" w:sz="4" w:space="0" w:color="auto"/>
            </w:tcBorders>
            <w:noWrap/>
            <w:vAlign w:val="bottom"/>
            <w:hideMark/>
          </w:tcPr>
          <w:p w14:paraId="5E94A59F"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Annual depreciation</w:t>
            </w:r>
          </w:p>
        </w:tc>
        <w:tc>
          <w:tcPr>
            <w:tcW w:w="3517" w:type="dxa"/>
            <w:tcBorders>
              <w:top w:val="nil"/>
              <w:left w:val="nil"/>
              <w:bottom w:val="single" w:sz="4" w:space="0" w:color="auto"/>
              <w:right w:val="single" w:sz="4" w:space="0" w:color="auto"/>
            </w:tcBorders>
            <w:noWrap/>
            <w:vAlign w:val="bottom"/>
            <w:hideMark/>
          </w:tcPr>
          <w:p w14:paraId="07A2A5DF"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10</w:t>
            </w:r>
          </w:p>
        </w:tc>
        <w:tc>
          <w:tcPr>
            <w:tcW w:w="2036" w:type="dxa"/>
            <w:tcBorders>
              <w:top w:val="nil"/>
              <w:left w:val="nil"/>
              <w:bottom w:val="nil"/>
              <w:right w:val="single" w:sz="8" w:space="0" w:color="auto"/>
            </w:tcBorders>
            <w:noWrap/>
            <w:vAlign w:val="bottom"/>
            <w:hideMark/>
          </w:tcPr>
          <w:p w14:paraId="05C21F14"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4FE2EC90" w14:textId="77777777" w:rsidTr="001854D3">
        <w:trPr>
          <w:trHeight w:val="396"/>
          <w:jc w:val="center"/>
        </w:trPr>
        <w:tc>
          <w:tcPr>
            <w:tcW w:w="3247" w:type="dxa"/>
            <w:tcBorders>
              <w:top w:val="nil"/>
              <w:left w:val="single" w:sz="8" w:space="0" w:color="auto"/>
              <w:bottom w:val="single" w:sz="4" w:space="0" w:color="auto"/>
              <w:right w:val="single" w:sz="4" w:space="0" w:color="auto"/>
            </w:tcBorders>
            <w:noWrap/>
            <w:vAlign w:val="bottom"/>
            <w:hideMark/>
          </w:tcPr>
          <w:p w14:paraId="391B0847" w14:textId="77777777" w:rsidR="001854D3" w:rsidRPr="001854D3" w:rsidRDefault="001854D3" w:rsidP="001854D3">
            <w:pPr>
              <w:spacing w:after="0"/>
              <w:jc w:val="center"/>
              <w:rPr>
                <w:rFonts w:cs="Arial"/>
                <w:b/>
                <w:bCs/>
                <w:color w:val="000000"/>
                <w:szCs w:val="24"/>
                <w:lang w:val="en-IN"/>
              </w:rPr>
            </w:pPr>
            <w:r w:rsidRPr="001854D3">
              <w:rPr>
                <w:rFonts w:cs="Arial"/>
                <w:b/>
                <w:bCs/>
                <w:color w:val="000000"/>
                <w:szCs w:val="24"/>
                <w:lang w:val="en-IN"/>
              </w:rPr>
              <w:t>Year</w:t>
            </w:r>
          </w:p>
        </w:tc>
        <w:tc>
          <w:tcPr>
            <w:tcW w:w="3517" w:type="dxa"/>
            <w:tcBorders>
              <w:top w:val="nil"/>
              <w:left w:val="nil"/>
              <w:bottom w:val="single" w:sz="4" w:space="0" w:color="auto"/>
              <w:right w:val="single" w:sz="4" w:space="0" w:color="auto"/>
            </w:tcBorders>
            <w:noWrap/>
            <w:vAlign w:val="bottom"/>
            <w:hideMark/>
          </w:tcPr>
          <w:p w14:paraId="5D195B38" w14:textId="77777777" w:rsidR="001854D3" w:rsidRPr="001854D3" w:rsidRDefault="001854D3" w:rsidP="001854D3">
            <w:pPr>
              <w:spacing w:after="0"/>
              <w:jc w:val="center"/>
              <w:rPr>
                <w:rFonts w:cs="Arial"/>
                <w:b/>
                <w:bCs/>
                <w:color w:val="000000"/>
                <w:szCs w:val="24"/>
                <w:lang w:val="en-IN"/>
              </w:rPr>
            </w:pPr>
            <w:r w:rsidRPr="001854D3">
              <w:rPr>
                <w:rFonts w:cs="Arial"/>
                <w:b/>
                <w:bCs/>
                <w:color w:val="000000"/>
                <w:szCs w:val="24"/>
                <w:lang w:val="en-IN"/>
              </w:rPr>
              <w:t xml:space="preserve">Cashflow </w:t>
            </w:r>
          </w:p>
        </w:tc>
        <w:tc>
          <w:tcPr>
            <w:tcW w:w="2036" w:type="dxa"/>
            <w:tcBorders>
              <w:top w:val="single" w:sz="4" w:space="0" w:color="auto"/>
              <w:left w:val="nil"/>
              <w:bottom w:val="single" w:sz="4" w:space="0" w:color="auto"/>
              <w:right w:val="single" w:sz="8" w:space="0" w:color="auto"/>
            </w:tcBorders>
            <w:noWrap/>
            <w:vAlign w:val="bottom"/>
            <w:hideMark/>
          </w:tcPr>
          <w:p w14:paraId="30CD5281" w14:textId="77777777" w:rsidR="001854D3" w:rsidRPr="001854D3" w:rsidRDefault="001854D3" w:rsidP="001854D3">
            <w:pPr>
              <w:spacing w:after="0"/>
              <w:jc w:val="center"/>
              <w:rPr>
                <w:rFonts w:cs="Arial"/>
                <w:b/>
                <w:bCs/>
                <w:color w:val="000000"/>
                <w:szCs w:val="24"/>
                <w:lang w:val="en-IN"/>
              </w:rPr>
            </w:pPr>
            <w:r w:rsidRPr="001854D3">
              <w:rPr>
                <w:rFonts w:cs="Arial"/>
                <w:b/>
                <w:bCs/>
                <w:color w:val="000000"/>
                <w:szCs w:val="24"/>
                <w:lang w:val="en-IN"/>
              </w:rPr>
              <w:t>Profit</w:t>
            </w:r>
          </w:p>
        </w:tc>
      </w:tr>
      <w:tr w:rsidR="001854D3" w:rsidRPr="001854D3" w14:paraId="49697BE0" w14:textId="77777777" w:rsidTr="001854D3">
        <w:trPr>
          <w:trHeight w:val="396"/>
          <w:jc w:val="center"/>
        </w:trPr>
        <w:tc>
          <w:tcPr>
            <w:tcW w:w="3247" w:type="dxa"/>
            <w:tcBorders>
              <w:top w:val="nil"/>
              <w:left w:val="single" w:sz="8" w:space="0" w:color="auto"/>
              <w:bottom w:val="single" w:sz="4" w:space="0" w:color="auto"/>
              <w:right w:val="single" w:sz="4" w:space="0" w:color="auto"/>
            </w:tcBorders>
            <w:noWrap/>
            <w:vAlign w:val="bottom"/>
            <w:hideMark/>
          </w:tcPr>
          <w:p w14:paraId="4F9A3803"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w:t>
            </w:r>
          </w:p>
        </w:tc>
        <w:tc>
          <w:tcPr>
            <w:tcW w:w="3517" w:type="dxa"/>
            <w:tcBorders>
              <w:top w:val="nil"/>
              <w:left w:val="nil"/>
              <w:bottom w:val="single" w:sz="4" w:space="0" w:color="auto"/>
              <w:right w:val="single" w:sz="4" w:space="0" w:color="auto"/>
            </w:tcBorders>
            <w:noWrap/>
            <w:vAlign w:val="bottom"/>
            <w:hideMark/>
          </w:tcPr>
          <w:p w14:paraId="6A63B3EA"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5</w:t>
            </w:r>
          </w:p>
        </w:tc>
        <w:tc>
          <w:tcPr>
            <w:tcW w:w="2036" w:type="dxa"/>
            <w:tcBorders>
              <w:top w:val="nil"/>
              <w:left w:val="nil"/>
              <w:bottom w:val="single" w:sz="4" w:space="0" w:color="auto"/>
              <w:right w:val="single" w:sz="8" w:space="0" w:color="auto"/>
            </w:tcBorders>
            <w:noWrap/>
            <w:vAlign w:val="bottom"/>
            <w:hideMark/>
          </w:tcPr>
          <w:p w14:paraId="0DF9F645"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-5</w:t>
            </w:r>
          </w:p>
        </w:tc>
      </w:tr>
      <w:tr w:rsidR="001854D3" w:rsidRPr="001854D3" w14:paraId="056E8241" w14:textId="77777777" w:rsidTr="001854D3">
        <w:trPr>
          <w:trHeight w:val="396"/>
          <w:jc w:val="center"/>
        </w:trPr>
        <w:tc>
          <w:tcPr>
            <w:tcW w:w="3247" w:type="dxa"/>
            <w:tcBorders>
              <w:top w:val="nil"/>
              <w:left w:val="single" w:sz="8" w:space="0" w:color="auto"/>
              <w:bottom w:val="single" w:sz="4" w:space="0" w:color="auto"/>
              <w:right w:val="single" w:sz="4" w:space="0" w:color="auto"/>
            </w:tcBorders>
            <w:noWrap/>
            <w:vAlign w:val="bottom"/>
            <w:hideMark/>
          </w:tcPr>
          <w:p w14:paraId="6EC20CCD"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2</w:t>
            </w:r>
          </w:p>
        </w:tc>
        <w:tc>
          <w:tcPr>
            <w:tcW w:w="3517" w:type="dxa"/>
            <w:tcBorders>
              <w:top w:val="nil"/>
              <w:left w:val="nil"/>
              <w:bottom w:val="single" w:sz="4" w:space="0" w:color="auto"/>
              <w:right w:val="single" w:sz="4" w:space="0" w:color="auto"/>
            </w:tcBorders>
            <w:noWrap/>
            <w:vAlign w:val="bottom"/>
            <w:hideMark/>
          </w:tcPr>
          <w:p w14:paraId="2571F8CE"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10</w:t>
            </w:r>
          </w:p>
        </w:tc>
        <w:tc>
          <w:tcPr>
            <w:tcW w:w="2036" w:type="dxa"/>
            <w:tcBorders>
              <w:top w:val="nil"/>
              <w:left w:val="nil"/>
              <w:bottom w:val="single" w:sz="4" w:space="0" w:color="auto"/>
              <w:right w:val="single" w:sz="8" w:space="0" w:color="auto"/>
            </w:tcBorders>
            <w:noWrap/>
            <w:vAlign w:val="bottom"/>
            <w:hideMark/>
          </w:tcPr>
          <w:p w14:paraId="2062B2B5"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w:t>
            </w:r>
          </w:p>
        </w:tc>
      </w:tr>
      <w:tr w:rsidR="001854D3" w:rsidRPr="001854D3" w14:paraId="0CE3A698" w14:textId="77777777" w:rsidTr="001854D3">
        <w:trPr>
          <w:trHeight w:val="396"/>
          <w:jc w:val="center"/>
        </w:trPr>
        <w:tc>
          <w:tcPr>
            <w:tcW w:w="3247" w:type="dxa"/>
            <w:tcBorders>
              <w:top w:val="nil"/>
              <w:left w:val="single" w:sz="8" w:space="0" w:color="auto"/>
              <w:bottom w:val="single" w:sz="4" w:space="0" w:color="auto"/>
              <w:right w:val="single" w:sz="4" w:space="0" w:color="auto"/>
            </w:tcBorders>
            <w:noWrap/>
            <w:vAlign w:val="bottom"/>
            <w:hideMark/>
          </w:tcPr>
          <w:p w14:paraId="7B87A970"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3</w:t>
            </w:r>
          </w:p>
        </w:tc>
        <w:tc>
          <w:tcPr>
            <w:tcW w:w="3517" w:type="dxa"/>
            <w:tcBorders>
              <w:top w:val="nil"/>
              <w:left w:val="nil"/>
              <w:bottom w:val="single" w:sz="4" w:space="0" w:color="auto"/>
              <w:right w:val="single" w:sz="4" w:space="0" w:color="auto"/>
            </w:tcBorders>
            <w:noWrap/>
            <w:vAlign w:val="bottom"/>
            <w:hideMark/>
          </w:tcPr>
          <w:p w14:paraId="1E7C25E0"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20</w:t>
            </w:r>
          </w:p>
        </w:tc>
        <w:tc>
          <w:tcPr>
            <w:tcW w:w="2036" w:type="dxa"/>
            <w:tcBorders>
              <w:top w:val="nil"/>
              <w:left w:val="nil"/>
              <w:bottom w:val="single" w:sz="4" w:space="0" w:color="auto"/>
              <w:right w:val="single" w:sz="8" w:space="0" w:color="auto"/>
            </w:tcBorders>
            <w:noWrap/>
            <w:vAlign w:val="bottom"/>
            <w:hideMark/>
          </w:tcPr>
          <w:p w14:paraId="1BC5C357"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10</w:t>
            </w:r>
          </w:p>
        </w:tc>
      </w:tr>
      <w:tr w:rsidR="001854D3" w:rsidRPr="001854D3" w14:paraId="210472FD" w14:textId="77777777" w:rsidTr="001854D3">
        <w:trPr>
          <w:trHeight w:val="396"/>
          <w:jc w:val="center"/>
        </w:trPr>
        <w:tc>
          <w:tcPr>
            <w:tcW w:w="3247" w:type="dxa"/>
            <w:tcBorders>
              <w:top w:val="nil"/>
              <w:left w:val="single" w:sz="8" w:space="0" w:color="auto"/>
              <w:bottom w:val="single" w:sz="4" w:space="0" w:color="auto"/>
              <w:right w:val="single" w:sz="4" w:space="0" w:color="auto"/>
            </w:tcBorders>
            <w:noWrap/>
            <w:vAlign w:val="bottom"/>
            <w:hideMark/>
          </w:tcPr>
          <w:p w14:paraId="147ABB5C"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4</w:t>
            </w:r>
          </w:p>
        </w:tc>
        <w:tc>
          <w:tcPr>
            <w:tcW w:w="3517" w:type="dxa"/>
            <w:tcBorders>
              <w:top w:val="nil"/>
              <w:left w:val="nil"/>
              <w:bottom w:val="single" w:sz="4" w:space="0" w:color="auto"/>
              <w:right w:val="single" w:sz="4" w:space="0" w:color="auto"/>
            </w:tcBorders>
            <w:noWrap/>
            <w:vAlign w:val="bottom"/>
            <w:hideMark/>
          </w:tcPr>
          <w:p w14:paraId="43727D5B"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25</w:t>
            </w:r>
          </w:p>
        </w:tc>
        <w:tc>
          <w:tcPr>
            <w:tcW w:w="2036" w:type="dxa"/>
            <w:tcBorders>
              <w:top w:val="nil"/>
              <w:left w:val="nil"/>
              <w:bottom w:val="single" w:sz="4" w:space="0" w:color="auto"/>
              <w:right w:val="single" w:sz="8" w:space="0" w:color="auto"/>
            </w:tcBorders>
            <w:noWrap/>
            <w:vAlign w:val="bottom"/>
            <w:hideMark/>
          </w:tcPr>
          <w:p w14:paraId="1A3FEA19"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15</w:t>
            </w:r>
          </w:p>
        </w:tc>
      </w:tr>
      <w:tr w:rsidR="001854D3" w:rsidRPr="001854D3" w14:paraId="160B55B3" w14:textId="77777777" w:rsidTr="001854D3">
        <w:trPr>
          <w:trHeight w:val="396"/>
          <w:jc w:val="center"/>
        </w:trPr>
        <w:tc>
          <w:tcPr>
            <w:tcW w:w="3247" w:type="dxa"/>
            <w:tcBorders>
              <w:top w:val="nil"/>
              <w:left w:val="single" w:sz="8" w:space="0" w:color="auto"/>
              <w:bottom w:val="single" w:sz="4" w:space="0" w:color="auto"/>
              <w:right w:val="single" w:sz="4" w:space="0" w:color="auto"/>
            </w:tcBorders>
            <w:noWrap/>
            <w:vAlign w:val="bottom"/>
            <w:hideMark/>
          </w:tcPr>
          <w:p w14:paraId="42BC0656"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5</w:t>
            </w:r>
          </w:p>
        </w:tc>
        <w:tc>
          <w:tcPr>
            <w:tcW w:w="3517" w:type="dxa"/>
            <w:tcBorders>
              <w:top w:val="nil"/>
              <w:left w:val="nil"/>
              <w:bottom w:val="single" w:sz="4" w:space="0" w:color="auto"/>
              <w:right w:val="single" w:sz="4" w:space="0" w:color="auto"/>
            </w:tcBorders>
            <w:noWrap/>
            <w:vAlign w:val="bottom"/>
            <w:hideMark/>
          </w:tcPr>
          <w:p w14:paraId="424BF473"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15</w:t>
            </w:r>
          </w:p>
        </w:tc>
        <w:tc>
          <w:tcPr>
            <w:tcW w:w="2036" w:type="dxa"/>
            <w:tcBorders>
              <w:top w:val="nil"/>
              <w:left w:val="nil"/>
              <w:bottom w:val="single" w:sz="4" w:space="0" w:color="auto"/>
              <w:right w:val="single" w:sz="8" w:space="0" w:color="auto"/>
            </w:tcBorders>
            <w:noWrap/>
            <w:vAlign w:val="bottom"/>
            <w:hideMark/>
          </w:tcPr>
          <w:p w14:paraId="76EDA622"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5</w:t>
            </w:r>
          </w:p>
        </w:tc>
      </w:tr>
      <w:tr w:rsidR="001854D3" w:rsidRPr="001854D3" w14:paraId="51E18115" w14:textId="77777777" w:rsidTr="001854D3">
        <w:trPr>
          <w:trHeight w:val="396"/>
          <w:jc w:val="center"/>
        </w:trPr>
        <w:tc>
          <w:tcPr>
            <w:tcW w:w="3247" w:type="dxa"/>
            <w:tcBorders>
              <w:top w:val="nil"/>
              <w:left w:val="single" w:sz="8" w:space="0" w:color="auto"/>
              <w:bottom w:val="single" w:sz="4" w:space="0" w:color="auto"/>
              <w:right w:val="single" w:sz="4" w:space="0" w:color="auto"/>
            </w:tcBorders>
            <w:noWrap/>
            <w:vAlign w:val="bottom"/>
            <w:hideMark/>
          </w:tcPr>
          <w:p w14:paraId="4BE36481"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 xml:space="preserve">Average Annual profit </w:t>
            </w:r>
          </w:p>
        </w:tc>
        <w:tc>
          <w:tcPr>
            <w:tcW w:w="3517" w:type="dxa"/>
            <w:tcBorders>
              <w:top w:val="nil"/>
              <w:left w:val="nil"/>
              <w:bottom w:val="single" w:sz="4" w:space="0" w:color="auto"/>
              <w:right w:val="single" w:sz="4" w:space="0" w:color="auto"/>
            </w:tcBorders>
            <w:noWrap/>
            <w:vAlign w:val="bottom"/>
            <w:hideMark/>
          </w:tcPr>
          <w:p w14:paraId="6D9396B5"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5</w:t>
            </w:r>
          </w:p>
        </w:tc>
        <w:tc>
          <w:tcPr>
            <w:tcW w:w="2036" w:type="dxa"/>
            <w:tcBorders>
              <w:top w:val="nil"/>
              <w:left w:val="nil"/>
              <w:bottom w:val="single" w:sz="4" w:space="0" w:color="auto"/>
              <w:right w:val="single" w:sz="8" w:space="0" w:color="auto"/>
            </w:tcBorders>
            <w:noWrap/>
            <w:vAlign w:val="bottom"/>
            <w:hideMark/>
          </w:tcPr>
          <w:p w14:paraId="52098288"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76364C6E" w14:textId="77777777" w:rsidTr="001854D3">
        <w:trPr>
          <w:trHeight w:val="396"/>
          <w:jc w:val="center"/>
        </w:trPr>
        <w:tc>
          <w:tcPr>
            <w:tcW w:w="3247" w:type="dxa"/>
            <w:tcBorders>
              <w:top w:val="nil"/>
              <w:left w:val="single" w:sz="8" w:space="0" w:color="auto"/>
              <w:bottom w:val="single" w:sz="4" w:space="0" w:color="auto"/>
              <w:right w:val="single" w:sz="4" w:space="0" w:color="auto"/>
            </w:tcBorders>
            <w:noWrap/>
            <w:vAlign w:val="bottom"/>
            <w:hideMark/>
          </w:tcPr>
          <w:p w14:paraId="5321EF20"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Average Investment</w:t>
            </w:r>
          </w:p>
        </w:tc>
        <w:tc>
          <w:tcPr>
            <w:tcW w:w="3517" w:type="dxa"/>
            <w:tcBorders>
              <w:top w:val="nil"/>
              <w:left w:val="nil"/>
              <w:bottom w:val="single" w:sz="4" w:space="0" w:color="auto"/>
              <w:right w:val="single" w:sz="4" w:space="0" w:color="auto"/>
            </w:tcBorders>
            <w:noWrap/>
            <w:vAlign w:val="bottom"/>
            <w:hideMark/>
          </w:tcPr>
          <w:p w14:paraId="57DF7910"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25</w:t>
            </w:r>
          </w:p>
        </w:tc>
        <w:tc>
          <w:tcPr>
            <w:tcW w:w="2036" w:type="dxa"/>
            <w:tcBorders>
              <w:top w:val="nil"/>
              <w:left w:val="nil"/>
              <w:bottom w:val="single" w:sz="4" w:space="0" w:color="auto"/>
              <w:right w:val="single" w:sz="8" w:space="0" w:color="auto"/>
            </w:tcBorders>
            <w:noWrap/>
            <w:vAlign w:val="bottom"/>
            <w:hideMark/>
          </w:tcPr>
          <w:p w14:paraId="33343DDE"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14FF7D41" w14:textId="77777777" w:rsidTr="001854D3">
        <w:trPr>
          <w:trHeight w:val="396"/>
          <w:jc w:val="center"/>
        </w:trPr>
        <w:tc>
          <w:tcPr>
            <w:tcW w:w="3247" w:type="dxa"/>
            <w:tcBorders>
              <w:top w:val="nil"/>
              <w:left w:val="single" w:sz="8" w:space="0" w:color="auto"/>
              <w:bottom w:val="single" w:sz="8" w:space="0" w:color="auto"/>
              <w:right w:val="single" w:sz="4" w:space="0" w:color="auto"/>
            </w:tcBorders>
            <w:noWrap/>
            <w:vAlign w:val="bottom"/>
            <w:hideMark/>
          </w:tcPr>
          <w:p w14:paraId="1C1F0F8D"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ARR</w:t>
            </w:r>
          </w:p>
        </w:tc>
        <w:tc>
          <w:tcPr>
            <w:tcW w:w="3517" w:type="dxa"/>
            <w:tcBorders>
              <w:top w:val="nil"/>
              <w:left w:val="nil"/>
              <w:bottom w:val="single" w:sz="8" w:space="0" w:color="auto"/>
              <w:right w:val="single" w:sz="4" w:space="0" w:color="auto"/>
            </w:tcBorders>
            <w:noWrap/>
            <w:vAlign w:val="bottom"/>
            <w:hideMark/>
          </w:tcPr>
          <w:p w14:paraId="6EA443CD"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20</w:t>
            </w:r>
          </w:p>
        </w:tc>
        <w:tc>
          <w:tcPr>
            <w:tcW w:w="2036" w:type="dxa"/>
            <w:tcBorders>
              <w:top w:val="nil"/>
              <w:left w:val="nil"/>
              <w:bottom w:val="single" w:sz="8" w:space="0" w:color="auto"/>
              <w:right w:val="single" w:sz="8" w:space="0" w:color="auto"/>
            </w:tcBorders>
            <w:noWrap/>
            <w:vAlign w:val="bottom"/>
            <w:hideMark/>
          </w:tcPr>
          <w:p w14:paraId="2EC9F66D"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 xml:space="preserve">In percentage </w:t>
            </w:r>
          </w:p>
        </w:tc>
      </w:tr>
    </w:tbl>
    <w:p w14:paraId="38E099A8" w14:textId="48B636A5" w:rsidR="00747192" w:rsidRPr="001854D3" w:rsidRDefault="00D34B4D" w:rsidP="00D13DB7">
      <w:pPr>
        <w:jc w:val="center"/>
        <w:rPr>
          <w:rFonts w:cs="Arial"/>
        </w:rPr>
      </w:pPr>
      <w:r w:rsidRPr="00D34B4D">
        <w:rPr>
          <w:rFonts w:cs="Arial"/>
        </w:rPr>
        <w:t>(Source: Refer to the Excel)</w:t>
      </w:r>
    </w:p>
    <w:tbl>
      <w:tblPr>
        <w:tblW w:w="9756" w:type="dxa"/>
        <w:jc w:val="center"/>
        <w:tblLook w:val="04A0" w:firstRow="1" w:lastRow="0" w:firstColumn="1" w:lastColumn="0" w:noHBand="0" w:noVBand="1"/>
      </w:tblPr>
      <w:tblGrid>
        <w:gridCol w:w="1396"/>
        <w:gridCol w:w="1710"/>
        <w:gridCol w:w="1520"/>
        <w:gridCol w:w="5130"/>
      </w:tblGrid>
      <w:tr w:rsidR="001854D3" w:rsidRPr="001854D3" w14:paraId="4FEF4C70" w14:textId="77777777" w:rsidTr="00D34B4D">
        <w:trPr>
          <w:trHeight w:val="396"/>
          <w:jc w:val="center"/>
        </w:trPr>
        <w:tc>
          <w:tcPr>
            <w:tcW w:w="9756" w:type="dxa"/>
            <w:gridSpan w:val="4"/>
            <w:tcBorders>
              <w:top w:val="single" w:sz="8" w:space="0" w:color="auto"/>
              <w:left w:val="single" w:sz="8" w:space="0" w:color="auto"/>
              <w:bottom w:val="nil"/>
              <w:right w:val="single" w:sz="8" w:space="0" w:color="000000"/>
            </w:tcBorders>
            <w:noWrap/>
            <w:vAlign w:val="bottom"/>
            <w:hideMark/>
          </w:tcPr>
          <w:p w14:paraId="4442C0E8" w14:textId="77777777" w:rsidR="001854D3" w:rsidRPr="001854D3" w:rsidRDefault="001854D3" w:rsidP="001854D3">
            <w:pPr>
              <w:spacing w:after="0"/>
              <w:jc w:val="center"/>
              <w:rPr>
                <w:rFonts w:cs="Arial"/>
                <w:b/>
                <w:bCs/>
                <w:color w:val="000000"/>
                <w:szCs w:val="24"/>
                <w:lang w:val="en-IN"/>
              </w:rPr>
            </w:pPr>
            <w:r w:rsidRPr="001854D3">
              <w:rPr>
                <w:rFonts w:cs="Arial"/>
                <w:b/>
                <w:bCs/>
                <w:color w:val="000000"/>
                <w:szCs w:val="24"/>
                <w:lang w:val="en-IN"/>
              </w:rPr>
              <w:lastRenderedPageBreak/>
              <w:t>NPV</w:t>
            </w:r>
          </w:p>
        </w:tc>
      </w:tr>
      <w:tr w:rsidR="001854D3" w:rsidRPr="001854D3" w14:paraId="40E12DC9" w14:textId="77777777" w:rsidTr="00D34B4D">
        <w:trPr>
          <w:trHeight w:val="396"/>
          <w:jc w:val="center"/>
        </w:trPr>
        <w:tc>
          <w:tcPr>
            <w:tcW w:w="1396" w:type="dxa"/>
            <w:tcBorders>
              <w:top w:val="single" w:sz="4" w:space="0" w:color="auto"/>
              <w:left w:val="single" w:sz="8" w:space="0" w:color="auto"/>
              <w:bottom w:val="single" w:sz="4" w:space="0" w:color="auto"/>
              <w:right w:val="single" w:sz="4" w:space="0" w:color="auto"/>
            </w:tcBorders>
            <w:noWrap/>
            <w:vAlign w:val="bottom"/>
            <w:hideMark/>
          </w:tcPr>
          <w:p w14:paraId="2A543B75"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Discount Rate</w:t>
            </w:r>
          </w:p>
        </w:tc>
        <w:tc>
          <w:tcPr>
            <w:tcW w:w="1710" w:type="dxa"/>
            <w:tcBorders>
              <w:top w:val="single" w:sz="4" w:space="0" w:color="auto"/>
              <w:left w:val="nil"/>
              <w:bottom w:val="single" w:sz="4" w:space="0" w:color="auto"/>
              <w:right w:val="single" w:sz="4" w:space="0" w:color="auto"/>
            </w:tcBorders>
            <w:noWrap/>
            <w:vAlign w:val="bottom"/>
            <w:hideMark/>
          </w:tcPr>
          <w:p w14:paraId="7C79B804"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10%</w:t>
            </w:r>
          </w:p>
        </w:tc>
        <w:tc>
          <w:tcPr>
            <w:tcW w:w="1520" w:type="dxa"/>
            <w:tcBorders>
              <w:top w:val="nil"/>
              <w:left w:val="nil"/>
              <w:bottom w:val="nil"/>
              <w:right w:val="nil"/>
            </w:tcBorders>
            <w:noWrap/>
            <w:vAlign w:val="bottom"/>
            <w:hideMark/>
          </w:tcPr>
          <w:p w14:paraId="64955A5A" w14:textId="77777777" w:rsidR="001854D3" w:rsidRPr="001854D3" w:rsidRDefault="001854D3" w:rsidP="001854D3">
            <w:pPr>
              <w:spacing w:after="0"/>
              <w:jc w:val="right"/>
              <w:rPr>
                <w:rFonts w:cs="Arial"/>
                <w:color w:val="000000"/>
                <w:szCs w:val="24"/>
                <w:lang w:val="en-IN"/>
              </w:rPr>
            </w:pPr>
          </w:p>
        </w:tc>
        <w:tc>
          <w:tcPr>
            <w:tcW w:w="5130" w:type="dxa"/>
            <w:tcBorders>
              <w:top w:val="nil"/>
              <w:left w:val="nil"/>
              <w:bottom w:val="nil"/>
              <w:right w:val="single" w:sz="8" w:space="0" w:color="auto"/>
            </w:tcBorders>
            <w:noWrap/>
            <w:vAlign w:val="bottom"/>
            <w:hideMark/>
          </w:tcPr>
          <w:p w14:paraId="50B813EC"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443A451A" w14:textId="77777777" w:rsidTr="00D34B4D">
        <w:trPr>
          <w:trHeight w:val="396"/>
          <w:jc w:val="center"/>
        </w:trPr>
        <w:tc>
          <w:tcPr>
            <w:tcW w:w="1396" w:type="dxa"/>
            <w:tcBorders>
              <w:top w:val="nil"/>
              <w:left w:val="single" w:sz="8" w:space="0" w:color="auto"/>
              <w:bottom w:val="nil"/>
              <w:right w:val="single" w:sz="4" w:space="0" w:color="auto"/>
            </w:tcBorders>
            <w:noWrap/>
            <w:vAlign w:val="bottom"/>
            <w:hideMark/>
          </w:tcPr>
          <w:p w14:paraId="19A644D3"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Year</w:t>
            </w:r>
          </w:p>
        </w:tc>
        <w:tc>
          <w:tcPr>
            <w:tcW w:w="1710" w:type="dxa"/>
            <w:tcBorders>
              <w:top w:val="nil"/>
              <w:left w:val="nil"/>
              <w:bottom w:val="nil"/>
              <w:right w:val="single" w:sz="4" w:space="0" w:color="auto"/>
            </w:tcBorders>
            <w:noWrap/>
            <w:vAlign w:val="bottom"/>
            <w:hideMark/>
          </w:tcPr>
          <w:p w14:paraId="1AAB0D19"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Formula</w:t>
            </w:r>
          </w:p>
        </w:tc>
        <w:tc>
          <w:tcPr>
            <w:tcW w:w="1520" w:type="dxa"/>
            <w:tcBorders>
              <w:top w:val="single" w:sz="4" w:space="0" w:color="auto"/>
              <w:left w:val="nil"/>
              <w:bottom w:val="single" w:sz="4" w:space="0" w:color="auto"/>
              <w:right w:val="single" w:sz="4" w:space="0" w:color="auto"/>
            </w:tcBorders>
            <w:noWrap/>
            <w:vAlign w:val="bottom"/>
            <w:hideMark/>
          </w:tcPr>
          <w:p w14:paraId="2F2245A2"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Discount factor</w:t>
            </w:r>
          </w:p>
        </w:tc>
        <w:tc>
          <w:tcPr>
            <w:tcW w:w="5130" w:type="dxa"/>
            <w:tcBorders>
              <w:top w:val="single" w:sz="4" w:space="0" w:color="auto"/>
              <w:left w:val="nil"/>
              <w:bottom w:val="single" w:sz="4" w:space="0" w:color="auto"/>
              <w:right w:val="single" w:sz="8" w:space="0" w:color="auto"/>
            </w:tcBorders>
            <w:noWrap/>
            <w:vAlign w:val="bottom"/>
            <w:hideMark/>
          </w:tcPr>
          <w:p w14:paraId="50D6319D"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PV</w:t>
            </w:r>
          </w:p>
        </w:tc>
      </w:tr>
      <w:tr w:rsidR="001854D3" w:rsidRPr="001854D3" w14:paraId="7B03B230" w14:textId="77777777" w:rsidTr="00D34B4D">
        <w:trPr>
          <w:trHeight w:val="396"/>
          <w:jc w:val="center"/>
        </w:trPr>
        <w:tc>
          <w:tcPr>
            <w:tcW w:w="1396" w:type="dxa"/>
            <w:tcBorders>
              <w:top w:val="single" w:sz="4" w:space="0" w:color="auto"/>
              <w:left w:val="single" w:sz="8" w:space="0" w:color="auto"/>
              <w:bottom w:val="single" w:sz="4" w:space="0" w:color="auto"/>
              <w:right w:val="single" w:sz="4" w:space="0" w:color="auto"/>
            </w:tcBorders>
            <w:noWrap/>
            <w:vAlign w:val="bottom"/>
            <w:hideMark/>
          </w:tcPr>
          <w:p w14:paraId="0A79D3F6"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w:t>
            </w:r>
          </w:p>
        </w:tc>
        <w:tc>
          <w:tcPr>
            <w:tcW w:w="1710" w:type="dxa"/>
            <w:tcBorders>
              <w:top w:val="single" w:sz="4" w:space="0" w:color="auto"/>
              <w:left w:val="nil"/>
              <w:bottom w:val="single" w:sz="4" w:space="0" w:color="auto"/>
              <w:right w:val="single" w:sz="4" w:space="0" w:color="auto"/>
            </w:tcBorders>
            <w:noWrap/>
            <w:vAlign w:val="bottom"/>
            <w:hideMark/>
          </w:tcPr>
          <w:p w14:paraId="7EC52BDA" w14:textId="77777777" w:rsidR="001854D3" w:rsidRPr="001854D3" w:rsidRDefault="001854D3" w:rsidP="001854D3">
            <w:pPr>
              <w:spacing w:after="0"/>
              <w:jc w:val="center"/>
              <w:rPr>
                <w:rFonts w:cs="Arial"/>
                <w:color w:val="000000"/>
                <w:szCs w:val="24"/>
                <w:lang w:val="en-IN"/>
              </w:rPr>
            </w:pPr>
            <w:r w:rsidRPr="001854D3">
              <w:rPr>
                <w:rFonts w:cs="Arial"/>
                <w:color w:val="000000"/>
                <w:szCs w:val="24"/>
                <w:lang w:val="en-IN"/>
              </w:rPr>
              <w:t>[1</w:t>
            </w:r>
            <w:proofErr w:type="gramStart"/>
            <w:r w:rsidRPr="001854D3">
              <w:rPr>
                <w:rFonts w:cs="Arial"/>
                <w:color w:val="000000"/>
                <w:szCs w:val="24"/>
                <w:lang w:val="en-IN"/>
              </w:rPr>
              <w:t>/(</w:t>
            </w:r>
            <w:proofErr w:type="gramEnd"/>
            <w:r w:rsidRPr="001854D3">
              <w:rPr>
                <w:rFonts w:cs="Arial"/>
                <w:color w:val="000000"/>
                <w:szCs w:val="24"/>
                <w:lang w:val="en-IN"/>
              </w:rPr>
              <w:t>1+10%</w:t>
            </w:r>
            <w:proofErr w:type="gramStart"/>
            <w:r w:rsidRPr="001854D3">
              <w:rPr>
                <w:rFonts w:cs="Arial"/>
                <w:color w:val="000000"/>
                <w:szCs w:val="24"/>
                <w:lang w:val="en-IN"/>
              </w:rPr>
              <w:t>)]^</w:t>
            </w:r>
            <w:proofErr w:type="gramEnd"/>
            <w:r w:rsidRPr="001854D3">
              <w:rPr>
                <w:rFonts w:cs="Arial"/>
                <w:color w:val="000000"/>
                <w:szCs w:val="24"/>
                <w:lang w:val="en-IN"/>
              </w:rPr>
              <w:t>1</w:t>
            </w:r>
          </w:p>
        </w:tc>
        <w:tc>
          <w:tcPr>
            <w:tcW w:w="1520" w:type="dxa"/>
            <w:tcBorders>
              <w:top w:val="nil"/>
              <w:left w:val="nil"/>
              <w:bottom w:val="single" w:sz="4" w:space="0" w:color="auto"/>
              <w:right w:val="single" w:sz="4" w:space="0" w:color="auto"/>
            </w:tcBorders>
            <w:noWrap/>
            <w:vAlign w:val="bottom"/>
            <w:hideMark/>
          </w:tcPr>
          <w:p w14:paraId="6D303FD5"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0.91</w:t>
            </w:r>
          </w:p>
        </w:tc>
        <w:tc>
          <w:tcPr>
            <w:tcW w:w="5130" w:type="dxa"/>
            <w:tcBorders>
              <w:top w:val="nil"/>
              <w:left w:val="nil"/>
              <w:bottom w:val="single" w:sz="4" w:space="0" w:color="auto"/>
              <w:right w:val="single" w:sz="8" w:space="0" w:color="auto"/>
            </w:tcBorders>
            <w:noWrap/>
            <w:vAlign w:val="bottom"/>
            <w:hideMark/>
          </w:tcPr>
          <w:p w14:paraId="6F0DAF1C"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4.55</w:t>
            </w:r>
          </w:p>
        </w:tc>
      </w:tr>
      <w:tr w:rsidR="001854D3" w:rsidRPr="001854D3" w14:paraId="2FB66E7B" w14:textId="77777777" w:rsidTr="00D34B4D">
        <w:trPr>
          <w:trHeight w:val="396"/>
          <w:jc w:val="center"/>
        </w:trPr>
        <w:tc>
          <w:tcPr>
            <w:tcW w:w="1396" w:type="dxa"/>
            <w:tcBorders>
              <w:top w:val="nil"/>
              <w:left w:val="single" w:sz="8" w:space="0" w:color="auto"/>
              <w:bottom w:val="single" w:sz="4" w:space="0" w:color="auto"/>
              <w:right w:val="single" w:sz="4" w:space="0" w:color="auto"/>
            </w:tcBorders>
            <w:noWrap/>
            <w:vAlign w:val="bottom"/>
            <w:hideMark/>
          </w:tcPr>
          <w:p w14:paraId="57D7E6BA"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2</w:t>
            </w:r>
          </w:p>
        </w:tc>
        <w:tc>
          <w:tcPr>
            <w:tcW w:w="1710" w:type="dxa"/>
            <w:tcBorders>
              <w:top w:val="nil"/>
              <w:left w:val="nil"/>
              <w:bottom w:val="single" w:sz="4" w:space="0" w:color="auto"/>
              <w:right w:val="single" w:sz="4" w:space="0" w:color="auto"/>
            </w:tcBorders>
            <w:noWrap/>
            <w:vAlign w:val="bottom"/>
            <w:hideMark/>
          </w:tcPr>
          <w:p w14:paraId="10BB6130" w14:textId="77777777" w:rsidR="001854D3" w:rsidRPr="001854D3" w:rsidRDefault="001854D3" w:rsidP="001854D3">
            <w:pPr>
              <w:spacing w:after="0"/>
              <w:jc w:val="center"/>
              <w:rPr>
                <w:rFonts w:cs="Arial"/>
                <w:color w:val="000000"/>
                <w:szCs w:val="24"/>
                <w:lang w:val="en-IN"/>
              </w:rPr>
            </w:pPr>
            <w:r w:rsidRPr="001854D3">
              <w:rPr>
                <w:rFonts w:cs="Arial"/>
                <w:color w:val="000000"/>
                <w:szCs w:val="24"/>
                <w:lang w:val="en-IN"/>
              </w:rPr>
              <w:t>[1</w:t>
            </w:r>
            <w:proofErr w:type="gramStart"/>
            <w:r w:rsidRPr="001854D3">
              <w:rPr>
                <w:rFonts w:cs="Arial"/>
                <w:color w:val="000000"/>
                <w:szCs w:val="24"/>
                <w:lang w:val="en-IN"/>
              </w:rPr>
              <w:t>/(</w:t>
            </w:r>
            <w:proofErr w:type="gramEnd"/>
            <w:r w:rsidRPr="001854D3">
              <w:rPr>
                <w:rFonts w:cs="Arial"/>
                <w:color w:val="000000"/>
                <w:szCs w:val="24"/>
                <w:lang w:val="en-IN"/>
              </w:rPr>
              <w:t>1+10%</w:t>
            </w:r>
            <w:proofErr w:type="gramStart"/>
            <w:r w:rsidRPr="001854D3">
              <w:rPr>
                <w:rFonts w:cs="Arial"/>
                <w:color w:val="000000"/>
                <w:szCs w:val="24"/>
                <w:lang w:val="en-IN"/>
              </w:rPr>
              <w:t>)]^</w:t>
            </w:r>
            <w:proofErr w:type="gramEnd"/>
            <w:r w:rsidRPr="001854D3">
              <w:rPr>
                <w:rFonts w:cs="Arial"/>
                <w:color w:val="000000"/>
                <w:szCs w:val="24"/>
                <w:lang w:val="en-IN"/>
              </w:rPr>
              <w:t>2</w:t>
            </w:r>
          </w:p>
        </w:tc>
        <w:tc>
          <w:tcPr>
            <w:tcW w:w="1520" w:type="dxa"/>
            <w:tcBorders>
              <w:top w:val="nil"/>
              <w:left w:val="nil"/>
              <w:bottom w:val="single" w:sz="4" w:space="0" w:color="auto"/>
              <w:right w:val="single" w:sz="4" w:space="0" w:color="auto"/>
            </w:tcBorders>
            <w:noWrap/>
            <w:vAlign w:val="bottom"/>
            <w:hideMark/>
          </w:tcPr>
          <w:p w14:paraId="7F8C2C53"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0.83</w:t>
            </w:r>
          </w:p>
        </w:tc>
        <w:tc>
          <w:tcPr>
            <w:tcW w:w="5130" w:type="dxa"/>
            <w:tcBorders>
              <w:top w:val="nil"/>
              <w:left w:val="nil"/>
              <w:bottom w:val="single" w:sz="4" w:space="0" w:color="auto"/>
              <w:right w:val="single" w:sz="8" w:space="0" w:color="auto"/>
            </w:tcBorders>
            <w:noWrap/>
            <w:vAlign w:val="bottom"/>
            <w:hideMark/>
          </w:tcPr>
          <w:p w14:paraId="3F8D6DB4"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8.26</w:t>
            </w:r>
          </w:p>
        </w:tc>
      </w:tr>
      <w:tr w:rsidR="001854D3" w:rsidRPr="001854D3" w14:paraId="07CF52D3" w14:textId="77777777" w:rsidTr="00D34B4D">
        <w:trPr>
          <w:trHeight w:val="396"/>
          <w:jc w:val="center"/>
        </w:trPr>
        <w:tc>
          <w:tcPr>
            <w:tcW w:w="1396" w:type="dxa"/>
            <w:tcBorders>
              <w:top w:val="nil"/>
              <w:left w:val="single" w:sz="8" w:space="0" w:color="auto"/>
              <w:bottom w:val="single" w:sz="4" w:space="0" w:color="auto"/>
              <w:right w:val="single" w:sz="4" w:space="0" w:color="auto"/>
            </w:tcBorders>
            <w:noWrap/>
            <w:vAlign w:val="bottom"/>
            <w:hideMark/>
          </w:tcPr>
          <w:p w14:paraId="04B9213B"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3</w:t>
            </w:r>
          </w:p>
        </w:tc>
        <w:tc>
          <w:tcPr>
            <w:tcW w:w="1710" w:type="dxa"/>
            <w:tcBorders>
              <w:top w:val="nil"/>
              <w:left w:val="nil"/>
              <w:bottom w:val="single" w:sz="4" w:space="0" w:color="auto"/>
              <w:right w:val="single" w:sz="4" w:space="0" w:color="auto"/>
            </w:tcBorders>
            <w:noWrap/>
            <w:vAlign w:val="bottom"/>
            <w:hideMark/>
          </w:tcPr>
          <w:p w14:paraId="4D3C7EEB" w14:textId="77777777" w:rsidR="001854D3" w:rsidRPr="001854D3" w:rsidRDefault="001854D3" w:rsidP="001854D3">
            <w:pPr>
              <w:spacing w:after="0"/>
              <w:jc w:val="center"/>
              <w:rPr>
                <w:rFonts w:cs="Arial"/>
                <w:color w:val="000000"/>
                <w:szCs w:val="24"/>
                <w:lang w:val="en-IN"/>
              </w:rPr>
            </w:pPr>
            <w:r w:rsidRPr="001854D3">
              <w:rPr>
                <w:rFonts w:cs="Arial"/>
                <w:color w:val="000000"/>
                <w:szCs w:val="24"/>
                <w:lang w:val="en-IN"/>
              </w:rPr>
              <w:t>[1</w:t>
            </w:r>
            <w:proofErr w:type="gramStart"/>
            <w:r w:rsidRPr="001854D3">
              <w:rPr>
                <w:rFonts w:cs="Arial"/>
                <w:color w:val="000000"/>
                <w:szCs w:val="24"/>
                <w:lang w:val="en-IN"/>
              </w:rPr>
              <w:t>/(</w:t>
            </w:r>
            <w:proofErr w:type="gramEnd"/>
            <w:r w:rsidRPr="001854D3">
              <w:rPr>
                <w:rFonts w:cs="Arial"/>
                <w:color w:val="000000"/>
                <w:szCs w:val="24"/>
                <w:lang w:val="en-IN"/>
              </w:rPr>
              <w:t>1+10%</w:t>
            </w:r>
            <w:proofErr w:type="gramStart"/>
            <w:r w:rsidRPr="001854D3">
              <w:rPr>
                <w:rFonts w:cs="Arial"/>
                <w:color w:val="000000"/>
                <w:szCs w:val="24"/>
                <w:lang w:val="en-IN"/>
              </w:rPr>
              <w:t>)]^</w:t>
            </w:r>
            <w:proofErr w:type="gramEnd"/>
            <w:r w:rsidRPr="001854D3">
              <w:rPr>
                <w:rFonts w:cs="Arial"/>
                <w:color w:val="000000"/>
                <w:szCs w:val="24"/>
                <w:lang w:val="en-IN"/>
              </w:rPr>
              <w:t>3</w:t>
            </w:r>
          </w:p>
        </w:tc>
        <w:tc>
          <w:tcPr>
            <w:tcW w:w="1520" w:type="dxa"/>
            <w:tcBorders>
              <w:top w:val="nil"/>
              <w:left w:val="nil"/>
              <w:bottom w:val="single" w:sz="4" w:space="0" w:color="auto"/>
              <w:right w:val="single" w:sz="4" w:space="0" w:color="auto"/>
            </w:tcBorders>
            <w:noWrap/>
            <w:vAlign w:val="bottom"/>
            <w:hideMark/>
          </w:tcPr>
          <w:p w14:paraId="24DDD6D6"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0.75</w:t>
            </w:r>
          </w:p>
        </w:tc>
        <w:tc>
          <w:tcPr>
            <w:tcW w:w="5130" w:type="dxa"/>
            <w:tcBorders>
              <w:top w:val="nil"/>
              <w:left w:val="nil"/>
              <w:bottom w:val="single" w:sz="4" w:space="0" w:color="auto"/>
              <w:right w:val="single" w:sz="8" w:space="0" w:color="auto"/>
            </w:tcBorders>
            <w:noWrap/>
            <w:vAlign w:val="bottom"/>
            <w:hideMark/>
          </w:tcPr>
          <w:p w14:paraId="6D87A4EF"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15.03</w:t>
            </w:r>
          </w:p>
        </w:tc>
      </w:tr>
      <w:tr w:rsidR="001854D3" w:rsidRPr="001854D3" w14:paraId="1F40FE2B" w14:textId="77777777" w:rsidTr="00D34B4D">
        <w:trPr>
          <w:trHeight w:val="396"/>
          <w:jc w:val="center"/>
        </w:trPr>
        <w:tc>
          <w:tcPr>
            <w:tcW w:w="1396" w:type="dxa"/>
            <w:tcBorders>
              <w:top w:val="nil"/>
              <w:left w:val="single" w:sz="8" w:space="0" w:color="auto"/>
              <w:bottom w:val="single" w:sz="4" w:space="0" w:color="auto"/>
              <w:right w:val="single" w:sz="4" w:space="0" w:color="auto"/>
            </w:tcBorders>
            <w:noWrap/>
            <w:vAlign w:val="bottom"/>
            <w:hideMark/>
          </w:tcPr>
          <w:p w14:paraId="37A90EA4"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4</w:t>
            </w:r>
          </w:p>
        </w:tc>
        <w:tc>
          <w:tcPr>
            <w:tcW w:w="1710" w:type="dxa"/>
            <w:tcBorders>
              <w:top w:val="nil"/>
              <w:left w:val="nil"/>
              <w:bottom w:val="single" w:sz="4" w:space="0" w:color="auto"/>
              <w:right w:val="single" w:sz="4" w:space="0" w:color="auto"/>
            </w:tcBorders>
            <w:noWrap/>
            <w:vAlign w:val="bottom"/>
            <w:hideMark/>
          </w:tcPr>
          <w:p w14:paraId="6BA386F0" w14:textId="77777777" w:rsidR="001854D3" w:rsidRPr="001854D3" w:rsidRDefault="001854D3" w:rsidP="001854D3">
            <w:pPr>
              <w:spacing w:after="0"/>
              <w:jc w:val="center"/>
              <w:rPr>
                <w:rFonts w:cs="Arial"/>
                <w:color w:val="000000"/>
                <w:szCs w:val="24"/>
                <w:lang w:val="en-IN"/>
              </w:rPr>
            </w:pPr>
            <w:r w:rsidRPr="001854D3">
              <w:rPr>
                <w:rFonts w:cs="Arial"/>
                <w:color w:val="000000"/>
                <w:szCs w:val="24"/>
                <w:lang w:val="en-IN"/>
              </w:rPr>
              <w:t>[1</w:t>
            </w:r>
            <w:proofErr w:type="gramStart"/>
            <w:r w:rsidRPr="001854D3">
              <w:rPr>
                <w:rFonts w:cs="Arial"/>
                <w:color w:val="000000"/>
                <w:szCs w:val="24"/>
                <w:lang w:val="en-IN"/>
              </w:rPr>
              <w:t>/(</w:t>
            </w:r>
            <w:proofErr w:type="gramEnd"/>
            <w:r w:rsidRPr="001854D3">
              <w:rPr>
                <w:rFonts w:cs="Arial"/>
                <w:color w:val="000000"/>
                <w:szCs w:val="24"/>
                <w:lang w:val="en-IN"/>
              </w:rPr>
              <w:t>1+10%</w:t>
            </w:r>
            <w:proofErr w:type="gramStart"/>
            <w:r w:rsidRPr="001854D3">
              <w:rPr>
                <w:rFonts w:cs="Arial"/>
                <w:color w:val="000000"/>
                <w:szCs w:val="24"/>
                <w:lang w:val="en-IN"/>
              </w:rPr>
              <w:t>)]^</w:t>
            </w:r>
            <w:proofErr w:type="gramEnd"/>
            <w:r w:rsidRPr="001854D3">
              <w:rPr>
                <w:rFonts w:cs="Arial"/>
                <w:color w:val="000000"/>
                <w:szCs w:val="24"/>
                <w:lang w:val="en-IN"/>
              </w:rPr>
              <w:t>4</w:t>
            </w:r>
          </w:p>
        </w:tc>
        <w:tc>
          <w:tcPr>
            <w:tcW w:w="1520" w:type="dxa"/>
            <w:tcBorders>
              <w:top w:val="nil"/>
              <w:left w:val="nil"/>
              <w:bottom w:val="single" w:sz="4" w:space="0" w:color="auto"/>
              <w:right w:val="single" w:sz="4" w:space="0" w:color="auto"/>
            </w:tcBorders>
            <w:noWrap/>
            <w:vAlign w:val="bottom"/>
            <w:hideMark/>
          </w:tcPr>
          <w:p w14:paraId="7B7C8B76"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0.68</w:t>
            </w:r>
          </w:p>
        </w:tc>
        <w:tc>
          <w:tcPr>
            <w:tcW w:w="5130" w:type="dxa"/>
            <w:tcBorders>
              <w:top w:val="nil"/>
              <w:left w:val="nil"/>
              <w:bottom w:val="single" w:sz="4" w:space="0" w:color="auto"/>
              <w:right w:val="single" w:sz="8" w:space="0" w:color="auto"/>
            </w:tcBorders>
            <w:noWrap/>
            <w:vAlign w:val="bottom"/>
            <w:hideMark/>
          </w:tcPr>
          <w:p w14:paraId="73FF2BD2"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17.08</w:t>
            </w:r>
          </w:p>
        </w:tc>
      </w:tr>
      <w:tr w:rsidR="001854D3" w:rsidRPr="001854D3" w14:paraId="7F1FBDA4" w14:textId="77777777" w:rsidTr="00D34B4D">
        <w:trPr>
          <w:trHeight w:val="396"/>
          <w:jc w:val="center"/>
        </w:trPr>
        <w:tc>
          <w:tcPr>
            <w:tcW w:w="1396" w:type="dxa"/>
            <w:tcBorders>
              <w:top w:val="nil"/>
              <w:left w:val="single" w:sz="8" w:space="0" w:color="auto"/>
              <w:bottom w:val="single" w:sz="4" w:space="0" w:color="auto"/>
              <w:right w:val="single" w:sz="4" w:space="0" w:color="auto"/>
            </w:tcBorders>
            <w:noWrap/>
            <w:vAlign w:val="bottom"/>
            <w:hideMark/>
          </w:tcPr>
          <w:p w14:paraId="1B637A3C"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5</w:t>
            </w:r>
          </w:p>
        </w:tc>
        <w:tc>
          <w:tcPr>
            <w:tcW w:w="1710" w:type="dxa"/>
            <w:tcBorders>
              <w:top w:val="nil"/>
              <w:left w:val="nil"/>
              <w:bottom w:val="single" w:sz="4" w:space="0" w:color="auto"/>
              <w:right w:val="single" w:sz="4" w:space="0" w:color="auto"/>
            </w:tcBorders>
            <w:noWrap/>
            <w:vAlign w:val="bottom"/>
            <w:hideMark/>
          </w:tcPr>
          <w:p w14:paraId="525515A1" w14:textId="77777777" w:rsidR="001854D3" w:rsidRPr="001854D3" w:rsidRDefault="001854D3" w:rsidP="001854D3">
            <w:pPr>
              <w:spacing w:after="0"/>
              <w:jc w:val="center"/>
              <w:rPr>
                <w:rFonts w:cs="Arial"/>
                <w:color w:val="000000"/>
                <w:szCs w:val="24"/>
                <w:lang w:val="en-IN"/>
              </w:rPr>
            </w:pPr>
            <w:r w:rsidRPr="001854D3">
              <w:rPr>
                <w:rFonts w:cs="Arial"/>
                <w:color w:val="000000"/>
                <w:szCs w:val="24"/>
                <w:lang w:val="en-IN"/>
              </w:rPr>
              <w:t>[1</w:t>
            </w:r>
            <w:proofErr w:type="gramStart"/>
            <w:r w:rsidRPr="001854D3">
              <w:rPr>
                <w:rFonts w:cs="Arial"/>
                <w:color w:val="000000"/>
                <w:szCs w:val="24"/>
                <w:lang w:val="en-IN"/>
              </w:rPr>
              <w:t>/(</w:t>
            </w:r>
            <w:proofErr w:type="gramEnd"/>
            <w:r w:rsidRPr="001854D3">
              <w:rPr>
                <w:rFonts w:cs="Arial"/>
                <w:color w:val="000000"/>
                <w:szCs w:val="24"/>
                <w:lang w:val="en-IN"/>
              </w:rPr>
              <w:t>1+10%</w:t>
            </w:r>
            <w:proofErr w:type="gramStart"/>
            <w:r w:rsidRPr="001854D3">
              <w:rPr>
                <w:rFonts w:cs="Arial"/>
                <w:color w:val="000000"/>
                <w:szCs w:val="24"/>
                <w:lang w:val="en-IN"/>
              </w:rPr>
              <w:t>)]^</w:t>
            </w:r>
            <w:proofErr w:type="gramEnd"/>
            <w:r w:rsidRPr="001854D3">
              <w:rPr>
                <w:rFonts w:cs="Arial"/>
                <w:color w:val="000000"/>
                <w:szCs w:val="24"/>
                <w:lang w:val="en-IN"/>
              </w:rPr>
              <w:t>5</w:t>
            </w:r>
          </w:p>
        </w:tc>
        <w:tc>
          <w:tcPr>
            <w:tcW w:w="1520" w:type="dxa"/>
            <w:tcBorders>
              <w:top w:val="nil"/>
              <w:left w:val="nil"/>
              <w:bottom w:val="single" w:sz="4" w:space="0" w:color="auto"/>
              <w:right w:val="single" w:sz="4" w:space="0" w:color="auto"/>
            </w:tcBorders>
            <w:noWrap/>
            <w:vAlign w:val="bottom"/>
            <w:hideMark/>
          </w:tcPr>
          <w:p w14:paraId="252BA66B"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0.62</w:t>
            </w:r>
          </w:p>
        </w:tc>
        <w:tc>
          <w:tcPr>
            <w:tcW w:w="5130" w:type="dxa"/>
            <w:tcBorders>
              <w:top w:val="nil"/>
              <w:left w:val="nil"/>
              <w:bottom w:val="single" w:sz="4" w:space="0" w:color="auto"/>
              <w:right w:val="single" w:sz="8" w:space="0" w:color="auto"/>
            </w:tcBorders>
            <w:noWrap/>
            <w:vAlign w:val="bottom"/>
            <w:hideMark/>
          </w:tcPr>
          <w:p w14:paraId="169C240D"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9.31</w:t>
            </w:r>
          </w:p>
        </w:tc>
      </w:tr>
      <w:tr w:rsidR="001854D3" w:rsidRPr="001854D3" w14:paraId="4CC939CE" w14:textId="77777777" w:rsidTr="00D34B4D">
        <w:trPr>
          <w:trHeight w:val="396"/>
          <w:jc w:val="center"/>
        </w:trPr>
        <w:tc>
          <w:tcPr>
            <w:tcW w:w="1396" w:type="dxa"/>
            <w:tcBorders>
              <w:top w:val="nil"/>
              <w:left w:val="single" w:sz="8" w:space="0" w:color="auto"/>
              <w:bottom w:val="single" w:sz="4" w:space="0" w:color="auto"/>
              <w:right w:val="single" w:sz="4" w:space="0" w:color="auto"/>
            </w:tcBorders>
            <w:noWrap/>
            <w:vAlign w:val="bottom"/>
            <w:hideMark/>
          </w:tcPr>
          <w:p w14:paraId="7FBB423F"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 </w:t>
            </w:r>
          </w:p>
        </w:tc>
        <w:tc>
          <w:tcPr>
            <w:tcW w:w="1710" w:type="dxa"/>
            <w:tcBorders>
              <w:top w:val="nil"/>
              <w:left w:val="nil"/>
              <w:bottom w:val="single" w:sz="4" w:space="0" w:color="auto"/>
              <w:right w:val="single" w:sz="4" w:space="0" w:color="auto"/>
            </w:tcBorders>
            <w:noWrap/>
            <w:vAlign w:val="bottom"/>
            <w:hideMark/>
          </w:tcPr>
          <w:p w14:paraId="4DE96CE3"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 </w:t>
            </w:r>
          </w:p>
        </w:tc>
        <w:tc>
          <w:tcPr>
            <w:tcW w:w="1520" w:type="dxa"/>
            <w:tcBorders>
              <w:top w:val="nil"/>
              <w:left w:val="nil"/>
              <w:bottom w:val="single" w:sz="4" w:space="0" w:color="auto"/>
              <w:right w:val="single" w:sz="4" w:space="0" w:color="auto"/>
            </w:tcBorders>
            <w:noWrap/>
            <w:vAlign w:val="bottom"/>
            <w:hideMark/>
          </w:tcPr>
          <w:p w14:paraId="0F032000"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 </w:t>
            </w:r>
          </w:p>
        </w:tc>
        <w:tc>
          <w:tcPr>
            <w:tcW w:w="5130" w:type="dxa"/>
            <w:tcBorders>
              <w:top w:val="nil"/>
              <w:left w:val="nil"/>
              <w:bottom w:val="single" w:sz="4" w:space="0" w:color="auto"/>
              <w:right w:val="single" w:sz="8" w:space="0" w:color="auto"/>
            </w:tcBorders>
            <w:noWrap/>
            <w:vAlign w:val="bottom"/>
            <w:hideMark/>
          </w:tcPr>
          <w:p w14:paraId="05EF6A2F" w14:textId="77777777" w:rsidR="001854D3" w:rsidRPr="001854D3" w:rsidRDefault="001854D3" w:rsidP="001854D3">
            <w:pPr>
              <w:spacing w:after="0"/>
              <w:ind w:firstLineChars="1200" w:firstLine="2891"/>
              <w:jc w:val="left"/>
              <w:rPr>
                <w:rFonts w:cs="Arial"/>
                <w:b/>
                <w:bCs/>
                <w:color w:val="000000"/>
                <w:szCs w:val="24"/>
                <w:lang w:val="en-IN"/>
              </w:rPr>
            </w:pPr>
            <w:r w:rsidRPr="001854D3">
              <w:rPr>
                <w:rFonts w:cs="Arial"/>
                <w:b/>
                <w:bCs/>
                <w:color w:val="000000"/>
                <w:szCs w:val="24"/>
                <w:lang w:val="en-IN"/>
              </w:rPr>
              <w:t>54.23</w:t>
            </w:r>
          </w:p>
        </w:tc>
      </w:tr>
      <w:tr w:rsidR="001854D3" w:rsidRPr="001854D3" w14:paraId="77F6BDF5" w14:textId="77777777" w:rsidTr="00D34B4D">
        <w:trPr>
          <w:trHeight w:val="396"/>
          <w:jc w:val="center"/>
        </w:trPr>
        <w:tc>
          <w:tcPr>
            <w:tcW w:w="1396" w:type="dxa"/>
            <w:tcBorders>
              <w:top w:val="nil"/>
              <w:left w:val="single" w:sz="8" w:space="0" w:color="auto"/>
              <w:bottom w:val="single" w:sz="8" w:space="0" w:color="auto"/>
              <w:right w:val="single" w:sz="4" w:space="0" w:color="auto"/>
            </w:tcBorders>
            <w:noWrap/>
            <w:vAlign w:val="bottom"/>
            <w:hideMark/>
          </w:tcPr>
          <w:p w14:paraId="5EBB7E88"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NPV</w:t>
            </w:r>
          </w:p>
        </w:tc>
        <w:tc>
          <w:tcPr>
            <w:tcW w:w="1710" w:type="dxa"/>
            <w:tcBorders>
              <w:top w:val="nil"/>
              <w:left w:val="nil"/>
              <w:bottom w:val="single" w:sz="8" w:space="0" w:color="auto"/>
              <w:right w:val="single" w:sz="4" w:space="0" w:color="auto"/>
            </w:tcBorders>
            <w:noWrap/>
            <w:vAlign w:val="bottom"/>
            <w:hideMark/>
          </w:tcPr>
          <w:p w14:paraId="59F21A6B" w14:textId="77777777" w:rsidR="001854D3" w:rsidRPr="001854D3" w:rsidRDefault="001854D3" w:rsidP="001854D3">
            <w:pPr>
              <w:spacing w:after="0"/>
              <w:jc w:val="right"/>
              <w:rPr>
                <w:rFonts w:cs="Arial"/>
                <w:b/>
                <w:bCs/>
                <w:color w:val="000000"/>
                <w:szCs w:val="24"/>
                <w:lang w:val="en-IN"/>
              </w:rPr>
            </w:pPr>
            <w:r w:rsidRPr="001854D3">
              <w:rPr>
                <w:rFonts w:cs="Arial"/>
                <w:b/>
                <w:bCs/>
                <w:color w:val="000000"/>
                <w:szCs w:val="24"/>
                <w:lang w:val="en-IN"/>
              </w:rPr>
              <w:t>4.23</w:t>
            </w:r>
          </w:p>
        </w:tc>
        <w:tc>
          <w:tcPr>
            <w:tcW w:w="1520" w:type="dxa"/>
            <w:tcBorders>
              <w:top w:val="nil"/>
              <w:left w:val="nil"/>
              <w:bottom w:val="single" w:sz="8" w:space="0" w:color="auto"/>
              <w:right w:val="nil"/>
            </w:tcBorders>
            <w:noWrap/>
            <w:vAlign w:val="bottom"/>
            <w:hideMark/>
          </w:tcPr>
          <w:p w14:paraId="37EC741B"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 </w:t>
            </w:r>
          </w:p>
        </w:tc>
        <w:tc>
          <w:tcPr>
            <w:tcW w:w="5130" w:type="dxa"/>
            <w:tcBorders>
              <w:top w:val="nil"/>
              <w:left w:val="nil"/>
              <w:bottom w:val="single" w:sz="8" w:space="0" w:color="auto"/>
              <w:right w:val="single" w:sz="8" w:space="0" w:color="auto"/>
            </w:tcBorders>
            <w:noWrap/>
            <w:vAlign w:val="bottom"/>
            <w:hideMark/>
          </w:tcPr>
          <w:p w14:paraId="052F059B"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 </w:t>
            </w:r>
          </w:p>
        </w:tc>
      </w:tr>
      <w:tr w:rsidR="001854D3" w:rsidRPr="001854D3" w14:paraId="3D6BA165" w14:textId="77777777" w:rsidTr="00D34B4D">
        <w:trPr>
          <w:trHeight w:val="396"/>
          <w:jc w:val="center"/>
        </w:trPr>
        <w:tc>
          <w:tcPr>
            <w:tcW w:w="1396" w:type="dxa"/>
            <w:tcBorders>
              <w:top w:val="nil"/>
              <w:left w:val="nil"/>
              <w:bottom w:val="nil"/>
              <w:right w:val="nil"/>
            </w:tcBorders>
            <w:noWrap/>
            <w:vAlign w:val="bottom"/>
            <w:hideMark/>
          </w:tcPr>
          <w:p w14:paraId="4FE2581D" w14:textId="77777777" w:rsidR="001854D3" w:rsidRPr="001854D3" w:rsidRDefault="001854D3" w:rsidP="001854D3">
            <w:pPr>
              <w:spacing w:after="0"/>
              <w:jc w:val="left"/>
              <w:rPr>
                <w:rFonts w:cs="Arial"/>
                <w:b/>
                <w:bCs/>
                <w:color w:val="000000"/>
                <w:szCs w:val="24"/>
                <w:lang w:val="en-IN"/>
              </w:rPr>
            </w:pPr>
          </w:p>
        </w:tc>
        <w:tc>
          <w:tcPr>
            <w:tcW w:w="1710" w:type="dxa"/>
            <w:tcBorders>
              <w:top w:val="nil"/>
              <w:left w:val="nil"/>
              <w:bottom w:val="nil"/>
              <w:right w:val="nil"/>
            </w:tcBorders>
            <w:noWrap/>
            <w:vAlign w:val="bottom"/>
            <w:hideMark/>
          </w:tcPr>
          <w:p w14:paraId="395B30F8" w14:textId="77777777" w:rsidR="001854D3" w:rsidRPr="001854D3" w:rsidRDefault="001854D3" w:rsidP="001854D3">
            <w:pPr>
              <w:spacing w:after="0"/>
              <w:jc w:val="left"/>
              <w:rPr>
                <w:rFonts w:cs="Arial"/>
                <w:sz w:val="20"/>
                <w:szCs w:val="20"/>
                <w:lang w:val="en-IN"/>
              </w:rPr>
            </w:pPr>
          </w:p>
        </w:tc>
        <w:tc>
          <w:tcPr>
            <w:tcW w:w="1520" w:type="dxa"/>
            <w:tcBorders>
              <w:top w:val="nil"/>
              <w:left w:val="nil"/>
              <w:bottom w:val="nil"/>
              <w:right w:val="nil"/>
            </w:tcBorders>
            <w:noWrap/>
            <w:vAlign w:val="bottom"/>
            <w:hideMark/>
          </w:tcPr>
          <w:p w14:paraId="7A726B2A" w14:textId="77777777" w:rsidR="001854D3" w:rsidRPr="001854D3" w:rsidRDefault="001854D3" w:rsidP="001854D3">
            <w:pPr>
              <w:spacing w:after="0"/>
              <w:jc w:val="left"/>
              <w:rPr>
                <w:rFonts w:cs="Arial"/>
                <w:sz w:val="20"/>
                <w:szCs w:val="20"/>
                <w:lang w:val="en-IN"/>
              </w:rPr>
            </w:pPr>
          </w:p>
        </w:tc>
        <w:tc>
          <w:tcPr>
            <w:tcW w:w="5130" w:type="dxa"/>
            <w:tcBorders>
              <w:top w:val="nil"/>
              <w:left w:val="nil"/>
              <w:bottom w:val="nil"/>
              <w:right w:val="nil"/>
            </w:tcBorders>
            <w:noWrap/>
            <w:vAlign w:val="bottom"/>
            <w:hideMark/>
          </w:tcPr>
          <w:p w14:paraId="128618A1" w14:textId="77777777" w:rsidR="001854D3" w:rsidRPr="001854D3" w:rsidRDefault="001854D3" w:rsidP="001854D3">
            <w:pPr>
              <w:spacing w:after="0"/>
              <w:jc w:val="left"/>
              <w:rPr>
                <w:rFonts w:cs="Arial"/>
                <w:sz w:val="20"/>
                <w:szCs w:val="20"/>
                <w:lang w:val="en-IN"/>
              </w:rPr>
            </w:pPr>
          </w:p>
        </w:tc>
      </w:tr>
      <w:tr w:rsidR="001854D3" w:rsidRPr="001854D3" w14:paraId="688E1989" w14:textId="77777777" w:rsidTr="00D34B4D">
        <w:trPr>
          <w:trHeight w:val="396"/>
          <w:jc w:val="center"/>
        </w:trPr>
        <w:tc>
          <w:tcPr>
            <w:tcW w:w="9756" w:type="dxa"/>
            <w:gridSpan w:val="4"/>
            <w:tcBorders>
              <w:top w:val="single" w:sz="8" w:space="0" w:color="auto"/>
              <w:left w:val="single" w:sz="8" w:space="0" w:color="auto"/>
              <w:bottom w:val="nil"/>
              <w:right w:val="single" w:sz="8" w:space="0" w:color="000000"/>
            </w:tcBorders>
            <w:noWrap/>
            <w:vAlign w:val="bottom"/>
            <w:hideMark/>
          </w:tcPr>
          <w:p w14:paraId="651B6F6A" w14:textId="77777777" w:rsidR="001854D3" w:rsidRPr="001854D3" w:rsidRDefault="001854D3" w:rsidP="001854D3">
            <w:pPr>
              <w:spacing w:after="0"/>
              <w:jc w:val="center"/>
              <w:rPr>
                <w:rFonts w:cs="Arial"/>
                <w:b/>
                <w:bCs/>
                <w:color w:val="000000"/>
                <w:szCs w:val="24"/>
                <w:lang w:val="en-IN"/>
              </w:rPr>
            </w:pPr>
            <w:r w:rsidRPr="001854D3">
              <w:rPr>
                <w:rFonts w:cs="Arial"/>
                <w:b/>
                <w:bCs/>
                <w:color w:val="000000"/>
                <w:szCs w:val="24"/>
                <w:lang w:val="en-IN"/>
              </w:rPr>
              <w:t>PI</w:t>
            </w:r>
          </w:p>
        </w:tc>
      </w:tr>
      <w:tr w:rsidR="001854D3" w:rsidRPr="001854D3" w14:paraId="79F711BF" w14:textId="77777777" w:rsidTr="00D34B4D">
        <w:trPr>
          <w:trHeight w:val="396"/>
          <w:jc w:val="center"/>
        </w:trPr>
        <w:tc>
          <w:tcPr>
            <w:tcW w:w="1396" w:type="dxa"/>
            <w:tcBorders>
              <w:top w:val="single" w:sz="4" w:space="0" w:color="auto"/>
              <w:left w:val="single" w:sz="8" w:space="0" w:color="auto"/>
              <w:bottom w:val="single" w:sz="8" w:space="0" w:color="auto"/>
              <w:right w:val="single" w:sz="4" w:space="0" w:color="auto"/>
            </w:tcBorders>
            <w:noWrap/>
            <w:vAlign w:val="bottom"/>
            <w:hideMark/>
          </w:tcPr>
          <w:p w14:paraId="2E76896B"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PI</w:t>
            </w:r>
          </w:p>
        </w:tc>
        <w:tc>
          <w:tcPr>
            <w:tcW w:w="1710" w:type="dxa"/>
            <w:tcBorders>
              <w:top w:val="single" w:sz="4" w:space="0" w:color="auto"/>
              <w:left w:val="nil"/>
              <w:bottom w:val="single" w:sz="8" w:space="0" w:color="auto"/>
              <w:right w:val="single" w:sz="4" w:space="0" w:color="auto"/>
            </w:tcBorders>
            <w:noWrap/>
            <w:vAlign w:val="bottom"/>
            <w:hideMark/>
          </w:tcPr>
          <w:p w14:paraId="14828FE3"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1.08</w:t>
            </w:r>
          </w:p>
        </w:tc>
        <w:tc>
          <w:tcPr>
            <w:tcW w:w="1520" w:type="dxa"/>
            <w:tcBorders>
              <w:top w:val="nil"/>
              <w:left w:val="nil"/>
              <w:bottom w:val="single" w:sz="8" w:space="0" w:color="auto"/>
              <w:right w:val="nil"/>
            </w:tcBorders>
            <w:noWrap/>
            <w:vAlign w:val="bottom"/>
            <w:hideMark/>
          </w:tcPr>
          <w:p w14:paraId="6FD6ABE9"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c>
          <w:tcPr>
            <w:tcW w:w="5130" w:type="dxa"/>
            <w:tcBorders>
              <w:top w:val="nil"/>
              <w:left w:val="nil"/>
              <w:bottom w:val="single" w:sz="8" w:space="0" w:color="auto"/>
              <w:right w:val="single" w:sz="8" w:space="0" w:color="auto"/>
            </w:tcBorders>
            <w:noWrap/>
            <w:vAlign w:val="bottom"/>
            <w:hideMark/>
          </w:tcPr>
          <w:p w14:paraId="198E0F8B"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bl>
    <w:p w14:paraId="65291F6E" w14:textId="115B4078" w:rsidR="001854D3" w:rsidRPr="001854D3" w:rsidRDefault="00D34B4D" w:rsidP="00D13DB7">
      <w:pPr>
        <w:jc w:val="center"/>
        <w:rPr>
          <w:rFonts w:cs="Arial"/>
        </w:rPr>
      </w:pPr>
      <w:r w:rsidRPr="00D34B4D">
        <w:rPr>
          <w:rFonts w:cs="Arial"/>
        </w:rPr>
        <w:t>(Source: Refer to the Excel)</w:t>
      </w:r>
    </w:p>
    <w:tbl>
      <w:tblPr>
        <w:tblW w:w="6920" w:type="dxa"/>
        <w:jc w:val="center"/>
        <w:tblLook w:val="04A0" w:firstRow="1" w:lastRow="0" w:firstColumn="1" w:lastColumn="0" w:noHBand="0" w:noVBand="1"/>
      </w:tblPr>
      <w:tblGrid>
        <w:gridCol w:w="2023"/>
        <w:gridCol w:w="1876"/>
        <w:gridCol w:w="2204"/>
        <w:gridCol w:w="817"/>
      </w:tblGrid>
      <w:tr w:rsidR="001854D3" w:rsidRPr="001854D3" w14:paraId="1D4DEFF5" w14:textId="77777777" w:rsidTr="00D34B4D">
        <w:trPr>
          <w:trHeight w:val="396"/>
          <w:jc w:val="center"/>
        </w:trPr>
        <w:tc>
          <w:tcPr>
            <w:tcW w:w="6920" w:type="dxa"/>
            <w:gridSpan w:val="4"/>
            <w:tcBorders>
              <w:top w:val="single" w:sz="8" w:space="0" w:color="auto"/>
              <w:left w:val="single" w:sz="8" w:space="0" w:color="auto"/>
              <w:bottom w:val="nil"/>
              <w:right w:val="single" w:sz="8" w:space="0" w:color="000000"/>
            </w:tcBorders>
            <w:noWrap/>
            <w:vAlign w:val="bottom"/>
            <w:hideMark/>
          </w:tcPr>
          <w:p w14:paraId="51D96D96" w14:textId="77777777" w:rsidR="001854D3" w:rsidRPr="001854D3" w:rsidRDefault="001854D3" w:rsidP="001854D3">
            <w:pPr>
              <w:spacing w:after="0"/>
              <w:jc w:val="center"/>
              <w:rPr>
                <w:rFonts w:cs="Arial"/>
                <w:b/>
                <w:bCs/>
                <w:color w:val="000000"/>
                <w:szCs w:val="24"/>
                <w:lang w:val="en-IN"/>
              </w:rPr>
            </w:pPr>
            <w:r w:rsidRPr="001854D3">
              <w:rPr>
                <w:rFonts w:cs="Arial"/>
                <w:b/>
                <w:bCs/>
                <w:color w:val="000000"/>
                <w:szCs w:val="24"/>
                <w:lang w:val="en-IN"/>
              </w:rPr>
              <w:t>IRR</w:t>
            </w:r>
          </w:p>
        </w:tc>
      </w:tr>
      <w:tr w:rsidR="001854D3" w:rsidRPr="001854D3" w14:paraId="038C3E6D" w14:textId="77777777" w:rsidTr="00D34B4D">
        <w:trPr>
          <w:trHeight w:val="396"/>
          <w:jc w:val="center"/>
        </w:trPr>
        <w:tc>
          <w:tcPr>
            <w:tcW w:w="2023" w:type="dxa"/>
            <w:tcBorders>
              <w:top w:val="single" w:sz="4" w:space="0" w:color="auto"/>
              <w:left w:val="single" w:sz="8" w:space="0" w:color="auto"/>
              <w:bottom w:val="single" w:sz="4" w:space="0" w:color="auto"/>
              <w:right w:val="single" w:sz="4" w:space="0" w:color="auto"/>
            </w:tcBorders>
            <w:noWrap/>
            <w:vAlign w:val="bottom"/>
            <w:hideMark/>
          </w:tcPr>
          <w:p w14:paraId="51FB4306"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Discount Rate</w:t>
            </w:r>
          </w:p>
        </w:tc>
        <w:tc>
          <w:tcPr>
            <w:tcW w:w="1876" w:type="dxa"/>
            <w:tcBorders>
              <w:top w:val="single" w:sz="4" w:space="0" w:color="auto"/>
              <w:left w:val="nil"/>
              <w:bottom w:val="single" w:sz="4" w:space="0" w:color="auto"/>
              <w:right w:val="single" w:sz="4" w:space="0" w:color="auto"/>
            </w:tcBorders>
            <w:noWrap/>
            <w:vAlign w:val="bottom"/>
            <w:hideMark/>
          </w:tcPr>
          <w:p w14:paraId="2F471FC9"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20%</w:t>
            </w:r>
          </w:p>
        </w:tc>
        <w:tc>
          <w:tcPr>
            <w:tcW w:w="2204" w:type="dxa"/>
            <w:tcBorders>
              <w:top w:val="nil"/>
              <w:left w:val="nil"/>
              <w:bottom w:val="nil"/>
              <w:right w:val="nil"/>
            </w:tcBorders>
            <w:noWrap/>
            <w:vAlign w:val="bottom"/>
            <w:hideMark/>
          </w:tcPr>
          <w:p w14:paraId="569B3D5B" w14:textId="77777777" w:rsidR="001854D3" w:rsidRPr="001854D3" w:rsidRDefault="001854D3" w:rsidP="001854D3">
            <w:pPr>
              <w:spacing w:after="0"/>
              <w:jc w:val="right"/>
              <w:rPr>
                <w:rFonts w:cs="Arial"/>
                <w:color w:val="000000"/>
                <w:szCs w:val="24"/>
                <w:lang w:val="en-IN"/>
              </w:rPr>
            </w:pPr>
          </w:p>
        </w:tc>
        <w:tc>
          <w:tcPr>
            <w:tcW w:w="817" w:type="dxa"/>
            <w:tcBorders>
              <w:top w:val="nil"/>
              <w:left w:val="nil"/>
              <w:bottom w:val="nil"/>
              <w:right w:val="single" w:sz="8" w:space="0" w:color="auto"/>
            </w:tcBorders>
            <w:noWrap/>
            <w:vAlign w:val="bottom"/>
            <w:hideMark/>
          </w:tcPr>
          <w:p w14:paraId="1C8DB602"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635E7CEA" w14:textId="77777777" w:rsidTr="00D34B4D">
        <w:trPr>
          <w:trHeight w:val="396"/>
          <w:jc w:val="center"/>
        </w:trPr>
        <w:tc>
          <w:tcPr>
            <w:tcW w:w="2023" w:type="dxa"/>
            <w:tcBorders>
              <w:top w:val="nil"/>
              <w:left w:val="single" w:sz="8" w:space="0" w:color="auto"/>
              <w:bottom w:val="single" w:sz="4" w:space="0" w:color="auto"/>
              <w:right w:val="single" w:sz="4" w:space="0" w:color="auto"/>
            </w:tcBorders>
            <w:noWrap/>
            <w:vAlign w:val="bottom"/>
            <w:hideMark/>
          </w:tcPr>
          <w:p w14:paraId="36438AF4"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Year</w:t>
            </w:r>
          </w:p>
        </w:tc>
        <w:tc>
          <w:tcPr>
            <w:tcW w:w="1876" w:type="dxa"/>
            <w:tcBorders>
              <w:top w:val="nil"/>
              <w:left w:val="nil"/>
              <w:bottom w:val="single" w:sz="4" w:space="0" w:color="auto"/>
              <w:right w:val="single" w:sz="4" w:space="0" w:color="auto"/>
            </w:tcBorders>
            <w:noWrap/>
            <w:vAlign w:val="bottom"/>
            <w:hideMark/>
          </w:tcPr>
          <w:p w14:paraId="583684B0"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Formula</w:t>
            </w:r>
          </w:p>
        </w:tc>
        <w:tc>
          <w:tcPr>
            <w:tcW w:w="2204" w:type="dxa"/>
            <w:tcBorders>
              <w:top w:val="single" w:sz="4" w:space="0" w:color="auto"/>
              <w:left w:val="nil"/>
              <w:bottom w:val="single" w:sz="4" w:space="0" w:color="auto"/>
              <w:right w:val="single" w:sz="4" w:space="0" w:color="auto"/>
            </w:tcBorders>
            <w:noWrap/>
            <w:vAlign w:val="bottom"/>
            <w:hideMark/>
          </w:tcPr>
          <w:p w14:paraId="3E8D29CE"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Discount factor</w:t>
            </w:r>
          </w:p>
        </w:tc>
        <w:tc>
          <w:tcPr>
            <w:tcW w:w="817" w:type="dxa"/>
            <w:tcBorders>
              <w:top w:val="single" w:sz="4" w:space="0" w:color="auto"/>
              <w:left w:val="nil"/>
              <w:bottom w:val="single" w:sz="4" w:space="0" w:color="auto"/>
              <w:right w:val="single" w:sz="8" w:space="0" w:color="auto"/>
            </w:tcBorders>
            <w:noWrap/>
            <w:vAlign w:val="bottom"/>
            <w:hideMark/>
          </w:tcPr>
          <w:p w14:paraId="4889A3D2"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t>PV</w:t>
            </w:r>
          </w:p>
        </w:tc>
      </w:tr>
      <w:tr w:rsidR="001854D3" w:rsidRPr="001854D3" w14:paraId="44E68ACE" w14:textId="77777777" w:rsidTr="00D34B4D">
        <w:trPr>
          <w:trHeight w:val="396"/>
          <w:jc w:val="center"/>
        </w:trPr>
        <w:tc>
          <w:tcPr>
            <w:tcW w:w="2023" w:type="dxa"/>
            <w:tcBorders>
              <w:top w:val="nil"/>
              <w:left w:val="single" w:sz="8" w:space="0" w:color="auto"/>
              <w:bottom w:val="single" w:sz="4" w:space="0" w:color="auto"/>
              <w:right w:val="single" w:sz="4" w:space="0" w:color="auto"/>
            </w:tcBorders>
            <w:noWrap/>
            <w:vAlign w:val="bottom"/>
            <w:hideMark/>
          </w:tcPr>
          <w:p w14:paraId="3AEAFDBE"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w:t>
            </w:r>
          </w:p>
        </w:tc>
        <w:tc>
          <w:tcPr>
            <w:tcW w:w="1876" w:type="dxa"/>
            <w:tcBorders>
              <w:top w:val="nil"/>
              <w:left w:val="nil"/>
              <w:bottom w:val="single" w:sz="4" w:space="0" w:color="auto"/>
              <w:right w:val="single" w:sz="4" w:space="0" w:color="auto"/>
            </w:tcBorders>
            <w:noWrap/>
            <w:vAlign w:val="bottom"/>
            <w:hideMark/>
          </w:tcPr>
          <w:p w14:paraId="6415289B" w14:textId="77777777" w:rsidR="001854D3" w:rsidRPr="001854D3" w:rsidRDefault="001854D3" w:rsidP="001854D3">
            <w:pPr>
              <w:spacing w:after="0"/>
              <w:jc w:val="center"/>
              <w:rPr>
                <w:rFonts w:cs="Arial"/>
                <w:color w:val="000000"/>
                <w:szCs w:val="24"/>
                <w:lang w:val="en-IN"/>
              </w:rPr>
            </w:pPr>
            <w:r w:rsidRPr="001854D3">
              <w:rPr>
                <w:rFonts w:cs="Arial"/>
                <w:color w:val="000000"/>
                <w:szCs w:val="24"/>
                <w:lang w:val="en-IN"/>
              </w:rPr>
              <w:t>[1</w:t>
            </w:r>
            <w:proofErr w:type="gramStart"/>
            <w:r w:rsidRPr="001854D3">
              <w:rPr>
                <w:rFonts w:cs="Arial"/>
                <w:color w:val="000000"/>
                <w:szCs w:val="24"/>
                <w:lang w:val="en-IN"/>
              </w:rPr>
              <w:t>/(</w:t>
            </w:r>
            <w:proofErr w:type="gramEnd"/>
            <w:r w:rsidRPr="001854D3">
              <w:rPr>
                <w:rFonts w:cs="Arial"/>
                <w:color w:val="000000"/>
                <w:szCs w:val="24"/>
                <w:lang w:val="en-IN"/>
              </w:rPr>
              <w:t>1+20%</w:t>
            </w:r>
            <w:proofErr w:type="gramStart"/>
            <w:r w:rsidRPr="001854D3">
              <w:rPr>
                <w:rFonts w:cs="Arial"/>
                <w:color w:val="000000"/>
                <w:szCs w:val="24"/>
                <w:lang w:val="en-IN"/>
              </w:rPr>
              <w:t>)]^</w:t>
            </w:r>
            <w:proofErr w:type="gramEnd"/>
            <w:r w:rsidRPr="001854D3">
              <w:rPr>
                <w:rFonts w:cs="Arial"/>
                <w:color w:val="000000"/>
                <w:szCs w:val="24"/>
                <w:lang w:val="en-IN"/>
              </w:rPr>
              <w:t>1</w:t>
            </w:r>
          </w:p>
        </w:tc>
        <w:tc>
          <w:tcPr>
            <w:tcW w:w="2204" w:type="dxa"/>
            <w:tcBorders>
              <w:top w:val="nil"/>
              <w:left w:val="nil"/>
              <w:bottom w:val="single" w:sz="4" w:space="0" w:color="auto"/>
              <w:right w:val="single" w:sz="4" w:space="0" w:color="auto"/>
            </w:tcBorders>
            <w:noWrap/>
            <w:vAlign w:val="bottom"/>
            <w:hideMark/>
          </w:tcPr>
          <w:p w14:paraId="1AC3A032"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0.83</w:t>
            </w:r>
          </w:p>
        </w:tc>
        <w:tc>
          <w:tcPr>
            <w:tcW w:w="817" w:type="dxa"/>
            <w:tcBorders>
              <w:top w:val="nil"/>
              <w:left w:val="nil"/>
              <w:bottom w:val="single" w:sz="4" w:space="0" w:color="auto"/>
              <w:right w:val="single" w:sz="8" w:space="0" w:color="auto"/>
            </w:tcBorders>
            <w:noWrap/>
            <w:vAlign w:val="bottom"/>
            <w:hideMark/>
          </w:tcPr>
          <w:p w14:paraId="5DE5687E"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4.17</w:t>
            </w:r>
          </w:p>
        </w:tc>
      </w:tr>
      <w:tr w:rsidR="001854D3" w:rsidRPr="001854D3" w14:paraId="677A305E" w14:textId="77777777" w:rsidTr="00D34B4D">
        <w:trPr>
          <w:trHeight w:val="396"/>
          <w:jc w:val="center"/>
        </w:trPr>
        <w:tc>
          <w:tcPr>
            <w:tcW w:w="2023" w:type="dxa"/>
            <w:tcBorders>
              <w:top w:val="nil"/>
              <w:left w:val="single" w:sz="8" w:space="0" w:color="auto"/>
              <w:bottom w:val="single" w:sz="4" w:space="0" w:color="auto"/>
              <w:right w:val="single" w:sz="4" w:space="0" w:color="auto"/>
            </w:tcBorders>
            <w:noWrap/>
            <w:vAlign w:val="bottom"/>
            <w:hideMark/>
          </w:tcPr>
          <w:p w14:paraId="5B67E34A"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2</w:t>
            </w:r>
          </w:p>
        </w:tc>
        <w:tc>
          <w:tcPr>
            <w:tcW w:w="1876" w:type="dxa"/>
            <w:tcBorders>
              <w:top w:val="nil"/>
              <w:left w:val="nil"/>
              <w:bottom w:val="single" w:sz="4" w:space="0" w:color="auto"/>
              <w:right w:val="single" w:sz="4" w:space="0" w:color="auto"/>
            </w:tcBorders>
            <w:noWrap/>
            <w:vAlign w:val="bottom"/>
            <w:hideMark/>
          </w:tcPr>
          <w:p w14:paraId="3B8781A6" w14:textId="77777777" w:rsidR="001854D3" w:rsidRPr="001854D3" w:rsidRDefault="001854D3" w:rsidP="001854D3">
            <w:pPr>
              <w:spacing w:after="0"/>
              <w:jc w:val="center"/>
              <w:rPr>
                <w:rFonts w:cs="Arial"/>
                <w:color w:val="000000"/>
                <w:szCs w:val="24"/>
                <w:lang w:val="en-IN"/>
              </w:rPr>
            </w:pPr>
            <w:r w:rsidRPr="001854D3">
              <w:rPr>
                <w:rFonts w:cs="Arial"/>
                <w:color w:val="000000"/>
                <w:szCs w:val="24"/>
                <w:lang w:val="en-IN"/>
              </w:rPr>
              <w:t>[1</w:t>
            </w:r>
            <w:proofErr w:type="gramStart"/>
            <w:r w:rsidRPr="001854D3">
              <w:rPr>
                <w:rFonts w:cs="Arial"/>
                <w:color w:val="000000"/>
                <w:szCs w:val="24"/>
                <w:lang w:val="en-IN"/>
              </w:rPr>
              <w:t>/(</w:t>
            </w:r>
            <w:proofErr w:type="gramEnd"/>
            <w:r w:rsidRPr="001854D3">
              <w:rPr>
                <w:rFonts w:cs="Arial"/>
                <w:color w:val="000000"/>
                <w:szCs w:val="24"/>
                <w:lang w:val="en-IN"/>
              </w:rPr>
              <w:t>1+20%</w:t>
            </w:r>
            <w:proofErr w:type="gramStart"/>
            <w:r w:rsidRPr="001854D3">
              <w:rPr>
                <w:rFonts w:cs="Arial"/>
                <w:color w:val="000000"/>
                <w:szCs w:val="24"/>
                <w:lang w:val="en-IN"/>
              </w:rPr>
              <w:t>)]^</w:t>
            </w:r>
            <w:proofErr w:type="gramEnd"/>
            <w:r w:rsidRPr="001854D3">
              <w:rPr>
                <w:rFonts w:cs="Arial"/>
                <w:color w:val="000000"/>
                <w:szCs w:val="24"/>
                <w:lang w:val="en-IN"/>
              </w:rPr>
              <w:t>2</w:t>
            </w:r>
          </w:p>
        </w:tc>
        <w:tc>
          <w:tcPr>
            <w:tcW w:w="2204" w:type="dxa"/>
            <w:tcBorders>
              <w:top w:val="nil"/>
              <w:left w:val="nil"/>
              <w:bottom w:val="single" w:sz="4" w:space="0" w:color="auto"/>
              <w:right w:val="single" w:sz="4" w:space="0" w:color="auto"/>
            </w:tcBorders>
            <w:noWrap/>
            <w:vAlign w:val="bottom"/>
            <w:hideMark/>
          </w:tcPr>
          <w:p w14:paraId="58858922"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0.69</w:t>
            </w:r>
          </w:p>
        </w:tc>
        <w:tc>
          <w:tcPr>
            <w:tcW w:w="817" w:type="dxa"/>
            <w:tcBorders>
              <w:top w:val="nil"/>
              <w:left w:val="nil"/>
              <w:bottom w:val="single" w:sz="4" w:space="0" w:color="auto"/>
              <w:right w:val="single" w:sz="8" w:space="0" w:color="auto"/>
            </w:tcBorders>
            <w:noWrap/>
            <w:vAlign w:val="bottom"/>
            <w:hideMark/>
          </w:tcPr>
          <w:p w14:paraId="15EAB04D"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6.94</w:t>
            </w:r>
          </w:p>
        </w:tc>
      </w:tr>
      <w:tr w:rsidR="001854D3" w:rsidRPr="001854D3" w14:paraId="0196ADD3" w14:textId="77777777" w:rsidTr="00D34B4D">
        <w:trPr>
          <w:trHeight w:val="396"/>
          <w:jc w:val="center"/>
        </w:trPr>
        <w:tc>
          <w:tcPr>
            <w:tcW w:w="2023" w:type="dxa"/>
            <w:tcBorders>
              <w:top w:val="nil"/>
              <w:left w:val="single" w:sz="8" w:space="0" w:color="auto"/>
              <w:bottom w:val="single" w:sz="4" w:space="0" w:color="auto"/>
              <w:right w:val="single" w:sz="4" w:space="0" w:color="auto"/>
            </w:tcBorders>
            <w:noWrap/>
            <w:vAlign w:val="bottom"/>
            <w:hideMark/>
          </w:tcPr>
          <w:p w14:paraId="559E8168"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3</w:t>
            </w:r>
          </w:p>
        </w:tc>
        <w:tc>
          <w:tcPr>
            <w:tcW w:w="1876" w:type="dxa"/>
            <w:tcBorders>
              <w:top w:val="nil"/>
              <w:left w:val="nil"/>
              <w:bottom w:val="single" w:sz="4" w:space="0" w:color="auto"/>
              <w:right w:val="single" w:sz="4" w:space="0" w:color="auto"/>
            </w:tcBorders>
            <w:noWrap/>
            <w:vAlign w:val="bottom"/>
            <w:hideMark/>
          </w:tcPr>
          <w:p w14:paraId="3CD744E7" w14:textId="77777777" w:rsidR="001854D3" w:rsidRPr="001854D3" w:rsidRDefault="001854D3" w:rsidP="001854D3">
            <w:pPr>
              <w:spacing w:after="0"/>
              <w:jc w:val="center"/>
              <w:rPr>
                <w:rFonts w:cs="Arial"/>
                <w:color w:val="000000"/>
                <w:szCs w:val="24"/>
                <w:lang w:val="en-IN"/>
              </w:rPr>
            </w:pPr>
            <w:r w:rsidRPr="001854D3">
              <w:rPr>
                <w:rFonts w:cs="Arial"/>
                <w:color w:val="000000"/>
                <w:szCs w:val="24"/>
                <w:lang w:val="en-IN"/>
              </w:rPr>
              <w:t>[1</w:t>
            </w:r>
            <w:proofErr w:type="gramStart"/>
            <w:r w:rsidRPr="001854D3">
              <w:rPr>
                <w:rFonts w:cs="Arial"/>
                <w:color w:val="000000"/>
                <w:szCs w:val="24"/>
                <w:lang w:val="en-IN"/>
              </w:rPr>
              <w:t>/(</w:t>
            </w:r>
            <w:proofErr w:type="gramEnd"/>
            <w:r w:rsidRPr="001854D3">
              <w:rPr>
                <w:rFonts w:cs="Arial"/>
                <w:color w:val="000000"/>
                <w:szCs w:val="24"/>
                <w:lang w:val="en-IN"/>
              </w:rPr>
              <w:t>1+20%</w:t>
            </w:r>
            <w:proofErr w:type="gramStart"/>
            <w:r w:rsidRPr="001854D3">
              <w:rPr>
                <w:rFonts w:cs="Arial"/>
                <w:color w:val="000000"/>
                <w:szCs w:val="24"/>
                <w:lang w:val="en-IN"/>
              </w:rPr>
              <w:t>)]^</w:t>
            </w:r>
            <w:proofErr w:type="gramEnd"/>
            <w:r w:rsidRPr="001854D3">
              <w:rPr>
                <w:rFonts w:cs="Arial"/>
                <w:color w:val="000000"/>
                <w:szCs w:val="24"/>
                <w:lang w:val="en-IN"/>
              </w:rPr>
              <w:t>3</w:t>
            </w:r>
          </w:p>
        </w:tc>
        <w:tc>
          <w:tcPr>
            <w:tcW w:w="2204" w:type="dxa"/>
            <w:tcBorders>
              <w:top w:val="nil"/>
              <w:left w:val="nil"/>
              <w:bottom w:val="single" w:sz="4" w:space="0" w:color="auto"/>
              <w:right w:val="single" w:sz="4" w:space="0" w:color="auto"/>
            </w:tcBorders>
            <w:noWrap/>
            <w:vAlign w:val="bottom"/>
            <w:hideMark/>
          </w:tcPr>
          <w:p w14:paraId="297B2EC1"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0.58</w:t>
            </w:r>
          </w:p>
        </w:tc>
        <w:tc>
          <w:tcPr>
            <w:tcW w:w="817" w:type="dxa"/>
            <w:tcBorders>
              <w:top w:val="nil"/>
              <w:left w:val="nil"/>
              <w:bottom w:val="single" w:sz="4" w:space="0" w:color="auto"/>
              <w:right w:val="single" w:sz="8" w:space="0" w:color="auto"/>
            </w:tcBorders>
            <w:noWrap/>
            <w:vAlign w:val="bottom"/>
            <w:hideMark/>
          </w:tcPr>
          <w:p w14:paraId="75BD7DF9"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11.57</w:t>
            </w:r>
          </w:p>
        </w:tc>
      </w:tr>
      <w:tr w:rsidR="001854D3" w:rsidRPr="001854D3" w14:paraId="16D7FCDF" w14:textId="77777777" w:rsidTr="00D34B4D">
        <w:trPr>
          <w:trHeight w:val="396"/>
          <w:jc w:val="center"/>
        </w:trPr>
        <w:tc>
          <w:tcPr>
            <w:tcW w:w="2023" w:type="dxa"/>
            <w:tcBorders>
              <w:top w:val="nil"/>
              <w:left w:val="single" w:sz="8" w:space="0" w:color="auto"/>
              <w:bottom w:val="single" w:sz="4" w:space="0" w:color="auto"/>
              <w:right w:val="single" w:sz="4" w:space="0" w:color="auto"/>
            </w:tcBorders>
            <w:noWrap/>
            <w:vAlign w:val="bottom"/>
            <w:hideMark/>
          </w:tcPr>
          <w:p w14:paraId="0C972E94"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4</w:t>
            </w:r>
          </w:p>
        </w:tc>
        <w:tc>
          <w:tcPr>
            <w:tcW w:w="1876" w:type="dxa"/>
            <w:tcBorders>
              <w:top w:val="nil"/>
              <w:left w:val="nil"/>
              <w:bottom w:val="single" w:sz="4" w:space="0" w:color="auto"/>
              <w:right w:val="single" w:sz="4" w:space="0" w:color="auto"/>
            </w:tcBorders>
            <w:noWrap/>
            <w:vAlign w:val="bottom"/>
            <w:hideMark/>
          </w:tcPr>
          <w:p w14:paraId="1EE29CB7" w14:textId="77777777" w:rsidR="001854D3" w:rsidRPr="001854D3" w:rsidRDefault="001854D3" w:rsidP="001854D3">
            <w:pPr>
              <w:spacing w:after="0"/>
              <w:jc w:val="center"/>
              <w:rPr>
                <w:rFonts w:cs="Arial"/>
                <w:color w:val="000000"/>
                <w:szCs w:val="24"/>
                <w:lang w:val="en-IN"/>
              </w:rPr>
            </w:pPr>
            <w:r w:rsidRPr="001854D3">
              <w:rPr>
                <w:rFonts w:cs="Arial"/>
                <w:color w:val="000000"/>
                <w:szCs w:val="24"/>
                <w:lang w:val="en-IN"/>
              </w:rPr>
              <w:t>[1</w:t>
            </w:r>
            <w:proofErr w:type="gramStart"/>
            <w:r w:rsidRPr="001854D3">
              <w:rPr>
                <w:rFonts w:cs="Arial"/>
                <w:color w:val="000000"/>
                <w:szCs w:val="24"/>
                <w:lang w:val="en-IN"/>
              </w:rPr>
              <w:t>/(</w:t>
            </w:r>
            <w:proofErr w:type="gramEnd"/>
            <w:r w:rsidRPr="001854D3">
              <w:rPr>
                <w:rFonts w:cs="Arial"/>
                <w:color w:val="000000"/>
                <w:szCs w:val="24"/>
                <w:lang w:val="en-IN"/>
              </w:rPr>
              <w:t>1+20%</w:t>
            </w:r>
            <w:proofErr w:type="gramStart"/>
            <w:r w:rsidRPr="001854D3">
              <w:rPr>
                <w:rFonts w:cs="Arial"/>
                <w:color w:val="000000"/>
                <w:szCs w:val="24"/>
                <w:lang w:val="en-IN"/>
              </w:rPr>
              <w:t>)]^</w:t>
            </w:r>
            <w:proofErr w:type="gramEnd"/>
            <w:r w:rsidRPr="001854D3">
              <w:rPr>
                <w:rFonts w:cs="Arial"/>
                <w:color w:val="000000"/>
                <w:szCs w:val="24"/>
                <w:lang w:val="en-IN"/>
              </w:rPr>
              <w:t>4</w:t>
            </w:r>
          </w:p>
        </w:tc>
        <w:tc>
          <w:tcPr>
            <w:tcW w:w="2204" w:type="dxa"/>
            <w:tcBorders>
              <w:top w:val="nil"/>
              <w:left w:val="nil"/>
              <w:bottom w:val="single" w:sz="4" w:space="0" w:color="auto"/>
              <w:right w:val="single" w:sz="4" w:space="0" w:color="auto"/>
            </w:tcBorders>
            <w:noWrap/>
            <w:vAlign w:val="bottom"/>
            <w:hideMark/>
          </w:tcPr>
          <w:p w14:paraId="76A2D941"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0.48</w:t>
            </w:r>
          </w:p>
        </w:tc>
        <w:tc>
          <w:tcPr>
            <w:tcW w:w="817" w:type="dxa"/>
            <w:tcBorders>
              <w:top w:val="nil"/>
              <w:left w:val="nil"/>
              <w:bottom w:val="single" w:sz="4" w:space="0" w:color="auto"/>
              <w:right w:val="single" w:sz="8" w:space="0" w:color="auto"/>
            </w:tcBorders>
            <w:noWrap/>
            <w:vAlign w:val="bottom"/>
            <w:hideMark/>
          </w:tcPr>
          <w:p w14:paraId="607580B8"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12.06</w:t>
            </w:r>
          </w:p>
        </w:tc>
      </w:tr>
      <w:tr w:rsidR="001854D3" w:rsidRPr="001854D3" w14:paraId="679374B2" w14:textId="77777777" w:rsidTr="00D34B4D">
        <w:trPr>
          <w:trHeight w:val="396"/>
          <w:jc w:val="center"/>
        </w:trPr>
        <w:tc>
          <w:tcPr>
            <w:tcW w:w="2023" w:type="dxa"/>
            <w:tcBorders>
              <w:top w:val="nil"/>
              <w:left w:val="single" w:sz="8" w:space="0" w:color="auto"/>
              <w:bottom w:val="single" w:sz="4" w:space="0" w:color="auto"/>
              <w:right w:val="single" w:sz="4" w:space="0" w:color="auto"/>
            </w:tcBorders>
            <w:noWrap/>
            <w:vAlign w:val="bottom"/>
            <w:hideMark/>
          </w:tcPr>
          <w:p w14:paraId="770CAB4F"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5</w:t>
            </w:r>
          </w:p>
        </w:tc>
        <w:tc>
          <w:tcPr>
            <w:tcW w:w="1876" w:type="dxa"/>
            <w:tcBorders>
              <w:top w:val="nil"/>
              <w:left w:val="nil"/>
              <w:bottom w:val="single" w:sz="4" w:space="0" w:color="auto"/>
              <w:right w:val="single" w:sz="4" w:space="0" w:color="auto"/>
            </w:tcBorders>
            <w:noWrap/>
            <w:vAlign w:val="bottom"/>
            <w:hideMark/>
          </w:tcPr>
          <w:p w14:paraId="3C14EDA9" w14:textId="77777777" w:rsidR="001854D3" w:rsidRPr="001854D3" w:rsidRDefault="001854D3" w:rsidP="001854D3">
            <w:pPr>
              <w:spacing w:after="0"/>
              <w:jc w:val="center"/>
              <w:rPr>
                <w:rFonts w:cs="Arial"/>
                <w:color w:val="000000"/>
                <w:szCs w:val="24"/>
                <w:lang w:val="en-IN"/>
              </w:rPr>
            </w:pPr>
            <w:r w:rsidRPr="001854D3">
              <w:rPr>
                <w:rFonts w:cs="Arial"/>
                <w:color w:val="000000"/>
                <w:szCs w:val="24"/>
                <w:lang w:val="en-IN"/>
              </w:rPr>
              <w:t>[1</w:t>
            </w:r>
            <w:proofErr w:type="gramStart"/>
            <w:r w:rsidRPr="001854D3">
              <w:rPr>
                <w:rFonts w:cs="Arial"/>
                <w:color w:val="000000"/>
                <w:szCs w:val="24"/>
                <w:lang w:val="en-IN"/>
              </w:rPr>
              <w:t>/(</w:t>
            </w:r>
            <w:proofErr w:type="gramEnd"/>
            <w:r w:rsidRPr="001854D3">
              <w:rPr>
                <w:rFonts w:cs="Arial"/>
                <w:color w:val="000000"/>
                <w:szCs w:val="24"/>
                <w:lang w:val="en-IN"/>
              </w:rPr>
              <w:t>1+20%</w:t>
            </w:r>
            <w:proofErr w:type="gramStart"/>
            <w:r w:rsidRPr="001854D3">
              <w:rPr>
                <w:rFonts w:cs="Arial"/>
                <w:color w:val="000000"/>
                <w:szCs w:val="24"/>
                <w:lang w:val="en-IN"/>
              </w:rPr>
              <w:t>)]^</w:t>
            </w:r>
            <w:proofErr w:type="gramEnd"/>
            <w:r w:rsidRPr="001854D3">
              <w:rPr>
                <w:rFonts w:cs="Arial"/>
                <w:color w:val="000000"/>
                <w:szCs w:val="24"/>
                <w:lang w:val="en-IN"/>
              </w:rPr>
              <w:t>5</w:t>
            </w:r>
          </w:p>
        </w:tc>
        <w:tc>
          <w:tcPr>
            <w:tcW w:w="2204" w:type="dxa"/>
            <w:tcBorders>
              <w:top w:val="nil"/>
              <w:left w:val="nil"/>
              <w:bottom w:val="single" w:sz="4" w:space="0" w:color="auto"/>
              <w:right w:val="single" w:sz="4" w:space="0" w:color="auto"/>
            </w:tcBorders>
            <w:noWrap/>
            <w:vAlign w:val="bottom"/>
            <w:hideMark/>
          </w:tcPr>
          <w:p w14:paraId="09EE3EE5"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0.40</w:t>
            </w:r>
          </w:p>
        </w:tc>
        <w:tc>
          <w:tcPr>
            <w:tcW w:w="817" w:type="dxa"/>
            <w:tcBorders>
              <w:top w:val="nil"/>
              <w:left w:val="nil"/>
              <w:bottom w:val="single" w:sz="4" w:space="0" w:color="auto"/>
              <w:right w:val="single" w:sz="8" w:space="0" w:color="auto"/>
            </w:tcBorders>
            <w:noWrap/>
            <w:vAlign w:val="bottom"/>
            <w:hideMark/>
          </w:tcPr>
          <w:p w14:paraId="13EF8A25"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6.03</w:t>
            </w:r>
          </w:p>
        </w:tc>
      </w:tr>
      <w:tr w:rsidR="001854D3" w:rsidRPr="001854D3" w14:paraId="302841DD" w14:textId="77777777" w:rsidTr="00D34B4D">
        <w:trPr>
          <w:trHeight w:val="396"/>
          <w:jc w:val="center"/>
        </w:trPr>
        <w:tc>
          <w:tcPr>
            <w:tcW w:w="2023" w:type="dxa"/>
            <w:tcBorders>
              <w:top w:val="nil"/>
              <w:left w:val="single" w:sz="8" w:space="0" w:color="auto"/>
              <w:bottom w:val="single" w:sz="4" w:space="0" w:color="auto"/>
              <w:right w:val="single" w:sz="4" w:space="0" w:color="auto"/>
            </w:tcBorders>
            <w:noWrap/>
            <w:vAlign w:val="bottom"/>
            <w:hideMark/>
          </w:tcPr>
          <w:p w14:paraId="1EF0C6E7"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c>
          <w:tcPr>
            <w:tcW w:w="1876" w:type="dxa"/>
            <w:tcBorders>
              <w:top w:val="nil"/>
              <w:left w:val="nil"/>
              <w:bottom w:val="single" w:sz="4" w:space="0" w:color="auto"/>
              <w:right w:val="single" w:sz="4" w:space="0" w:color="auto"/>
            </w:tcBorders>
            <w:noWrap/>
            <w:vAlign w:val="bottom"/>
            <w:hideMark/>
          </w:tcPr>
          <w:p w14:paraId="160B5786"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c>
          <w:tcPr>
            <w:tcW w:w="2204" w:type="dxa"/>
            <w:tcBorders>
              <w:top w:val="nil"/>
              <w:left w:val="nil"/>
              <w:bottom w:val="single" w:sz="4" w:space="0" w:color="auto"/>
              <w:right w:val="single" w:sz="4" w:space="0" w:color="auto"/>
            </w:tcBorders>
            <w:noWrap/>
            <w:vAlign w:val="bottom"/>
            <w:hideMark/>
          </w:tcPr>
          <w:p w14:paraId="4C296DB8"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c>
          <w:tcPr>
            <w:tcW w:w="817" w:type="dxa"/>
            <w:tcBorders>
              <w:top w:val="nil"/>
              <w:left w:val="nil"/>
              <w:bottom w:val="single" w:sz="4" w:space="0" w:color="auto"/>
              <w:right w:val="single" w:sz="8" w:space="0" w:color="auto"/>
            </w:tcBorders>
            <w:noWrap/>
            <w:vAlign w:val="bottom"/>
            <w:hideMark/>
          </w:tcPr>
          <w:p w14:paraId="6C6314F7"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40.77</w:t>
            </w:r>
          </w:p>
        </w:tc>
      </w:tr>
      <w:tr w:rsidR="001854D3" w:rsidRPr="001854D3" w14:paraId="3FD29495" w14:textId="77777777" w:rsidTr="00D34B4D">
        <w:trPr>
          <w:trHeight w:val="396"/>
          <w:jc w:val="center"/>
        </w:trPr>
        <w:tc>
          <w:tcPr>
            <w:tcW w:w="2023" w:type="dxa"/>
            <w:tcBorders>
              <w:top w:val="nil"/>
              <w:left w:val="single" w:sz="8" w:space="0" w:color="auto"/>
              <w:bottom w:val="single" w:sz="4" w:space="0" w:color="auto"/>
              <w:right w:val="single" w:sz="4" w:space="0" w:color="auto"/>
            </w:tcBorders>
            <w:noWrap/>
            <w:vAlign w:val="bottom"/>
            <w:hideMark/>
          </w:tcPr>
          <w:p w14:paraId="13739820"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NPV</w:t>
            </w:r>
          </w:p>
        </w:tc>
        <w:tc>
          <w:tcPr>
            <w:tcW w:w="1876" w:type="dxa"/>
            <w:tcBorders>
              <w:top w:val="nil"/>
              <w:left w:val="nil"/>
              <w:bottom w:val="single" w:sz="4" w:space="0" w:color="auto"/>
              <w:right w:val="single" w:sz="4" w:space="0" w:color="auto"/>
            </w:tcBorders>
            <w:noWrap/>
            <w:vAlign w:val="bottom"/>
            <w:hideMark/>
          </w:tcPr>
          <w:p w14:paraId="549FB91F"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-9.23</w:t>
            </w:r>
          </w:p>
        </w:tc>
        <w:tc>
          <w:tcPr>
            <w:tcW w:w="2204" w:type="dxa"/>
            <w:tcBorders>
              <w:top w:val="nil"/>
              <w:left w:val="nil"/>
              <w:bottom w:val="single" w:sz="4" w:space="0" w:color="auto"/>
              <w:right w:val="single" w:sz="4" w:space="0" w:color="auto"/>
            </w:tcBorders>
            <w:noWrap/>
            <w:vAlign w:val="bottom"/>
            <w:hideMark/>
          </w:tcPr>
          <w:p w14:paraId="0E8DCEA1"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c>
          <w:tcPr>
            <w:tcW w:w="817" w:type="dxa"/>
            <w:tcBorders>
              <w:top w:val="nil"/>
              <w:left w:val="nil"/>
              <w:bottom w:val="single" w:sz="4" w:space="0" w:color="auto"/>
              <w:right w:val="single" w:sz="8" w:space="0" w:color="auto"/>
            </w:tcBorders>
            <w:noWrap/>
            <w:vAlign w:val="bottom"/>
            <w:hideMark/>
          </w:tcPr>
          <w:p w14:paraId="713CAD55"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4F71EFB0" w14:textId="77777777" w:rsidTr="00D34B4D">
        <w:trPr>
          <w:trHeight w:val="396"/>
          <w:jc w:val="center"/>
        </w:trPr>
        <w:tc>
          <w:tcPr>
            <w:tcW w:w="2023" w:type="dxa"/>
            <w:tcBorders>
              <w:top w:val="nil"/>
              <w:left w:val="single" w:sz="8" w:space="0" w:color="auto"/>
              <w:bottom w:val="single" w:sz="4" w:space="0" w:color="auto"/>
              <w:right w:val="single" w:sz="4" w:space="0" w:color="auto"/>
            </w:tcBorders>
            <w:noWrap/>
            <w:vAlign w:val="bottom"/>
            <w:hideMark/>
          </w:tcPr>
          <w:p w14:paraId="0C9AF7F7" w14:textId="77777777" w:rsidR="001854D3" w:rsidRPr="001854D3" w:rsidRDefault="001854D3" w:rsidP="001854D3">
            <w:pPr>
              <w:spacing w:after="0"/>
              <w:jc w:val="left"/>
              <w:rPr>
                <w:rFonts w:cs="Arial"/>
                <w:b/>
                <w:bCs/>
                <w:color w:val="000000"/>
                <w:szCs w:val="24"/>
                <w:lang w:val="en-IN"/>
              </w:rPr>
            </w:pPr>
            <w:r w:rsidRPr="001854D3">
              <w:rPr>
                <w:rFonts w:cs="Arial"/>
                <w:b/>
                <w:bCs/>
                <w:color w:val="000000"/>
                <w:szCs w:val="24"/>
                <w:lang w:val="en-IN"/>
              </w:rPr>
              <w:lastRenderedPageBreak/>
              <w:t>Discount rate</w:t>
            </w:r>
          </w:p>
        </w:tc>
        <w:tc>
          <w:tcPr>
            <w:tcW w:w="1876" w:type="dxa"/>
            <w:tcBorders>
              <w:top w:val="nil"/>
              <w:left w:val="nil"/>
              <w:bottom w:val="single" w:sz="4" w:space="0" w:color="auto"/>
              <w:right w:val="single" w:sz="4" w:space="0" w:color="auto"/>
            </w:tcBorders>
            <w:noWrap/>
            <w:vAlign w:val="bottom"/>
            <w:hideMark/>
          </w:tcPr>
          <w:p w14:paraId="30277E6C"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10%</w:t>
            </w:r>
          </w:p>
        </w:tc>
        <w:tc>
          <w:tcPr>
            <w:tcW w:w="2204" w:type="dxa"/>
            <w:tcBorders>
              <w:top w:val="nil"/>
              <w:left w:val="nil"/>
              <w:bottom w:val="single" w:sz="4" w:space="0" w:color="auto"/>
              <w:right w:val="single" w:sz="4" w:space="0" w:color="auto"/>
            </w:tcBorders>
            <w:noWrap/>
            <w:vAlign w:val="bottom"/>
            <w:hideMark/>
          </w:tcPr>
          <w:p w14:paraId="7629B7D8"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20%</w:t>
            </w:r>
          </w:p>
        </w:tc>
        <w:tc>
          <w:tcPr>
            <w:tcW w:w="817" w:type="dxa"/>
            <w:tcBorders>
              <w:top w:val="nil"/>
              <w:left w:val="nil"/>
              <w:bottom w:val="nil"/>
              <w:right w:val="single" w:sz="8" w:space="0" w:color="auto"/>
            </w:tcBorders>
            <w:noWrap/>
            <w:vAlign w:val="bottom"/>
            <w:hideMark/>
          </w:tcPr>
          <w:p w14:paraId="397EC5AA"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21C9A0CE" w14:textId="77777777" w:rsidTr="00D34B4D">
        <w:trPr>
          <w:trHeight w:val="396"/>
          <w:jc w:val="center"/>
        </w:trPr>
        <w:tc>
          <w:tcPr>
            <w:tcW w:w="2023" w:type="dxa"/>
            <w:tcBorders>
              <w:top w:val="nil"/>
              <w:left w:val="single" w:sz="8" w:space="0" w:color="auto"/>
              <w:bottom w:val="single" w:sz="4" w:space="0" w:color="auto"/>
              <w:right w:val="single" w:sz="4" w:space="0" w:color="auto"/>
            </w:tcBorders>
            <w:noWrap/>
            <w:vAlign w:val="bottom"/>
            <w:hideMark/>
          </w:tcPr>
          <w:p w14:paraId="6105001D"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NPV</w:t>
            </w:r>
          </w:p>
        </w:tc>
        <w:tc>
          <w:tcPr>
            <w:tcW w:w="1876" w:type="dxa"/>
            <w:tcBorders>
              <w:top w:val="nil"/>
              <w:left w:val="nil"/>
              <w:bottom w:val="single" w:sz="4" w:space="0" w:color="auto"/>
              <w:right w:val="single" w:sz="4" w:space="0" w:color="auto"/>
            </w:tcBorders>
            <w:noWrap/>
            <w:vAlign w:val="bottom"/>
            <w:hideMark/>
          </w:tcPr>
          <w:p w14:paraId="17E235D3"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4.23</w:t>
            </w:r>
          </w:p>
        </w:tc>
        <w:tc>
          <w:tcPr>
            <w:tcW w:w="2204" w:type="dxa"/>
            <w:tcBorders>
              <w:top w:val="nil"/>
              <w:left w:val="nil"/>
              <w:bottom w:val="single" w:sz="4" w:space="0" w:color="auto"/>
              <w:right w:val="single" w:sz="4" w:space="0" w:color="auto"/>
            </w:tcBorders>
            <w:noWrap/>
            <w:vAlign w:val="bottom"/>
            <w:hideMark/>
          </w:tcPr>
          <w:p w14:paraId="5C379899"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-9.23</w:t>
            </w:r>
          </w:p>
        </w:tc>
        <w:tc>
          <w:tcPr>
            <w:tcW w:w="817" w:type="dxa"/>
            <w:tcBorders>
              <w:top w:val="nil"/>
              <w:left w:val="nil"/>
              <w:bottom w:val="nil"/>
              <w:right w:val="single" w:sz="8" w:space="0" w:color="auto"/>
            </w:tcBorders>
            <w:noWrap/>
            <w:vAlign w:val="bottom"/>
            <w:hideMark/>
          </w:tcPr>
          <w:p w14:paraId="5BE60138"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51DEBD80" w14:textId="77777777" w:rsidTr="00D34B4D">
        <w:trPr>
          <w:trHeight w:val="396"/>
          <w:jc w:val="center"/>
        </w:trPr>
        <w:tc>
          <w:tcPr>
            <w:tcW w:w="2023" w:type="dxa"/>
            <w:vMerge w:val="restart"/>
            <w:tcBorders>
              <w:top w:val="nil"/>
              <w:left w:val="single" w:sz="8" w:space="0" w:color="auto"/>
              <w:bottom w:val="single" w:sz="8" w:space="0" w:color="000000"/>
              <w:right w:val="single" w:sz="4" w:space="0" w:color="auto"/>
            </w:tcBorders>
            <w:noWrap/>
            <w:vAlign w:val="center"/>
            <w:hideMark/>
          </w:tcPr>
          <w:p w14:paraId="4F2AC20C" w14:textId="77777777" w:rsidR="001854D3" w:rsidRPr="001854D3" w:rsidRDefault="001854D3" w:rsidP="001854D3">
            <w:pPr>
              <w:spacing w:after="0"/>
              <w:jc w:val="center"/>
              <w:rPr>
                <w:rFonts w:cs="Arial"/>
                <w:color w:val="000000"/>
                <w:szCs w:val="24"/>
                <w:lang w:val="en-IN"/>
              </w:rPr>
            </w:pPr>
            <w:r w:rsidRPr="001854D3">
              <w:rPr>
                <w:rFonts w:cs="Arial"/>
                <w:color w:val="000000"/>
                <w:szCs w:val="24"/>
                <w:lang w:val="en-IN"/>
              </w:rPr>
              <w:t>IRR</w:t>
            </w:r>
          </w:p>
        </w:tc>
        <w:tc>
          <w:tcPr>
            <w:tcW w:w="1876" w:type="dxa"/>
            <w:tcBorders>
              <w:top w:val="nil"/>
              <w:left w:val="nil"/>
              <w:bottom w:val="single" w:sz="4" w:space="0" w:color="auto"/>
              <w:right w:val="single" w:sz="4" w:space="0" w:color="auto"/>
            </w:tcBorders>
            <w:noWrap/>
            <w:vAlign w:val="bottom"/>
            <w:hideMark/>
          </w:tcPr>
          <w:p w14:paraId="36631D94"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0.1314</w:t>
            </w:r>
          </w:p>
        </w:tc>
        <w:tc>
          <w:tcPr>
            <w:tcW w:w="2204" w:type="dxa"/>
            <w:tcBorders>
              <w:top w:val="nil"/>
              <w:left w:val="nil"/>
              <w:bottom w:val="nil"/>
              <w:right w:val="nil"/>
            </w:tcBorders>
            <w:noWrap/>
            <w:vAlign w:val="bottom"/>
            <w:hideMark/>
          </w:tcPr>
          <w:p w14:paraId="13727ABB" w14:textId="77777777" w:rsidR="001854D3" w:rsidRPr="001854D3" w:rsidRDefault="001854D3" w:rsidP="001854D3">
            <w:pPr>
              <w:spacing w:after="0"/>
              <w:jc w:val="right"/>
              <w:rPr>
                <w:rFonts w:cs="Arial"/>
                <w:color w:val="000000"/>
                <w:szCs w:val="24"/>
                <w:lang w:val="en-IN"/>
              </w:rPr>
            </w:pPr>
          </w:p>
        </w:tc>
        <w:tc>
          <w:tcPr>
            <w:tcW w:w="817" w:type="dxa"/>
            <w:tcBorders>
              <w:top w:val="nil"/>
              <w:left w:val="nil"/>
              <w:bottom w:val="nil"/>
              <w:right w:val="single" w:sz="8" w:space="0" w:color="auto"/>
            </w:tcBorders>
            <w:noWrap/>
            <w:vAlign w:val="bottom"/>
            <w:hideMark/>
          </w:tcPr>
          <w:p w14:paraId="29DB01BF"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r w:rsidR="001854D3" w:rsidRPr="001854D3" w14:paraId="4F9A6151" w14:textId="77777777" w:rsidTr="00D34B4D">
        <w:trPr>
          <w:trHeight w:val="396"/>
          <w:jc w:val="center"/>
        </w:trPr>
        <w:tc>
          <w:tcPr>
            <w:tcW w:w="2023" w:type="dxa"/>
            <w:vMerge/>
            <w:tcBorders>
              <w:top w:val="nil"/>
              <w:left w:val="single" w:sz="8" w:space="0" w:color="auto"/>
              <w:bottom w:val="single" w:sz="8" w:space="0" w:color="000000"/>
              <w:right w:val="single" w:sz="4" w:space="0" w:color="auto"/>
            </w:tcBorders>
            <w:vAlign w:val="center"/>
            <w:hideMark/>
          </w:tcPr>
          <w:p w14:paraId="6918AB6B" w14:textId="77777777" w:rsidR="001854D3" w:rsidRPr="001854D3" w:rsidRDefault="001854D3" w:rsidP="001854D3">
            <w:pPr>
              <w:spacing w:after="0"/>
              <w:jc w:val="left"/>
              <w:rPr>
                <w:rFonts w:cs="Arial"/>
                <w:color w:val="000000"/>
                <w:szCs w:val="24"/>
                <w:lang w:val="en-IN"/>
              </w:rPr>
            </w:pPr>
          </w:p>
        </w:tc>
        <w:tc>
          <w:tcPr>
            <w:tcW w:w="1876" w:type="dxa"/>
            <w:tcBorders>
              <w:top w:val="nil"/>
              <w:left w:val="nil"/>
              <w:bottom w:val="single" w:sz="8" w:space="0" w:color="auto"/>
              <w:right w:val="single" w:sz="4" w:space="0" w:color="auto"/>
            </w:tcBorders>
            <w:noWrap/>
            <w:vAlign w:val="bottom"/>
            <w:hideMark/>
          </w:tcPr>
          <w:p w14:paraId="7275127E" w14:textId="77777777" w:rsidR="001854D3" w:rsidRPr="001854D3" w:rsidRDefault="001854D3" w:rsidP="001854D3">
            <w:pPr>
              <w:spacing w:after="0"/>
              <w:jc w:val="right"/>
              <w:rPr>
                <w:rFonts w:cs="Arial"/>
                <w:color w:val="000000"/>
                <w:szCs w:val="24"/>
                <w:lang w:val="en-IN"/>
              </w:rPr>
            </w:pPr>
            <w:r w:rsidRPr="001854D3">
              <w:rPr>
                <w:rFonts w:cs="Arial"/>
                <w:color w:val="000000"/>
                <w:szCs w:val="24"/>
                <w:lang w:val="en-IN"/>
              </w:rPr>
              <w:t>13.14</w:t>
            </w:r>
          </w:p>
        </w:tc>
        <w:tc>
          <w:tcPr>
            <w:tcW w:w="2204" w:type="dxa"/>
            <w:tcBorders>
              <w:top w:val="nil"/>
              <w:left w:val="nil"/>
              <w:bottom w:val="single" w:sz="8" w:space="0" w:color="auto"/>
              <w:right w:val="nil"/>
            </w:tcBorders>
            <w:noWrap/>
            <w:vAlign w:val="bottom"/>
            <w:hideMark/>
          </w:tcPr>
          <w:p w14:paraId="105357D3"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c>
          <w:tcPr>
            <w:tcW w:w="817" w:type="dxa"/>
            <w:tcBorders>
              <w:top w:val="nil"/>
              <w:left w:val="nil"/>
              <w:bottom w:val="single" w:sz="8" w:space="0" w:color="auto"/>
              <w:right w:val="single" w:sz="8" w:space="0" w:color="auto"/>
            </w:tcBorders>
            <w:noWrap/>
            <w:vAlign w:val="bottom"/>
            <w:hideMark/>
          </w:tcPr>
          <w:p w14:paraId="685CEA6E" w14:textId="77777777" w:rsidR="001854D3" w:rsidRPr="001854D3" w:rsidRDefault="001854D3" w:rsidP="001854D3">
            <w:pPr>
              <w:spacing w:after="0"/>
              <w:jc w:val="left"/>
              <w:rPr>
                <w:rFonts w:cs="Arial"/>
                <w:color w:val="000000"/>
                <w:szCs w:val="24"/>
                <w:lang w:val="en-IN"/>
              </w:rPr>
            </w:pPr>
            <w:r w:rsidRPr="001854D3">
              <w:rPr>
                <w:rFonts w:cs="Arial"/>
                <w:color w:val="000000"/>
                <w:szCs w:val="24"/>
                <w:lang w:val="en-IN"/>
              </w:rPr>
              <w:t> </w:t>
            </w:r>
          </w:p>
        </w:tc>
      </w:tr>
    </w:tbl>
    <w:p w14:paraId="011DF6F2" w14:textId="5A1EDC53" w:rsidR="001854D3" w:rsidRPr="001854D3" w:rsidRDefault="00D34B4D" w:rsidP="00D13DB7">
      <w:pPr>
        <w:jc w:val="center"/>
        <w:rPr>
          <w:rFonts w:cs="Arial"/>
        </w:rPr>
      </w:pPr>
      <w:r w:rsidRPr="00D34B4D">
        <w:rPr>
          <w:rFonts w:cs="Arial"/>
        </w:rPr>
        <w:t>(Source: Refer to the Excel</w:t>
      </w:r>
      <w:r w:rsidR="00D13DB7">
        <w:rPr>
          <w:rFonts w:cs="Arial"/>
        </w:rPr>
        <w:t>)</w:t>
      </w:r>
    </w:p>
    <w:sectPr w:rsidR="001854D3" w:rsidRPr="001854D3" w:rsidSect="00D20B91">
      <w:footerReference w:type="default" r:id="rId37"/>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0C8049" w14:textId="77777777" w:rsidR="00AE6F0C" w:rsidRDefault="00AE6F0C" w:rsidP="001854D3">
      <w:pPr>
        <w:spacing w:after="0" w:line="240" w:lineRule="auto"/>
      </w:pPr>
      <w:r>
        <w:separator/>
      </w:r>
    </w:p>
  </w:endnote>
  <w:endnote w:type="continuationSeparator" w:id="0">
    <w:p w14:paraId="35F557AE" w14:textId="77777777" w:rsidR="00AE6F0C" w:rsidRDefault="00AE6F0C" w:rsidP="001854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51DE930-A303-439B-98ED-D20BAB9B8BD1}"/>
  </w:font>
  <w:font w:name="Cambria">
    <w:panose1 w:val="02040503050406030204"/>
    <w:charset w:val="00"/>
    <w:family w:val="roman"/>
    <w:pitch w:val="variable"/>
    <w:sig w:usb0="E00006FF" w:usb1="420024FF" w:usb2="02000000" w:usb3="00000000" w:csb0="0000019F" w:csb1="00000000"/>
    <w:embedRegular r:id="rId2" w:fontKey="{B3584242-470A-4CE8-B76E-9156558954A1}"/>
  </w:font>
  <w:font w:name="Cambria Math">
    <w:panose1 w:val="02040503050406030204"/>
    <w:charset w:val="00"/>
    <w:family w:val="roman"/>
    <w:pitch w:val="variable"/>
    <w:sig w:usb0="E00006FF" w:usb1="420024FF" w:usb2="02000000" w:usb3="00000000" w:csb0="0000019F" w:csb1="00000000"/>
    <w:embedRegular r:id="rId3" w:fontKey="{40A94E12-C9DD-4E54-BB7D-CAA0F511C86E}"/>
    <w:embedBold r:id="rId4" w:fontKey="{14063066-9403-4220-BA7C-2ECFB3A6E85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2797945"/>
      <w:docPartObj>
        <w:docPartGallery w:val="Page Numbers (Bottom of Page)"/>
        <w:docPartUnique/>
      </w:docPartObj>
    </w:sdtPr>
    <w:sdtEndPr>
      <w:rPr>
        <w:rFonts w:cs="Arial"/>
        <w:noProof/>
        <w:szCs w:val="24"/>
      </w:rPr>
    </w:sdtEndPr>
    <w:sdtContent>
      <w:p w14:paraId="3142D939" w14:textId="1FCAB499" w:rsidR="001854D3" w:rsidRPr="00EE0A69" w:rsidRDefault="001854D3" w:rsidP="00EE0A69">
        <w:pPr>
          <w:pStyle w:val="Footer"/>
          <w:jc w:val="right"/>
          <w:rPr>
            <w:rFonts w:cs="Arial"/>
            <w:szCs w:val="24"/>
          </w:rPr>
        </w:pPr>
        <w:r w:rsidRPr="001854D3">
          <w:rPr>
            <w:rFonts w:cs="Arial"/>
            <w:szCs w:val="24"/>
          </w:rPr>
          <w:fldChar w:fldCharType="begin"/>
        </w:r>
        <w:r w:rsidRPr="001854D3">
          <w:rPr>
            <w:rFonts w:cs="Arial"/>
            <w:szCs w:val="24"/>
          </w:rPr>
          <w:instrText xml:space="preserve"> PAGE   \* MERGEFORMAT </w:instrText>
        </w:r>
        <w:r w:rsidRPr="001854D3">
          <w:rPr>
            <w:rFonts w:cs="Arial"/>
            <w:szCs w:val="24"/>
          </w:rPr>
          <w:fldChar w:fldCharType="separate"/>
        </w:r>
        <w:r w:rsidR="00461567">
          <w:rPr>
            <w:rFonts w:cs="Arial"/>
            <w:noProof/>
            <w:szCs w:val="24"/>
          </w:rPr>
          <w:t>29</w:t>
        </w:r>
        <w:r w:rsidRPr="001854D3">
          <w:rPr>
            <w:rFonts w:cs="Arial"/>
            <w:noProof/>
            <w:szCs w:val="24"/>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260482" w14:textId="77777777" w:rsidR="00AE6F0C" w:rsidRDefault="00AE6F0C" w:rsidP="001854D3">
      <w:pPr>
        <w:spacing w:after="0" w:line="240" w:lineRule="auto"/>
      </w:pPr>
      <w:r>
        <w:separator/>
      </w:r>
    </w:p>
  </w:footnote>
  <w:footnote w:type="continuationSeparator" w:id="0">
    <w:p w14:paraId="724A4B20" w14:textId="77777777" w:rsidR="00AE6F0C" w:rsidRDefault="00AE6F0C" w:rsidP="001854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CF6255"/>
    <w:multiLevelType w:val="hybridMultilevel"/>
    <w:tmpl w:val="24AE8A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2490AE9"/>
    <w:multiLevelType w:val="hybridMultilevel"/>
    <w:tmpl w:val="AB8EEF92"/>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454340"/>
    <w:multiLevelType w:val="hybridMultilevel"/>
    <w:tmpl w:val="441EC6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54889850">
    <w:abstractNumId w:val="1"/>
  </w:num>
  <w:num w:numId="2" w16cid:durableId="889027872">
    <w:abstractNumId w:val="0"/>
  </w:num>
  <w:num w:numId="3" w16cid:durableId="1905310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3B70"/>
    <w:rsid w:val="0001593B"/>
    <w:rsid w:val="00032368"/>
    <w:rsid w:val="000529CC"/>
    <w:rsid w:val="00056E48"/>
    <w:rsid w:val="000610BC"/>
    <w:rsid w:val="00077489"/>
    <w:rsid w:val="00090222"/>
    <w:rsid w:val="000A33CC"/>
    <w:rsid w:val="000B67A2"/>
    <w:rsid w:val="000D1209"/>
    <w:rsid w:val="0010013F"/>
    <w:rsid w:val="00121A57"/>
    <w:rsid w:val="00122582"/>
    <w:rsid w:val="001263F7"/>
    <w:rsid w:val="00133249"/>
    <w:rsid w:val="001513D7"/>
    <w:rsid w:val="00152E13"/>
    <w:rsid w:val="00156EC6"/>
    <w:rsid w:val="001854D3"/>
    <w:rsid w:val="001906D2"/>
    <w:rsid w:val="001A24E6"/>
    <w:rsid w:val="00215DCB"/>
    <w:rsid w:val="00231066"/>
    <w:rsid w:val="002361A2"/>
    <w:rsid w:val="002501B5"/>
    <w:rsid w:val="0025324E"/>
    <w:rsid w:val="0026495B"/>
    <w:rsid w:val="00271AFC"/>
    <w:rsid w:val="00273C3E"/>
    <w:rsid w:val="00286B89"/>
    <w:rsid w:val="002B78B1"/>
    <w:rsid w:val="002D1ECE"/>
    <w:rsid w:val="003001D8"/>
    <w:rsid w:val="00302F58"/>
    <w:rsid w:val="003034B8"/>
    <w:rsid w:val="003160D4"/>
    <w:rsid w:val="0034500B"/>
    <w:rsid w:val="00353C91"/>
    <w:rsid w:val="00377558"/>
    <w:rsid w:val="00392489"/>
    <w:rsid w:val="003B5C20"/>
    <w:rsid w:val="003C2D28"/>
    <w:rsid w:val="003D1B88"/>
    <w:rsid w:val="003E6227"/>
    <w:rsid w:val="00406CA0"/>
    <w:rsid w:val="00456118"/>
    <w:rsid w:val="004561BB"/>
    <w:rsid w:val="00460CA7"/>
    <w:rsid w:val="00461567"/>
    <w:rsid w:val="00462F3A"/>
    <w:rsid w:val="00463E1D"/>
    <w:rsid w:val="00474731"/>
    <w:rsid w:val="004827E4"/>
    <w:rsid w:val="004905A9"/>
    <w:rsid w:val="004A70B3"/>
    <w:rsid w:val="004A79EA"/>
    <w:rsid w:val="004B4454"/>
    <w:rsid w:val="004C49BE"/>
    <w:rsid w:val="004C7F11"/>
    <w:rsid w:val="004E239F"/>
    <w:rsid w:val="005032E5"/>
    <w:rsid w:val="00532AD0"/>
    <w:rsid w:val="005423D5"/>
    <w:rsid w:val="00594DF9"/>
    <w:rsid w:val="005B28FF"/>
    <w:rsid w:val="005B600F"/>
    <w:rsid w:val="005F0AD3"/>
    <w:rsid w:val="00602E9E"/>
    <w:rsid w:val="006463EC"/>
    <w:rsid w:val="00647E21"/>
    <w:rsid w:val="006561C9"/>
    <w:rsid w:val="00661540"/>
    <w:rsid w:val="00664DCC"/>
    <w:rsid w:val="00673BF2"/>
    <w:rsid w:val="006816A2"/>
    <w:rsid w:val="006D16DD"/>
    <w:rsid w:val="00703B89"/>
    <w:rsid w:val="00706C02"/>
    <w:rsid w:val="00716D54"/>
    <w:rsid w:val="00747192"/>
    <w:rsid w:val="00755A9D"/>
    <w:rsid w:val="00757D45"/>
    <w:rsid w:val="007712F1"/>
    <w:rsid w:val="007822E8"/>
    <w:rsid w:val="00791C46"/>
    <w:rsid w:val="007A2CD0"/>
    <w:rsid w:val="007B7171"/>
    <w:rsid w:val="007D27C0"/>
    <w:rsid w:val="007E3CAA"/>
    <w:rsid w:val="00800387"/>
    <w:rsid w:val="00815949"/>
    <w:rsid w:val="00826156"/>
    <w:rsid w:val="00853362"/>
    <w:rsid w:val="00860D5F"/>
    <w:rsid w:val="00864B14"/>
    <w:rsid w:val="00880193"/>
    <w:rsid w:val="00880E71"/>
    <w:rsid w:val="008819F5"/>
    <w:rsid w:val="008918C8"/>
    <w:rsid w:val="00897939"/>
    <w:rsid w:val="008A60D9"/>
    <w:rsid w:val="008D4F3D"/>
    <w:rsid w:val="0090259C"/>
    <w:rsid w:val="00915E1D"/>
    <w:rsid w:val="009465E4"/>
    <w:rsid w:val="0095547C"/>
    <w:rsid w:val="00990043"/>
    <w:rsid w:val="00991CA7"/>
    <w:rsid w:val="009B6D7E"/>
    <w:rsid w:val="009C0DF7"/>
    <w:rsid w:val="009D1C54"/>
    <w:rsid w:val="009D344A"/>
    <w:rsid w:val="009D420E"/>
    <w:rsid w:val="009F0595"/>
    <w:rsid w:val="00A1171B"/>
    <w:rsid w:val="00A141D8"/>
    <w:rsid w:val="00A25A0B"/>
    <w:rsid w:val="00A45CE7"/>
    <w:rsid w:val="00A56034"/>
    <w:rsid w:val="00A57377"/>
    <w:rsid w:val="00A8128D"/>
    <w:rsid w:val="00A87143"/>
    <w:rsid w:val="00A91F8C"/>
    <w:rsid w:val="00A9471E"/>
    <w:rsid w:val="00AD0288"/>
    <w:rsid w:val="00AE6F0C"/>
    <w:rsid w:val="00B53611"/>
    <w:rsid w:val="00B53D05"/>
    <w:rsid w:val="00B54382"/>
    <w:rsid w:val="00B63E8C"/>
    <w:rsid w:val="00B659E4"/>
    <w:rsid w:val="00BB0EEE"/>
    <w:rsid w:val="00BC18D0"/>
    <w:rsid w:val="00BC1B90"/>
    <w:rsid w:val="00BE4ECD"/>
    <w:rsid w:val="00C1466A"/>
    <w:rsid w:val="00C41D03"/>
    <w:rsid w:val="00C531C2"/>
    <w:rsid w:val="00C57CB3"/>
    <w:rsid w:val="00C618B1"/>
    <w:rsid w:val="00C67F1C"/>
    <w:rsid w:val="00C82193"/>
    <w:rsid w:val="00CA5C31"/>
    <w:rsid w:val="00CB0BAF"/>
    <w:rsid w:val="00CB3B70"/>
    <w:rsid w:val="00CB410F"/>
    <w:rsid w:val="00CB4A49"/>
    <w:rsid w:val="00CE6DF2"/>
    <w:rsid w:val="00CF5B81"/>
    <w:rsid w:val="00D137C1"/>
    <w:rsid w:val="00D13DB7"/>
    <w:rsid w:val="00D20B91"/>
    <w:rsid w:val="00D2216F"/>
    <w:rsid w:val="00D2283E"/>
    <w:rsid w:val="00D24A81"/>
    <w:rsid w:val="00D34B4D"/>
    <w:rsid w:val="00D53BF3"/>
    <w:rsid w:val="00DC259D"/>
    <w:rsid w:val="00DC4899"/>
    <w:rsid w:val="00DE73F4"/>
    <w:rsid w:val="00DE7780"/>
    <w:rsid w:val="00DF78B2"/>
    <w:rsid w:val="00E175A5"/>
    <w:rsid w:val="00E24882"/>
    <w:rsid w:val="00E306CE"/>
    <w:rsid w:val="00E36B6E"/>
    <w:rsid w:val="00E5793F"/>
    <w:rsid w:val="00E64223"/>
    <w:rsid w:val="00E654AC"/>
    <w:rsid w:val="00E77B7B"/>
    <w:rsid w:val="00E805BB"/>
    <w:rsid w:val="00E86757"/>
    <w:rsid w:val="00E87EE3"/>
    <w:rsid w:val="00EA1BD1"/>
    <w:rsid w:val="00EA5246"/>
    <w:rsid w:val="00EC5230"/>
    <w:rsid w:val="00EC72ED"/>
    <w:rsid w:val="00EE0A69"/>
    <w:rsid w:val="00EF6621"/>
    <w:rsid w:val="00F00245"/>
    <w:rsid w:val="00F10EC1"/>
    <w:rsid w:val="00F12FC4"/>
    <w:rsid w:val="00F23828"/>
    <w:rsid w:val="00F55A82"/>
    <w:rsid w:val="00F571BB"/>
    <w:rsid w:val="00F711B6"/>
    <w:rsid w:val="00F8700A"/>
    <w:rsid w:val="00FA08E8"/>
    <w:rsid w:val="00FB10BE"/>
    <w:rsid w:val="00FE574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A511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2"/>
        <w:szCs w:val="22"/>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731"/>
    <w:pPr>
      <w:spacing w:before="120" w:after="120"/>
    </w:pPr>
    <w:rPr>
      <w:rFonts w:ascii="Arial" w:hAnsi="Arial"/>
      <w:color w:val="000000" w:themeColor="text1"/>
      <w:sz w:val="24"/>
    </w:rPr>
  </w:style>
  <w:style w:type="paragraph" w:styleId="Heading1">
    <w:name w:val="heading 1"/>
    <w:basedOn w:val="Normal"/>
    <w:next w:val="Normal"/>
    <w:uiPriority w:val="9"/>
    <w:qFormat/>
    <w:rsid w:val="006D16DD"/>
    <w:pPr>
      <w:keepNext/>
      <w:keepLines/>
      <w:outlineLvl w:val="0"/>
    </w:pPr>
    <w:rPr>
      <w:rFonts w:cs="Arial"/>
      <w:b/>
      <w:bCs/>
      <w:sz w:val="28"/>
      <w:szCs w:val="28"/>
    </w:rPr>
  </w:style>
  <w:style w:type="paragraph" w:styleId="Heading2">
    <w:name w:val="heading 2"/>
    <w:basedOn w:val="Normal"/>
    <w:next w:val="Normal"/>
    <w:uiPriority w:val="9"/>
    <w:unhideWhenUsed/>
    <w:qFormat/>
    <w:rsid w:val="006D16DD"/>
    <w:pPr>
      <w:keepNext/>
      <w:keepLines/>
      <w:outlineLvl w:val="1"/>
    </w:pPr>
    <w:rPr>
      <w:rFonts w:cs="Arial"/>
      <w:b/>
      <w:bCs/>
      <w:sz w:val="26"/>
      <w:szCs w:val="26"/>
    </w:rPr>
  </w:style>
  <w:style w:type="paragraph" w:styleId="Heading3">
    <w:name w:val="heading 3"/>
    <w:basedOn w:val="Normal"/>
    <w:next w:val="Normal"/>
    <w:uiPriority w:val="9"/>
    <w:unhideWhenUsed/>
    <w:qFormat/>
    <w:rsid w:val="001854D3"/>
    <w:pPr>
      <w:spacing w:before="200" w:after="0"/>
      <w:jc w:val="center"/>
      <w:outlineLvl w:val="2"/>
    </w:pPr>
    <w:rPr>
      <w:rFonts w:cs="Arial"/>
      <w:b/>
      <w:bCs/>
      <w:szCs w:val="24"/>
    </w:rPr>
  </w:style>
  <w:style w:type="paragraph" w:styleId="Heading4">
    <w:name w:val="heading 4"/>
    <w:basedOn w:val="Heading3"/>
    <w:next w:val="Normal"/>
    <w:uiPriority w:val="9"/>
    <w:unhideWhenUsed/>
    <w:qFormat/>
    <w:rsid w:val="001854D3"/>
    <w:pPr>
      <w:outlineLvl w:val="3"/>
    </w:pPr>
  </w:style>
  <w:style w:type="paragraph" w:styleId="Heading5">
    <w:name w:val="heading 5"/>
    <w:basedOn w:val="Normal"/>
    <w:next w:val="Normal"/>
    <w:uiPriority w:val="9"/>
    <w:unhideWhenUsed/>
    <w:qFormat/>
    <w:rsid w:val="001854D3"/>
    <w:pPr>
      <w:spacing w:after="0"/>
      <w:jc w:val="center"/>
      <w:outlineLvl w:val="4"/>
    </w:pPr>
    <w:rPr>
      <w:rFonts w:cs="Arial"/>
      <w:b/>
      <w:bCs/>
      <w:szCs w:val="24"/>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table" w:customStyle="1" w:styleId="a">
    <w:basedOn w:val="TableNormal0"/>
    <w:tblPr>
      <w:tblStyleRowBandSize w:val="1"/>
      <w:tblStyleColBandSize w:val="1"/>
    </w:tblPr>
  </w:style>
  <w:style w:type="character" w:styleId="Hyperlink">
    <w:name w:val="Hyperlink"/>
    <w:basedOn w:val="DefaultParagraphFont"/>
    <w:uiPriority w:val="99"/>
    <w:unhideWhenUsed/>
    <w:rsid w:val="00A57377"/>
    <w:rPr>
      <w:color w:val="0000FF" w:themeColor="hyperlink"/>
      <w:u w:val="single"/>
    </w:rPr>
  </w:style>
  <w:style w:type="paragraph" w:styleId="NoSpacing">
    <w:name w:val="No Spacing"/>
    <w:uiPriority w:val="1"/>
    <w:qFormat/>
    <w:rsid w:val="00747192"/>
    <w:pPr>
      <w:spacing w:after="0" w:line="240" w:lineRule="auto"/>
    </w:pPr>
  </w:style>
  <w:style w:type="paragraph" w:styleId="TOCHeading">
    <w:name w:val="TOC Heading"/>
    <w:basedOn w:val="Heading1"/>
    <w:next w:val="Normal"/>
    <w:uiPriority w:val="39"/>
    <w:unhideWhenUsed/>
    <w:qFormat/>
    <w:rsid w:val="001854D3"/>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854D3"/>
    <w:pPr>
      <w:spacing w:after="100"/>
    </w:pPr>
  </w:style>
  <w:style w:type="paragraph" w:styleId="TOC2">
    <w:name w:val="toc 2"/>
    <w:basedOn w:val="Normal"/>
    <w:next w:val="Normal"/>
    <w:autoRedefine/>
    <w:uiPriority w:val="39"/>
    <w:unhideWhenUsed/>
    <w:rsid w:val="001854D3"/>
    <w:pPr>
      <w:spacing w:after="100"/>
      <w:ind w:left="220"/>
    </w:pPr>
  </w:style>
  <w:style w:type="paragraph" w:styleId="Header">
    <w:name w:val="header"/>
    <w:basedOn w:val="Normal"/>
    <w:link w:val="HeaderChar"/>
    <w:uiPriority w:val="99"/>
    <w:unhideWhenUsed/>
    <w:rsid w:val="001854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54D3"/>
  </w:style>
  <w:style w:type="paragraph" w:styleId="Footer">
    <w:name w:val="footer"/>
    <w:basedOn w:val="Normal"/>
    <w:link w:val="FooterChar"/>
    <w:uiPriority w:val="99"/>
    <w:unhideWhenUsed/>
    <w:rsid w:val="001854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54D3"/>
  </w:style>
  <w:style w:type="paragraph" w:styleId="TableofFigures">
    <w:name w:val="table of figures"/>
    <w:basedOn w:val="Normal"/>
    <w:next w:val="Normal"/>
    <w:uiPriority w:val="99"/>
    <w:unhideWhenUsed/>
    <w:rsid w:val="001854D3"/>
    <w:pPr>
      <w:spacing w:after="0"/>
    </w:pPr>
  </w:style>
  <w:style w:type="paragraph" w:styleId="ListParagraph">
    <w:name w:val="List Paragraph"/>
    <w:basedOn w:val="Normal"/>
    <w:uiPriority w:val="34"/>
    <w:qFormat/>
    <w:rsid w:val="006816A2"/>
    <w:pPr>
      <w:ind w:left="720"/>
      <w:contextualSpacing/>
    </w:pPr>
  </w:style>
  <w:style w:type="paragraph" w:styleId="NormalWeb">
    <w:name w:val="Normal (Web)"/>
    <w:basedOn w:val="Normal"/>
    <w:uiPriority w:val="99"/>
    <w:unhideWhenUsed/>
    <w:rsid w:val="00121A57"/>
    <w:pPr>
      <w:spacing w:before="100" w:beforeAutospacing="1" w:after="100" w:afterAutospacing="1" w:line="240" w:lineRule="auto"/>
      <w:jc w:val="left"/>
    </w:pPr>
    <w:rPr>
      <w:szCs w:val="24"/>
      <w:lang w:val="en-US" w:eastAsia="en-US"/>
    </w:rPr>
  </w:style>
  <w:style w:type="character" w:styleId="Strong">
    <w:name w:val="Strong"/>
    <w:basedOn w:val="DefaultParagraphFont"/>
    <w:uiPriority w:val="22"/>
    <w:qFormat/>
    <w:rsid w:val="00121A57"/>
    <w:rPr>
      <w:b/>
      <w:bCs/>
    </w:rPr>
  </w:style>
  <w:style w:type="paragraph" w:styleId="Caption">
    <w:name w:val="caption"/>
    <w:basedOn w:val="Normal"/>
    <w:next w:val="Normal"/>
    <w:uiPriority w:val="35"/>
    <w:unhideWhenUsed/>
    <w:qFormat/>
    <w:rsid w:val="00B63E8C"/>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clear.in/s/early-payment-discount" TargetMode="External"/><Relationship Id="rId18" Type="http://schemas.openxmlformats.org/officeDocument/2006/relationships/hyperlink" Target="https://corporatefinanceinstitute.com/resources/accounting/profitability-index/" TargetMode="External"/><Relationship Id="rId26" Type="http://schemas.openxmlformats.org/officeDocument/2006/relationships/hyperlink" Target="https://www.netsuite.com/portal/resource/articles/financial-management/financial-statement-analysis.shtml" TargetMode="External"/><Relationship Id="rId39" Type="http://schemas.openxmlformats.org/officeDocument/2006/relationships/theme" Target="theme/theme1.xml"/><Relationship Id="rId21" Type="http://schemas.openxmlformats.org/officeDocument/2006/relationships/hyperlink" Target="https://www.jpmorgan.com/insights/treasury/receivables/dso-and-dpo-how-they-can-improve-your-cash-flow" TargetMode="External"/><Relationship Id="rId34" Type="http://schemas.openxmlformats.org/officeDocument/2006/relationships/chart" Target="charts/chart4.xml"/><Relationship Id="rId7" Type="http://schemas.openxmlformats.org/officeDocument/2006/relationships/endnotes" Target="endnotes.xml"/><Relationship Id="rId12" Type="http://schemas.openxmlformats.org/officeDocument/2006/relationships/hyperlink" Target="https://www.accaglobal.com/in/en/student/exam-support-resources/fundamentals-exams-study-resources/f9/technical-articles/wcm.html" TargetMode="External"/><Relationship Id="rId17" Type="http://schemas.openxmlformats.org/officeDocument/2006/relationships/hyperlink" Target="https://corporatefinanceinstitute.com/resources/accounting/capital-rationing/" TargetMode="External"/><Relationship Id="rId25" Type="http://schemas.openxmlformats.org/officeDocument/2006/relationships/hyperlink" Target="https://legalvision.co.uk/corporations/term-financing/" TargetMode="External"/><Relationship Id="rId33" Type="http://schemas.openxmlformats.org/officeDocument/2006/relationships/chart" Target="charts/chart3.xm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orporatefinanceinstitute.com/resources/financial-modeling/payback-period/" TargetMode="External"/><Relationship Id="rId20" Type="http://schemas.openxmlformats.org/officeDocument/2006/relationships/hyperlink" Target="https://www.gov.uk/tax-when-your-company-sells-assets" TargetMode="External"/><Relationship Id="rId29" Type="http://schemas.openxmlformats.org/officeDocument/2006/relationships/hyperlink" Target="https://doi.org/10.38124/ijsrmt.v4i9.80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2851/cakrawala.v6i6.556" TargetMode="External"/><Relationship Id="rId24" Type="http://schemas.openxmlformats.org/officeDocument/2006/relationships/hyperlink" Target="https://www.pwc.com/ke/en/services/deals/business-recovery-services/financial-restructuring.html" TargetMode="External"/><Relationship Id="rId32" Type="http://schemas.openxmlformats.org/officeDocument/2006/relationships/chart" Target="charts/chart2.xm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corporatefinanceinstitute.com/resources/valuation/divestiture-overview/" TargetMode="External"/><Relationship Id="rId23" Type="http://schemas.openxmlformats.org/officeDocument/2006/relationships/hyperlink" Target="https://doi.org/10.22214/ijraset.2023.56503" TargetMode="External"/><Relationship Id="rId28" Type="http://schemas.openxmlformats.org/officeDocument/2006/relationships/hyperlink" Target="https://strategiccfo.com/articles/restructuring-services/key-financial-restructuring-principles-every-ceo-should-understand-essential-tips/" TargetMode="External"/><Relationship Id="rId36" Type="http://schemas.openxmlformats.org/officeDocument/2006/relationships/chart" Target="charts/chart6.xml"/><Relationship Id="rId10" Type="http://schemas.openxmlformats.org/officeDocument/2006/relationships/image" Target="media/image3.png"/><Relationship Id="rId19" Type="http://schemas.openxmlformats.org/officeDocument/2006/relationships/hyperlink" Target="https://www.geeksforgeeks.org/finance/long-term-financing-sources-importance-advantages-limitations/" TargetMode="External"/><Relationship Id="rId31"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rporatefinanceinstitute.com/resources/valuation/merger/" TargetMode="External"/><Relationship Id="rId22" Type="http://schemas.openxmlformats.org/officeDocument/2006/relationships/hyperlink" Target="http://166.62.7.99/assets/default/article/2024/01/10/article_1704898915.pdf" TargetMode="External"/><Relationship Id="rId27" Type="http://schemas.openxmlformats.org/officeDocument/2006/relationships/hyperlink" Target="https://doi.org/10.2991/aebmr.k.220603.135" TargetMode="External"/><Relationship Id="rId30" Type="http://schemas.openxmlformats.org/officeDocument/2006/relationships/hyperlink" Target="https://corporatefinanceinstitute.com/resources/valuation/internal-rate-return-irr/" TargetMode="External"/><Relationship Id="rId35" Type="http://schemas.openxmlformats.org/officeDocument/2006/relationships/chart" Target="charts/chart5.xm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3" Type="http://schemas.openxmlformats.org/officeDocument/2006/relationships/oleObject" Target="file:///E:\my%20works\18.12.2025\New%20folder%20(3)\TX%207286%20(LCMB7002%20Financial%20Management)%20EXCE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my%20works\18.12.2025\New%20folder%20(3)\TX%207286%20(LCMB7002%20Financial%20Management)%20EXCE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my%20works\18.12.2025\New%20folder%20(3)\TX%207286%20(LCMB7002%20Financial%20Management)%20EXCEL.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my%20works\18.12.2025\New%20folder%20(3)\TX%207286%20(LCMB7002%20Financial%20Management)%20EXCEL.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my%20works\18.12.2025\New%20folder%20(3)\TX%207286%20(LCMB7002%20Financial%20Management)%20EXCEL.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E:\my%20works\18.12.2025\New%20folder%20(3)\TX%207286%20(LCMB7002%20Financial%20Management)%20EXCEL.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Profitability Ratios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view3D>
      <c:rotX val="10"/>
      <c:rotY val="0"/>
      <c:depthPercent val="100"/>
      <c:rAngAx val="0"/>
    </c:view3D>
    <c:floor>
      <c:thickness val="0"/>
      <c:spPr>
        <a:solidFill>
          <a:schemeClr val="lt1"/>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'[TX 7286 (LCMB7002 Financial Management) EXCEL.xlsx]Sheet1'!$B$4</c:f>
              <c:strCache>
                <c:ptCount val="1"/>
                <c:pt idx="0">
                  <c:v>Gross Profit Margin (%)</c:v>
                </c:pt>
              </c:strCache>
            </c:strRef>
          </c:tx>
          <c:spPr>
            <a:pattFill prst="ltDnDiag">
              <a:fgClr>
                <a:schemeClr val="accent1"/>
              </a:fgClr>
              <a:bgClr>
                <a:schemeClr val="accent1">
                  <a:lumMod val="20000"/>
                  <a:lumOff val="80000"/>
                </a:schemeClr>
              </a:bgClr>
            </a:pattFill>
            <a:ln>
              <a:solidFill>
                <a:schemeClr val="accent1"/>
              </a:solidFill>
            </a:ln>
            <a:effectLst/>
            <a:sp3d>
              <a:contourClr>
                <a:schemeClr val="accent1"/>
              </a:contourClr>
            </a:sp3d>
          </c:spPr>
          <c:invertIfNegative val="0"/>
          <c:cat>
            <c:strRef>
              <c:f>'[TX 7286 (LCMB7002 Financial Management) EXCEL.xlsx]Sheet1'!$D$3:$H$3</c:f>
              <c:strCache>
                <c:ptCount val="5"/>
                <c:pt idx="0">
                  <c:v>2024 (Amount &amp; Result)</c:v>
                </c:pt>
                <c:pt idx="1">
                  <c:v>2023</c:v>
                </c:pt>
                <c:pt idx="2">
                  <c:v>2022</c:v>
                </c:pt>
                <c:pt idx="3">
                  <c:v>2021</c:v>
                </c:pt>
                <c:pt idx="4">
                  <c:v>2020</c:v>
                </c:pt>
              </c:strCache>
            </c:strRef>
          </c:cat>
          <c:val>
            <c:numRef>
              <c:f>'[TX 7286 (LCMB7002 Financial Management) EXCEL.xlsx]Sheet1'!$D$4:$H$4</c:f>
              <c:numCache>
                <c:formatCode>0.00%</c:formatCode>
                <c:ptCount val="5"/>
                <c:pt idx="0">
                  <c:v>0.28870000000000001</c:v>
                </c:pt>
                <c:pt idx="1">
                  <c:v>0.23200000000000001</c:v>
                </c:pt>
                <c:pt idx="2">
                  <c:v>0.28060000000000002</c:v>
                </c:pt>
                <c:pt idx="3">
                  <c:v>0.28760000000000002</c:v>
                </c:pt>
                <c:pt idx="4">
                  <c:v>0.28670000000000001</c:v>
                </c:pt>
              </c:numCache>
            </c:numRef>
          </c:val>
          <c:extLst>
            <c:ext xmlns:c16="http://schemas.microsoft.com/office/drawing/2014/chart" uri="{C3380CC4-5D6E-409C-BE32-E72D297353CC}">
              <c16:uniqueId val="{00000000-A2C3-458F-B270-642B9AA600F5}"/>
            </c:ext>
          </c:extLst>
        </c:ser>
        <c:ser>
          <c:idx val="1"/>
          <c:order val="1"/>
          <c:tx>
            <c:strRef>
              <c:f>'[TX 7286 (LCMB7002 Financial Management) EXCEL.xlsx]Sheet1'!$B$5</c:f>
              <c:strCache>
                <c:ptCount val="1"/>
                <c:pt idx="0">
                  <c:v>Net Profit Margin (%)</c:v>
                </c:pt>
              </c:strCache>
            </c:strRef>
          </c:tx>
          <c:spPr>
            <a:pattFill prst="ltDnDiag">
              <a:fgClr>
                <a:schemeClr val="accent2"/>
              </a:fgClr>
              <a:bgClr>
                <a:schemeClr val="accent2">
                  <a:lumMod val="20000"/>
                  <a:lumOff val="80000"/>
                </a:schemeClr>
              </a:bgClr>
            </a:pattFill>
            <a:ln>
              <a:solidFill>
                <a:schemeClr val="accent2"/>
              </a:solidFill>
            </a:ln>
            <a:effectLst/>
            <a:sp3d>
              <a:contourClr>
                <a:schemeClr val="accent2"/>
              </a:contourClr>
            </a:sp3d>
          </c:spPr>
          <c:invertIfNegative val="0"/>
          <c:cat>
            <c:strRef>
              <c:f>'[TX 7286 (LCMB7002 Financial Management) EXCEL.xlsx]Sheet1'!$D$3:$H$3</c:f>
              <c:strCache>
                <c:ptCount val="5"/>
                <c:pt idx="0">
                  <c:v>2024 (Amount &amp; Result)</c:v>
                </c:pt>
                <c:pt idx="1">
                  <c:v>2023</c:v>
                </c:pt>
                <c:pt idx="2">
                  <c:v>2022</c:v>
                </c:pt>
                <c:pt idx="3">
                  <c:v>2021</c:v>
                </c:pt>
                <c:pt idx="4">
                  <c:v>2020</c:v>
                </c:pt>
              </c:strCache>
            </c:strRef>
          </c:cat>
          <c:val>
            <c:numRef>
              <c:f>'[TX 7286 (LCMB7002 Financial Management) EXCEL.xlsx]Sheet1'!$D$5:$H$5</c:f>
              <c:numCache>
                <c:formatCode>0.00%</c:formatCode>
                <c:ptCount val="5"/>
                <c:pt idx="0">
                  <c:v>-6.0900000000000003E-2</c:v>
                </c:pt>
                <c:pt idx="1">
                  <c:v>-0.23369999999999999</c:v>
                </c:pt>
                <c:pt idx="2">
                  <c:v>6.9999999999999999E-4</c:v>
                </c:pt>
                <c:pt idx="3">
                  <c:v>8.8000000000000005E-3</c:v>
                </c:pt>
                <c:pt idx="4">
                  <c:v>6.2799999999999995E-2</c:v>
                </c:pt>
              </c:numCache>
            </c:numRef>
          </c:val>
          <c:extLst>
            <c:ext xmlns:c16="http://schemas.microsoft.com/office/drawing/2014/chart" uri="{C3380CC4-5D6E-409C-BE32-E72D297353CC}">
              <c16:uniqueId val="{00000001-A2C3-458F-B270-642B9AA600F5}"/>
            </c:ext>
          </c:extLst>
        </c:ser>
        <c:ser>
          <c:idx val="2"/>
          <c:order val="2"/>
          <c:tx>
            <c:strRef>
              <c:f>'[TX 7286 (LCMB7002 Financial Management) EXCEL.xlsx]Sheet1'!$B$6</c:f>
              <c:strCache>
                <c:ptCount val="1"/>
                <c:pt idx="0">
                  <c:v>ROA (%)</c:v>
                </c:pt>
              </c:strCache>
            </c:strRef>
          </c:tx>
          <c:spPr>
            <a:pattFill prst="ltDnDiag">
              <a:fgClr>
                <a:schemeClr val="accent3"/>
              </a:fgClr>
              <a:bgClr>
                <a:schemeClr val="accent3">
                  <a:lumMod val="20000"/>
                  <a:lumOff val="80000"/>
                </a:schemeClr>
              </a:bgClr>
            </a:pattFill>
            <a:ln>
              <a:solidFill>
                <a:schemeClr val="accent3"/>
              </a:solidFill>
            </a:ln>
            <a:effectLst/>
            <a:sp3d>
              <a:contourClr>
                <a:schemeClr val="accent3"/>
              </a:contourClr>
            </a:sp3d>
          </c:spPr>
          <c:invertIfNegative val="0"/>
          <c:cat>
            <c:strRef>
              <c:f>'[TX 7286 (LCMB7002 Financial Management) EXCEL.xlsx]Sheet1'!$D$3:$H$3</c:f>
              <c:strCache>
                <c:ptCount val="5"/>
                <c:pt idx="0">
                  <c:v>2024 (Amount &amp; Result)</c:v>
                </c:pt>
                <c:pt idx="1">
                  <c:v>2023</c:v>
                </c:pt>
                <c:pt idx="2">
                  <c:v>2022</c:v>
                </c:pt>
                <c:pt idx="3">
                  <c:v>2021</c:v>
                </c:pt>
                <c:pt idx="4">
                  <c:v>2020</c:v>
                </c:pt>
              </c:strCache>
            </c:strRef>
          </c:cat>
          <c:val>
            <c:numRef>
              <c:f>'[TX 7286 (LCMB7002 Financial Management) EXCEL.xlsx]Sheet1'!$D$6:$H$6</c:f>
              <c:numCache>
                <c:formatCode>0.00%</c:formatCode>
                <c:ptCount val="5"/>
                <c:pt idx="0">
                  <c:v>-7.4300000000000005E-2</c:v>
                </c:pt>
                <c:pt idx="1">
                  <c:v>-0.27610000000000001</c:v>
                </c:pt>
                <c:pt idx="2">
                  <c:v>8.0000000000000004E-4</c:v>
                </c:pt>
                <c:pt idx="3">
                  <c:v>1.04E-2</c:v>
                </c:pt>
                <c:pt idx="4">
                  <c:v>7.5600000000000001E-2</c:v>
                </c:pt>
              </c:numCache>
            </c:numRef>
          </c:val>
          <c:extLst>
            <c:ext xmlns:c16="http://schemas.microsoft.com/office/drawing/2014/chart" uri="{C3380CC4-5D6E-409C-BE32-E72D297353CC}">
              <c16:uniqueId val="{00000002-A2C3-458F-B270-642B9AA600F5}"/>
            </c:ext>
          </c:extLst>
        </c:ser>
        <c:ser>
          <c:idx val="3"/>
          <c:order val="3"/>
          <c:tx>
            <c:strRef>
              <c:f>'[TX 7286 (LCMB7002 Financial Management) EXCEL.xlsx]Sheet1'!$B$7</c:f>
              <c:strCache>
                <c:ptCount val="1"/>
                <c:pt idx="0">
                  <c:v>ROE (%)</c:v>
                </c:pt>
              </c:strCache>
            </c:strRef>
          </c:tx>
          <c:spPr>
            <a:pattFill prst="ltDnDiag">
              <a:fgClr>
                <a:schemeClr val="accent4"/>
              </a:fgClr>
              <a:bgClr>
                <a:schemeClr val="accent4">
                  <a:lumMod val="20000"/>
                  <a:lumOff val="80000"/>
                </a:schemeClr>
              </a:bgClr>
            </a:pattFill>
            <a:ln>
              <a:solidFill>
                <a:schemeClr val="accent4"/>
              </a:solidFill>
            </a:ln>
            <a:effectLst/>
            <a:sp3d>
              <a:contourClr>
                <a:schemeClr val="accent4"/>
              </a:contourClr>
            </a:sp3d>
          </c:spPr>
          <c:invertIfNegative val="0"/>
          <c:cat>
            <c:strRef>
              <c:f>'[TX 7286 (LCMB7002 Financial Management) EXCEL.xlsx]Sheet1'!$D$3:$H$3</c:f>
              <c:strCache>
                <c:ptCount val="5"/>
                <c:pt idx="0">
                  <c:v>2024 (Amount &amp; Result)</c:v>
                </c:pt>
                <c:pt idx="1">
                  <c:v>2023</c:v>
                </c:pt>
                <c:pt idx="2">
                  <c:v>2022</c:v>
                </c:pt>
                <c:pt idx="3">
                  <c:v>2021</c:v>
                </c:pt>
                <c:pt idx="4">
                  <c:v>2020</c:v>
                </c:pt>
              </c:strCache>
            </c:strRef>
          </c:cat>
          <c:val>
            <c:numRef>
              <c:f>'[TX 7286 (LCMB7002 Financial Management) EXCEL.xlsx]Sheet1'!$D$7:$H$7</c:f>
              <c:numCache>
                <c:formatCode>0.00%</c:formatCode>
                <c:ptCount val="5"/>
                <c:pt idx="0">
                  <c:v>-0.15690000000000001</c:v>
                </c:pt>
                <c:pt idx="1">
                  <c:v>-0.54910000000000003</c:v>
                </c:pt>
                <c:pt idx="2">
                  <c:v>1.5E-3</c:v>
                </c:pt>
                <c:pt idx="3">
                  <c:v>1.9199999999999998E-2</c:v>
                </c:pt>
                <c:pt idx="4">
                  <c:v>0.1231</c:v>
                </c:pt>
              </c:numCache>
            </c:numRef>
          </c:val>
          <c:extLst>
            <c:ext xmlns:c16="http://schemas.microsoft.com/office/drawing/2014/chart" uri="{C3380CC4-5D6E-409C-BE32-E72D297353CC}">
              <c16:uniqueId val="{00000003-A2C3-458F-B270-642B9AA600F5}"/>
            </c:ext>
          </c:extLst>
        </c:ser>
        <c:dLbls>
          <c:showLegendKey val="0"/>
          <c:showVal val="0"/>
          <c:showCatName val="0"/>
          <c:showSerName val="0"/>
          <c:showPercent val="0"/>
          <c:showBubbleSize val="0"/>
        </c:dLbls>
        <c:gapWidth val="160"/>
        <c:gapDepth val="0"/>
        <c:shape val="box"/>
        <c:axId val="471674552"/>
        <c:axId val="471673768"/>
        <c:axId val="550422360"/>
      </c:bar3DChart>
      <c:catAx>
        <c:axId val="47167455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1673768"/>
        <c:crosses val="autoZero"/>
        <c:auto val="1"/>
        <c:lblAlgn val="ctr"/>
        <c:lblOffset val="100"/>
        <c:noMultiLvlLbl val="0"/>
      </c:catAx>
      <c:valAx>
        <c:axId val="471673768"/>
        <c:scaling>
          <c:orientation val="minMax"/>
        </c:scaling>
        <c:delete val="0"/>
        <c:axPos val="l"/>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1674552"/>
        <c:crosses val="autoZero"/>
        <c:crossBetween val="between"/>
      </c:valAx>
      <c:serAx>
        <c:axId val="550422360"/>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1673768"/>
        <c:crosses val="autoZero"/>
      </c:ser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Liquidity Ratios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'[TX 7286 (LCMB7002 Financial Management) EXCEL.xlsx]Sheet2'!$B$5</c:f>
              <c:strCache>
                <c:ptCount val="1"/>
                <c:pt idx="0">
                  <c:v>Current Ratio</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a:sp3d contourW="9525">
              <a:contourClr>
                <a:schemeClr val="accent1">
                  <a:shade val="95000"/>
                </a:schemeClr>
              </a:contourClr>
            </a:sp3d>
          </c:spPr>
          <c:invertIfNegative val="0"/>
          <c:cat>
            <c:numRef>
              <c:f>'[TX 7286 (LCMB7002 Financial Management) EXCEL.xlsx]Sheet2'!$D$4:$H$4</c:f>
              <c:numCache>
                <c:formatCode>General</c:formatCode>
                <c:ptCount val="5"/>
                <c:pt idx="0">
                  <c:v>2024</c:v>
                </c:pt>
                <c:pt idx="1">
                  <c:v>2023</c:v>
                </c:pt>
                <c:pt idx="2">
                  <c:v>2022</c:v>
                </c:pt>
                <c:pt idx="3">
                  <c:v>2021</c:v>
                </c:pt>
                <c:pt idx="4">
                  <c:v>2020</c:v>
                </c:pt>
              </c:numCache>
            </c:numRef>
          </c:cat>
          <c:val>
            <c:numRef>
              <c:f>'[TX 7286 (LCMB7002 Financial Management) EXCEL.xlsx]Sheet2'!$D$5:$H$5</c:f>
              <c:numCache>
                <c:formatCode>General</c:formatCode>
                <c:ptCount val="5"/>
                <c:pt idx="0">
                  <c:v>1.53</c:v>
                </c:pt>
                <c:pt idx="1">
                  <c:v>1.61</c:v>
                </c:pt>
                <c:pt idx="2">
                  <c:v>1.56</c:v>
                </c:pt>
                <c:pt idx="3">
                  <c:v>1.56</c:v>
                </c:pt>
                <c:pt idx="4">
                  <c:v>1.82</c:v>
                </c:pt>
              </c:numCache>
            </c:numRef>
          </c:val>
          <c:extLst>
            <c:ext xmlns:c16="http://schemas.microsoft.com/office/drawing/2014/chart" uri="{C3380CC4-5D6E-409C-BE32-E72D297353CC}">
              <c16:uniqueId val="{00000000-2B5C-4D53-B4F5-74A00EDB9716}"/>
            </c:ext>
          </c:extLst>
        </c:ser>
        <c:ser>
          <c:idx val="1"/>
          <c:order val="1"/>
          <c:tx>
            <c:strRef>
              <c:f>'[TX 7286 (LCMB7002 Financial Management) EXCEL.xlsx]Sheet2'!$B$6</c:f>
              <c:strCache>
                <c:ptCount val="1"/>
                <c:pt idx="0">
                  <c:v>Quick Ratio</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a:sp3d contourW="9525">
              <a:contourClr>
                <a:schemeClr val="accent2">
                  <a:shade val="95000"/>
                </a:schemeClr>
              </a:contourClr>
            </a:sp3d>
          </c:spPr>
          <c:invertIfNegative val="0"/>
          <c:cat>
            <c:numRef>
              <c:f>'[TX 7286 (LCMB7002 Financial Management) EXCEL.xlsx]Sheet2'!$D$4:$H$4</c:f>
              <c:numCache>
                <c:formatCode>General</c:formatCode>
                <c:ptCount val="5"/>
                <c:pt idx="0">
                  <c:v>2024</c:v>
                </c:pt>
                <c:pt idx="1">
                  <c:v>2023</c:v>
                </c:pt>
                <c:pt idx="2">
                  <c:v>2022</c:v>
                </c:pt>
                <c:pt idx="3">
                  <c:v>2021</c:v>
                </c:pt>
                <c:pt idx="4">
                  <c:v>2020</c:v>
                </c:pt>
              </c:numCache>
            </c:numRef>
          </c:cat>
          <c:val>
            <c:numRef>
              <c:f>'[TX 7286 (LCMB7002 Financial Management) EXCEL.xlsx]Sheet2'!$D$6:$H$6</c:f>
              <c:numCache>
                <c:formatCode>General</c:formatCode>
                <c:ptCount val="5"/>
                <c:pt idx="0">
                  <c:v>1.03</c:v>
                </c:pt>
                <c:pt idx="1">
                  <c:v>1.06</c:v>
                </c:pt>
                <c:pt idx="2">
                  <c:v>0.91</c:v>
                </c:pt>
                <c:pt idx="3">
                  <c:v>0.94</c:v>
                </c:pt>
                <c:pt idx="4">
                  <c:v>1.1499999999999999</c:v>
                </c:pt>
              </c:numCache>
            </c:numRef>
          </c:val>
          <c:extLst>
            <c:ext xmlns:c16="http://schemas.microsoft.com/office/drawing/2014/chart" uri="{C3380CC4-5D6E-409C-BE32-E72D297353CC}">
              <c16:uniqueId val="{00000001-2B5C-4D53-B4F5-74A00EDB9716}"/>
            </c:ext>
          </c:extLst>
        </c:ser>
        <c:dLbls>
          <c:showLegendKey val="0"/>
          <c:showVal val="0"/>
          <c:showCatName val="0"/>
          <c:showSerName val="0"/>
          <c:showPercent val="0"/>
          <c:showBubbleSize val="0"/>
        </c:dLbls>
        <c:gapWidth val="150"/>
        <c:shape val="box"/>
        <c:axId val="471674944"/>
        <c:axId val="471671416"/>
        <c:axId val="0"/>
      </c:bar3DChart>
      <c:catAx>
        <c:axId val="47167494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471671416"/>
        <c:crosses val="autoZero"/>
        <c:auto val="1"/>
        <c:lblAlgn val="ctr"/>
        <c:lblOffset val="100"/>
        <c:noMultiLvlLbl val="0"/>
      </c:catAx>
      <c:valAx>
        <c:axId val="4716714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4716749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Asset Turnover</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'E:\my works\18.12.2025\New folder (2)\[TX 7285 (LCMB7002 Financial Management) (1).xlsx]Sheet3'!$D$4:$G$4</c:f>
              <c:numCache>
                <c:formatCode>General</c:formatCode>
                <c:ptCount val="4"/>
                <c:pt idx="0">
                  <c:v>2024</c:v>
                </c:pt>
                <c:pt idx="1">
                  <c:v>2023</c:v>
                </c:pt>
                <c:pt idx="2">
                  <c:v>2022</c:v>
                </c:pt>
                <c:pt idx="3">
                  <c:v>2021</c:v>
                </c:pt>
              </c:numCache>
            </c:numRef>
          </c:cat>
          <c:val>
            <c:numRef>
              <c:f>'E:\my works\18.12.2025\New folder (2)\[TX 7285 (LCMB7002 Financial Management) (1).xlsx]Sheet3'!$D$5:$H$5</c:f>
              <c:numCache>
                <c:formatCode>General</c:formatCode>
                <c:ptCount val="5"/>
                <c:pt idx="0">
                  <c:v>1.22</c:v>
                </c:pt>
                <c:pt idx="1">
                  <c:v>1.18</c:v>
                </c:pt>
                <c:pt idx="2">
                  <c:v>1.08</c:v>
                </c:pt>
                <c:pt idx="3">
                  <c:v>1.18</c:v>
                </c:pt>
                <c:pt idx="4">
                  <c:v>1.21</c:v>
                </c:pt>
              </c:numCache>
            </c:numRef>
          </c:val>
          <c:extLst>
            <c:ext xmlns:c16="http://schemas.microsoft.com/office/drawing/2014/chart" uri="{C3380CC4-5D6E-409C-BE32-E72D297353CC}">
              <c16:uniqueId val="{00000000-FAB8-4F68-9D00-7AD04A6642F1}"/>
            </c:ext>
          </c:extLst>
        </c:ser>
        <c:dLbls>
          <c:dLblPos val="inEnd"/>
          <c:showLegendKey val="0"/>
          <c:showVal val="1"/>
          <c:showCatName val="0"/>
          <c:showSerName val="0"/>
          <c:showPercent val="0"/>
          <c:showBubbleSize val="0"/>
        </c:dLbls>
        <c:gapWidth val="267"/>
        <c:overlap val="-43"/>
        <c:axId val="471672200"/>
        <c:axId val="466284344"/>
      </c:barChart>
      <c:catAx>
        <c:axId val="471672200"/>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466284344"/>
        <c:crosses val="autoZero"/>
        <c:auto val="1"/>
        <c:lblAlgn val="ctr"/>
        <c:lblOffset val="100"/>
        <c:noMultiLvlLbl val="0"/>
      </c:catAx>
      <c:valAx>
        <c:axId val="466284344"/>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71672200"/>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US"/>
              <a:t>Gearing / Leverage Ratios</a:t>
            </a:r>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'E:\my works\18.12.2025\New folder (2)\[TX 7285 (LCMB7002 Financial Management) (1).xlsx]Sheet4'!$B$5</c:f>
              <c:strCache>
                <c:ptCount val="1"/>
                <c:pt idx="0">
                  <c:v>Debt-to-Equity</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rgbClr val="4F81BD">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'E:\my works\18.12.2025\New folder (2)\[TX 7285 (LCMB7002 Financial Management) (1).xlsx]Sheet4'!$D$4:$H$4</c:f>
              <c:numCache>
                <c:formatCode>General</c:formatCode>
                <c:ptCount val="5"/>
                <c:pt idx="0">
                  <c:v>2024</c:v>
                </c:pt>
                <c:pt idx="1">
                  <c:v>2023</c:v>
                </c:pt>
                <c:pt idx="2">
                  <c:v>2022</c:v>
                </c:pt>
                <c:pt idx="3">
                  <c:v>2021</c:v>
                </c:pt>
                <c:pt idx="4">
                  <c:v>2020</c:v>
                </c:pt>
              </c:numCache>
            </c:numRef>
          </c:cat>
          <c:val>
            <c:numRef>
              <c:f>'E:\my works\18.12.2025\New folder (2)\[TX 7285 (LCMB7002 Financial Management) (1).xlsx]Sheet4'!$D$5:$H$5</c:f>
              <c:numCache>
                <c:formatCode>General</c:formatCode>
                <c:ptCount val="5"/>
                <c:pt idx="0">
                  <c:v>1.1100000000000001</c:v>
                </c:pt>
                <c:pt idx="1">
                  <c:v>0.99</c:v>
                </c:pt>
                <c:pt idx="2">
                  <c:v>0.88</c:v>
                </c:pt>
                <c:pt idx="3">
                  <c:v>0.85</c:v>
                </c:pt>
                <c:pt idx="4">
                  <c:v>0.63</c:v>
                </c:pt>
              </c:numCache>
            </c:numRef>
          </c:val>
          <c:extLst>
            <c:ext xmlns:c16="http://schemas.microsoft.com/office/drawing/2014/chart" uri="{C3380CC4-5D6E-409C-BE32-E72D297353CC}">
              <c16:uniqueId val="{00000000-56B8-475D-855A-4191764319DB}"/>
            </c:ext>
          </c:extLst>
        </c:ser>
        <c:ser>
          <c:idx val="1"/>
          <c:order val="1"/>
          <c:tx>
            <c:strRef>
              <c:f>'E:\my works\18.12.2025\New folder (2)\[TX 7285 (LCMB7002 Financial Management) (1).xlsx]Sheet4'!$B$6</c:f>
              <c:strCache>
                <c:ptCount val="1"/>
                <c:pt idx="0">
                  <c:v>Debt Ratio</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rgbClr val="C0504D">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'E:\my works\18.12.2025\New folder (2)\[TX 7285 (LCMB7002 Financial Management) (1).xlsx]Sheet4'!$D$4:$H$4</c:f>
              <c:numCache>
                <c:formatCode>General</c:formatCode>
                <c:ptCount val="5"/>
                <c:pt idx="0">
                  <c:v>2024</c:v>
                </c:pt>
                <c:pt idx="1">
                  <c:v>2023</c:v>
                </c:pt>
                <c:pt idx="2">
                  <c:v>2022</c:v>
                </c:pt>
                <c:pt idx="3">
                  <c:v>2021</c:v>
                </c:pt>
                <c:pt idx="4">
                  <c:v>2020</c:v>
                </c:pt>
              </c:numCache>
            </c:numRef>
          </c:cat>
          <c:val>
            <c:numRef>
              <c:f>'E:\my works\18.12.2025\New folder (2)\[TX 7285 (LCMB7002 Financial Management) (1).xlsx]Sheet4'!$D$6:$H$6</c:f>
              <c:numCache>
                <c:formatCode>General</c:formatCode>
                <c:ptCount val="5"/>
                <c:pt idx="0">
                  <c:v>0.53</c:v>
                </c:pt>
                <c:pt idx="1">
                  <c:v>0.5</c:v>
                </c:pt>
                <c:pt idx="2">
                  <c:v>0.47</c:v>
                </c:pt>
                <c:pt idx="3">
                  <c:v>0.46</c:v>
                </c:pt>
                <c:pt idx="4">
                  <c:v>0.39</c:v>
                </c:pt>
              </c:numCache>
            </c:numRef>
          </c:val>
          <c:extLst>
            <c:ext xmlns:c16="http://schemas.microsoft.com/office/drawing/2014/chart" uri="{C3380CC4-5D6E-409C-BE32-E72D297353CC}">
              <c16:uniqueId val="{00000001-56B8-475D-855A-4191764319DB}"/>
            </c:ext>
          </c:extLst>
        </c:ser>
        <c:dLbls>
          <c:showLegendKey val="0"/>
          <c:showVal val="1"/>
          <c:showCatName val="0"/>
          <c:showSerName val="0"/>
          <c:showPercent val="0"/>
          <c:showBubbleSize val="0"/>
        </c:dLbls>
        <c:gapWidth val="84"/>
        <c:gapDepth val="53"/>
        <c:shape val="box"/>
        <c:axId val="466283560"/>
        <c:axId val="466287088"/>
        <c:axId val="0"/>
      </c:bar3DChart>
      <c:catAx>
        <c:axId val="46628356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66287088"/>
        <c:crosses val="autoZero"/>
        <c:auto val="1"/>
        <c:lblAlgn val="ctr"/>
        <c:lblOffset val="100"/>
        <c:noMultiLvlLbl val="0"/>
      </c:catAx>
      <c:valAx>
        <c:axId val="466287088"/>
        <c:scaling>
          <c:orientation val="minMax"/>
        </c:scaling>
        <c:delete val="1"/>
        <c:axPos val="l"/>
        <c:numFmt formatCode="General" sourceLinked="1"/>
        <c:majorTickMark val="out"/>
        <c:minorTickMark val="none"/>
        <c:tickLblPos val="nextTo"/>
        <c:crossAx val="46628356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Operating Cash Flow Ratio</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c:spPr>
          <c:invertIfNegative val="0"/>
          <c:cat>
            <c:numRef>
              <c:f>'E:\my works\18.12.2025\New folder (2)\[TX 7285 (LCMB7002 Financial Management) (1).xlsx]Sheet 5'!$D$4:$H$4</c:f>
              <c:numCache>
                <c:formatCode>General</c:formatCode>
                <c:ptCount val="5"/>
                <c:pt idx="0">
                  <c:v>2024</c:v>
                </c:pt>
                <c:pt idx="1">
                  <c:v>2023</c:v>
                </c:pt>
                <c:pt idx="2">
                  <c:v>2022</c:v>
                </c:pt>
                <c:pt idx="3">
                  <c:v>2021</c:v>
                </c:pt>
                <c:pt idx="4">
                  <c:v>2020</c:v>
                </c:pt>
              </c:numCache>
            </c:numRef>
          </c:cat>
          <c:val>
            <c:numRef>
              <c:f>'E:\my works\18.12.2025\New folder (2)\[TX 7285 (LCMB7002 Financial Management) (1).xlsx]Sheet 5'!$D$5:$H$5</c:f>
              <c:numCache>
                <c:formatCode>General</c:formatCode>
                <c:ptCount val="5"/>
                <c:pt idx="0">
                  <c:v>0.09</c:v>
                </c:pt>
                <c:pt idx="1">
                  <c:v>0.16</c:v>
                </c:pt>
                <c:pt idx="2">
                  <c:v>0.05</c:v>
                </c:pt>
                <c:pt idx="3">
                  <c:v>0.19</c:v>
                </c:pt>
                <c:pt idx="4">
                  <c:v>0.41</c:v>
                </c:pt>
              </c:numCache>
            </c:numRef>
          </c:val>
          <c:extLst>
            <c:ext xmlns:c16="http://schemas.microsoft.com/office/drawing/2014/chart" uri="{C3380CC4-5D6E-409C-BE32-E72D297353CC}">
              <c16:uniqueId val="{00000000-5004-4BE9-ADA1-EDC9E1E65967}"/>
            </c:ext>
          </c:extLst>
        </c:ser>
        <c:dLbls>
          <c:showLegendKey val="0"/>
          <c:showVal val="0"/>
          <c:showCatName val="0"/>
          <c:showSerName val="0"/>
          <c:showPercent val="0"/>
          <c:showBubbleSize val="0"/>
        </c:dLbls>
        <c:gapWidth val="150"/>
        <c:shape val="box"/>
        <c:axId val="466283952"/>
        <c:axId val="466285912"/>
        <c:axId val="0"/>
      </c:bar3DChart>
      <c:catAx>
        <c:axId val="46628395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6285912"/>
        <c:crosses val="autoZero"/>
        <c:auto val="1"/>
        <c:lblAlgn val="ctr"/>
        <c:lblOffset val="100"/>
        <c:noMultiLvlLbl val="0"/>
      </c:catAx>
      <c:valAx>
        <c:axId val="466285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62839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cap="all" spc="0" baseline="0">
                <a:gradFill>
                  <a:gsLst>
                    <a:gs pos="0">
                      <a:schemeClr val="dk1">
                        <a:lumMod val="50000"/>
                        <a:lumOff val="50000"/>
                      </a:schemeClr>
                    </a:gs>
                    <a:gs pos="100000">
                      <a:schemeClr val="dk1">
                        <a:lumMod val="85000"/>
                        <a:lumOff val="15000"/>
                      </a:schemeClr>
                    </a:gs>
                  </a:gsLst>
                  <a:lin ang="5400000" scaled="0"/>
                </a:gradFill>
                <a:latin typeface="+mn-lt"/>
                <a:ea typeface="+mn-ea"/>
                <a:cs typeface="+mn-cs"/>
              </a:defRPr>
            </a:pPr>
            <a:r>
              <a:rPr lang="en-US"/>
              <a:t>Earnings Per Share (EPS)</a:t>
            </a:r>
          </a:p>
        </c:rich>
      </c:tx>
      <c:overlay val="0"/>
      <c:spPr>
        <a:noFill/>
        <a:ln>
          <a:noFill/>
        </a:ln>
        <a:effectLst/>
      </c:spPr>
      <c:txPr>
        <a:bodyPr rot="0" spcFirstLastPara="1" vertOverflow="ellipsis" vert="horz" wrap="square" anchor="ctr" anchorCtr="1"/>
        <a:lstStyle/>
        <a:p>
          <a:pPr>
            <a:defRPr sz="1440" b="0" i="0" u="none" strike="noStrike" kern="1200" cap="all" spc="0" baseline="0">
              <a:gradFill>
                <a:gsLst>
                  <a:gs pos="0">
                    <a:schemeClr val="dk1">
                      <a:lumMod val="50000"/>
                      <a:lumOff val="50000"/>
                    </a:schemeClr>
                  </a:gs>
                  <a:gs pos="100000">
                    <a:schemeClr val="dk1">
                      <a:lumMod val="85000"/>
                      <a:lumOff val="15000"/>
                    </a:schemeClr>
                  </a:gs>
                </a:gsLst>
                <a:lin ang="5400000" scaled="0"/>
              </a:gradFill>
              <a:latin typeface="+mn-lt"/>
              <a:ea typeface="+mn-ea"/>
              <a:cs typeface="+mn-cs"/>
            </a:defRPr>
          </a:pPr>
          <a:endParaRPr lang="en-US"/>
        </a:p>
      </c:txPr>
    </c:title>
    <c:autoTitleDeleted val="0"/>
    <c:plotArea>
      <c:layout/>
      <c:lineChart>
        <c:grouping val="standard"/>
        <c:varyColors val="0"/>
        <c:ser>
          <c:idx val="0"/>
          <c:order val="0"/>
          <c:spPr>
            <a:ln w="19050" cap="rnd" cmpd="sng" algn="ctr">
              <a:solidFill>
                <a:schemeClr val="accent1">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'E:\my works\18.12.2025\New folder (2)\[TX 7285 (LCMB7002 Financial Management) (1).xlsx]Sheet6'!$E$4:$I$4</c:f>
              <c:numCache>
                <c:formatCode>General</c:formatCode>
                <c:ptCount val="5"/>
                <c:pt idx="0">
                  <c:v>2024</c:v>
                </c:pt>
                <c:pt idx="1">
                  <c:v>2023</c:v>
                </c:pt>
                <c:pt idx="2">
                  <c:v>2022</c:v>
                </c:pt>
                <c:pt idx="3">
                  <c:v>2021</c:v>
                </c:pt>
                <c:pt idx="4">
                  <c:v>2020</c:v>
                </c:pt>
              </c:numCache>
            </c:numRef>
          </c:cat>
          <c:val>
            <c:numRef>
              <c:f>'E:\my works\18.12.2025\New folder (2)\[TX 7285 (LCMB7002 Financial Management) (1).xlsx]Sheet6'!$E$5:$I$5</c:f>
              <c:numCache>
                <c:formatCode>General</c:formatCode>
                <c:ptCount val="5"/>
                <c:pt idx="0">
                  <c:v>-1.85</c:v>
                </c:pt>
                <c:pt idx="1">
                  <c:v>-7.64</c:v>
                </c:pt>
                <c:pt idx="2">
                  <c:v>0.03</c:v>
                </c:pt>
                <c:pt idx="3">
                  <c:v>0.39</c:v>
                </c:pt>
                <c:pt idx="4">
                  <c:v>2.78</c:v>
                </c:pt>
              </c:numCache>
            </c:numRef>
          </c:val>
          <c:smooth val="0"/>
          <c:extLst>
            <c:ext xmlns:c16="http://schemas.microsoft.com/office/drawing/2014/chart" uri="{C3380CC4-5D6E-409C-BE32-E72D297353CC}">
              <c16:uniqueId val="{00000000-125A-44E1-872A-ED7B9A348550}"/>
            </c:ext>
          </c:extLst>
        </c:ser>
        <c:dLbls>
          <c:dLblPos val="ctr"/>
          <c:showLegendKey val="0"/>
          <c:showVal val="1"/>
          <c:showCatName val="0"/>
          <c:showSerName val="0"/>
          <c:showPercent val="0"/>
          <c:showBubbleSize val="0"/>
        </c:dLbls>
        <c:marker val="1"/>
        <c:smooth val="0"/>
        <c:axId val="466286696"/>
        <c:axId val="466286304"/>
      </c:lineChart>
      <c:catAx>
        <c:axId val="466286696"/>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dk1">
                    <a:lumMod val="65000"/>
                    <a:lumOff val="35000"/>
                  </a:schemeClr>
                </a:solidFill>
                <a:latin typeface="+mn-lt"/>
                <a:ea typeface="+mn-ea"/>
                <a:cs typeface="+mn-cs"/>
              </a:defRPr>
            </a:pPr>
            <a:endParaRPr lang="en-US"/>
          </a:p>
        </c:txPr>
        <c:crossAx val="466286304"/>
        <c:crosses val="autoZero"/>
        <c:auto val="1"/>
        <c:lblAlgn val="ctr"/>
        <c:lblOffset val="100"/>
        <c:noMultiLvlLbl val="0"/>
      </c:catAx>
      <c:valAx>
        <c:axId val="466286304"/>
        <c:scaling>
          <c:orientation val="minMax"/>
        </c:scaling>
        <c:delete val="1"/>
        <c:axPos val="l"/>
        <c:numFmt formatCode="General" sourceLinked="1"/>
        <c:majorTickMark val="none"/>
        <c:minorTickMark val="none"/>
        <c:tickLblPos val="nextTo"/>
        <c:crossAx val="466286696"/>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solidFill>
        <a:schemeClr val="lt1"/>
      </a:solidFill>
      <a:sp3d/>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4.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5.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34">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1000" kern="120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cs:styleClr val="auto"/>
    </cs:fontRef>
    <cs:spPr/>
    <cs:defRPr sz="900" b="1" i="0" u="none" strike="noStrike" kern="1200" baseline="0"/>
  </cs:dataLabel>
  <cs:dataLabelCallout>
    <cs:lnRef idx="0"/>
    <cs:fillRef idx="0"/>
    <cs:effectRef idx="0"/>
    <cs:fontRef idx="minor">
      <a:schemeClr val="dk1">
        <a:lumMod val="65000"/>
        <a:lumOff val="35000"/>
      </a:schemeClr>
    </cs:fontRef>
    <cs:spPr>
      <a:solidFill>
        <a:schemeClr val="lt1"/>
      </a:solidFill>
      <a:ln w="9575">
        <a:solidFill>
          <a:schemeClr val="lt1">
            <a:lumMod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19050" cap="rnd" cmpd="sng" algn="ctr">
        <a:solidFill>
          <a:schemeClr val="phClr">
            <a:shade val="95000"/>
            <a:satMod val="105000"/>
          </a:schemeClr>
        </a:solidFill>
        <a:round/>
      </a:ln>
    </cs:spPr>
  </cs:dataPointLine>
  <cs:dataPointMarker>
    <cs:lnRef idx="0"/>
    <cs:fillRef idx="0"/>
    <cs:effectRef idx="0"/>
    <cs:fontRef idx="minor">
      <a:schemeClr val="dk1"/>
    </cs:fontRef>
    <cs:spPr>
      <a:solidFill>
        <a:schemeClr val="lt1"/>
      </a:solidFill>
    </cs:spPr>
  </cs:dataPointMarker>
  <cs:dataPointMarkerLayout symbol="circle" size="17"/>
  <cs:dataPointWireframe>
    <cs:lnRef idx="0">
      <cs:styleClr val="auto"/>
    </cs:lnRef>
    <cs:fillRef idx="1"/>
    <cs:effectRef idx="0"/>
    <cs:fontRef idx="minor">
      <a:schemeClr val="dk1"/>
    </cs:fontRef>
    <cs:spPr>
      <a:ln w="9525">
        <a:solidFill>
          <a:schemeClr val="phClr"/>
        </a:solidFill>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35000"/>
            <a:lumOff val="65000"/>
          </a:schemeClr>
        </a:solidFill>
      </a:ln>
    </cs:spPr>
  </cs:dropLine>
  <cs:errorBar>
    <cs:lnRef idx="0"/>
    <cs:fillRef idx="0"/>
    <cs:effectRef idx="0"/>
    <cs:fontRef idx="minor">
      <a:schemeClr val="dk1"/>
    </cs:fontRef>
    <cs:spPr>
      <a:ln w="9525">
        <a:solidFill>
          <a:schemeClr val="dk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ln>
    </cs:spPr>
  </cs:seriesLine>
  <cs:title>
    <cs:lnRef idx="0"/>
    <cs:fillRef idx="0"/>
    <cs:effectRef idx="0"/>
    <cs:fontRef idx="minor">
      <a:schemeClr val="dk1"/>
    </cs:fontRef>
    <cs:defRPr sz="1440" b="0" kern="1200" cap="all" spc="0" baseline="0">
      <a:gradFill>
        <a:gsLst>
          <a:gs pos="0">
            <a:schemeClr val="dk1">
              <a:lumMod val="50000"/>
              <a:lumOff val="50000"/>
            </a:schemeClr>
          </a:gs>
          <a:gs pos="100000">
            <a:schemeClr val="dk1">
              <a:lumMod val="85000"/>
              <a:lumOff val="15000"/>
            </a:schemeClr>
          </a:gs>
        </a:gsLst>
        <a:lin ang="5400000" scaled="0"/>
      </a:gradFill>
    </cs:defRPr>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6DCB02-41A0-45B6-BB3C-9F3B5D1119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7281</Words>
  <Characters>41502</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2025-12-20T10:57:00Z</dcterms:created>
  <dcterms:modified xsi:type="dcterms:W3CDTF">2025-12-20T10:57:00Z</dcterms:modified>
</cp:coreProperties>
</file>