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8ABB89C" w:rsidP="008B0FBB" w:rsidRDefault="28ABB89C" w14:paraId="36E757C4" w14:textId="1B1FB8E0">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28ABB89C">
        <w:drawing>
          <wp:inline wp14:editId="58D0CE28" wp14:anchorId="7DEE9449">
            <wp:extent cx="2171700" cy="2209800"/>
            <wp:effectExtent l="0" t="0" r="0" b="0"/>
            <wp:docPr id="334159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4159538" name="Picture 334159538"/>
                    <pic:cNvPicPr/>
                  </pic:nvPicPr>
                  <pic:blipFill>
                    <a:blip xmlns:r="http://schemas.openxmlformats.org/officeDocument/2006/relationships" r:embed="rId69866542">
                      <a:extLst>
                        <a:ext uri="{28A0092B-C50C-407E-A947-70E740481C1C}">
                          <a14:useLocalDpi xmlns:a14="http://schemas.microsoft.com/office/drawing/2010/main"/>
                        </a:ext>
                      </a:extLst>
                    </a:blip>
                    <a:stretch>
                      <a:fillRect/>
                    </a:stretch>
                  </pic:blipFill>
                  <pic:spPr>
                    <a:xfrm>
                      <a:off x="0" y="0"/>
                      <a:ext cx="2171700" cy="2209800"/>
                    </a:xfrm>
                    <a:prstGeom prst="rect">
                      <a:avLst/>
                    </a:prstGeom>
                  </pic:spPr>
                </pic:pic>
              </a:graphicData>
            </a:graphic>
          </wp:inline>
        </w:drawing>
      </w:r>
    </w:p>
    <w:p w:rsidR="008B0FBB" w:rsidP="008B0FBB" w:rsidRDefault="008B0FBB" w14:paraId="1EE50C3D" w14:textId="2697CB85">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28ABB89C" w:rsidP="008B0FBB" w:rsidRDefault="28ABB89C" w14:paraId="69E1182D" w14:textId="2E7C55FE">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08B0FBB" w:rsidR="28ABB89C">
        <w:rPr>
          <w:rFonts w:ascii="Arial" w:hAnsi="Arial" w:eastAsia="Arial" w:cs="Arial"/>
          <w:b w:val="0"/>
          <w:bCs w:val="0"/>
          <w:i w:val="0"/>
          <w:iCs w:val="0"/>
          <w:caps w:val="0"/>
          <w:smallCaps w:val="0"/>
          <w:noProof w:val="0"/>
          <w:color w:val="000000" w:themeColor="text1" w:themeTint="FF" w:themeShade="FF"/>
          <w:sz w:val="40"/>
          <w:szCs w:val="40"/>
          <w:lang w:val="en-GB"/>
        </w:rPr>
        <w:t>UNIVERSITY OF WALES TRINITY SAINT DAVID – LCLM 6005 – INDEPENDENT PROJECT – BA (HONS) LEADERSHIP AND MANAGEMENT SKILLS FOR THE WORKPLACE</w:t>
      </w:r>
      <w:r w:rsidRPr="008B0FBB" w:rsidR="1CE1D0CD">
        <w:rPr>
          <w:rFonts w:ascii="Arial" w:hAnsi="Arial" w:eastAsia="Arial" w:cs="Arial"/>
          <w:b w:val="0"/>
          <w:bCs w:val="0"/>
          <w:i w:val="0"/>
          <w:iCs w:val="0"/>
          <w:caps w:val="0"/>
          <w:smallCaps w:val="0"/>
          <w:noProof w:val="0"/>
          <w:color w:val="000000" w:themeColor="text1" w:themeTint="FF" w:themeShade="FF"/>
          <w:sz w:val="40"/>
          <w:szCs w:val="40"/>
          <w:lang w:val="en-GB"/>
        </w:rPr>
        <w:t xml:space="preserve"> – COMPONENT </w:t>
      </w:r>
      <w:r w:rsidRPr="008B0FBB" w:rsidR="5E3ADB4E">
        <w:rPr>
          <w:rFonts w:ascii="Arial" w:hAnsi="Arial" w:eastAsia="Arial" w:cs="Arial"/>
          <w:b w:val="0"/>
          <w:bCs w:val="0"/>
          <w:i w:val="0"/>
          <w:iCs w:val="0"/>
          <w:caps w:val="0"/>
          <w:smallCaps w:val="0"/>
          <w:noProof w:val="0"/>
          <w:color w:val="000000" w:themeColor="text1" w:themeTint="FF" w:themeShade="FF"/>
          <w:sz w:val="40"/>
          <w:szCs w:val="40"/>
          <w:lang w:val="en-GB"/>
        </w:rPr>
        <w:t>2</w:t>
      </w:r>
    </w:p>
    <w:p w:rsidR="008B0FBB" w:rsidP="008B0FBB" w:rsidRDefault="008B0FBB" w14:paraId="75BCAE6F" w14:textId="60DCE583">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28ABB89C" w:rsidP="008B0FBB" w:rsidRDefault="28ABB89C" w14:paraId="2C3F8241" w14:textId="42EE5CE5">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08B0FBB" w:rsidR="28ABB89C">
        <w:rPr>
          <w:rFonts w:ascii="Arial" w:hAnsi="Arial" w:eastAsia="Arial" w:cs="Arial"/>
          <w:b w:val="0"/>
          <w:bCs w:val="0"/>
          <w:i w:val="0"/>
          <w:iCs w:val="0"/>
          <w:caps w:val="0"/>
          <w:smallCaps w:val="0"/>
          <w:noProof w:val="0"/>
          <w:color w:val="000000" w:themeColor="text1" w:themeTint="FF" w:themeShade="FF"/>
          <w:sz w:val="40"/>
          <w:szCs w:val="40"/>
          <w:lang w:val="en-GB"/>
        </w:rPr>
        <w:t>STUDENT NAME: REMUS-EDUARD RADU</w:t>
      </w:r>
    </w:p>
    <w:p w:rsidR="008B0FBB" w:rsidP="008B0FBB" w:rsidRDefault="008B0FBB" w14:paraId="2FCC4256" w14:textId="1C702C6C">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28ABB89C" w:rsidP="008B0FBB" w:rsidRDefault="28ABB89C" w14:paraId="7FA22392" w14:textId="1BB0FA78">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08B0FBB" w:rsidR="28ABB89C">
        <w:rPr>
          <w:rFonts w:ascii="Arial" w:hAnsi="Arial" w:eastAsia="Arial" w:cs="Arial"/>
          <w:b w:val="0"/>
          <w:bCs w:val="0"/>
          <w:i w:val="0"/>
          <w:iCs w:val="0"/>
          <w:caps w:val="0"/>
          <w:smallCaps w:val="0"/>
          <w:noProof w:val="0"/>
          <w:color w:val="000000" w:themeColor="text1" w:themeTint="FF" w:themeShade="FF"/>
          <w:sz w:val="40"/>
          <w:szCs w:val="40"/>
          <w:lang w:val="en-GB"/>
        </w:rPr>
        <w:t>STUDENT NO.: 2312045</w:t>
      </w:r>
    </w:p>
    <w:p w:rsidR="008B0FBB" w:rsidP="008B0FBB" w:rsidRDefault="008B0FBB" w14:paraId="10A18B72" w14:textId="04D5E393">
      <w:pPr>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28ABB89C" w:rsidP="008B0FBB" w:rsidRDefault="28ABB89C" w14:paraId="0A97BD80" w14:textId="3DE09AF1">
      <w:pPr>
        <w:spacing w:before="0" w:beforeAutospacing="off" w:after="5" w:afterAutospacing="off" w:line="360" w:lineRule="auto"/>
        <w:ind w:left="-5" w:right="39" w:hanging="10"/>
        <w:jc w:val="center"/>
      </w:pPr>
      <w:r w:rsidRPr="008B0FBB" w:rsidR="28ABB89C">
        <w:rPr>
          <w:rFonts w:ascii="Arial" w:hAnsi="Arial" w:eastAsia="Arial" w:cs="Arial"/>
          <w:b w:val="0"/>
          <w:bCs w:val="0"/>
          <w:i w:val="0"/>
          <w:iCs w:val="0"/>
          <w:caps w:val="0"/>
          <w:smallCaps w:val="0"/>
          <w:noProof w:val="0"/>
          <w:color w:val="000000" w:themeColor="text1" w:themeTint="FF" w:themeShade="FF"/>
          <w:sz w:val="40"/>
          <w:szCs w:val="40"/>
          <w:lang w:val="en-GB"/>
        </w:rPr>
        <w:t>SUPERVISOR: DR. MAZEN JOUREIH</w:t>
      </w:r>
    </w:p>
    <w:p w:rsidR="008B0FBB" w:rsidRDefault="008B0FBB" w14:paraId="5C79D51A" w14:textId="3E39D4F7">
      <w:r>
        <w:br w:type="page"/>
      </w:r>
    </w:p>
    <w:p w:rsidR="179E6122" w:rsidP="008B0FBB" w:rsidRDefault="179E6122" w14:paraId="7F0CCBC2" w14:textId="41A3D4BC">
      <w:pPr>
        <w:pStyle w:val="Normal"/>
        <w:jc w:val="center"/>
        <w:rPr>
          <w:noProof w:val="0"/>
          <w:sz w:val="32"/>
          <w:szCs w:val="32"/>
          <w:lang w:val="en-GB"/>
        </w:rPr>
      </w:pPr>
      <w:r w:rsidRPr="008B0FBB" w:rsidR="179E6122">
        <w:rPr>
          <w:noProof w:val="0"/>
          <w:sz w:val="32"/>
          <w:szCs w:val="32"/>
          <w:lang w:val="en-GB"/>
        </w:rPr>
        <w:t>Reflective Essay: Balancing Automation and Customer Trust in Banking</w:t>
      </w:r>
    </w:p>
    <w:p w:rsidR="008B0FBB" w:rsidP="008B0FBB" w:rsidRDefault="008B0FBB" w14:paraId="67EEF33D" w14:textId="437DB4D9">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39760807" w14:textId="3AF91082">
      <w:pPr>
        <w:pStyle w:val="Normal"/>
        <w:spacing w:before="0" w:beforeAutospacing="off" w:after="5" w:afterAutospacing="off" w:line="360" w:lineRule="auto"/>
        <w:ind w:left="-5" w:right="39" w:hanging="10"/>
        <w:jc w:val="left"/>
      </w:pPr>
      <w:r w:rsidRPr="008B0FBB" w:rsidR="179E6122">
        <w:rPr>
          <w:rStyle w:val="Heading2Char"/>
          <w:noProof w:val="0"/>
          <w:lang w:val="en-GB"/>
        </w:rPr>
        <w:t>Description</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This dissertation investigated how banks can balance automation adoption with maintaining customer trust during digital transformation. I conducted a qualitative study based entirely on secondary data, drawing on academic literature, industry reports and regulatory documents. Using an interpretivist philosophy and an inductive approach, I carried out a thematic analysis to identify key patterns and develop recommendations. The research focused on three questions: how automation improves banking services, how banks are adopting automation, and how automation affects customer trust.</w:t>
      </w:r>
    </w:p>
    <w:p w:rsidR="008B0FBB" w:rsidP="008B0FBB" w:rsidRDefault="008B0FBB" w14:paraId="7395E9DF" w14:textId="2ADE4D37">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12FD01DA" w14:textId="29F4BA22">
      <w:pPr>
        <w:pStyle w:val="Normal"/>
        <w:spacing w:before="0" w:beforeAutospacing="off" w:after="5" w:afterAutospacing="off" w:line="360" w:lineRule="auto"/>
        <w:ind w:left="-5" w:right="39" w:hanging="10"/>
        <w:jc w:val="left"/>
      </w:pPr>
      <w:r w:rsidRPr="008B0FBB" w:rsidR="179E6122">
        <w:rPr>
          <w:rStyle w:val="Heading2Char"/>
          <w:noProof w:val="0"/>
          <w:lang w:val="en-GB"/>
        </w:rPr>
        <w:t>Feelings</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Initially, I felt overwhelmed by the volume of literature and the complexity of the topic. I was uncertain whether I could synthesise such diverse material into a coherent argument. As I progressed, I experienced moments of frustration when sources presented contradictory findings, but also satisfaction when recurring themes began to emerge. I felt particularly encouraged by the guidance of my supervisors, who helped me refine my focus and stay on track.</w:t>
      </w:r>
    </w:p>
    <w:p w:rsidR="008B0FBB" w:rsidP="008B0FBB" w:rsidRDefault="008B0FBB" w14:paraId="17684EF0" w14:textId="3ACB9986">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1E8859AE" w14:textId="6B00350F">
      <w:pPr>
        <w:pStyle w:val="Normal"/>
        <w:spacing w:before="0" w:beforeAutospacing="off" w:after="5" w:afterAutospacing="off" w:line="360" w:lineRule="auto"/>
        <w:ind w:left="-5" w:right="39" w:hanging="10"/>
        <w:jc w:val="left"/>
      </w:pPr>
      <w:r w:rsidRPr="008B0FBB" w:rsidR="179E6122">
        <w:rPr>
          <w:rStyle w:val="Heading2Char"/>
          <w:noProof w:val="0"/>
          <w:lang w:val="en-GB"/>
        </w:rPr>
        <w:t>Evaluation</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The good aspects of the experience included developing a deeper understanding of qualitative research methods, especially thematic analysis (Braun and Clarke, 2006), and learning to apply an interpretivist lens to a real-world business problem. The use of secondary data allowed me to access a wide range of high-quality sources without the ethical and logistical challenges of primary data collection. However, I also recognise that relying solely on published material meant that I may have missed practical insights that are not documented in academic or industry publications. Additionally, I occasionally struggled to maintain a clear thread when so many interrelated concepts were under discussion.</w:t>
      </w:r>
    </w:p>
    <w:p w:rsidR="008B0FBB" w:rsidP="008B0FBB" w:rsidRDefault="008B0FBB" w14:paraId="31760A83" w14:textId="6C53E85E">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2EDC59F6" w14:textId="5E1E9178">
      <w:pPr>
        <w:pStyle w:val="Normal"/>
        <w:spacing w:before="0" w:beforeAutospacing="off" w:after="5" w:afterAutospacing="off" w:line="360" w:lineRule="auto"/>
        <w:ind w:left="-5" w:right="39" w:hanging="10"/>
        <w:jc w:val="left"/>
      </w:pPr>
      <w:r w:rsidRPr="008B0FBB" w:rsidR="179E6122">
        <w:rPr>
          <w:rStyle w:val="Heading2Char"/>
          <w:noProof w:val="0"/>
          <w:lang w:val="en-GB"/>
        </w:rPr>
        <w:t>Analysis</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Theoretically, I came to appreciate that research design choices are not merely technical but philosophical. Adopting an interpretivist stance meant that I viewed trust not as a measurable variable but as a socially constructed phenomenon shaped by perception and context (Saunders et al., 2019). This helped me make sense of why transparency and human touch appear repeatedly in the literature as key trust determinants. The thematic analysis process, while time-consuming, forced me to engage deeply with the data and to move beyond simple description towards genuine synthesis. I also realised that my initial plan to conduct a systematic literature review evolved into a broader qualitative design, which was more appropriate given the exploratory nature of the research question.</w:t>
      </w:r>
    </w:p>
    <w:p w:rsidR="008B0FBB" w:rsidP="008B0FBB" w:rsidRDefault="008B0FBB" w14:paraId="5CA8AC64" w14:textId="1739DDB1">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2A323C43" w14:textId="22E7A437">
      <w:pPr>
        <w:pStyle w:val="Normal"/>
        <w:spacing w:before="0" w:beforeAutospacing="off" w:after="5" w:afterAutospacing="off" w:line="360" w:lineRule="auto"/>
        <w:ind w:left="-5" w:right="39" w:hanging="10"/>
        <w:jc w:val="left"/>
      </w:pPr>
      <w:r w:rsidRPr="008B0FBB" w:rsidR="179E6122">
        <w:rPr>
          <w:rStyle w:val="Heading2Char"/>
          <w:noProof w:val="0"/>
          <w:lang w:val="en-GB"/>
        </w:rPr>
        <w:t>Conclusion</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I have learned that qualitative secondary research requires as much rigour as any empirical study. The success of such a project depends on careful source selection, transparent coding and a willingness to let themes emerge rather than imposing them prematurely. I also discovered that an inductive approach, while challenging, can produce richer insights than a purely deductive framework. I now understand that trust in automated banking is not a simple trade-off but a design principle that must be embedded across strategy, technology and customer communication.</w:t>
      </w:r>
    </w:p>
    <w:p w:rsidR="008B0FBB" w:rsidP="008B0FBB" w:rsidRDefault="008B0FBB" w14:paraId="1A139A05" w14:textId="6DBB6B35">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78061EA0" w14:textId="3813242A">
      <w:pPr>
        <w:pStyle w:val="Normal"/>
        <w:spacing w:before="0" w:beforeAutospacing="off" w:after="5" w:afterAutospacing="off" w:line="360" w:lineRule="auto"/>
        <w:ind w:left="-5" w:right="39" w:hanging="10"/>
        <w:jc w:val="left"/>
      </w:pPr>
      <w:r w:rsidRPr="008B0FBB" w:rsidR="179E6122">
        <w:rPr>
          <w:rStyle w:val="Heading2Char"/>
          <w:noProof w:val="0"/>
          <w:lang w:val="en-GB"/>
        </w:rPr>
        <w:t>Action Plan</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In future research, I would strengthen the study by incorporating a comparative element, perhaps contrasting different regulatory environments, to increase the generalisability of findings. I would also seek to include more grey literature, such as internal bank reports, if access could be arranged, to complement academic sources. I plan to continue developing my qualitative analysis skills, particularly in reflexive thematic analysis, and to apply these skills in a professional context where understanding customer trust is essential to digital strategy.</w:t>
      </w:r>
    </w:p>
    <w:p w:rsidR="008B0FBB" w:rsidP="008B0FBB" w:rsidRDefault="008B0FBB" w14:paraId="7167091D" w14:textId="7575C41B">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79E6122" w:rsidP="008B0FBB" w:rsidRDefault="179E6122" w14:paraId="7F549655" w14:textId="2166580F">
      <w:pPr>
        <w:pStyle w:val="Normal"/>
        <w:spacing w:before="0" w:beforeAutospacing="off" w:after="5" w:afterAutospacing="off" w:line="360"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8B0FBB" w:rsidR="179E6122">
        <w:rPr>
          <w:rStyle w:val="Heading2Char"/>
          <w:noProof w:val="0"/>
          <w:lang w:val="en-GB"/>
        </w:rPr>
        <w:t>References</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Braun, V. and Clarke, V. (2006) ‘Using thematic analysis in psychology’, Qualitative Research in Psychology, 3(2), pp. 77–101.</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Gibbs, G. (1988) Learning by Doing: A Guide to Teaching and Learning Methods. Oxford: Further Education Unit, Oxford Polytechnic.</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Saunders, M., Lewis, P. and Thornhill, A. (2019) Research Methods for Business Students. 8th edn. Harlow: Pearson.</w:t>
      </w:r>
      <w:r>
        <w:br/>
      </w:r>
      <w:r w:rsidRPr="008B0FBB" w:rsidR="179E6122">
        <w:rPr>
          <w:rFonts w:ascii="Arial" w:hAnsi="Arial" w:eastAsia="Arial" w:cs="Arial"/>
          <w:b w:val="0"/>
          <w:bCs w:val="0"/>
          <w:i w:val="0"/>
          <w:iCs w:val="0"/>
          <w:caps w:val="0"/>
          <w:smallCaps w:val="0"/>
          <w:noProof w:val="0"/>
          <w:color w:val="000000" w:themeColor="text1" w:themeTint="FF" w:themeShade="FF"/>
          <w:sz w:val="22"/>
          <w:szCs w:val="22"/>
          <w:lang w:val="en-GB"/>
        </w:rPr>
        <w:t>Thomas, D. R. (2006) ‘A general inductive approach for analyzing qualitative evaluation data’, American Journal of Evaluation, 27(2), pp. 237–246.</w:t>
      </w:r>
    </w:p>
    <w:p w:rsidR="008B0FBB" w:rsidP="008B0FBB" w:rsidRDefault="008B0FBB" w14:paraId="3B97FE32" w14:textId="28A50576">
      <w:pPr>
        <w:pStyle w:val="Normal"/>
        <w:spacing w:before="0" w:beforeAutospacing="off" w:after="5" w:afterAutospacing="off" w:line="360" w:lineRule="auto"/>
        <w:ind w:left="-5" w:right="39" w:hanging="10"/>
        <w:jc w:val="center"/>
        <w:rPr>
          <w:rFonts w:ascii="Arial" w:hAnsi="Arial" w:eastAsia="Arial" w:cs="Arial"/>
          <w:b w:val="0"/>
          <w:bCs w:val="0"/>
          <w:i w:val="0"/>
          <w:iCs w:val="0"/>
          <w:caps w:val="0"/>
          <w:smallCaps w:val="0"/>
          <w:noProof w:val="0"/>
          <w:color w:val="000000" w:themeColor="text1" w:themeTint="FF" w:themeShade="FF"/>
          <w:sz w:val="40"/>
          <w:szCs w:val="4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3A2167"/>
    <w:rsid w:val="008B0FBB"/>
    <w:rsid w:val="043A2167"/>
    <w:rsid w:val="179E6122"/>
    <w:rsid w:val="1CE1D0CD"/>
    <w:rsid w:val="28ABB89C"/>
    <w:rsid w:val="298D9D0B"/>
    <w:rsid w:val="32DEA310"/>
    <w:rsid w:val="4D876A24"/>
    <w:rsid w:val="4E9A57AE"/>
    <w:rsid w:val="4E9A57AE"/>
    <w:rsid w:val="5E3ADB4E"/>
    <w:rsid w:val="713260E6"/>
    <w:rsid w:val="7A0E3D3E"/>
    <w:rsid w:val="7B7E9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3A5B2"/>
  <w15:chartTrackingRefBased/>
  <w15:docId w15:val="{35001B5E-DD8F-499D-B1F1-45E654BEAC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rsid w:val="008B0FBB"/>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1">
    <w:uiPriority w:val="9"/>
    <w:name w:val="heading 1"/>
    <w:basedOn w:val="Normal"/>
    <w:next w:val="Normal"/>
    <w:qFormat/>
    <w:rsid w:val="008B0F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98665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Remus Eduard Radu (2312045)</dc:creator>
  <keywords/>
  <dc:description/>
  <lastModifiedBy>Remus Eduard Radu (2312045)</lastModifiedBy>
  <revision>2</revision>
  <dcterms:created xsi:type="dcterms:W3CDTF">2026-07-27T12:00:50.9964098Z</dcterms:created>
  <dcterms:modified xsi:type="dcterms:W3CDTF">2026-07-27T12:12:11.0530032Z</dcterms:modified>
</coreProperties>
</file>