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8533F" w14:textId="77777777" w:rsidR="008C0035" w:rsidRPr="008C0035" w:rsidRDefault="008C0035">
      <w:pPr>
        <w:rPr>
          <w:rFonts w:ascii="Arial" w:hAnsi="Arial" w:cs="Arial"/>
          <w:color w:val="181817"/>
          <w:sz w:val="22"/>
          <w:szCs w:val="22"/>
          <w:shd w:val="clear" w:color="auto" w:fill="FFFFFF"/>
        </w:rPr>
      </w:pPr>
      <w:r w:rsidRPr="008C0035">
        <w:rPr>
          <w:rFonts w:ascii="Arial" w:hAnsi="Arial" w:cs="Arial"/>
          <w:color w:val="181817"/>
          <w:sz w:val="22"/>
          <w:szCs w:val="22"/>
          <w:shd w:val="clear" w:color="auto" w:fill="FFFFFF"/>
        </w:rPr>
        <w:t>Briggs L, Lake AA. Exploring school and home food environments: perceptions of 8–10-year-olds and their parents in Newcastle upon Tyne, UK.</w:t>
      </w:r>
      <w:r w:rsidRPr="008C0035">
        <w:rPr>
          <w:rStyle w:val="apple-converted-space"/>
          <w:rFonts w:ascii="Arial" w:hAnsi="Arial" w:cs="Arial"/>
          <w:color w:val="181817"/>
          <w:sz w:val="22"/>
          <w:szCs w:val="22"/>
          <w:shd w:val="clear" w:color="auto" w:fill="FFFFFF"/>
        </w:rPr>
        <w:t> </w:t>
      </w:r>
      <w:r w:rsidRPr="008C0035">
        <w:rPr>
          <w:rFonts w:ascii="Arial" w:hAnsi="Arial" w:cs="Arial"/>
          <w:i/>
          <w:iCs/>
          <w:color w:val="181817"/>
          <w:sz w:val="22"/>
          <w:szCs w:val="22"/>
          <w:bdr w:val="none" w:sz="0" w:space="0" w:color="auto" w:frame="1"/>
        </w:rPr>
        <w:t>Public Health Nutrition</w:t>
      </w:r>
      <w:r w:rsidRPr="008C0035">
        <w:rPr>
          <w:rFonts w:ascii="Arial" w:hAnsi="Arial" w:cs="Arial"/>
          <w:color w:val="181817"/>
          <w:sz w:val="22"/>
          <w:szCs w:val="22"/>
          <w:shd w:val="clear" w:color="auto" w:fill="FFFFFF"/>
        </w:rPr>
        <w:t>. 2011;14(12):2227-2235. doi:10.1017/S1368980011001984</w:t>
      </w:r>
    </w:p>
    <w:p w14:paraId="1F449F6F" w14:textId="77777777" w:rsidR="008C0035" w:rsidRPr="008C0035" w:rsidRDefault="008C0035">
      <w:pPr>
        <w:rPr>
          <w:rFonts w:ascii="Arial" w:hAnsi="Arial" w:cs="Arial"/>
          <w:color w:val="181817"/>
          <w:sz w:val="22"/>
          <w:szCs w:val="22"/>
          <w:shd w:val="clear" w:color="auto" w:fill="FFFFFF"/>
        </w:rPr>
      </w:pPr>
    </w:p>
    <w:p w14:paraId="0ACE6D4F" w14:textId="77777777" w:rsidR="008C0035" w:rsidRPr="008C0035" w:rsidRDefault="008C0035" w:rsidP="008C003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C0035">
        <w:rPr>
          <w:rFonts w:ascii="Arial" w:hAnsi="Arial" w:cs="Arial"/>
          <w:color w:val="000000"/>
          <w:sz w:val="22"/>
          <w:szCs w:val="22"/>
        </w:rPr>
        <w:t>‌</w:t>
      </w:r>
      <w:proofErr w:type="spellStart"/>
      <w:r w:rsidRPr="008C0035">
        <w:rPr>
          <w:rFonts w:ascii="Arial" w:hAnsi="Arial" w:cs="Arial"/>
          <w:color w:val="FFFFFF" w:themeColor="background1"/>
          <w:sz w:val="22"/>
          <w:szCs w:val="22"/>
        </w:rPr>
        <w:t>capcochprimary</w:t>
      </w:r>
      <w:proofErr w:type="spellEnd"/>
      <w:r w:rsidRPr="008C0035">
        <w:rPr>
          <w:rFonts w:ascii="Arial" w:hAnsi="Arial" w:cs="Arial"/>
          <w:color w:val="FFFFFF" w:themeColor="background1"/>
          <w:sz w:val="22"/>
          <w:szCs w:val="22"/>
        </w:rPr>
        <w:t xml:space="preserve"> </w:t>
      </w:r>
      <w:r w:rsidRPr="008C0035">
        <w:rPr>
          <w:rFonts w:ascii="Arial" w:hAnsi="Arial" w:cs="Arial"/>
          <w:color w:val="000000"/>
          <w:sz w:val="22"/>
          <w:szCs w:val="22"/>
        </w:rPr>
        <w:t>(</w:t>
      </w:r>
      <w:r w:rsidRPr="008C0035">
        <w:rPr>
          <w:rFonts w:ascii="Arial" w:hAnsi="Arial" w:cs="Arial"/>
          <w:color w:val="000000"/>
          <w:sz w:val="22"/>
          <w:szCs w:val="22"/>
        </w:rPr>
        <w:t>2024</w:t>
      </w:r>
      <w:r w:rsidRPr="008C0035">
        <w:rPr>
          <w:rFonts w:ascii="Arial" w:hAnsi="Arial" w:cs="Arial"/>
          <w:color w:val="000000"/>
          <w:sz w:val="22"/>
          <w:szCs w:val="22"/>
        </w:rPr>
        <w:t>).</w:t>
      </w:r>
      <w:r w:rsidRPr="008C003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8C0035">
        <w:rPr>
          <w:rFonts w:ascii="Arial" w:hAnsi="Arial" w:cs="Arial"/>
          <w:i/>
          <w:iCs/>
          <w:color w:val="000000"/>
          <w:sz w:val="22"/>
          <w:szCs w:val="22"/>
        </w:rPr>
        <w:t xml:space="preserve">Home | </w:t>
      </w:r>
      <w:proofErr w:type="spellStart"/>
      <w:r w:rsidRPr="008C0035">
        <w:rPr>
          <w:rFonts w:ascii="Arial" w:hAnsi="Arial" w:cs="Arial"/>
          <w:i/>
          <w:iCs/>
          <w:color w:val="FFFFFF" w:themeColor="background1"/>
          <w:sz w:val="22"/>
          <w:szCs w:val="22"/>
        </w:rPr>
        <w:t>Capcoch</w:t>
      </w:r>
      <w:proofErr w:type="spellEnd"/>
      <w:r w:rsidRPr="008C0035">
        <w:rPr>
          <w:rFonts w:ascii="Arial" w:hAnsi="Arial" w:cs="Arial"/>
          <w:i/>
          <w:iCs/>
          <w:color w:val="FFFFFF" w:themeColor="background1"/>
          <w:sz w:val="22"/>
          <w:szCs w:val="22"/>
        </w:rPr>
        <w:t xml:space="preserve"> Primary School</w:t>
      </w:r>
      <w:r w:rsidRPr="008C0035">
        <w:rPr>
          <w:rFonts w:ascii="Arial" w:hAnsi="Arial" w:cs="Arial"/>
          <w:color w:val="000000"/>
          <w:sz w:val="22"/>
          <w:szCs w:val="22"/>
        </w:rPr>
        <w:t>. [online] Available at: https://www.</w:t>
      </w:r>
      <w:r w:rsidRPr="008C0035">
        <w:rPr>
          <w:rFonts w:ascii="Arial" w:hAnsi="Arial" w:cs="Arial"/>
          <w:color w:val="FFFFFF" w:themeColor="background1"/>
          <w:sz w:val="22"/>
          <w:szCs w:val="22"/>
        </w:rPr>
        <w:t>capcochprimary</w:t>
      </w:r>
      <w:r w:rsidRPr="008C0035">
        <w:rPr>
          <w:rFonts w:ascii="Arial" w:hAnsi="Arial" w:cs="Arial"/>
          <w:color w:val="000000"/>
          <w:sz w:val="22"/>
          <w:szCs w:val="22"/>
        </w:rPr>
        <w:t>.co.uk [Accessed 11 Mar. 2024].</w:t>
      </w:r>
    </w:p>
    <w:p w14:paraId="3B7ED222" w14:textId="77777777" w:rsidR="008C0035" w:rsidRPr="008C0035" w:rsidRDefault="008C0035" w:rsidP="008C003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2C4425E0" w14:textId="77777777" w:rsidR="008C0035" w:rsidRPr="008C0035" w:rsidRDefault="008C0035" w:rsidP="008C003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C0035">
        <w:rPr>
          <w:rFonts w:ascii="Arial" w:hAnsi="Arial" w:cs="Arial"/>
          <w:color w:val="000000"/>
          <w:sz w:val="22"/>
          <w:szCs w:val="22"/>
        </w:rPr>
        <w:t xml:space="preserve">Dial. </w:t>
      </w:r>
      <w:proofErr w:type="gramStart"/>
      <w:r w:rsidRPr="008C0035">
        <w:rPr>
          <w:rFonts w:ascii="Arial" w:hAnsi="Arial" w:cs="Arial"/>
          <w:color w:val="000000"/>
          <w:sz w:val="22"/>
          <w:szCs w:val="22"/>
        </w:rPr>
        <w:t>B</w:t>
      </w:r>
      <w:r w:rsidRPr="008C0035">
        <w:rPr>
          <w:rFonts w:ascii="Arial" w:hAnsi="Arial" w:cs="Arial"/>
          <w:color w:val="000000"/>
          <w:sz w:val="22"/>
          <w:szCs w:val="22"/>
        </w:rPr>
        <w:t>(</w:t>
      </w:r>
      <w:proofErr w:type="gramEnd"/>
      <w:r w:rsidRPr="008C0035">
        <w:rPr>
          <w:rFonts w:ascii="Arial" w:hAnsi="Arial" w:cs="Arial"/>
          <w:color w:val="000000"/>
          <w:sz w:val="22"/>
          <w:szCs w:val="22"/>
        </w:rPr>
        <w:t>2018</w:t>
      </w:r>
      <w:r w:rsidRPr="008C0035">
        <w:rPr>
          <w:rFonts w:ascii="Arial" w:hAnsi="Arial" w:cs="Arial"/>
          <w:color w:val="000000"/>
          <w:sz w:val="22"/>
          <w:szCs w:val="22"/>
        </w:rPr>
        <w:t>).</w:t>
      </w:r>
      <w:r w:rsidRPr="008C003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r w:rsidRPr="008C0035">
        <w:rPr>
          <w:rFonts w:ascii="Arial" w:hAnsi="Arial" w:cs="Arial"/>
          <w:i/>
          <w:iCs/>
          <w:color w:val="000000"/>
          <w:sz w:val="22"/>
          <w:szCs w:val="22"/>
        </w:rPr>
        <w:t>Why Principals Should Stop Doing Teacher Observations</w:t>
      </w:r>
      <w:r w:rsidRPr="008C0035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4" w:history="1">
        <w:r w:rsidRPr="008C0035">
          <w:rPr>
            <w:rStyle w:val="Hyperlink"/>
            <w:rFonts w:ascii="Arial" w:hAnsi="Arial" w:cs="Arial"/>
            <w:sz w:val="22"/>
            <w:szCs w:val="22"/>
          </w:rPr>
          <w:t>https://www.linkedin.com/pulse/why-</w:t>
        </w:r>
        <w:r w:rsidRPr="008C0035">
          <w:rPr>
            <w:rStyle w:val="Hyperlink"/>
            <w:rFonts w:ascii="Arial" w:hAnsi="Arial" w:cs="Arial"/>
            <w:sz w:val="22"/>
            <w:szCs w:val="22"/>
          </w:rPr>
          <w:t>p</w:t>
        </w:r>
        <w:r w:rsidRPr="008C0035">
          <w:rPr>
            <w:rStyle w:val="Hyperlink"/>
            <w:rFonts w:ascii="Arial" w:hAnsi="Arial" w:cs="Arial"/>
            <w:sz w:val="22"/>
            <w:szCs w:val="22"/>
          </w:rPr>
          <w:t>rincipals-should-stop-doing-teacher-observations-ben-dial</w:t>
        </w:r>
      </w:hyperlink>
      <w:r w:rsidRPr="008C0035">
        <w:rPr>
          <w:rFonts w:ascii="Arial" w:hAnsi="Arial" w:cs="Arial"/>
          <w:color w:val="000000"/>
          <w:sz w:val="22"/>
          <w:szCs w:val="22"/>
        </w:rPr>
        <w:t>.</w:t>
      </w:r>
    </w:p>
    <w:p w14:paraId="283390F2" w14:textId="77777777" w:rsidR="008C0035" w:rsidRPr="008C0035" w:rsidRDefault="008C0035" w:rsidP="008C003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</w:p>
    <w:p w14:paraId="5719CD5C" w14:textId="39A326E9" w:rsidR="008C0035" w:rsidRPr="008C0035" w:rsidRDefault="008C0035" w:rsidP="008C0035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C003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C0035">
        <w:rPr>
          <w:rFonts w:ascii="Arial" w:hAnsi="Arial" w:cs="Arial"/>
          <w:color w:val="000000"/>
          <w:sz w:val="22"/>
          <w:szCs w:val="22"/>
        </w:rPr>
        <w:t xml:space="preserve">Healthy eating in schools A children and young people’s consultation. (n.d.). Available at: </w:t>
      </w:r>
      <w:hyperlink r:id="rId5" w:history="1">
        <w:r w:rsidRPr="008C0035">
          <w:rPr>
            <w:rStyle w:val="Hyperlink"/>
            <w:rFonts w:ascii="Arial" w:hAnsi="Arial" w:cs="Arial"/>
            <w:sz w:val="22"/>
            <w:szCs w:val="22"/>
          </w:rPr>
          <w:t>https://www.gov.wales/sites/default/files/consultations/2018-01/130131consultationchildfriendlyen.pdf</w:t>
        </w:r>
      </w:hyperlink>
    </w:p>
    <w:p w14:paraId="56638A92" w14:textId="12C7F2D0" w:rsidR="008C0035" w:rsidRPr="008C0035" w:rsidRDefault="008C0035" w:rsidP="008C0035">
      <w:pPr>
        <w:pStyle w:val="NormalWeb"/>
        <w:shd w:val="clear" w:color="auto" w:fill="FFFFFF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Leonard, J., 2011. Using Bronfenbrenner’s ecological theory to understand community partnerships: A historical case study of one urban high school.</w:t>
      </w:r>
      <w:r w:rsidRPr="008C0035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8C0035">
        <w:rPr>
          <w:rFonts w:ascii="Arial" w:hAnsi="Arial" w:cs="Arial"/>
          <w:i/>
          <w:iCs/>
          <w:color w:val="222222"/>
          <w:sz w:val="22"/>
          <w:szCs w:val="22"/>
        </w:rPr>
        <w:t>Urban education</w:t>
      </w:r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8C0035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8C0035">
        <w:rPr>
          <w:rFonts w:ascii="Arial" w:hAnsi="Arial" w:cs="Arial"/>
          <w:i/>
          <w:iCs/>
          <w:color w:val="222222"/>
          <w:sz w:val="22"/>
          <w:szCs w:val="22"/>
        </w:rPr>
        <w:t>46</w:t>
      </w:r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(5), pp.987-1010.</w:t>
      </w:r>
    </w:p>
    <w:p w14:paraId="06C64846" w14:textId="77777777" w:rsidR="008C0035" w:rsidRPr="008C0035" w:rsidRDefault="008C0035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proofErr w:type="spellStart"/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Nepper</w:t>
      </w:r>
      <w:proofErr w:type="spellEnd"/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, M.J. and Chai, W., 2016. Parents' barriers and strategies to promote healthy eating among school-age children.</w:t>
      </w:r>
      <w:r w:rsidRPr="008C0035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8C0035">
        <w:rPr>
          <w:rFonts w:ascii="Arial" w:hAnsi="Arial" w:cs="Arial"/>
          <w:i/>
          <w:iCs/>
          <w:color w:val="222222"/>
          <w:sz w:val="22"/>
          <w:szCs w:val="22"/>
        </w:rPr>
        <w:t>Appetite</w:t>
      </w:r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8C0035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8C0035">
        <w:rPr>
          <w:rFonts w:ascii="Arial" w:hAnsi="Arial" w:cs="Arial"/>
          <w:i/>
          <w:iCs/>
          <w:color w:val="222222"/>
          <w:sz w:val="22"/>
          <w:szCs w:val="22"/>
        </w:rPr>
        <w:t>103</w:t>
      </w:r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, pp.157-164.</w:t>
      </w:r>
    </w:p>
    <w:p w14:paraId="7FCF5AC6" w14:textId="77777777" w:rsidR="008C0035" w:rsidRPr="008C0035" w:rsidRDefault="008C0035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Taylor, J.P., Evers, S. and McKenna, M., 2005. Determinants of healthy eating in children and youth.</w:t>
      </w:r>
      <w:r w:rsidRPr="008C0035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8C0035">
        <w:rPr>
          <w:rFonts w:ascii="Arial" w:hAnsi="Arial" w:cs="Arial"/>
          <w:i/>
          <w:iCs/>
          <w:color w:val="222222"/>
          <w:sz w:val="22"/>
          <w:szCs w:val="22"/>
        </w:rPr>
        <w:t>Canadian Journal of Public Health</w:t>
      </w:r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,</w:t>
      </w:r>
      <w:r w:rsidRPr="008C0035">
        <w:rPr>
          <w:rStyle w:val="apple-converted-space"/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r w:rsidRPr="008C0035">
        <w:rPr>
          <w:rFonts w:ascii="Arial" w:hAnsi="Arial" w:cs="Arial"/>
          <w:i/>
          <w:iCs/>
          <w:color w:val="222222"/>
          <w:sz w:val="22"/>
          <w:szCs w:val="22"/>
        </w:rPr>
        <w:t>96</w:t>
      </w:r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proofErr w:type="spellStart"/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Suppl</w:t>
      </w:r>
      <w:proofErr w:type="spellEnd"/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3), </w:t>
      </w:r>
      <w:proofErr w:type="gramStart"/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pp.S</w:t>
      </w:r>
      <w:proofErr w:type="gramEnd"/>
      <w:r w:rsidRPr="008C0035">
        <w:rPr>
          <w:rFonts w:ascii="Arial" w:hAnsi="Arial" w:cs="Arial"/>
          <w:color w:val="222222"/>
          <w:sz w:val="22"/>
          <w:szCs w:val="22"/>
          <w:shd w:val="clear" w:color="auto" w:fill="FFFFFF"/>
        </w:rPr>
        <w:t>22-S29.</w:t>
      </w:r>
    </w:p>
    <w:p w14:paraId="67E13958" w14:textId="77777777" w:rsidR="008C0035" w:rsidRPr="008C0035" w:rsidRDefault="008C0035">
      <w:pPr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</w:p>
    <w:p w14:paraId="50DA6AB8" w14:textId="77777777" w:rsidR="008C0035" w:rsidRPr="008C0035" w:rsidRDefault="008C0035" w:rsidP="001906A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Arial" w:hAnsi="Arial" w:cs="Arial"/>
          <w:color w:val="000000"/>
          <w:sz w:val="22"/>
          <w:szCs w:val="22"/>
        </w:rPr>
      </w:pPr>
      <w:r w:rsidRPr="008C0035">
        <w:rPr>
          <w:rFonts w:ascii="Arial" w:hAnsi="Arial" w:cs="Arial"/>
          <w:color w:val="000000"/>
          <w:sz w:val="22"/>
          <w:szCs w:val="22"/>
        </w:rPr>
        <w:t>Welsh Government (2016).</w:t>
      </w:r>
      <w:r w:rsidRPr="008C0035">
        <w:rPr>
          <w:rStyle w:val="apple-converted-space"/>
          <w:rFonts w:ascii="Arial" w:hAnsi="Arial" w:cs="Arial"/>
          <w:color w:val="000000"/>
          <w:sz w:val="22"/>
          <w:szCs w:val="22"/>
        </w:rPr>
        <w:t> </w:t>
      </w:r>
      <w:proofErr w:type="spellStart"/>
      <w:r w:rsidRPr="008C0035">
        <w:rPr>
          <w:rFonts w:ascii="Arial" w:hAnsi="Arial" w:cs="Arial"/>
          <w:i/>
          <w:iCs/>
          <w:color w:val="000000"/>
          <w:sz w:val="22"/>
          <w:szCs w:val="22"/>
        </w:rPr>
        <w:t>FaCE</w:t>
      </w:r>
      <w:proofErr w:type="spellEnd"/>
      <w:r w:rsidRPr="008C0035">
        <w:rPr>
          <w:rFonts w:ascii="Arial" w:hAnsi="Arial" w:cs="Arial"/>
          <w:i/>
          <w:iCs/>
          <w:color w:val="000000"/>
          <w:sz w:val="22"/>
          <w:szCs w:val="22"/>
        </w:rPr>
        <w:t xml:space="preserve"> the challenge together: Family and community engagement toolkit for schools in Wales Main guidance Family and community engagement toolkit</w:t>
      </w:r>
      <w:r w:rsidRPr="008C0035">
        <w:rPr>
          <w:rFonts w:ascii="Arial" w:hAnsi="Arial" w:cs="Arial"/>
          <w:color w:val="000000"/>
          <w:sz w:val="22"/>
          <w:szCs w:val="22"/>
        </w:rPr>
        <w:t xml:space="preserve">. [online] Available at: </w:t>
      </w:r>
      <w:hyperlink r:id="rId6" w:history="1">
        <w:r w:rsidRPr="008C0035">
          <w:rPr>
            <w:rStyle w:val="Hyperlink"/>
            <w:rFonts w:ascii="Arial" w:hAnsi="Arial" w:cs="Arial"/>
            <w:sz w:val="22"/>
            <w:szCs w:val="22"/>
          </w:rPr>
          <w:t>https://www.gov.wales/sites/default/files/publications/2018-12/face-the-challenge-together-family-and-community-engagement-toolkit-for-schools-in-wales-main-guidance.pdf</w:t>
        </w:r>
      </w:hyperlink>
      <w:r w:rsidRPr="008C0035">
        <w:rPr>
          <w:rFonts w:ascii="Arial" w:hAnsi="Arial" w:cs="Arial"/>
          <w:color w:val="000000"/>
          <w:sz w:val="22"/>
          <w:szCs w:val="22"/>
        </w:rPr>
        <w:t>.</w:t>
      </w:r>
    </w:p>
    <w:p w14:paraId="32C74FFF" w14:textId="77777777" w:rsidR="008C0035" w:rsidRDefault="008C0035" w:rsidP="001906A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63CFA5F" w14:textId="77777777" w:rsidR="008C0035" w:rsidRDefault="008C0035" w:rsidP="001906A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Welsh government</w:t>
      </w:r>
      <w:r>
        <w:rPr>
          <w:rFonts w:ascii="Calibri" w:hAnsi="Calibri" w:cs="Calibri"/>
          <w:color w:val="000000"/>
          <w:sz w:val="27"/>
          <w:szCs w:val="27"/>
        </w:rPr>
        <w:t xml:space="preserve"> (2019).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‘Food and Fun’ School Holiday Enrichment Programme - WLGA</w:t>
      </w:r>
      <w:r>
        <w:rPr>
          <w:rFonts w:ascii="Calibri" w:hAnsi="Calibri" w:cs="Calibri"/>
          <w:color w:val="000000"/>
          <w:sz w:val="27"/>
          <w:szCs w:val="27"/>
        </w:rPr>
        <w:t>. [online] Available at: https://www.wlga.wales/food-and-fun-school-holiday-enrichment-programme.</w:t>
      </w:r>
    </w:p>
    <w:p w14:paraId="25624F58" w14:textId="7D3AAF93" w:rsidR="008C0035" w:rsidRDefault="008C0035" w:rsidP="008C0035">
      <w:pPr>
        <w:pStyle w:val="NormalWeb"/>
        <w:shd w:val="clear" w:color="auto" w:fill="FFFFFF"/>
        <w:rPr>
          <w:rFonts w:ascii="Calibri" w:hAnsi="Calibri" w:cs="Calibri"/>
          <w:color w:val="000000"/>
        </w:rPr>
      </w:pPr>
    </w:p>
    <w:p w14:paraId="69CE0B40" w14:textId="77777777" w:rsidR="008C0035" w:rsidRDefault="008C0035" w:rsidP="001906A9">
      <w:pPr>
        <w:pStyle w:val="NormalWeb"/>
        <w:shd w:val="clear" w:color="auto" w:fill="FFFFFF"/>
        <w:rPr>
          <w:rFonts w:ascii="Calibri" w:hAnsi="Calibri" w:cs="Calibri"/>
          <w:color w:val="000000"/>
        </w:rPr>
      </w:pPr>
    </w:p>
    <w:p w14:paraId="6C50A328" w14:textId="77777777" w:rsidR="001906A9" w:rsidRPr="001906A9" w:rsidRDefault="001906A9" w:rsidP="001906A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1470252" w14:textId="50591C0B" w:rsidR="001906A9" w:rsidRPr="001906A9" w:rsidRDefault="001906A9" w:rsidP="001906A9">
      <w:pPr>
        <w:pStyle w:val="NormalWeb"/>
        <w:shd w:val="clear" w:color="auto" w:fill="FFFFFF"/>
        <w:rPr>
          <w:rFonts w:ascii="Calibri" w:hAnsi="Calibri" w:cs="Calibri"/>
          <w:color w:val="000000"/>
        </w:rPr>
      </w:pPr>
    </w:p>
    <w:sectPr w:rsidR="001906A9" w:rsidRPr="001906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5B0"/>
    <w:rsid w:val="001906A9"/>
    <w:rsid w:val="008C0035"/>
    <w:rsid w:val="009C6626"/>
    <w:rsid w:val="00A975B0"/>
    <w:rsid w:val="00DB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E106CD"/>
  <w15:chartTrackingRefBased/>
  <w15:docId w15:val="{71137D12-84BF-5240-B620-44B46A14F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906A9"/>
  </w:style>
  <w:style w:type="paragraph" w:styleId="NormalWeb">
    <w:name w:val="Normal (Web)"/>
    <w:basedOn w:val="Normal"/>
    <w:uiPriority w:val="99"/>
    <w:unhideWhenUsed/>
    <w:rsid w:val="001906A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906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906A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C00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wales/sites/default/files/publications/2018-12/face-the-challenge-together-family-and-community-engagement-toolkit-for-schools-in-wales-main-guidance.pdf" TargetMode="External"/><Relationship Id="rId5" Type="http://schemas.openxmlformats.org/officeDocument/2006/relationships/hyperlink" Target="https://www.gov.wales/sites/default/files/consultations/2018-01/130131consultationchildfriendlyen.pdf" TargetMode="External"/><Relationship Id="rId4" Type="http://schemas.openxmlformats.org/officeDocument/2006/relationships/hyperlink" Target="https://www.linkedin.com/pulse/why-principals-should-stop-doing-teacher-observations-ben-di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Parry (2307147)</dc:creator>
  <cp:keywords/>
  <dc:description/>
  <cp:lastModifiedBy>Lauren Parry (2307147)</cp:lastModifiedBy>
  <cp:revision>2</cp:revision>
  <dcterms:created xsi:type="dcterms:W3CDTF">2024-03-11T20:03:00Z</dcterms:created>
  <dcterms:modified xsi:type="dcterms:W3CDTF">2024-03-11T20:29:00Z</dcterms:modified>
</cp:coreProperties>
</file>