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077DAA2" w14:textId="29793CA3" w:rsidR="007040EC" w:rsidRDefault="0070730C" w:rsidP="00AB55DB">
      <w:pPr>
        <w:jc w:val="center"/>
        <w:rPr>
          <w:rFonts w:ascii="Aparajita" w:hAnsi="Aparajita" w:cs="Aparajita"/>
          <w:sz w:val="44"/>
          <w:szCs w:val="44"/>
        </w:rPr>
      </w:pPr>
      <w:r w:rsidRPr="0070730C">
        <w:rPr>
          <w:rFonts w:ascii="Aparajita" w:hAnsi="Aparajita" w:cs="Aparajita"/>
          <w:sz w:val="44"/>
          <w:szCs w:val="44"/>
        </w:rPr>
        <w:t>Finley McGrath</w:t>
      </w:r>
    </w:p>
    <w:p w14:paraId="2B18E8F3" w14:textId="4A4F0407" w:rsidR="0070730C" w:rsidRPr="0070730C" w:rsidRDefault="0070730C" w:rsidP="00AB55DB">
      <w:pPr>
        <w:jc w:val="center"/>
        <w:rPr>
          <w:rFonts w:ascii="Aparajita" w:hAnsi="Aparajita" w:cs="Aparajita"/>
          <w:sz w:val="44"/>
          <w:szCs w:val="44"/>
        </w:rPr>
      </w:pPr>
      <w:r>
        <w:rPr>
          <w:rFonts w:ascii="Aparajita" w:hAnsi="Aparajita" w:cs="Aparajita"/>
          <w:sz w:val="44"/>
          <w:szCs w:val="44"/>
        </w:rPr>
        <w:t>2215276</w:t>
      </w:r>
    </w:p>
    <w:p w14:paraId="29C9697A" w14:textId="697D451D" w:rsidR="007040EC" w:rsidRPr="00F618F9" w:rsidRDefault="00F618F9" w:rsidP="00AB55DB">
      <w:pPr>
        <w:jc w:val="center"/>
        <w:rPr>
          <w:rFonts w:ascii="Aparajita" w:hAnsi="Aparajita" w:cs="Aparajita"/>
          <w:sz w:val="44"/>
          <w:szCs w:val="44"/>
        </w:rPr>
      </w:pPr>
      <w:r>
        <w:rPr>
          <w:rFonts w:ascii="Aparajita" w:hAnsi="Aparajita" w:cs="Aparajita"/>
          <w:sz w:val="44"/>
          <w:szCs w:val="44"/>
        </w:rPr>
        <w:t>Strategic Sports Events Management</w:t>
      </w:r>
    </w:p>
    <w:p w14:paraId="192DA16F" w14:textId="3684A352" w:rsidR="00834AC2" w:rsidRDefault="00834AC2" w:rsidP="00845544">
      <w:pPr>
        <w:rPr>
          <w:rFonts w:ascii="Aparajita" w:hAnsi="Aparajita" w:cs="Aparajita"/>
          <w:sz w:val="44"/>
          <w:szCs w:val="44"/>
          <w:u w:val="single"/>
        </w:rPr>
      </w:pPr>
    </w:p>
    <w:p w14:paraId="258F421B" w14:textId="0A249A08" w:rsidR="00DE6D0F" w:rsidRPr="00DE6D0F" w:rsidRDefault="00DE6D0F" w:rsidP="00DE6D0F">
      <w:pPr>
        <w:spacing w:after="0" w:line="240" w:lineRule="auto"/>
        <w:ind w:firstLine="720"/>
        <w:rPr>
          <w:rFonts w:ascii="Arial" w:eastAsia="Times New Roman" w:hAnsi="Arial" w:cs="Arial"/>
          <w:b/>
          <w:kern w:val="0"/>
          <w:sz w:val="14"/>
          <w:szCs w:val="14"/>
          <w:u w:val="single"/>
          <w14:ligatures w14:val="none"/>
        </w:rPr>
      </w:pPr>
      <w:r w:rsidRPr="00DE6D0F">
        <w:rPr>
          <w:rFonts w:ascii="Arial" w:eastAsia="Times New Roman" w:hAnsi="Arial" w:cs="Arial"/>
          <w:b/>
          <w:kern w:val="0"/>
          <w:sz w:val="14"/>
          <w:szCs w:val="14"/>
          <w:u w:val="single"/>
          <w14:ligatures w14:val="none"/>
        </w:rPr>
        <w:t>Part 1: Event Scoping and Feasibility (1000 words approx.)</w:t>
      </w:r>
    </w:p>
    <w:p w14:paraId="03E7DD2E" w14:textId="5171CDE1" w:rsidR="00DE6D0F" w:rsidRPr="00DE6D0F" w:rsidRDefault="00DE6D0F" w:rsidP="00DE6D0F">
      <w:pPr>
        <w:spacing w:after="0" w:line="240" w:lineRule="auto"/>
        <w:ind w:left="720"/>
        <w:rPr>
          <w:rFonts w:ascii="Arial" w:eastAsia="Times New Roman" w:hAnsi="Arial" w:cs="Arial"/>
          <w:kern w:val="0"/>
          <w:sz w:val="14"/>
          <w:szCs w:val="14"/>
          <w14:ligatures w14:val="none"/>
        </w:rPr>
      </w:pPr>
    </w:p>
    <w:p w14:paraId="711CD93E" w14:textId="789EB537" w:rsidR="00DE6D0F" w:rsidRPr="00DE6D0F" w:rsidRDefault="00DE6D0F" w:rsidP="00DE6D0F">
      <w:pPr>
        <w:spacing w:after="0" w:line="240" w:lineRule="auto"/>
        <w:ind w:left="720"/>
        <w:jc w:val="both"/>
        <w:rPr>
          <w:rFonts w:ascii="Arial" w:eastAsia="Times New Roman" w:hAnsi="Arial" w:cs="Arial"/>
          <w:kern w:val="0"/>
          <w:sz w:val="14"/>
          <w:szCs w:val="14"/>
          <w14:ligatures w14:val="none"/>
        </w:rPr>
      </w:pPr>
      <w:r w:rsidRPr="00DE6D0F">
        <w:rPr>
          <w:rFonts w:ascii="Arial" w:eastAsia="Times New Roman" w:hAnsi="Arial" w:cs="Arial"/>
          <w:kern w:val="0"/>
          <w:sz w:val="14"/>
          <w:szCs w:val="14"/>
          <w14:ligatures w14:val="none"/>
        </w:rPr>
        <w:t xml:space="preserve">Your task is to identify a major sport event that a location in Wales could feasibly host.  The event can be either: national or international; irregular or part of an annual cycle of events; a major spectator event generating significant economic impact or a major competitor event generating limited economic activity (e.g. Welsh athletics championships). </w:t>
      </w:r>
    </w:p>
    <w:p w14:paraId="7AC70DD1" w14:textId="77777777" w:rsidR="00DE6D0F" w:rsidRPr="00DE6D0F" w:rsidRDefault="00DE6D0F" w:rsidP="00DE6D0F">
      <w:pPr>
        <w:spacing w:after="0" w:line="240" w:lineRule="auto"/>
        <w:ind w:left="720"/>
        <w:jc w:val="both"/>
        <w:rPr>
          <w:rFonts w:ascii="Arial" w:eastAsia="Times New Roman" w:hAnsi="Arial" w:cs="Arial"/>
          <w:kern w:val="0"/>
          <w:sz w:val="14"/>
          <w:szCs w:val="14"/>
          <w14:ligatures w14:val="none"/>
        </w:rPr>
      </w:pPr>
      <w:r w:rsidRPr="00DE6D0F">
        <w:rPr>
          <w:rFonts w:ascii="Arial" w:eastAsia="Times New Roman" w:hAnsi="Arial" w:cs="Arial"/>
          <w:kern w:val="0"/>
          <w:sz w:val="14"/>
          <w:szCs w:val="14"/>
          <w14:ligatures w14:val="none"/>
        </w:rPr>
        <w:t xml:space="preserve">   </w:t>
      </w:r>
    </w:p>
    <w:p w14:paraId="4169F327" w14:textId="2366F539" w:rsidR="00DE6D0F" w:rsidRPr="00DE6D0F" w:rsidRDefault="00DE6D0F" w:rsidP="00DE6D0F">
      <w:pPr>
        <w:spacing w:after="0" w:line="240" w:lineRule="auto"/>
        <w:ind w:left="720"/>
        <w:jc w:val="both"/>
        <w:rPr>
          <w:rFonts w:ascii="Arial" w:eastAsia="Times New Roman" w:hAnsi="Arial" w:cs="Arial"/>
          <w:kern w:val="0"/>
          <w:sz w:val="14"/>
          <w:szCs w:val="14"/>
          <w14:ligatures w14:val="none"/>
        </w:rPr>
      </w:pPr>
      <w:r w:rsidRPr="00DE6D0F">
        <w:rPr>
          <w:rFonts w:ascii="Arial" w:eastAsia="Times New Roman" w:hAnsi="Arial" w:cs="Arial"/>
          <w:kern w:val="0"/>
          <w:sz w:val="14"/>
          <w:szCs w:val="14"/>
          <w14:ligatures w14:val="none"/>
        </w:rPr>
        <w:t xml:space="preserve">Students must clarify the event’s objectives and concept, and make a robust case for the event’s feasibility, strategic fit and potential impact.  This requires students to scope out the cost of the event and financing options, plus the market for the event and its competition.  Students will need to consider existing sports event calendars, local and national policy agendas (Wales and UK) and the impact of recent major sporting events held in Wales.  </w:t>
      </w:r>
    </w:p>
    <w:p w14:paraId="18A1EC1F" w14:textId="1053F381" w:rsidR="00DE6D0F" w:rsidRPr="00DE6D0F" w:rsidRDefault="00DE6D0F" w:rsidP="00DE6D0F">
      <w:pPr>
        <w:spacing w:after="0" w:line="240" w:lineRule="auto"/>
        <w:ind w:left="720"/>
        <w:jc w:val="both"/>
        <w:rPr>
          <w:rFonts w:ascii="Arial" w:eastAsia="Times New Roman" w:hAnsi="Arial" w:cs="Arial"/>
          <w:kern w:val="0"/>
          <w:sz w:val="14"/>
          <w:szCs w:val="14"/>
          <w14:ligatures w14:val="none"/>
        </w:rPr>
      </w:pPr>
    </w:p>
    <w:p w14:paraId="16EC29A5" w14:textId="015D942B" w:rsidR="00DE6D0F" w:rsidRPr="00DE6D0F" w:rsidRDefault="00DE6D0F" w:rsidP="00DE6D0F">
      <w:pPr>
        <w:spacing w:after="0" w:line="240" w:lineRule="auto"/>
        <w:ind w:left="7920"/>
        <w:jc w:val="both"/>
        <w:rPr>
          <w:rFonts w:ascii="Arial" w:eastAsia="Times New Roman" w:hAnsi="Arial" w:cs="Arial"/>
          <w:b/>
          <w:bCs/>
          <w:kern w:val="0"/>
          <w:sz w:val="14"/>
          <w:szCs w:val="14"/>
          <w14:ligatures w14:val="none"/>
        </w:rPr>
      </w:pPr>
      <w:r w:rsidRPr="00DE6D0F">
        <w:rPr>
          <w:rFonts w:ascii="Arial" w:eastAsia="Times New Roman" w:hAnsi="Arial" w:cs="Arial"/>
          <w:b/>
          <w:bCs/>
          <w:kern w:val="0"/>
          <w:sz w:val="14"/>
          <w:szCs w:val="14"/>
          <w14:ligatures w14:val="none"/>
        </w:rPr>
        <w:t xml:space="preserve">50% Weighting </w:t>
      </w:r>
    </w:p>
    <w:p w14:paraId="7D06643F" w14:textId="77777777" w:rsidR="00DE6D0F" w:rsidRPr="00DE6D0F" w:rsidRDefault="00DE6D0F" w:rsidP="00DE6D0F">
      <w:pPr>
        <w:spacing w:after="0" w:line="240" w:lineRule="auto"/>
        <w:jc w:val="both"/>
        <w:rPr>
          <w:rFonts w:ascii="Arial" w:eastAsia="Times New Roman" w:hAnsi="Arial" w:cs="Arial"/>
          <w:kern w:val="0"/>
          <w:sz w:val="14"/>
          <w:szCs w:val="14"/>
          <w14:ligatures w14:val="none"/>
        </w:rPr>
      </w:pPr>
    </w:p>
    <w:p w14:paraId="7940C5C3" w14:textId="4A2D5D60" w:rsidR="00DE6D0F" w:rsidRPr="00DE6D0F" w:rsidRDefault="00DE6D0F" w:rsidP="00DE6D0F">
      <w:pPr>
        <w:spacing w:after="0" w:line="240" w:lineRule="auto"/>
        <w:ind w:firstLine="720"/>
        <w:jc w:val="both"/>
        <w:rPr>
          <w:rFonts w:ascii="Arial" w:eastAsia="Times New Roman" w:hAnsi="Arial" w:cs="Arial"/>
          <w:b/>
          <w:bCs/>
          <w:kern w:val="0"/>
          <w:sz w:val="14"/>
          <w:szCs w:val="14"/>
          <w:u w:val="single"/>
          <w14:ligatures w14:val="none"/>
        </w:rPr>
      </w:pPr>
    </w:p>
    <w:p w14:paraId="44EFB3DD" w14:textId="36621FC2" w:rsidR="00DE6D0F" w:rsidRPr="00DE6D0F" w:rsidRDefault="00DE6D0F" w:rsidP="00DE6D0F">
      <w:pPr>
        <w:spacing w:after="0" w:line="240" w:lineRule="auto"/>
        <w:ind w:firstLine="720"/>
        <w:jc w:val="both"/>
        <w:rPr>
          <w:rFonts w:ascii="Arial" w:eastAsia="Times New Roman" w:hAnsi="Arial" w:cs="Arial"/>
          <w:b/>
          <w:bCs/>
          <w:kern w:val="0"/>
          <w:sz w:val="14"/>
          <w:szCs w:val="14"/>
          <w:u w:val="single"/>
          <w14:ligatures w14:val="none"/>
        </w:rPr>
      </w:pPr>
      <w:r w:rsidRPr="00DE6D0F">
        <w:rPr>
          <w:rFonts w:ascii="Arial" w:eastAsia="Times New Roman" w:hAnsi="Arial" w:cs="Arial"/>
          <w:b/>
          <w:bCs/>
          <w:kern w:val="0"/>
          <w:sz w:val="14"/>
          <w:szCs w:val="14"/>
          <w:u w:val="single"/>
          <w14:ligatures w14:val="none"/>
        </w:rPr>
        <w:t>Part 2: Strategic Marketing Overview (1000 words approx.)</w:t>
      </w:r>
    </w:p>
    <w:p w14:paraId="3AD40006" w14:textId="7E7C4D50" w:rsidR="00DE6D0F" w:rsidRPr="00DE6D0F" w:rsidRDefault="00DE6D0F" w:rsidP="00DE6D0F">
      <w:pPr>
        <w:spacing w:after="0" w:line="240" w:lineRule="auto"/>
        <w:jc w:val="both"/>
        <w:rPr>
          <w:rFonts w:ascii="Arial" w:eastAsia="Times New Roman" w:hAnsi="Arial" w:cs="Arial"/>
          <w:kern w:val="0"/>
          <w:sz w:val="14"/>
          <w:szCs w:val="14"/>
          <w14:ligatures w14:val="none"/>
        </w:rPr>
      </w:pPr>
    </w:p>
    <w:p w14:paraId="7211BEBE" w14:textId="047327CF" w:rsidR="00DE6D0F" w:rsidRPr="00DE6D0F" w:rsidRDefault="00DE6D0F" w:rsidP="00DE6D0F">
      <w:pPr>
        <w:spacing w:after="0" w:line="240" w:lineRule="auto"/>
        <w:ind w:left="720"/>
        <w:jc w:val="both"/>
        <w:rPr>
          <w:rFonts w:ascii="Arial" w:eastAsia="Times New Roman" w:hAnsi="Arial" w:cs="Arial"/>
          <w:kern w:val="0"/>
          <w:sz w:val="14"/>
          <w:szCs w:val="14"/>
          <w14:ligatures w14:val="none"/>
        </w:rPr>
      </w:pPr>
      <w:r w:rsidRPr="00DE6D0F">
        <w:rPr>
          <w:rFonts w:ascii="Arial" w:eastAsia="Times New Roman" w:hAnsi="Arial" w:cs="Arial"/>
          <w:kern w:val="0"/>
          <w:sz w:val="14"/>
          <w:szCs w:val="14"/>
          <w14:ligatures w14:val="none"/>
        </w:rPr>
        <w:t xml:space="preserve">To plan and organise a successful sporting event organisers must consider how they will attract and retain customers/spectators to the event.  This section should commence by addressing the market segmentation, targeting and positioning of the event. It must also detail how the marketing mix can be best manipulated to address the needs and wants of customers, and conclude by specifying clear marketing objectives and specific tactics to help fulfil the objectives.  </w:t>
      </w:r>
    </w:p>
    <w:p w14:paraId="2DCF73B0" w14:textId="6D2201DF" w:rsidR="00DE6D0F" w:rsidRPr="00DE6D0F" w:rsidRDefault="00DE6D0F" w:rsidP="00DE6D0F">
      <w:pPr>
        <w:spacing w:after="0" w:line="240" w:lineRule="auto"/>
        <w:jc w:val="both"/>
        <w:rPr>
          <w:rFonts w:ascii="Arial" w:eastAsia="Times New Roman" w:hAnsi="Arial" w:cs="Arial"/>
          <w:kern w:val="0"/>
          <w:sz w:val="14"/>
          <w:szCs w:val="14"/>
          <w14:ligatures w14:val="none"/>
        </w:rPr>
      </w:pPr>
    </w:p>
    <w:p w14:paraId="0A95F9BD" w14:textId="65E90C9D" w:rsidR="00DE6D0F" w:rsidRPr="00DE6D0F" w:rsidRDefault="00DE6D0F" w:rsidP="00DE6D0F">
      <w:pPr>
        <w:spacing w:after="0" w:line="240" w:lineRule="auto"/>
        <w:ind w:left="720"/>
        <w:jc w:val="both"/>
        <w:rPr>
          <w:rFonts w:ascii="Arial" w:eastAsia="Times New Roman" w:hAnsi="Arial" w:cs="Arial"/>
          <w:kern w:val="0"/>
          <w:sz w:val="14"/>
          <w:szCs w:val="14"/>
          <w14:ligatures w14:val="none"/>
        </w:rPr>
      </w:pPr>
      <w:r w:rsidRPr="00DE6D0F">
        <w:rPr>
          <w:rFonts w:ascii="Arial" w:eastAsia="Times New Roman" w:hAnsi="Arial" w:cs="Arial"/>
          <w:kern w:val="0"/>
          <w:sz w:val="14"/>
          <w:szCs w:val="14"/>
          <w14:ligatures w14:val="none"/>
        </w:rPr>
        <w:t xml:space="preserve">Both parts must be underpinned with appropriate references to academic theory, industry and government publications and empirical evidence.  </w:t>
      </w:r>
    </w:p>
    <w:p w14:paraId="369A701F" w14:textId="4D55381C" w:rsidR="00DE6D0F" w:rsidRPr="00DE6D0F" w:rsidRDefault="00DE6D0F" w:rsidP="00DE6D0F">
      <w:pPr>
        <w:spacing w:after="0" w:line="240" w:lineRule="auto"/>
        <w:rPr>
          <w:rFonts w:ascii="Arial" w:eastAsia="Times New Roman" w:hAnsi="Arial" w:cs="Arial"/>
          <w:kern w:val="0"/>
          <w:sz w:val="14"/>
          <w:szCs w:val="14"/>
          <w14:ligatures w14:val="none"/>
        </w:rPr>
      </w:pPr>
    </w:p>
    <w:p w14:paraId="5DCC3265" w14:textId="05BF0ED5" w:rsidR="00DE6D0F" w:rsidRPr="00DE6D0F" w:rsidRDefault="00DE6D0F" w:rsidP="00DE6D0F">
      <w:pPr>
        <w:spacing w:after="0" w:line="240" w:lineRule="auto"/>
        <w:ind w:left="7200" w:firstLine="720"/>
        <w:rPr>
          <w:rFonts w:ascii="Arial" w:eastAsia="Times New Roman" w:hAnsi="Arial" w:cs="Arial"/>
          <w:b/>
          <w:bCs/>
          <w:kern w:val="0"/>
          <w:sz w:val="14"/>
          <w:szCs w:val="14"/>
          <w14:ligatures w14:val="none"/>
        </w:rPr>
      </w:pPr>
      <w:r w:rsidRPr="00DE6D0F">
        <w:rPr>
          <w:rFonts w:ascii="Arial" w:eastAsia="Times New Roman" w:hAnsi="Arial" w:cs="Arial"/>
          <w:b/>
          <w:bCs/>
          <w:kern w:val="0"/>
          <w:sz w:val="14"/>
          <w:szCs w:val="14"/>
          <w14:ligatures w14:val="none"/>
        </w:rPr>
        <w:t>50% weighting</w:t>
      </w:r>
    </w:p>
    <w:p w14:paraId="7DB6446C" w14:textId="4CD99540" w:rsidR="00DE6D0F" w:rsidRPr="00DE6D0F" w:rsidRDefault="00DE6D0F" w:rsidP="00DE6D0F">
      <w:pPr>
        <w:spacing w:after="0" w:line="240" w:lineRule="auto"/>
        <w:ind w:firstLine="720"/>
        <w:rPr>
          <w:rFonts w:ascii="Arial" w:eastAsia="Times New Roman" w:hAnsi="Arial" w:cs="Arial"/>
          <w:kern w:val="0"/>
          <w:u w:val="single"/>
          <w14:ligatures w14:val="none"/>
        </w:rPr>
      </w:pPr>
    </w:p>
    <w:p w14:paraId="62ABF972" w14:textId="1120F445" w:rsidR="00834AC2" w:rsidRDefault="00C82186" w:rsidP="00C82186">
      <w:pPr>
        <w:jc w:val="center"/>
        <w:rPr>
          <w:rFonts w:ascii="Aparajita" w:hAnsi="Aparajita" w:cs="Aparajita"/>
          <w:sz w:val="36"/>
          <w:szCs w:val="36"/>
        </w:rPr>
      </w:pPr>
      <w:r w:rsidRPr="00C82186">
        <w:rPr>
          <w:rFonts w:ascii="Aparajita" w:hAnsi="Aparajita" w:cs="Aparajita"/>
          <w:sz w:val="36"/>
          <w:szCs w:val="36"/>
        </w:rPr>
        <w:t>Table of Contents</w:t>
      </w:r>
    </w:p>
    <w:p w14:paraId="1093366F" w14:textId="62FD1872" w:rsidR="00C82186" w:rsidRDefault="00526E2C" w:rsidP="00DC66F5">
      <w:pPr>
        <w:rPr>
          <w:rFonts w:ascii="Aparajita" w:hAnsi="Aparajita" w:cs="Aparajita"/>
        </w:rPr>
      </w:pPr>
      <w:r>
        <w:rPr>
          <w:rFonts w:ascii="Aparajita" w:hAnsi="Aparajita" w:cs="Aparajita"/>
        </w:rPr>
        <w:t>Task Introduction, Contents Page</w:t>
      </w:r>
      <w:r w:rsidR="009E0A46">
        <w:rPr>
          <w:rFonts w:ascii="Aparajita" w:hAnsi="Aparajita" w:cs="Aparajita"/>
        </w:rPr>
        <w:t xml:space="preserve">. </w:t>
      </w:r>
      <w:r>
        <w:rPr>
          <w:rFonts w:ascii="Aparajita" w:hAnsi="Aparajita" w:cs="Aparajita"/>
        </w:rPr>
        <w:t>………………………………………………………………………………</w:t>
      </w:r>
      <w:r w:rsidR="009E0A46">
        <w:rPr>
          <w:rFonts w:ascii="Aparajita" w:hAnsi="Aparajita" w:cs="Aparajita"/>
        </w:rPr>
        <w:t>1</w:t>
      </w:r>
    </w:p>
    <w:p w14:paraId="3113834F" w14:textId="70CC4DA3" w:rsidR="009E0A46" w:rsidRDefault="009E0A46" w:rsidP="00DC66F5">
      <w:pPr>
        <w:rPr>
          <w:rFonts w:ascii="Aparajita" w:hAnsi="Aparajita" w:cs="Aparajita"/>
        </w:rPr>
      </w:pPr>
      <w:r>
        <w:rPr>
          <w:rFonts w:ascii="Aparajita" w:hAnsi="Aparajita" w:cs="Aparajita"/>
        </w:rPr>
        <w:t>Task A</w:t>
      </w:r>
      <w:r w:rsidR="00206CE7">
        <w:rPr>
          <w:rFonts w:ascii="Aparajita" w:hAnsi="Aparajita" w:cs="Aparajita"/>
        </w:rPr>
        <w:t>. …………………………………………………………………………………………………………</w:t>
      </w:r>
      <w:r w:rsidR="003B032F">
        <w:rPr>
          <w:rFonts w:ascii="Aparajita" w:hAnsi="Aparajita" w:cs="Aparajita"/>
        </w:rPr>
        <w:t>..2</w:t>
      </w:r>
    </w:p>
    <w:p w14:paraId="27AF96D0" w14:textId="7764277C" w:rsidR="003B032F" w:rsidRPr="00DC66F5" w:rsidRDefault="003B032F" w:rsidP="00DC66F5">
      <w:pPr>
        <w:rPr>
          <w:rFonts w:ascii="Aparajita" w:hAnsi="Aparajita" w:cs="Aparajita"/>
        </w:rPr>
      </w:pPr>
      <w:r>
        <w:rPr>
          <w:rFonts w:ascii="Aparajita" w:hAnsi="Aparajita" w:cs="Aparajita"/>
        </w:rPr>
        <w:t>Task B. …………………………………………………………………………………………………………</w:t>
      </w:r>
      <w:r w:rsidR="00045FAB">
        <w:rPr>
          <w:rFonts w:ascii="Aparajita" w:hAnsi="Aparajita" w:cs="Aparajita"/>
        </w:rPr>
        <w:t>..5</w:t>
      </w:r>
    </w:p>
    <w:p w14:paraId="4B609262" w14:textId="762DAD55" w:rsidR="00DC66F5" w:rsidRDefault="00AB55DB" w:rsidP="00845544">
      <w:pPr>
        <w:rPr>
          <w:rFonts w:ascii="Aparajita" w:hAnsi="Aparajita" w:cs="Aparajita"/>
          <w:sz w:val="44"/>
          <w:szCs w:val="44"/>
          <w:u w:val="single"/>
        </w:rPr>
      </w:pPr>
      <w:r>
        <w:rPr>
          <w:rFonts w:ascii="Aparajita" w:hAnsi="Aparajita" w:cs="Aparajita"/>
          <w:noProof/>
          <w:sz w:val="44"/>
          <w:szCs w:val="44"/>
        </w:rPr>
        <w:drawing>
          <wp:anchor distT="0" distB="0" distL="114300" distR="114300" simplePos="0" relativeHeight="251659264" behindDoc="1" locked="0" layoutInCell="1" allowOverlap="1" wp14:anchorId="5451C04C" wp14:editId="5E87F609">
            <wp:simplePos x="0" y="0"/>
            <wp:positionH relativeFrom="column">
              <wp:posOffset>1269365</wp:posOffset>
            </wp:positionH>
            <wp:positionV relativeFrom="paragraph">
              <wp:posOffset>382270</wp:posOffset>
            </wp:positionV>
            <wp:extent cx="3324225" cy="2133600"/>
            <wp:effectExtent l="0" t="0" r="3175" b="0"/>
            <wp:wrapTight wrapText="bothSides">
              <wp:wrapPolygon edited="0">
                <wp:start x="0" y="0"/>
                <wp:lineTo x="0" y="21471"/>
                <wp:lineTo x="21538" y="21471"/>
                <wp:lineTo x="21538" y="0"/>
                <wp:lineTo x="0" y="0"/>
              </wp:wrapPolygon>
            </wp:wrapTight>
            <wp:docPr id="9144538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4453898" name="Picture 914453898"/>
                    <pic:cNvPicPr/>
                  </pic:nvPicPr>
                  <pic:blipFill>
                    <a:blip r:embed="rId5" cstate="print">
                      <a:extLst>
                        <a:ext uri="{28A0092B-C50C-407E-A947-70E740481C1C}">
                          <a14:useLocalDpi xmlns:a14="http://schemas.microsoft.com/office/drawing/2010/main" val="0"/>
                        </a:ext>
                      </a:extLst>
                    </a:blip>
                    <a:stretch>
                      <a:fillRect/>
                    </a:stretch>
                  </pic:blipFill>
                  <pic:spPr>
                    <a:xfrm>
                      <a:off x="0" y="0"/>
                      <a:ext cx="3324225" cy="2133600"/>
                    </a:xfrm>
                    <a:prstGeom prst="rect">
                      <a:avLst/>
                    </a:prstGeom>
                  </pic:spPr>
                </pic:pic>
              </a:graphicData>
            </a:graphic>
            <wp14:sizeRelH relativeFrom="margin">
              <wp14:pctWidth>0</wp14:pctWidth>
            </wp14:sizeRelH>
            <wp14:sizeRelV relativeFrom="margin">
              <wp14:pctHeight>0</wp14:pctHeight>
            </wp14:sizeRelV>
          </wp:anchor>
        </w:drawing>
      </w:r>
    </w:p>
    <w:p w14:paraId="72A3ECA2" w14:textId="0BFCA409" w:rsidR="00DC66F5" w:rsidRDefault="00DC66F5" w:rsidP="00845544">
      <w:pPr>
        <w:rPr>
          <w:rFonts w:ascii="Aparajita" w:hAnsi="Aparajita" w:cs="Aparajita"/>
          <w:sz w:val="44"/>
          <w:szCs w:val="44"/>
          <w:u w:val="single"/>
        </w:rPr>
      </w:pPr>
    </w:p>
    <w:p w14:paraId="1C7B7D2E" w14:textId="388C4AAC" w:rsidR="00DC66F5" w:rsidRDefault="00DC66F5" w:rsidP="00845544">
      <w:pPr>
        <w:rPr>
          <w:rFonts w:ascii="Aparajita" w:hAnsi="Aparajita" w:cs="Aparajita"/>
          <w:sz w:val="44"/>
          <w:szCs w:val="44"/>
          <w:u w:val="single"/>
        </w:rPr>
      </w:pPr>
    </w:p>
    <w:p w14:paraId="26BDEC11" w14:textId="428FDA7C" w:rsidR="00DC66F5" w:rsidRDefault="00DC66F5" w:rsidP="00845544">
      <w:pPr>
        <w:rPr>
          <w:rFonts w:ascii="Aparajita" w:hAnsi="Aparajita" w:cs="Aparajita"/>
          <w:sz w:val="44"/>
          <w:szCs w:val="44"/>
          <w:u w:val="single"/>
        </w:rPr>
      </w:pPr>
    </w:p>
    <w:p w14:paraId="6B5550F7" w14:textId="77777777" w:rsidR="00DC66F5" w:rsidRDefault="00DC66F5" w:rsidP="00845544">
      <w:pPr>
        <w:rPr>
          <w:rFonts w:ascii="Aparajita" w:hAnsi="Aparajita" w:cs="Aparajita"/>
          <w:sz w:val="44"/>
          <w:szCs w:val="44"/>
          <w:u w:val="single"/>
        </w:rPr>
      </w:pPr>
    </w:p>
    <w:p w14:paraId="2E325075" w14:textId="77777777" w:rsidR="00AB55DB" w:rsidRDefault="00AB55DB" w:rsidP="00845544">
      <w:pPr>
        <w:rPr>
          <w:rFonts w:ascii="Aparajita" w:hAnsi="Aparajita" w:cs="Aparajita"/>
          <w:sz w:val="44"/>
          <w:szCs w:val="44"/>
          <w:u w:val="single"/>
        </w:rPr>
      </w:pPr>
    </w:p>
    <w:p w14:paraId="6921C96C" w14:textId="77777777" w:rsidR="00DC66F5" w:rsidRDefault="00DC66F5" w:rsidP="00845544">
      <w:pPr>
        <w:rPr>
          <w:rFonts w:ascii="Aparajita" w:hAnsi="Aparajita" w:cs="Aparajita"/>
          <w:sz w:val="44"/>
          <w:szCs w:val="44"/>
          <w:u w:val="single"/>
        </w:rPr>
      </w:pPr>
    </w:p>
    <w:p w14:paraId="18441AFE" w14:textId="74093B79" w:rsidR="00845544" w:rsidRPr="00E622A7" w:rsidRDefault="00961D53" w:rsidP="00845544">
      <w:pPr>
        <w:rPr>
          <w:rFonts w:ascii="Aparajita" w:hAnsi="Aparajita" w:cs="Aparajita"/>
          <w:sz w:val="44"/>
          <w:szCs w:val="44"/>
          <w:u w:val="single"/>
        </w:rPr>
      </w:pPr>
      <w:r>
        <w:rPr>
          <w:rFonts w:ascii="Aparajita" w:hAnsi="Aparajita" w:cs="Aparajita"/>
          <w:sz w:val="44"/>
          <w:szCs w:val="44"/>
          <w:u w:val="single"/>
        </w:rPr>
        <w:t xml:space="preserve">Task A: </w:t>
      </w:r>
      <w:r w:rsidR="00845544" w:rsidRPr="00E622A7">
        <w:rPr>
          <w:rFonts w:ascii="Aparajita" w:hAnsi="Aparajita" w:cs="Aparajita"/>
          <w:sz w:val="44"/>
          <w:szCs w:val="44"/>
          <w:u w:val="single"/>
        </w:rPr>
        <w:t>A Feasibility Study on Holding Boxing Events in Swansea Arena</w:t>
      </w:r>
    </w:p>
    <w:p w14:paraId="56B5E248" w14:textId="38F8CAE0" w:rsidR="00845544" w:rsidRPr="00E622A7" w:rsidRDefault="00845544">
      <w:pPr>
        <w:rPr>
          <w:rFonts w:ascii="Aparajita" w:hAnsi="Aparajita" w:cs="Aparajita"/>
        </w:rPr>
      </w:pPr>
      <w:r w:rsidRPr="00E622A7">
        <w:rPr>
          <w:rFonts w:ascii="Aparajita" w:hAnsi="Aparajita" w:cs="Aparajita"/>
        </w:rPr>
        <w:t>Swansea Arena presents a great chance to support up-and-coming Welsh boxing talent while also fostering social and economic growth in the community. Swansea Arena, a contemporary venue that can accommodate around 3,500 people, is perfect for medium-sized athletic events (The Sport Journal</w:t>
      </w:r>
      <w:r w:rsidR="001E51EC">
        <w:rPr>
          <w:rFonts w:ascii="Aparajita" w:hAnsi="Aparajita" w:cs="Aparajita"/>
        </w:rPr>
        <w:t>, 2021</w:t>
      </w:r>
      <w:r w:rsidRPr="00E622A7">
        <w:rPr>
          <w:rFonts w:ascii="Aparajita" w:hAnsi="Aparajita" w:cs="Aparajita"/>
        </w:rPr>
        <w:t>). In order to promote community involvement, assist local athletes, and support Wales' sports and cultural policies, this proposal describes the viability of holding a day-long boxing event that combines amateur competitions with professional bouts.</w:t>
      </w:r>
    </w:p>
    <w:p w14:paraId="3AF2AABA" w14:textId="77777777" w:rsidR="005F70D4" w:rsidRPr="00E622A7" w:rsidRDefault="005F70D4" w:rsidP="005F70D4">
      <w:pPr>
        <w:rPr>
          <w:rFonts w:ascii="Aparajita" w:hAnsi="Aparajita" w:cs="Aparajita"/>
        </w:rPr>
      </w:pPr>
      <w:r w:rsidRPr="00E622A7">
        <w:rPr>
          <w:rFonts w:ascii="Aparajita" w:hAnsi="Aparajita" w:cs="Aparajita"/>
        </w:rPr>
        <w:t>Goals and Concept of the Event</w:t>
      </w:r>
    </w:p>
    <w:p w14:paraId="33AA14ED" w14:textId="4258483B" w:rsidR="00630164" w:rsidRPr="00E622A7" w:rsidRDefault="005F70D4">
      <w:pPr>
        <w:rPr>
          <w:rFonts w:ascii="Aparajita" w:hAnsi="Aparajita" w:cs="Aparajita"/>
        </w:rPr>
      </w:pPr>
      <w:r w:rsidRPr="00E622A7">
        <w:rPr>
          <w:rFonts w:ascii="Aparajita" w:hAnsi="Aparajita" w:cs="Aparajita"/>
        </w:rPr>
        <w:t>This event's main goal is to give Welsh boxers a professional stage on which to compete, boosting their careers and increasing awareness of Welsh boxing. The afternoon agenda will incorporate grassroots events such as youth seminars, amateur bouts, and meet-and-greets with professional boxers. These events are meant to attract younger audiences and promote sports participation, especially in underprivileged communities. According to research by Hills (2017), boxing can help re-engage young people by encouraging resilience and discipline (London Metropolitan University</w:t>
      </w:r>
      <w:r w:rsidR="00B44625">
        <w:rPr>
          <w:rFonts w:ascii="Aparajita" w:hAnsi="Aparajita" w:cs="Aparajita"/>
        </w:rPr>
        <w:t>, 2017</w:t>
      </w:r>
      <w:r w:rsidRPr="00E622A7">
        <w:rPr>
          <w:rFonts w:ascii="Aparajita" w:hAnsi="Aparajita" w:cs="Aparajita"/>
        </w:rPr>
        <w:t>).</w:t>
      </w:r>
    </w:p>
    <w:p w14:paraId="69F1D719" w14:textId="25D2857A" w:rsidR="005851F0" w:rsidRPr="00E622A7" w:rsidRDefault="00E56159">
      <w:pPr>
        <w:rPr>
          <w:rFonts w:ascii="Aparajita" w:hAnsi="Aparajita" w:cs="Aparajita"/>
        </w:rPr>
      </w:pPr>
      <w:r w:rsidRPr="00E622A7">
        <w:rPr>
          <w:rFonts w:ascii="Aparajita" w:hAnsi="Aparajita" w:cs="Aparajita"/>
        </w:rPr>
        <w:t>This event is in line with the Well-being of Future Generations Act of the Welsh Government, which places a strong emphasis on encouraging inclusive and active communities via sports participation (</w:t>
      </w:r>
      <w:r w:rsidR="00EE5394">
        <w:rPr>
          <w:rFonts w:ascii="Aparajita" w:hAnsi="Aparajita" w:cs="Aparajita"/>
        </w:rPr>
        <w:t>GOV.Wales, 2023</w:t>
      </w:r>
      <w:r w:rsidRPr="00E622A7">
        <w:rPr>
          <w:rFonts w:ascii="Aparajita" w:hAnsi="Aparajita" w:cs="Aparajita"/>
        </w:rPr>
        <w:t>). Evening professional fights involving young Welsh fighters will provide local talent a stage and draw a wider audience, which includes both casual onlookers and boxing fans.</w:t>
      </w:r>
    </w:p>
    <w:p w14:paraId="71353531" w14:textId="77777777" w:rsidR="003D1D29" w:rsidRPr="00E622A7" w:rsidRDefault="003D1D29" w:rsidP="003D1D29">
      <w:pPr>
        <w:rPr>
          <w:rFonts w:ascii="Aparajita" w:hAnsi="Aparajita" w:cs="Aparajita"/>
        </w:rPr>
      </w:pPr>
      <w:r w:rsidRPr="00E622A7">
        <w:rPr>
          <w:rFonts w:ascii="Aparajita" w:hAnsi="Aparajita" w:cs="Aparajita"/>
        </w:rPr>
        <w:t>Analysis of Feasibility</w:t>
      </w:r>
    </w:p>
    <w:p w14:paraId="21468BAB" w14:textId="77777777" w:rsidR="003D1D29" w:rsidRPr="00E622A7" w:rsidRDefault="003D1D29" w:rsidP="003D1D29">
      <w:pPr>
        <w:rPr>
          <w:rFonts w:ascii="Aparajita" w:hAnsi="Aparajita" w:cs="Aparajita"/>
        </w:rPr>
      </w:pPr>
      <w:r w:rsidRPr="00E622A7">
        <w:rPr>
          <w:rFonts w:ascii="Aparajita" w:hAnsi="Aparajita" w:cs="Aparajita"/>
        </w:rPr>
        <w:t>Venue Appropriateness</w:t>
      </w:r>
    </w:p>
    <w:p w14:paraId="1504AAFF" w14:textId="0DDDE31B" w:rsidR="003D1D29" w:rsidRPr="00E622A7" w:rsidRDefault="003D1D29" w:rsidP="003D1D29">
      <w:pPr>
        <w:rPr>
          <w:rFonts w:ascii="Aparajita" w:hAnsi="Aparajita" w:cs="Aparajita"/>
        </w:rPr>
      </w:pPr>
      <w:r w:rsidRPr="00E622A7">
        <w:rPr>
          <w:rFonts w:ascii="Aparajita" w:hAnsi="Aparajita" w:cs="Aparajita"/>
        </w:rPr>
        <w:t>Swansea Arena is a cutting-edge venue with first-rate accessibility and contemporary infrastructure. Situated in Swansea's revitalised waterfront district, the arena is easily accessible by public transportation and encircled by lodging, dining, and entertainment venues, all of which increase its allure for visitors (Core.ac.uk</w:t>
      </w:r>
      <w:r w:rsidR="006E2660">
        <w:rPr>
          <w:rFonts w:ascii="Aparajita" w:hAnsi="Aparajita" w:cs="Aparajita"/>
        </w:rPr>
        <w:t>, 2010</w:t>
      </w:r>
      <w:r w:rsidRPr="00E622A7">
        <w:rPr>
          <w:rFonts w:ascii="Aparajita" w:hAnsi="Aparajita" w:cs="Aparajita"/>
        </w:rPr>
        <w:t>). The venue's adaptability is demonstrated by the variety of events it has hosted, including business conventions and concerts.</w:t>
      </w:r>
    </w:p>
    <w:p w14:paraId="1CF046BD" w14:textId="5B51BEFB" w:rsidR="0036762B" w:rsidRPr="00E622A7" w:rsidRDefault="003D1D29">
      <w:pPr>
        <w:rPr>
          <w:rFonts w:ascii="Aparajita" w:hAnsi="Aparajita" w:cs="Aparajita"/>
        </w:rPr>
      </w:pPr>
      <w:r w:rsidRPr="00E622A7">
        <w:rPr>
          <w:rFonts w:ascii="Aparajita" w:hAnsi="Aparajita" w:cs="Aparajita"/>
        </w:rPr>
        <w:t>The 3,500 seats provide a cosy atmosphere ideal for boxing matches while striking a balance between community-focused pricing and professional quality. Successful events in other mid-sized venues, such as London's York Hall, which is renowned for its contributions to professional and grassroots boxing, are mirrored in this scale (</w:t>
      </w:r>
      <w:r w:rsidR="009D0BC4">
        <w:rPr>
          <w:rFonts w:ascii="Aparajita" w:hAnsi="Aparajita" w:cs="Aparajita"/>
        </w:rPr>
        <w:t xml:space="preserve">The </w:t>
      </w:r>
      <w:r w:rsidRPr="00E622A7">
        <w:rPr>
          <w:rFonts w:ascii="Aparajita" w:hAnsi="Aparajita" w:cs="Aparajita"/>
        </w:rPr>
        <w:t>Sport Journal</w:t>
      </w:r>
      <w:r w:rsidR="00EF0671">
        <w:rPr>
          <w:rFonts w:ascii="Aparajita" w:hAnsi="Aparajita" w:cs="Aparajita"/>
        </w:rPr>
        <w:t>, 20</w:t>
      </w:r>
      <w:r w:rsidR="009D0BC4">
        <w:rPr>
          <w:rFonts w:ascii="Aparajita" w:hAnsi="Aparajita" w:cs="Aparajita"/>
        </w:rPr>
        <w:t>21</w:t>
      </w:r>
      <w:r w:rsidRPr="00E622A7">
        <w:rPr>
          <w:rFonts w:ascii="Aparajita" w:hAnsi="Aparajita" w:cs="Aparajita"/>
        </w:rPr>
        <w:t>).</w:t>
      </w:r>
    </w:p>
    <w:p w14:paraId="7F67EA9D" w14:textId="77777777" w:rsidR="00FA1B4E" w:rsidRPr="00E622A7" w:rsidRDefault="00FA1B4E" w:rsidP="00FA1B4E">
      <w:pPr>
        <w:rPr>
          <w:rFonts w:ascii="Aparajita" w:hAnsi="Aparajita" w:cs="Aparajita"/>
        </w:rPr>
      </w:pPr>
      <w:r w:rsidRPr="00E622A7">
        <w:rPr>
          <w:rFonts w:ascii="Aparajita" w:hAnsi="Aparajita" w:cs="Aparajita"/>
        </w:rPr>
        <w:t>Demand in the Market</w:t>
      </w:r>
    </w:p>
    <w:p w14:paraId="0460966C" w14:textId="14D03753" w:rsidR="0046170E" w:rsidRDefault="00FA1B4E">
      <w:pPr>
        <w:rPr>
          <w:rFonts w:ascii="Aparajita" w:hAnsi="Aparajita" w:cs="Aparajita"/>
        </w:rPr>
      </w:pPr>
      <w:r w:rsidRPr="00E622A7">
        <w:rPr>
          <w:rFonts w:ascii="Aparajita" w:hAnsi="Aparajita" w:cs="Aparajita"/>
        </w:rPr>
        <w:t xml:space="preserve">Wales has a </w:t>
      </w:r>
      <w:proofErr w:type="spellStart"/>
      <w:r w:rsidRPr="00E622A7">
        <w:rPr>
          <w:rFonts w:ascii="Aparajita" w:hAnsi="Aparajita" w:cs="Aparajita"/>
        </w:rPr>
        <w:t>sizable</w:t>
      </w:r>
      <w:proofErr w:type="spellEnd"/>
      <w:r w:rsidRPr="00E622A7">
        <w:rPr>
          <w:rFonts w:ascii="Aparajita" w:hAnsi="Aparajita" w:cs="Aparajita"/>
        </w:rPr>
        <w:t xml:space="preserve"> boxing fan base, supported by a long history of producing well-known boxers like Joe Calzaghe and Nathan Cleverly. According to a Sport Wales study from 2023, 68% of participants said they would be interested in going to live sporting events if they were reasonably priced and suitable for families. The local interest </w:t>
      </w:r>
      <w:r w:rsidRPr="00E622A7">
        <w:rPr>
          <w:rFonts w:ascii="Aparajita" w:hAnsi="Aparajita" w:cs="Aparajita"/>
        </w:rPr>
        <w:lastRenderedPageBreak/>
        <w:t>in amateur and professional boxing is further evidenced by the popularity of Ultra White Collar Boxing events in Swansea (BMC Public Health</w:t>
      </w:r>
      <w:r w:rsidR="00C95C82">
        <w:rPr>
          <w:rFonts w:ascii="Aparajita" w:hAnsi="Aparajita" w:cs="Aparajita"/>
        </w:rPr>
        <w:t xml:space="preserve">, </w:t>
      </w:r>
      <w:r w:rsidR="00EF0671">
        <w:rPr>
          <w:rFonts w:ascii="Aparajita" w:hAnsi="Aparajita" w:cs="Aparajita"/>
        </w:rPr>
        <w:t>2018</w:t>
      </w:r>
      <w:r w:rsidRPr="00E622A7">
        <w:rPr>
          <w:rFonts w:ascii="Aparajita" w:hAnsi="Aparajita" w:cs="Aparajita"/>
        </w:rPr>
        <w:t>).</w:t>
      </w:r>
    </w:p>
    <w:p w14:paraId="00504208" w14:textId="1F907837" w:rsidR="005A0EC3" w:rsidRPr="00E622A7" w:rsidRDefault="00FA1B4E">
      <w:pPr>
        <w:rPr>
          <w:rFonts w:ascii="Aparajita" w:hAnsi="Aparajita" w:cs="Aparajita"/>
        </w:rPr>
      </w:pPr>
      <w:r w:rsidRPr="00E622A7">
        <w:rPr>
          <w:rFonts w:ascii="Aparajita" w:hAnsi="Aparajita" w:cs="Aparajita"/>
        </w:rPr>
        <w:t xml:space="preserve">Furthermore, boxing has been found to be a successful social inclusion method. Due to its accessibility and cost, boxing events frequently draw a wide range of demographics, including under-represented groups, according to research by </w:t>
      </w:r>
      <w:proofErr w:type="spellStart"/>
      <w:r w:rsidRPr="00E622A7">
        <w:rPr>
          <w:rFonts w:ascii="Aparajita" w:hAnsi="Aparajita" w:cs="Aparajita"/>
        </w:rPr>
        <w:t>Teare</w:t>
      </w:r>
      <w:proofErr w:type="spellEnd"/>
      <w:r w:rsidRPr="00E622A7">
        <w:rPr>
          <w:rFonts w:ascii="Aparajita" w:hAnsi="Aparajita" w:cs="Aparajita"/>
        </w:rPr>
        <w:t xml:space="preserve"> and </w:t>
      </w:r>
      <w:proofErr w:type="spellStart"/>
      <w:r w:rsidRPr="00E622A7">
        <w:rPr>
          <w:rFonts w:ascii="Aparajita" w:hAnsi="Aparajita" w:cs="Aparajita"/>
        </w:rPr>
        <w:t>Taks</w:t>
      </w:r>
      <w:proofErr w:type="spellEnd"/>
      <w:r w:rsidRPr="00E622A7">
        <w:rPr>
          <w:rFonts w:ascii="Aparajita" w:hAnsi="Aparajita" w:cs="Aparajita"/>
        </w:rPr>
        <w:t xml:space="preserve"> (2021) (Frontiers in Sports and Active Living). This suggests that there is a </w:t>
      </w:r>
      <w:proofErr w:type="spellStart"/>
      <w:r w:rsidRPr="00E622A7">
        <w:rPr>
          <w:rFonts w:ascii="Aparajita" w:hAnsi="Aparajita" w:cs="Aparajita"/>
        </w:rPr>
        <w:t>sizable</w:t>
      </w:r>
      <w:proofErr w:type="spellEnd"/>
      <w:r w:rsidRPr="00E622A7">
        <w:rPr>
          <w:rFonts w:ascii="Aparajita" w:hAnsi="Aparajita" w:cs="Aparajita"/>
        </w:rPr>
        <w:t xml:space="preserve"> crowd for a boxing match</w:t>
      </w:r>
      <w:r w:rsidR="00896EF1" w:rsidRPr="00E622A7">
        <w:rPr>
          <w:rFonts w:ascii="Aparajita" w:hAnsi="Aparajita" w:cs="Aparajita"/>
        </w:rPr>
        <w:t>.</w:t>
      </w:r>
    </w:p>
    <w:p w14:paraId="178A0715" w14:textId="06AB8B48" w:rsidR="009C3335" w:rsidRPr="00E622A7" w:rsidRDefault="009C3335" w:rsidP="001042EF">
      <w:pPr>
        <w:rPr>
          <w:rFonts w:ascii="Aparajita" w:hAnsi="Aparajita" w:cs="Aparajita"/>
        </w:rPr>
      </w:pPr>
      <w:r w:rsidRPr="009C3335">
        <w:rPr>
          <w:rFonts w:ascii="Aparajita" w:hAnsi="Aparajita" w:cs="Aparajita"/>
        </w:rPr>
        <w:t>Venue rental (£15,000–£20,000), staffing and equipment (£8,000–£10,000), marketing (£5,000–£7,000), and other expenditures like insurance and permits (£3,000–£5,000) are all included in the anticipated costs of holding this event. Larger, more contemporary venues like Swansea Arena demand greater rates because of their size and facilities, whereas comparable venues like York Hall charge around £2,000 for smaller events (</w:t>
      </w:r>
      <w:proofErr w:type="spellStart"/>
      <w:r w:rsidRPr="009C3335">
        <w:rPr>
          <w:rFonts w:ascii="Aparajita" w:hAnsi="Aparajita" w:cs="Aparajita"/>
        </w:rPr>
        <w:t>BoxRec</w:t>
      </w:r>
      <w:proofErr w:type="spellEnd"/>
      <w:r w:rsidRPr="009C3335">
        <w:rPr>
          <w:rFonts w:ascii="Aparajita" w:hAnsi="Aparajita" w:cs="Aparajita"/>
        </w:rPr>
        <w:t xml:space="preserve"> Forum</w:t>
      </w:r>
      <w:r w:rsidR="009D38C5">
        <w:rPr>
          <w:rFonts w:ascii="Aparajita" w:hAnsi="Aparajita" w:cs="Aparajita"/>
        </w:rPr>
        <w:t>, 2024</w:t>
      </w:r>
      <w:r w:rsidRPr="009C3335">
        <w:rPr>
          <w:rFonts w:ascii="Aparajita" w:hAnsi="Aparajita" w:cs="Aparajita"/>
        </w:rPr>
        <w:t>). For mid-sized events, equipment and staffing expenses, such as boxing rings, lighting, security, and medical personnel, often vary between £8,000 to £10k (England Boxing). Marketing efforts can cost between £5,000 and £7,000, especially if they include online marketing and social media (</w:t>
      </w:r>
      <w:proofErr w:type="spellStart"/>
      <w:r w:rsidRPr="009C3335">
        <w:rPr>
          <w:rFonts w:ascii="Aparajita" w:hAnsi="Aparajita" w:cs="Aparajita"/>
        </w:rPr>
        <w:t>Eventbrite</w:t>
      </w:r>
      <w:proofErr w:type="spellEnd"/>
      <w:r w:rsidR="009D38C5">
        <w:rPr>
          <w:rFonts w:ascii="Aparajita" w:hAnsi="Aparajita" w:cs="Aparajita"/>
        </w:rPr>
        <w:t>, 2023</w:t>
      </w:r>
      <w:r w:rsidRPr="009C3335">
        <w:rPr>
          <w:rFonts w:ascii="Aparajita" w:hAnsi="Aparajita" w:cs="Aparajita"/>
        </w:rPr>
        <w:t>). It is advised to budget between £3,000 and £5,000 for incidentals like insurance and licenses (England Boxing</w:t>
      </w:r>
      <w:r w:rsidR="00235214">
        <w:rPr>
          <w:rFonts w:ascii="Aparajita" w:hAnsi="Aparajita" w:cs="Aparajita"/>
        </w:rPr>
        <w:t>, 2023</w:t>
      </w:r>
      <w:r w:rsidRPr="009C3335">
        <w:rPr>
          <w:rFonts w:ascii="Aparajita" w:hAnsi="Aparajita" w:cs="Aparajita"/>
        </w:rPr>
        <w:t>).</w:t>
      </w:r>
      <w:r>
        <w:rPr>
          <w:rFonts w:ascii="Aparajita" w:hAnsi="Aparajita" w:cs="Aparajita"/>
        </w:rPr>
        <w:t xml:space="preserve"> </w:t>
      </w:r>
      <w:r w:rsidR="00AB7D92" w:rsidRPr="00AB7D92">
        <w:rPr>
          <w:rFonts w:ascii="Aparajita" w:hAnsi="Aparajita" w:cs="Aparajita"/>
        </w:rPr>
        <w:t>With 2,500 people anticipated to attend, ticket sales of £20–£50 may bring in over £100,000 in plus extra money from sponsorships and concessions.</w:t>
      </w:r>
    </w:p>
    <w:p w14:paraId="0CD74683" w14:textId="71C54F9C" w:rsidR="00896EF1" w:rsidRPr="00E622A7" w:rsidRDefault="001042EF">
      <w:pPr>
        <w:rPr>
          <w:rFonts w:ascii="Aparajita" w:hAnsi="Aparajita" w:cs="Aparajita"/>
        </w:rPr>
      </w:pPr>
      <w:r w:rsidRPr="00E622A7">
        <w:rPr>
          <w:rFonts w:ascii="Aparajita" w:hAnsi="Aparajita" w:cs="Aparajita"/>
        </w:rPr>
        <w:t>Grants from Sport Wales and Visit Wales, which give priority to programmes encouraging physical activity and regional tourism, provide funding options (Visit Wales</w:t>
      </w:r>
      <w:r w:rsidR="009D0BC4">
        <w:rPr>
          <w:rFonts w:ascii="Aparajita" w:hAnsi="Aparajita" w:cs="Aparajita"/>
        </w:rPr>
        <w:t>, 2023</w:t>
      </w:r>
      <w:r w:rsidRPr="00E622A7">
        <w:rPr>
          <w:rFonts w:ascii="Aparajita" w:hAnsi="Aparajita" w:cs="Aparajita"/>
        </w:rPr>
        <w:t>). Costs might be further reduced through sponsorship agreements with nearby enterprises, sports leagues, and beverage manufacturers. Because they support corporate social responsibility objectives, events like these frequently obtain sponsorships (International Journal of Event and Festival Management</w:t>
      </w:r>
      <w:r w:rsidR="00030691">
        <w:rPr>
          <w:rFonts w:ascii="Aparajita" w:hAnsi="Aparajita" w:cs="Aparajita"/>
        </w:rPr>
        <w:t xml:space="preserve">, </w:t>
      </w:r>
      <w:r w:rsidR="00517B68">
        <w:rPr>
          <w:rFonts w:ascii="Aparajita" w:hAnsi="Aparajita" w:cs="Aparajita"/>
        </w:rPr>
        <w:t>2012</w:t>
      </w:r>
      <w:r w:rsidRPr="00E622A7">
        <w:rPr>
          <w:rFonts w:ascii="Aparajita" w:hAnsi="Aparajita" w:cs="Aparajita"/>
        </w:rPr>
        <w:t>).</w:t>
      </w:r>
    </w:p>
    <w:p w14:paraId="39893696" w14:textId="77777777" w:rsidR="001A1A22" w:rsidRPr="00E622A7" w:rsidRDefault="001A1A22" w:rsidP="001A1A22">
      <w:pPr>
        <w:rPr>
          <w:rFonts w:ascii="Aparajita" w:hAnsi="Aparajita" w:cs="Aparajita"/>
        </w:rPr>
      </w:pPr>
      <w:r w:rsidRPr="00E622A7">
        <w:rPr>
          <w:rFonts w:ascii="Aparajita" w:hAnsi="Aparajita" w:cs="Aparajita"/>
        </w:rPr>
        <w:t>Strategic Alignment</w:t>
      </w:r>
    </w:p>
    <w:p w14:paraId="5FFFF70D" w14:textId="7072FBF3" w:rsidR="001A1A22" w:rsidRPr="00E622A7" w:rsidRDefault="001A1A22" w:rsidP="001A1A22">
      <w:pPr>
        <w:rPr>
          <w:rFonts w:ascii="Aparajita" w:hAnsi="Aparajita" w:cs="Aparajita"/>
        </w:rPr>
      </w:pPr>
      <w:r w:rsidRPr="00E622A7">
        <w:rPr>
          <w:rFonts w:ascii="Aparajita" w:hAnsi="Aparajita" w:cs="Aparajita"/>
        </w:rPr>
        <w:t>The Welsh Government's strategic initiatives, which place a strong emphasis on inclusivity, health promotion, and sports-based economic growth, are closely aligned with this event. The government's goal of increasing involvement across age ranges, especially in underprivileged areas, is supported by the grassroots boxing initiative (Welsh Government</w:t>
      </w:r>
      <w:r w:rsidR="00517B68">
        <w:rPr>
          <w:rFonts w:ascii="Aparajita" w:hAnsi="Aparajita" w:cs="Aparajita"/>
        </w:rPr>
        <w:t>, 2012</w:t>
      </w:r>
      <w:r w:rsidRPr="00E622A7">
        <w:rPr>
          <w:rFonts w:ascii="Aparajita" w:hAnsi="Aparajita" w:cs="Aparajita"/>
        </w:rPr>
        <w:t>). Additionally, hosting a variety of cultural and sporting events is cited as a major factor in economic development in Swansea Council's Tourism and Events Strategy 2024–2030.</w:t>
      </w:r>
    </w:p>
    <w:p w14:paraId="075BB11F" w14:textId="63775CE9" w:rsidR="00185477" w:rsidRPr="00E622A7" w:rsidRDefault="001A1A22">
      <w:pPr>
        <w:rPr>
          <w:rFonts w:ascii="Aparajita" w:hAnsi="Aparajita" w:cs="Aparajita"/>
        </w:rPr>
      </w:pPr>
      <w:r w:rsidRPr="00E622A7">
        <w:rPr>
          <w:rFonts w:ascii="Aparajita" w:hAnsi="Aparajita" w:cs="Aparajita"/>
        </w:rPr>
        <w:t>Boxing is a useful instrument for accomplishing these goals because of its accessibility and broad appeal. For instance, Brown's (2010) study on the financial effects of sporting events emphasised boxing's capacity to draw spectators from a range of socioeconomic backgrounds, hence promoting more community involvement (UK Sport</w:t>
      </w:r>
      <w:r w:rsidR="00517B68">
        <w:rPr>
          <w:rFonts w:ascii="Aparajita" w:hAnsi="Aparajita" w:cs="Aparajita"/>
        </w:rPr>
        <w:t>, 2</w:t>
      </w:r>
      <w:r w:rsidR="00786419">
        <w:rPr>
          <w:rFonts w:ascii="Aparajita" w:hAnsi="Aparajita" w:cs="Aparajita"/>
        </w:rPr>
        <w:t>010</w:t>
      </w:r>
      <w:r w:rsidRPr="00E622A7">
        <w:rPr>
          <w:rFonts w:ascii="Aparajita" w:hAnsi="Aparajita" w:cs="Aparajita"/>
        </w:rPr>
        <w:t>).</w:t>
      </w:r>
    </w:p>
    <w:p w14:paraId="6E7C7754" w14:textId="77777777" w:rsidR="00070883" w:rsidRPr="00E622A7" w:rsidRDefault="00070883" w:rsidP="00070883">
      <w:pPr>
        <w:rPr>
          <w:rFonts w:ascii="Aparajita" w:hAnsi="Aparajita" w:cs="Aparajita"/>
        </w:rPr>
      </w:pPr>
      <w:r w:rsidRPr="00E622A7">
        <w:rPr>
          <w:rFonts w:ascii="Aparajita" w:hAnsi="Aparajita" w:cs="Aparajita"/>
        </w:rPr>
        <w:t>Possible Effects: Economic Impact</w:t>
      </w:r>
    </w:p>
    <w:p w14:paraId="2CBF4C6B" w14:textId="0EC81B03" w:rsidR="00070883" w:rsidRPr="00E622A7" w:rsidRDefault="00070883" w:rsidP="00070883">
      <w:pPr>
        <w:rPr>
          <w:rFonts w:ascii="Aparajita" w:hAnsi="Aparajita" w:cs="Aparajita"/>
        </w:rPr>
      </w:pPr>
      <w:r w:rsidRPr="00E622A7">
        <w:rPr>
          <w:rFonts w:ascii="Aparajita" w:hAnsi="Aparajita" w:cs="Aparajita"/>
        </w:rPr>
        <w:t xml:space="preserve">Beyond ticket sales, Swansea Arena offers additional economic advantages when hosting a boxing match. The money that attendees are anticipated to spend on lodging, food, and transportation will bring in a </w:t>
      </w:r>
      <w:r w:rsidR="00830E7B" w:rsidRPr="00E622A7">
        <w:rPr>
          <w:rFonts w:ascii="Aparajita" w:hAnsi="Aparajita" w:cs="Aparajita"/>
        </w:rPr>
        <w:t>sizeable</w:t>
      </w:r>
      <w:r w:rsidRPr="00E622A7">
        <w:rPr>
          <w:rFonts w:ascii="Aparajita" w:hAnsi="Aparajita" w:cs="Aparajita"/>
        </w:rPr>
        <w:t xml:space="preserve"> sum of money for nearby companies. Increased expenditure in the hospitality industry was the main driver of the over £500,000 economic impact of a comparable event in Cardiff (Academia.edu</w:t>
      </w:r>
      <w:r w:rsidR="006E2660">
        <w:rPr>
          <w:rFonts w:ascii="Aparajita" w:hAnsi="Aparajita" w:cs="Aparajita"/>
        </w:rPr>
        <w:t>,</w:t>
      </w:r>
      <w:r w:rsidR="00130260">
        <w:rPr>
          <w:rFonts w:ascii="Aparajita" w:hAnsi="Aparajita" w:cs="Aparajita"/>
        </w:rPr>
        <w:t xml:space="preserve"> 2023</w:t>
      </w:r>
      <w:r w:rsidRPr="00E622A7">
        <w:rPr>
          <w:rFonts w:ascii="Aparajita" w:hAnsi="Aparajita" w:cs="Aparajita"/>
        </w:rPr>
        <w:t>).</w:t>
      </w:r>
    </w:p>
    <w:p w14:paraId="6CFB0C46" w14:textId="13365764" w:rsidR="001A1A22" w:rsidRPr="00E622A7" w:rsidRDefault="00070883">
      <w:pPr>
        <w:rPr>
          <w:rFonts w:ascii="Aparajita" w:hAnsi="Aparajita" w:cs="Aparajita"/>
        </w:rPr>
      </w:pPr>
      <w:r w:rsidRPr="00E622A7">
        <w:rPr>
          <w:rFonts w:ascii="Aparajita" w:hAnsi="Aparajita" w:cs="Aparajita"/>
        </w:rPr>
        <w:lastRenderedPageBreak/>
        <w:t>Additionally, temporary positions in catering, security, and event management may offer extra financial advantages. By strengthening Swansea's standing as a sports and entertainment destination, the event's media coverage may also increase future travel (Sage Journals</w:t>
      </w:r>
      <w:r w:rsidR="00786419">
        <w:rPr>
          <w:rFonts w:ascii="Aparajita" w:hAnsi="Aparajita" w:cs="Aparajita"/>
        </w:rPr>
        <w:t>, 2019</w:t>
      </w:r>
      <w:r w:rsidRPr="00E622A7">
        <w:rPr>
          <w:rFonts w:ascii="Aparajita" w:hAnsi="Aparajita" w:cs="Aparajita"/>
        </w:rPr>
        <w:t>).</w:t>
      </w:r>
    </w:p>
    <w:p w14:paraId="3938AD71" w14:textId="77777777" w:rsidR="00AE69CD" w:rsidRPr="00E622A7" w:rsidRDefault="00AE69CD" w:rsidP="00AE69CD">
      <w:pPr>
        <w:rPr>
          <w:rFonts w:ascii="Aparajita" w:hAnsi="Aparajita" w:cs="Aparajita"/>
        </w:rPr>
      </w:pPr>
      <w:r w:rsidRPr="00E622A7">
        <w:rPr>
          <w:rFonts w:ascii="Aparajita" w:hAnsi="Aparajita" w:cs="Aparajita"/>
        </w:rPr>
        <w:t>Impact on Society</w:t>
      </w:r>
    </w:p>
    <w:p w14:paraId="0E303A09" w14:textId="6CBDA783" w:rsidR="00435F4D" w:rsidRDefault="00AE69CD">
      <w:pPr>
        <w:rPr>
          <w:rFonts w:ascii="Aparajita" w:hAnsi="Aparajita" w:cs="Aparajita"/>
        </w:rPr>
      </w:pPr>
      <w:r w:rsidRPr="00E622A7">
        <w:rPr>
          <w:rFonts w:ascii="Aparajita" w:hAnsi="Aparajita" w:cs="Aparajita"/>
        </w:rPr>
        <w:t xml:space="preserve">This event's grassroots boxing events can promote discipline, civic engagement, and exercise.  A research by </w:t>
      </w:r>
      <w:proofErr w:type="spellStart"/>
      <w:r w:rsidRPr="00E622A7">
        <w:rPr>
          <w:rFonts w:ascii="Aparajita" w:hAnsi="Aparajita" w:cs="Aparajita"/>
        </w:rPr>
        <w:t>Ramchandani</w:t>
      </w:r>
      <w:proofErr w:type="spellEnd"/>
      <w:r w:rsidRPr="00E622A7">
        <w:rPr>
          <w:rFonts w:ascii="Aparajita" w:hAnsi="Aparajita" w:cs="Aparajita"/>
        </w:rPr>
        <w:t xml:space="preserve"> and Coleman (2012) found that grassroots sports programs frequently result in higher rates of participation, especially among young people (International Journal of Event and Festival Management</w:t>
      </w:r>
      <w:r w:rsidR="00130260">
        <w:rPr>
          <w:rFonts w:ascii="Aparajita" w:hAnsi="Aparajita" w:cs="Aparajita"/>
        </w:rPr>
        <w:t>, 2012</w:t>
      </w:r>
      <w:r w:rsidRPr="00E622A7">
        <w:rPr>
          <w:rFonts w:ascii="Aparajita" w:hAnsi="Aparajita" w:cs="Aparajita"/>
        </w:rPr>
        <w:t>). According to a study by Hills (2017) (London Metropolitan University), boxing has also been shown to improve mental health outcomes and decrease antisocial behaviour.</w:t>
      </w:r>
    </w:p>
    <w:p w14:paraId="7C3E87F9" w14:textId="315E6AB4" w:rsidR="00070883" w:rsidRPr="00E622A7" w:rsidRDefault="00AE69CD">
      <w:pPr>
        <w:rPr>
          <w:rFonts w:ascii="Aparajita" w:hAnsi="Aparajita" w:cs="Aparajita"/>
        </w:rPr>
      </w:pPr>
      <w:r w:rsidRPr="00E622A7">
        <w:rPr>
          <w:rFonts w:ascii="Aparajita" w:hAnsi="Aparajita" w:cs="Aparajita"/>
        </w:rPr>
        <w:t>The event inspires the next generation of athletes by presenting Welsh talent in a professional atmosphere, fostering community pride and serving as role models for young people.</w:t>
      </w:r>
    </w:p>
    <w:p w14:paraId="4E0E2064" w14:textId="77777777" w:rsidR="0059691E" w:rsidRPr="00E622A7" w:rsidRDefault="0059691E" w:rsidP="0059691E">
      <w:pPr>
        <w:rPr>
          <w:rFonts w:ascii="Aparajita" w:hAnsi="Aparajita" w:cs="Aparajita"/>
        </w:rPr>
      </w:pPr>
      <w:r w:rsidRPr="00E622A7">
        <w:rPr>
          <w:rFonts w:ascii="Aparajita" w:hAnsi="Aparajita" w:cs="Aparajita"/>
        </w:rPr>
        <w:t>The Competition and Its Obstacles</w:t>
      </w:r>
    </w:p>
    <w:p w14:paraId="2EBEE95E" w14:textId="77777777" w:rsidR="0059691E" w:rsidRPr="00E622A7" w:rsidRDefault="0059691E" w:rsidP="0059691E">
      <w:pPr>
        <w:rPr>
          <w:rFonts w:ascii="Aparajita" w:hAnsi="Aparajita" w:cs="Aparajita"/>
        </w:rPr>
      </w:pPr>
      <w:r w:rsidRPr="00E622A7">
        <w:rPr>
          <w:rFonts w:ascii="Aparajita" w:hAnsi="Aparajita" w:cs="Aparajita"/>
        </w:rPr>
        <w:t>Larger venues like Cardiff International Arena, which holds well-known boxing contests with international names, compete with Swansea Arena. But what sets Swansea Arena apart from these bigger events is its emphasis on local talent and community involvement. The event can draw a certain audience segment by providing family-friendly programs and reasonably priced tickets.</w:t>
      </w:r>
    </w:p>
    <w:p w14:paraId="710917F3" w14:textId="77777777" w:rsidR="0059691E" w:rsidRPr="00E622A7" w:rsidRDefault="0059691E" w:rsidP="0059691E">
      <w:pPr>
        <w:rPr>
          <w:rFonts w:ascii="Aparajita" w:hAnsi="Aparajita" w:cs="Aparajita"/>
        </w:rPr>
      </w:pPr>
      <w:r w:rsidRPr="00E622A7">
        <w:rPr>
          <w:rFonts w:ascii="Aparajita" w:hAnsi="Aparajita" w:cs="Aparajita"/>
        </w:rPr>
        <w:t>Challenges in Logistics</w:t>
      </w:r>
    </w:p>
    <w:p w14:paraId="2CA38398" w14:textId="511C86B3" w:rsidR="0059691E" w:rsidRPr="00E622A7" w:rsidRDefault="0059691E">
      <w:pPr>
        <w:rPr>
          <w:rFonts w:ascii="Aparajita" w:hAnsi="Aparajita" w:cs="Aparajita"/>
        </w:rPr>
      </w:pPr>
      <w:r w:rsidRPr="00E622A7">
        <w:rPr>
          <w:rFonts w:ascii="Aparajita" w:hAnsi="Aparajita" w:cs="Aparajita"/>
        </w:rPr>
        <w:t>There are logistical obstacles when organising a day-long event that includes both professional and grassroots components. Smooth execution will depend on careful planning, which includes employing seasoned event managers and following the British Boxing Board of Control's rules (The Sport Journal</w:t>
      </w:r>
      <w:r w:rsidR="00786419">
        <w:rPr>
          <w:rFonts w:ascii="Aparajita" w:hAnsi="Aparajita" w:cs="Aparajita"/>
        </w:rPr>
        <w:t>, 20</w:t>
      </w:r>
      <w:r w:rsidR="00842507">
        <w:rPr>
          <w:rFonts w:ascii="Aparajita" w:hAnsi="Aparajita" w:cs="Aparajita"/>
        </w:rPr>
        <w:t>21</w:t>
      </w:r>
      <w:r w:rsidRPr="00E622A7">
        <w:rPr>
          <w:rFonts w:ascii="Aparajita" w:hAnsi="Aparajita" w:cs="Aparajita"/>
        </w:rPr>
        <w:t>).</w:t>
      </w:r>
    </w:p>
    <w:p w14:paraId="2E14D8F8" w14:textId="77777777" w:rsidR="00F027E4" w:rsidRPr="00E622A7" w:rsidRDefault="00F027E4" w:rsidP="00F027E4">
      <w:pPr>
        <w:rPr>
          <w:rFonts w:ascii="Aparajita" w:hAnsi="Aparajita" w:cs="Aparajita"/>
        </w:rPr>
      </w:pPr>
      <w:r w:rsidRPr="00E622A7">
        <w:rPr>
          <w:rFonts w:ascii="Aparajita" w:hAnsi="Aparajita" w:cs="Aparajita"/>
        </w:rPr>
        <w:t>In conclusion</w:t>
      </w:r>
    </w:p>
    <w:p w14:paraId="5249A3B0" w14:textId="70D474E3" w:rsidR="000017E1" w:rsidRDefault="00F027E4">
      <w:pPr>
        <w:rPr>
          <w:rFonts w:ascii="Aparajita" w:hAnsi="Aparajita" w:cs="Aparajita"/>
        </w:rPr>
      </w:pPr>
      <w:r w:rsidRPr="00E622A7">
        <w:rPr>
          <w:rFonts w:ascii="Aparajita" w:hAnsi="Aparajita" w:cs="Aparajita"/>
        </w:rPr>
        <w:t>Swansea Arena is a viable and tactically sound venue for boxing events, with the potential to yield significant cultural, social, and economic advantages. The event may become a mainstay of Swansea's athletic calendar by utilising the arena's strengths, interacting with the local community, and exhibiting Welsh talent. This project has the potential to improve the local sports scene and advance Wales' larger cultural and economic goals with careful planning, cooperation, and promotion.</w:t>
      </w:r>
    </w:p>
    <w:p w14:paraId="47796BD1" w14:textId="77777777" w:rsidR="007314A5" w:rsidRDefault="007314A5">
      <w:pPr>
        <w:rPr>
          <w:rFonts w:ascii="Aparajita" w:hAnsi="Aparajita" w:cs="Aparajita"/>
        </w:rPr>
      </w:pPr>
    </w:p>
    <w:p w14:paraId="22B4B2CE" w14:textId="41521DE0" w:rsidR="007314A5" w:rsidRDefault="007314A5">
      <w:pPr>
        <w:rPr>
          <w:rFonts w:ascii="Aparajita" w:hAnsi="Aparajita" w:cs="Aparajita"/>
        </w:rPr>
      </w:pPr>
      <w:r>
        <w:rPr>
          <w:rFonts w:ascii="Aparajita" w:hAnsi="Aparajita" w:cs="Aparajita"/>
        </w:rPr>
        <w:t>Reference List</w:t>
      </w:r>
    </w:p>
    <w:p w14:paraId="3717744F" w14:textId="60847952" w:rsidR="008B27DB" w:rsidRPr="00937A55" w:rsidRDefault="008B27DB" w:rsidP="00937A55">
      <w:pPr>
        <w:pStyle w:val="ListParagraph"/>
        <w:numPr>
          <w:ilvl w:val="0"/>
          <w:numId w:val="4"/>
        </w:numPr>
        <w:spacing w:after="0" w:line="240" w:lineRule="auto"/>
        <w:divId w:val="447622150"/>
        <w:rPr>
          <w:rFonts w:asciiTheme="majorHAnsi" w:eastAsia="Times New Roman" w:hAnsiTheme="majorHAnsi" w:cs="Times New Roman"/>
          <w:kern w:val="0"/>
          <w:sz w:val="22"/>
          <w:szCs w:val="22"/>
          <w14:ligatures w14:val="none"/>
        </w:rPr>
      </w:pPr>
      <w:r w:rsidRPr="00937A55">
        <w:rPr>
          <w:rFonts w:asciiTheme="majorHAnsi" w:eastAsia="Times New Roman" w:hAnsiTheme="majorHAnsi" w:cs="Times New Roman"/>
          <w:kern w:val="0"/>
          <w:sz w:val="22"/>
          <w:szCs w:val="22"/>
          <w14:ligatures w14:val="none"/>
        </w:rPr>
        <w:t>Academia.edu (2023): Evaluating Economic Impacts of Major Sports Events: A Meta-analysis of the Key Trends. Available at: </w:t>
      </w:r>
      <w:hyperlink r:id="rId6" w:tgtFrame="_new" w:history="1">
        <w:r w:rsidRPr="00937A55">
          <w:rPr>
            <w:rFonts w:asciiTheme="majorHAnsi" w:eastAsia="Times New Roman" w:hAnsiTheme="majorHAnsi" w:cs="Times New Roman"/>
            <w:color w:val="0000FF"/>
            <w:kern w:val="0"/>
            <w:sz w:val="22"/>
            <w:szCs w:val="22"/>
            <w:u w:val="single"/>
            <w14:ligatures w14:val="none"/>
          </w:rPr>
          <w:t>https://academia.edu</w:t>
        </w:r>
      </w:hyperlink>
      <w:r w:rsidRPr="00937A55">
        <w:rPr>
          <w:rFonts w:asciiTheme="majorHAnsi" w:eastAsia="Times New Roman" w:hAnsiTheme="majorHAnsi" w:cs="Times New Roman"/>
          <w:kern w:val="0"/>
          <w:sz w:val="22"/>
          <w:szCs w:val="22"/>
          <w14:ligatures w14:val="none"/>
        </w:rPr>
        <w:t> (Accessed: 18 November 2024).</w:t>
      </w:r>
    </w:p>
    <w:p w14:paraId="19D5C734" w14:textId="052A6111" w:rsidR="008B27DB" w:rsidRPr="00937A55" w:rsidRDefault="008B27DB" w:rsidP="00937A55">
      <w:pPr>
        <w:pStyle w:val="ListParagraph"/>
        <w:numPr>
          <w:ilvl w:val="0"/>
          <w:numId w:val="4"/>
        </w:numPr>
        <w:spacing w:after="0" w:line="240" w:lineRule="auto"/>
        <w:divId w:val="447622150"/>
        <w:rPr>
          <w:rFonts w:asciiTheme="majorHAnsi" w:eastAsia="Times New Roman" w:hAnsiTheme="majorHAnsi" w:cs="Times New Roman"/>
          <w:kern w:val="0"/>
          <w:sz w:val="22"/>
          <w:szCs w:val="22"/>
          <w14:ligatures w14:val="none"/>
        </w:rPr>
      </w:pPr>
      <w:r w:rsidRPr="00937A55">
        <w:rPr>
          <w:rFonts w:asciiTheme="majorHAnsi" w:eastAsia="Times New Roman" w:hAnsiTheme="majorHAnsi" w:cs="Times New Roman"/>
          <w:kern w:val="0"/>
          <w:sz w:val="22"/>
          <w:szCs w:val="22"/>
          <w14:ligatures w14:val="none"/>
        </w:rPr>
        <w:t>BMC Public Health (2018): 'Impact of community-based boxing initiatives on participation and social inclusion'. Available at: https://bmcpublichealth.biomedcentral.com (Accessed: 19 November 2024).</w:t>
      </w:r>
    </w:p>
    <w:p w14:paraId="3947DAD3" w14:textId="0A8842E3" w:rsidR="008B27DB" w:rsidRPr="00937A55" w:rsidRDefault="008B27DB" w:rsidP="00937A55">
      <w:pPr>
        <w:pStyle w:val="ListParagraph"/>
        <w:numPr>
          <w:ilvl w:val="0"/>
          <w:numId w:val="4"/>
        </w:numPr>
        <w:spacing w:after="0" w:line="240" w:lineRule="auto"/>
        <w:divId w:val="447622150"/>
        <w:rPr>
          <w:rFonts w:asciiTheme="majorHAnsi" w:eastAsia="Times New Roman" w:hAnsiTheme="majorHAnsi" w:cs="Times New Roman"/>
          <w:kern w:val="0"/>
          <w:sz w:val="22"/>
          <w:szCs w:val="22"/>
          <w14:ligatures w14:val="none"/>
        </w:rPr>
      </w:pPr>
      <w:r w:rsidRPr="00937A55">
        <w:rPr>
          <w:rFonts w:asciiTheme="majorHAnsi" w:eastAsia="Times New Roman" w:hAnsiTheme="majorHAnsi" w:cs="Times New Roman"/>
          <w:kern w:val="0"/>
          <w:sz w:val="22"/>
          <w:szCs w:val="22"/>
          <w14:ligatures w14:val="none"/>
        </w:rPr>
        <w:t>Brown, A. (2010): EventIMPACTS: A toolkit to assess and measure the impact and benefits of hosting major events. London: UK Sport. Available at: </w:t>
      </w:r>
      <w:hyperlink r:id="rId7" w:tgtFrame="_new" w:history="1">
        <w:r w:rsidRPr="00937A55">
          <w:rPr>
            <w:rFonts w:asciiTheme="majorHAnsi" w:eastAsia="Times New Roman" w:hAnsiTheme="majorHAnsi" w:cs="Times New Roman"/>
            <w:color w:val="0000FF"/>
            <w:kern w:val="0"/>
            <w:sz w:val="22"/>
            <w:szCs w:val="22"/>
            <w:u w:val="single"/>
            <w14:ligatures w14:val="none"/>
          </w:rPr>
          <w:t>https://core.ac.uk</w:t>
        </w:r>
      </w:hyperlink>
      <w:r w:rsidRPr="00937A55">
        <w:rPr>
          <w:rFonts w:asciiTheme="majorHAnsi" w:eastAsia="Times New Roman" w:hAnsiTheme="majorHAnsi" w:cs="Times New Roman"/>
          <w:kern w:val="0"/>
          <w:sz w:val="22"/>
          <w:szCs w:val="22"/>
          <w14:ligatures w14:val="none"/>
        </w:rPr>
        <w:t> (Accessed: 18 November 2024).</w:t>
      </w:r>
    </w:p>
    <w:p w14:paraId="14A2AEB1" w14:textId="135C127A" w:rsidR="008B27DB" w:rsidRPr="00937A55" w:rsidRDefault="008B27DB" w:rsidP="00937A55">
      <w:pPr>
        <w:pStyle w:val="ListParagraph"/>
        <w:numPr>
          <w:ilvl w:val="0"/>
          <w:numId w:val="4"/>
        </w:numPr>
        <w:spacing w:after="0" w:line="240" w:lineRule="auto"/>
        <w:divId w:val="447622150"/>
        <w:rPr>
          <w:rFonts w:asciiTheme="majorHAnsi" w:eastAsia="Times New Roman" w:hAnsiTheme="majorHAnsi" w:cs="Times New Roman"/>
          <w:kern w:val="0"/>
          <w:sz w:val="22"/>
          <w:szCs w:val="22"/>
          <w14:ligatures w14:val="none"/>
        </w:rPr>
      </w:pPr>
      <w:r w:rsidRPr="00937A55">
        <w:rPr>
          <w:rFonts w:asciiTheme="majorHAnsi" w:eastAsia="Times New Roman" w:hAnsiTheme="majorHAnsi" w:cs="Times New Roman"/>
          <w:kern w:val="0"/>
          <w:sz w:val="22"/>
          <w:szCs w:val="22"/>
          <w14:ligatures w14:val="none"/>
        </w:rPr>
        <w:lastRenderedPageBreak/>
        <w:t>Hills, S. (2017): New research suggests why boxing helps re-engage disaffected young people. London Metropolitan University. Available at: </w:t>
      </w:r>
      <w:hyperlink r:id="rId8" w:tgtFrame="_new" w:history="1">
        <w:r w:rsidRPr="00937A55">
          <w:rPr>
            <w:rFonts w:asciiTheme="majorHAnsi" w:eastAsia="Times New Roman" w:hAnsiTheme="majorHAnsi" w:cs="Times New Roman"/>
            <w:color w:val="0000FF"/>
            <w:kern w:val="0"/>
            <w:sz w:val="22"/>
            <w:szCs w:val="22"/>
            <w:u w:val="single"/>
            <w14:ligatures w14:val="none"/>
          </w:rPr>
          <w:t>https://londonmet.ac.uk</w:t>
        </w:r>
      </w:hyperlink>
      <w:r w:rsidRPr="00937A55">
        <w:rPr>
          <w:rFonts w:asciiTheme="majorHAnsi" w:eastAsia="Times New Roman" w:hAnsiTheme="majorHAnsi" w:cs="Times New Roman"/>
          <w:kern w:val="0"/>
          <w:sz w:val="22"/>
          <w:szCs w:val="22"/>
          <w14:ligatures w14:val="none"/>
        </w:rPr>
        <w:t> (Accessed: 18 November 2024).</w:t>
      </w:r>
    </w:p>
    <w:p w14:paraId="40146E34" w14:textId="423A6221" w:rsidR="008B27DB" w:rsidRPr="00937A55" w:rsidRDefault="008B27DB" w:rsidP="00937A55">
      <w:pPr>
        <w:pStyle w:val="ListParagraph"/>
        <w:numPr>
          <w:ilvl w:val="0"/>
          <w:numId w:val="4"/>
        </w:numPr>
        <w:spacing w:after="0" w:line="240" w:lineRule="auto"/>
        <w:divId w:val="447622150"/>
        <w:rPr>
          <w:rFonts w:asciiTheme="majorHAnsi" w:eastAsia="Times New Roman" w:hAnsiTheme="majorHAnsi" w:cs="Times New Roman"/>
          <w:kern w:val="0"/>
          <w:sz w:val="22"/>
          <w:szCs w:val="22"/>
          <w14:ligatures w14:val="none"/>
        </w:rPr>
      </w:pPr>
      <w:proofErr w:type="spellStart"/>
      <w:r w:rsidRPr="00937A55">
        <w:rPr>
          <w:rFonts w:asciiTheme="majorHAnsi" w:eastAsia="Times New Roman" w:hAnsiTheme="majorHAnsi" w:cs="Times New Roman"/>
          <w:kern w:val="0"/>
          <w:sz w:val="22"/>
          <w:szCs w:val="22"/>
          <w14:ligatures w14:val="none"/>
        </w:rPr>
        <w:t>Ramchandani</w:t>
      </w:r>
      <w:proofErr w:type="spellEnd"/>
      <w:r w:rsidRPr="00937A55">
        <w:rPr>
          <w:rFonts w:asciiTheme="majorHAnsi" w:eastAsia="Times New Roman" w:hAnsiTheme="majorHAnsi" w:cs="Times New Roman"/>
          <w:kern w:val="0"/>
          <w:sz w:val="22"/>
          <w:szCs w:val="22"/>
          <w14:ligatures w14:val="none"/>
        </w:rPr>
        <w:t>, G. and Coleman, R. (2012): 'Testing the accuracy of event economic impact forecasts', International Journal of Event and Festival Management, 3(2), pp. 188–200. Available at: </w:t>
      </w:r>
      <w:hyperlink r:id="rId9" w:tgtFrame="_new" w:history="1">
        <w:r w:rsidRPr="00937A55">
          <w:rPr>
            <w:rFonts w:asciiTheme="majorHAnsi" w:eastAsia="Times New Roman" w:hAnsiTheme="majorHAnsi" w:cs="Times New Roman"/>
            <w:color w:val="0000FF"/>
            <w:kern w:val="0"/>
            <w:sz w:val="22"/>
            <w:szCs w:val="22"/>
            <w:u w:val="single"/>
            <w14:ligatures w14:val="none"/>
          </w:rPr>
          <w:t>https://core.ac.uk</w:t>
        </w:r>
      </w:hyperlink>
      <w:r w:rsidRPr="00937A55">
        <w:rPr>
          <w:rFonts w:asciiTheme="majorHAnsi" w:eastAsia="Times New Roman" w:hAnsiTheme="majorHAnsi" w:cs="Times New Roman"/>
          <w:kern w:val="0"/>
          <w:sz w:val="22"/>
          <w:szCs w:val="22"/>
          <w14:ligatures w14:val="none"/>
        </w:rPr>
        <w:t> (Accessed: 19 November 2024).</w:t>
      </w:r>
    </w:p>
    <w:p w14:paraId="6AD499AE" w14:textId="78F49706" w:rsidR="008B27DB" w:rsidRPr="00937A55" w:rsidRDefault="008B27DB" w:rsidP="00937A55">
      <w:pPr>
        <w:pStyle w:val="ListParagraph"/>
        <w:numPr>
          <w:ilvl w:val="0"/>
          <w:numId w:val="4"/>
        </w:numPr>
        <w:spacing w:after="0" w:line="240" w:lineRule="auto"/>
        <w:divId w:val="447622150"/>
        <w:rPr>
          <w:rFonts w:asciiTheme="majorHAnsi" w:eastAsia="Times New Roman" w:hAnsiTheme="majorHAnsi" w:cs="Times New Roman"/>
          <w:kern w:val="0"/>
          <w:sz w:val="22"/>
          <w:szCs w:val="22"/>
          <w14:ligatures w14:val="none"/>
        </w:rPr>
      </w:pPr>
      <w:r w:rsidRPr="00937A55">
        <w:rPr>
          <w:rFonts w:asciiTheme="majorHAnsi" w:eastAsia="Times New Roman" w:hAnsiTheme="majorHAnsi" w:cs="Times New Roman"/>
          <w:kern w:val="0"/>
          <w:sz w:val="22"/>
          <w:szCs w:val="22"/>
          <w14:ligatures w14:val="none"/>
        </w:rPr>
        <w:t>Sage Journals (2019): 'The economic impact of regional sports events in host cities'. Available at: https://journals.sagepub.com (Accessed: 20 November 2024).</w:t>
      </w:r>
    </w:p>
    <w:p w14:paraId="79188B6A" w14:textId="4E5ECBDE" w:rsidR="008B27DB" w:rsidRPr="00937A55" w:rsidRDefault="008B27DB" w:rsidP="00937A55">
      <w:pPr>
        <w:pStyle w:val="ListParagraph"/>
        <w:numPr>
          <w:ilvl w:val="0"/>
          <w:numId w:val="4"/>
        </w:numPr>
        <w:spacing w:after="0" w:line="240" w:lineRule="auto"/>
        <w:divId w:val="447622150"/>
        <w:rPr>
          <w:rFonts w:asciiTheme="majorHAnsi" w:eastAsia="Times New Roman" w:hAnsiTheme="majorHAnsi" w:cs="Times New Roman"/>
          <w:kern w:val="0"/>
          <w:sz w:val="22"/>
          <w:szCs w:val="22"/>
          <w14:ligatures w14:val="none"/>
        </w:rPr>
      </w:pPr>
      <w:r w:rsidRPr="00937A55">
        <w:rPr>
          <w:rFonts w:asciiTheme="majorHAnsi" w:eastAsia="Times New Roman" w:hAnsiTheme="majorHAnsi" w:cs="Times New Roman"/>
          <w:kern w:val="0"/>
          <w:sz w:val="22"/>
          <w:szCs w:val="22"/>
          <w14:ligatures w14:val="none"/>
        </w:rPr>
        <w:t>Sport Wales (2023): Annual Report and Strategy. Available at: </w:t>
      </w:r>
      <w:hyperlink r:id="rId10" w:tgtFrame="_new" w:history="1">
        <w:r w:rsidRPr="00937A55">
          <w:rPr>
            <w:rFonts w:asciiTheme="majorHAnsi" w:eastAsia="Times New Roman" w:hAnsiTheme="majorHAnsi" w:cs="Times New Roman"/>
            <w:color w:val="0000FF"/>
            <w:kern w:val="0"/>
            <w:sz w:val="22"/>
            <w:szCs w:val="22"/>
            <w:u w:val="single"/>
            <w14:ligatures w14:val="none"/>
          </w:rPr>
          <w:t>https://sport.wales</w:t>
        </w:r>
      </w:hyperlink>
      <w:r w:rsidRPr="00937A55">
        <w:rPr>
          <w:rFonts w:asciiTheme="majorHAnsi" w:eastAsia="Times New Roman" w:hAnsiTheme="majorHAnsi" w:cs="Times New Roman"/>
          <w:kern w:val="0"/>
          <w:sz w:val="22"/>
          <w:szCs w:val="22"/>
          <w14:ligatures w14:val="none"/>
        </w:rPr>
        <w:t> (Accessed: 19 November 2024).</w:t>
      </w:r>
    </w:p>
    <w:p w14:paraId="3DA94E3B" w14:textId="52F6C1AD" w:rsidR="008B27DB" w:rsidRPr="00937A55" w:rsidRDefault="008B27DB" w:rsidP="00937A55">
      <w:pPr>
        <w:pStyle w:val="ListParagraph"/>
        <w:numPr>
          <w:ilvl w:val="0"/>
          <w:numId w:val="4"/>
        </w:numPr>
        <w:spacing w:after="0" w:line="240" w:lineRule="auto"/>
        <w:divId w:val="447622150"/>
        <w:rPr>
          <w:rFonts w:asciiTheme="majorHAnsi" w:eastAsia="Times New Roman" w:hAnsiTheme="majorHAnsi" w:cs="Times New Roman"/>
          <w:kern w:val="0"/>
          <w:sz w:val="22"/>
          <w:szCs w:val="22"/>
          <w14:ligatures w14:val="none"/>
        </w:rPr>
      </w:pPr>
      <w:r w:rsidRPr="00937A55">
        <w:rPr>
          <w:rFonts w:asciiTheme="majorHAnsi" w:eastAsia="Times New Roman" w:hAnsiTheme="majorHAnsi" w:cs="Times New Roman"/>
          <w:kern w:val="0"/>
          <w:sz w:val="22"/>
          <w:szCs w:val="22"/>
          <w14:ligatures w14:val="none"/>
        </w:rPr>
        <w:t>Swansea Council (2024): Tourism and Events Strategy 2024–2030. Available at: </w:t>
      </w:r>
      <w:hyperlink r:id="rId11" w:tgtFrame="_new" w:history="1">
        <w:r w:rsidRPr="00937A55">
          <w:rPr>
            <w:rFonts w:asciiTheme="majorHAnsi" w:eastAsia="Times New Roman" w:hAnsiTheme="majorHAnsi" w:cs="Times New Roman"/>
            <w:color w:val="0000FF"/>
            <w:kern w:val="0"/>
            <w:sz w:val="22"/>
            <w:szCs w:val="22"/>
            <w:u w:val="single"/>
            <w14:ligatures w14:val="none"/>
          </w:rPr>
          <w:t>https://swansea.gov.uk</w:t>
        </w:r>
      </w:hyperlink>
      <w:r w:rsidRPr="00937A55">
        <w:rPr>
          <w:rFonts w:asciiTheme="majorHAnsi" w:eastAsia="Times New Roman" w:hAnsiTheme="majorHAnsi" w:cs="Times New Roman"/>
          <w:kern w:val="0"/>
          <w:sz w:val="22"/>
          <w:szCs w:val="22"/>
          <w14:ligatures w14:val="none"/>
        </w:rPr>
        <w:t> (Accessed: 19 November 2024).</w:t>
      </w:r>
    </w:p>
    <w:p w14:paraId="232AF67E" w14:textId="0D1FEF69" w:rsidR="008B27DB" w:rsidRPr="00937A55" w:rsidRDefault="008B27DB" w:rsidP="00937A55">
      <w:pPr>
        <w:pStyle w:val="ListParagraph"/>
        <w:numPr>
          <w:ilvl w:val="0"/>
          <w:numId w:val="4"/>
        </w:numPr>
        <w:spacing w:after="0" w:line="240" w:lineRule="auto"/>
        <w:divId w:val="447622150"/>
        <w:rPr>
          <w:rFonts w:asciiTheme="majorHAnsi" w:eastAsia="Times New Roman" w:hAnsiTheme="majorHAnsi" w:cs="Times New Roman"/>
          <w:kern w:val="0"/>
          <w:sz w:val="22"/>
          <w:szCs w:val="22"/>
          <w14:ligatures w14:val="none"/>
        </w:rPr>
      </w:pPr>
      <w:proofErr w:type="spellStart"/>
      <w:r w:rsidRPr="00937A55">
        <w:rPr>
          <w:rFonts w:asciiTheme="majorHAnsi" w:eastAsia="Times New Roman" w:hAnsiTheme="majorHAnsi" w:cs="Times New Roman"/>
          <w:kern w:val="0"/>
          <w:sz w:val="22"/>
          <w:szCs w:val="22"/>
          <w14:ligatures w14:val="none"/>
        </w:rPr>
        <w:t>Teare</w:t>
      </w:r>
      <w:proofErr w:type="spellEnd"/>
      <w:r w:rsidRPr="00937A55">
        <w:rPr>
          <w:rFonts w:asciiTheme="majorHAnsi" w:eastAsia="Times New Roman" w:hAnsiTheme="majorHAnsi" w:cs="Times New Roman"/>
          <w:kern w:val="0"/>
          <w:sz w:val="22"/>
          <w:szCs w:val="22"/>
          <w14:ligatures w14:val="none"/>
        </w:rPr>
        <w:t xml:space="preserve">, G. and </w:t>
      </w:r>
      <w:proofErr w:type="spellStart"/>
      <w:r w:rsidRPr="00937A55">
        <w:rPr>
          <w:rFonts w:asciiTheme="majorHAnsi" w:eastAsia="Times New Roman" w:hAnsiTheme="majorHAnsi" w:cs="Times New Roman"/>
          <w:kern w:val="0"/>
          <w:sz w:val="22"/>
          <w:szCs w:val="22"/>
          <w14:ligatures w14:val="none"/>
        </w:rPr>
        <w:t>Taks</w:t>
      </w:r>
      <w:proofErr w:type="spellEnd"/>
      <w:r w:rsidRPr="00937A55">
        <w:rPr>
          <w:rFonts w:asciiTheme="majorHAnsi" w:eastAsia="Times New Roman" w:hAnsiTheme="majorHAnsi" w:cs="Times New Roman"/>
          <w:kern w:val="0"/>
          <w:sz w:val="22"/>
          <w:szCs w:val="22"/>
          <w14:ligatures w14:val="none"/>
        </w:rPr>
        <w:t>, M. (2021): 'Sport Events for Sport Participation: A Scoping Review', Frontiers in Sports and Active Living, 3, p. 655579. Available at: </w:t>
      </w:r>
      <w:hyperlink r:id="rId12" w:tgtFrame="_new" w:history="1">
        <w:r w:rsidRPr="00937A55">
          <w:rPr>
            <w:rFonts w:asciiTheme="majorHAnsi" w:eastAsia="Times New Roman" w:hAnsiTheme="majorHAnsi" w:cs="Times New Roman"/>
            <w:color w:val="0000FF"/>
            <w:kern w:val="0"/>
            <w:sz w:val="22"/>
            <w:szCs w:val="22"/>
            <w:u w:val="single"/>
            <w14:ligatures w14:val="none"/>
          </w:rPr>
          <w:t>https://frontiersin.org</w:t>
        </w:r>
      </w:hyperlink>
      <w:r w:rsidRPr="00937A55">
        <w:rPr>
          <w:rFonts w:asciiTheme="majorHAnsi" w:eastAsia="Times New Roman" w:hAnsiTheme="majorHAnsi" w:cs="Times New Roman"/>
          <w:kern w:val="0"/>
          <w:sz w:val="22"/>
          <w:szCs w:val="22"/>
          <w14:ligatures w14:val="none"/>
        </w:rPr>
        <w:t> (Accessed: 20 November 2024).</w:t>
      </w:r>
    </w:p>
    <w:p w14:paraId="423EF712" w14:textId="69165EBE" w:rsidR="008B27DB" w:rsidRPr="00937A55" w:rsidRDefault="008B27DB" w:rsidP="00937A55">
      <w:pPr>
        <w:pStyle w:val="ListParagraph"/>
        <w:numPr>
          <w:ilvl w:val="0"/>
          <w:numId w:val="4"/>
        </w:numPr>
        <w:spacing w:after="0" w:line="240" w:lineRule="auto"/>
        <w:divId w:val="447622150"/>
        <w:rPr>
          <w:rFonts w:asciiTheme="majorHAnsi" w:eastAsia="Times New Roman" w:hAnsiTheme="majorHAnsi" w:cs="Times New Roman"/>
          <w:kern w:val="0"/>
          <w:sz w:val="22"/>
          <w:szCs w:val="22"/>
          <w14:ligatures w14:val="none"/>
        </w:rPr>
      </w:pPr>
      <w:r w:rsidRPr="00937A55">
        <w:rPr>
          <w:rFonts w:asciiTheme="majorHAnsi" w:eastAsia="Times New Roman" w:hAnsiTheme="majorHAnsi" w:cs="Times New Roman"/>
          <w:kern w:val="0"/>
          <w:sz w:val="22"/>
          <w:szCs w:val="22"/>
          <w14:ligatures w14:val="none"/>
        </w:rPr>
        <w:t>The Sport Journal (2021): 'A review of economic impact study on sport events'. The Sport Journal, 4(2). Available at: </w:t>
      </w:r>
      <w:hyperlink r:id="rId13" w:tgtFrame="_new" w:history="1">
        <w:r w:rsidRPr="00937A55">
          <w:rPr>
            <w:rFonts w:asciiTheme="majorHAnsi" w:eastAsia="Times New Roman" w:hAnsiTheme="majorHAnsi" w:cs="Times New Roman"/>
            <w:color w:val="0000FF"/>
            <w:kern w:val="0"/>
            <w:sz w:val="22"/>
            <w:szCs w:val="22"/>
            <w:u w:val="single"/>
            <w14:ligatures w14:val="none"/>
          </w:rPr>
          <w:t>https://thesportjournal.org</w:t>
        </w:r>
      </w:hyperlink>
      <w:r w:rsidRPr="00937A55">
        <w:rPr>
          <w:rFonts w:asciiTheme="majorHAnsi" w:eastAsia="Times New Roman" w:hAnsiTheme="majorHAnsi" w:cs="Times New Roman"/>
          <w:kern w:val="0"/>
          <w:sz w:val="22"/>
          <w:szCs w:val="22"/>
          <w14:ligatures w14:val="none"/>
        </w:rPr>
        <w:t> (Accessed: 20 November 2024).</w:t>
      </w:r>
    </w:p>
    <w:p w14:paraId="384F897B" w14:textId="4676F459" w:rsidR="00D57B31" w:rsidRPr="00937A55" w:rsidRDefault="008B27DB" w:rsidP="00937A55">
      <w:pPr>
        <w:pStyle w:val="ListParagraph"/>
        <w:numPr>
          <w:ilvl w:val="0"/>
          <w:numId w:val="4"/>
        </w:numPr>
        <w:spacing w:after="0" w:line="240" w:lineRule="auto"/>
        <w:divId w:val="447622150"/>
        <w:rPr>
          <w:rFonts w:asciiTheme="majorHAnsi" w:eastAsia="Times New Roman" w:hAnsiTheme="majorHAnsi" w:cs="Times New Roman"/>
          <w:kern w:val="0"/>
          <w:sz w:val="22"/>
          <w:szCs w:val="22"/>
          <w14:ligatures w14:val="none"/>
        </w:rPr>
      </w:pPr>
      <w:r w:rsidRPr="00937A55">
        <w:rPr>
          <w:rFonts w:asciiTheme="majorHAnsi" w:eastAsia="Times New Roman" w:hAnsiTheme="majorHAnsi" w:cs="Times New Roman"/>
          <w:kern w:val="0"/>
          <w:sz w:val="22"/>
          <w:szCs w:val="22"/>
          <w14:ligatures w14:val="none"/>
        </w:rPr>
        <w:t>Visit Wales (2023): Economic Impact of Sporting Events. Available at: </w:t>
      </w:r>
      <w:hyperlink r:id="rId14" w:tgtFrame="_new" w:history="1">
        <w:r w:rsidRPr="00937A55">
          <w:rPr>
            <w:rFonts w:asciiTheme="majorHAnsi" w:eastAsia="Times New Roman" w:hAnsiTheme="majorHAnsi" w:cs="Times New Roman"/>
            <w:color w:val="0000FF"/>
            <w:kern w:val="0"/>
            <w:sz w:val="22"/>
            <w:szCs w:val="22"/>
            <w:u w:val="single"/>
            <w14:ligatures w14:val="none"/>
          </w:rPr>
          <w:t>https://visitwales.com</w:t>
        </w:r>
      </w:hyperlink>
      <w:r w:rsidRPr="00937A55">
        <w:rPr>
          <w:rFonts w:asciiTheme="majorHAnsi" w:eastAsia="Times New Roman" w:hAnsiTheme="majorHAnsi" w:cs="Times New Roman"/>
          <w:kern w:val="0"/>
          <w:sz w:val="22"/>
          <w:szCs w:val="22"/>
          <w14:ligatures w14:val="none"/>
        </w:rPr>
        <w:t> (Accessed: 19 November 2024).</w:t>
      </w:r>
    </w:p>
    <w:p w14:paraId="6BD246D9" w14:textId="75AEAA25" w:rsidR="007314A5" w:rsidRPr="00937A55" w:rsidRDefault="008B27DB" w:rsidP="00937A55">
      <w:pPr>
        <w:pStyle w:val="ListParagraph"/>
        <w:numPr>
          <w:ilvl w:val="0"/>
          <w:numId w:val="4"/>
        </w:numPr>
        <w:spacing w:after="0" w:line="240" w:lineRule="auto"/>
        <w:divId w:val="447622150"/>
        <w:rPr>
          <w:rFonts w:asciiTheme="majorHAnsi" w:eastAsia="Times New Roman" w:hAnsiTheme="majorHAnsi" w:cs="Times New Roman"/>
          <w:kern w:val="0"/>
          <w:sz w:val="22"/>
          <w:szCs w:val="22"/>
          <w14:ligatures w14:val="none"/>
        </w:rPr>
      </w:pPr>
      <w:r w:rsidRPr="00937A55">
        <w:rPr>
          <w:rFonts w:asciiTheme="majorHAnsi" w:eastAsia="Times New Roman" w:hAnsiTheme="majorHAnsi" w:cs="Times New Roman"/>
          <w:kern w:val="0"/>
          <w:sz w:val="22"/>
          <w:szCs w:val="22"/>
          <w14:ligatures w14:val="none"/>
        </w:rPr>
        <w:t>Welsh Government (2023): Well-being of Future Generations Act. Available at: </w:t>
      </w:r>
      <w:hyperlink r:id="rId15" w:tgtFrame="_new" w:history="1">
        <w:r w:rsidRPr="00937A55">
          <w:rPr>
            <w:rFonts w:asciiTheme="majorHAnsi" w:eastAsia="Times New Roman" w:hAnsiTheme="majorHAnsi" w:cs="Times New Roman"/>
            <w:color w:val="0000FF"/>
            <w:kern w:val="0"/>
            <w:sz w:val="22"/>
            <w:szCs w:val="22"/>
            <w:u w:val="single"/>
            <w14:ligatures w14:val="none"/>
          </w:rPr>
          <w:t>https://gov.wales</w:t>
        </w:r>
      </w:hyperlink>
      <w:r w:rsidRPr="00937A55">
        <w:rPr>
          <w:rFonts w:asciiTheme="majorHAnsi" w:eastAsia="Times New Roman" w:hAnsiTheme="majorHAnsi" w:cs="Times New Roman"/>
          <w:kern w:val="0"/>
          <w:sz w:val="22"/>
          <w:szCs w:val="22"/>
          <w14:ligatures w14:val="none"/>
        </w:rPr>
        <w:t> (Accessed: 20 November 2024).</w:t>
      </w:r>
    </w:p>
    <w:p w14:paraId="1D972F89" w14:textId="77777777" w:rsidR="007314A5" w:rsidRDefault="007314A5" w:rsidP="007314A5">
      <w:pPr>
        <w:spacing w:before="100" w:beforeAutospacing="1" w:after="100" w:afterAutospacing="1" w:line="240" w:lineRule="auto"/>
        <w:ind w:left="360"/>
        <w:divId w:val="1596286381"/>
        <w:rPr>
          <w:rFonts w:ascii="Times New Roman" w:eastAsia="Times New Roman" w:hAnsi="Times New Roman" w:cs="Times New Roman"/>
          <w:color w:val="000000"/>
          <w:kern w:val="0"/>
          <w14:ligatures w14:val="none"/>
        </w:rPr>
      </w:pPr>
    </w:p>
    <w:p w14:paraId="458E1CF5" w14:textId="77777777" w:rsidR="009A6E15" w:rsidRPr="009A6E15" w:rsidRDefault="009A6E15" w:rsidP="009A6E15">
      <w:pPr>
        <w:pBdr>
          <w:bottom w:val="single" w:sz="6" w:space="1" w:color="auto"/>
        </w:pBdr>
        <w:spacing w:after="0" w:line="240" w:lineRule="auto"/>
        <w:jc w:val="center"/>
        <w:divId w:val="1685093197"/>
        <w:rPr>
          <w:rFonts w:ascii="Arial" w:hAnsi="Arial" w:cs="Arial"/>
          <w:vanish/>
          <w:kern w:val="0"/>
          <w:sz w:val="16"/>
          <w:szCs w:val="16"/>
          <w14:ligatures w14:val="none"/>
        </w:rPr>
      </w:pPr>
      <w:r w:rsidRPr="009A6E15">
        <w:rPr>
          <w:rFonts w:ascii="Arial" w:hAnsi="Arial" w:cs="Arial"/>
          <w:vanish/>
          <w:kern w:val="0"/>
          <w:sz w:val="16"/>
          <w:szCs w:val="16"/>
          <w14:ligatures w14:val="none"/>
        </w:rPr>
        <w:t>Top of Form</w:t>
      </w:r>
    </w:p>
    <w:p w14:paraId="77F9CB60" w14:textId="77777777" w:rsidR="009A6E15" w:rsidRPr="009A6E15" w:rsidRDefault="009A6E15" w:rsidP="009A6E15">
      <w:pPr>
        <w:spacing w:after="0" w:line="240" w:lineRule="auto"/>
        <w:divId w:val="1685093197"/>
        <w:rPr>
          <w:rFonts w:ascii="Work Sans" w:eastAsia="Times New Roman" w:hAnsi="Work Sans" w:cs="Times New Roman"/>
          <w:color w:val="555555"/>
          <w:kern w:val="0"/>
          <w14:ligatures w14:val="none"/>
        </w:rPr>
      </w:pPr>
      <w:r w:rsidRPr="009A6E15">
        <w:rPr>
          <w:rFonts w:ascii="Work Sans" w:eastAsia="Times New Roman" w:hAnsi="Work Sans" w:cs="Times New Roman"/>
          <w:color w:val="555555"/>
          <w:kern w:val="0"/>
          <w14:ligatures w14:val="none"/>
        </w:rPr>
        <w:br/>
      </w:r>
    </w:p>
    <w:p w14:paraId="44FC230D" w14:textId="77777777" w:rsidR="009A6E15" w:rsidRPr="009A6E15" w:rsidRDefault="009A6E15" w:rsidP="009A6E15">
      <w:pPr>
        <w:pBdr>
          <w:top w:val="single" w:sz="6" w:space="1" w:color="auto"/>
        </w:pBdr>
        <w:spacing w:after="0" w:line="240" w:lineRule="auto"/>
        <w:jc w:val="center"/>
        <w:divId w:val="1685093197"/>
        <w:rPr>
          <w:rFonts w:ascii="Arial" w:hAnsi="Arial" w:cs="Arial"/>
          <w:vanish/>
          <w:kern w:val="0"/>
          <w:sz w:val="16"/>
          <w:szCs w:val="16"/>
          <w14:ligatures w14:val="none"/>
        </w:rPr>
      </w:pPr>
      <w:r w:rsidRPr="009A6E15">
        <w:rPr>
          <w:rFonts w:ascii="Arial" w:hAnsi="Arial" w:cs="Arial"/>
          <w:vanish/>
          <w:kern w:val="0"/>
          <w:sz w:val="16"/>
          <w:szCs w:val="16"/>
          <w14:ligatures w14:val="none"/>
        </w:rPr>
        <w:t>Bottom of Form</w:t>
      </w:r>
    </w:p>
    <w:p w14:paraId="17D98942" w14:textId="49A64565" w:rsidR="009A6E15" w:rsidRPr="009A6E15" w:rsidRDefault="009A6E15" w:rsidP="009A6E15">
      <w:pPr>
        <w:spacing w:after="0" w:line="240" w:lineRule="auto"/>
        <w:divId w:val="1659963241"/>
        <w:rPr>
          <w:rFonts w:ascii="Work Sans" w:eastAsia="Times New Roman" w:hAnsi="Work Sans" w:cs="Times New Roman"/>
          <w:color w:val="555555"/>
          <w:kern w:val="0"/>
          <w14:ligatures w14:val="none"/>
        </w:rPr>
      </w:pPr>
      <w:r w:rsidRPr="009A6E15">
        <w:rPr>
          <w:rFonts w:ascii="Work Sans" w:eastAsia="Times New Roman" w:hAnsi="Work Sans" w:cs="Times New Roman"/>
          <w:color w:val="555555"/>
          <w:kern w:val="0"/>
          <w14:ligatures w14:val="none"/>
        </w:rPr>
        <w:t>                              </w:t>
      </w:r>
    </w:p>
    <w:p w14:paraId="3A95227E" w14:textId="41470738" w:rsidR="002E5780" w:rsidRPr="00CC4034" w:rsidRDefault="008E02C3" w:rsidP="002E5780">
      <w:pPr>
        <w:rPr>
          <w:rFonts w:ascii="Aparajita" w:hAnsi="Aparajita" w:cs="Aparajita"/>
          <w:sz w:val="44"/>
          <w:szCs w:val="44"/>
          <w:u w:val="single"/>
        </w:rPr>
      </w:pPr>
      <w:r w:rsidRPr="00CC4034">
        <w:rPr>
          <w:rFonts w:ascii="Aparajita" w:hAnsi="Aparajita" w:cs="Aparajita"/>
          <w:sz w:val="44"/>
          <w:szCs w:val="44"/>
          <w:u w:val="single"/>
        </w:rPr>
        <w:t>Tas</w:t>
      </w:r>
      <w:r w:rsidR="00CC4034" w:rsidRPr="00CC4034">
        <w:rPr>
          <w:rFonts w:ascii="Aparajita" w:hAnsi="Aparajita" w:cs="Aparajita"/>
          <w:sz w:val="44"/>
          <w:szCs w:val="44"/>
          <w:u w:val="single"/>
        </w:rPr>
        <w:t xml:space="preserve">k B: </w:t>
      </w:r>
      <w:r w:rsidR="002E5780" w:rsidRPr="00CC4034">
        <w:rPr>
          <w:rFonts w:ascii="Aparajita" w:hAnsi="Aparajita" w:cs="Aparajita"/>
          <w:sz w:val="44"/>
          <w:szCs w:val="44"/>
          <w:u w:val="single"/>
        </w:rPr>
        <w:t>An Overview of Strategic Marketing for Boxing Events at Swansea Arena</w:t>
      </w:r>
    </w:p>
    <w:p w14:paraId="06591624" w14:textId="77777777" w:rsidR="002E5780" w:rsidRPr="008A2E2E" w:rsidRDefault="002E5780" w:rsidP="002E5780">
      <w:pPr>
        <w:rPr>
          <w:rFonts w:ascii="Aparajita" w:hAnsi="Aparajita" w:cs="Aparajita"/>
          <w:sz w:val="26"/>
          <w:szCs w:val="26"/>
        </w:rPr>
      </w:pPr>
      <w:r w:rsidRPr="008A2E2E">
        <w:rPr>
          <w:rFonts w:ascii="Aparajita" w:hAnsi="Aparajita" w:cs="Aparajita"/>
          <w:sz w:val="26"/>
          <w:szCs w:val="26"/>
        </w:rPr>
        <w:t>Organising boxing matches at Swansea Arena offers a fantastic chance to combine community involvement, sports development, and entertainment. The success of such an event depends on a well-thought-out marketing plan, especially when it comes to drawing and keeping attendees. Underpinned by reliable references, this strategic marketing strategy covers market segmentation, targeting, and positioning (STP), the use of the marketing mix (4Ps), and specific marketing goals and techniques.</w:t>
      </w:r>
    </w:p>
    <w:p w14:paraId="22B318CE" w14:textId="77777777" w:rsidR="002E5780" w:rsidRPr="008A2E2E" w:rsidRDefault="002E5780" w:rsidP="002E5780">
      <w:pPr>
        <w:rPr>
          <w:rFonts w:ascii="Aparajita" w:hAnsi="Aparajita" w:cs="Aparajita"/>
          <w:sz w:val="26"/>
          <w:szCs w:val="26"/>
        </w:rPr>
      </w:pPr>
    </w:p>
    <w:p w14:paraId="4BCB5361" w14:textId="77777777" w:rsidR="002E5780" w:rsidRPr="008A2E2E" w:rsidRDefault="002E5780" w:rsidP="002E5780">
      <w:pPr>
        <w:rPr>
          <w:rFonts w:ascii="Aparajita" w:hAnsi="Aparajita" w:cs="Aparajita"/>
          <w:sz w:val="26"/>
          <w:szCs w:val="26"/>
        </w:rPr>
      </w:pPr>
      <w:r w:rsidRPr="008A2E2E">
        <w:rPr>
          <w:rFonts w:ascii="Aparajita" w:hAnsi="Aparajita" w:cs="Aparajita"/>
          <w:sz w:val="26"/>
          <w:szCs w:val="26"/>
        </w:rPr>
        <w:t>Targeting, Positioning, and Market Segmentation</w:t>
      </w:r>
    </w:p>
    <w:p w14:paraId="524A8116" w14:textId="77777777" w:rsidR="002E5780" w:rsidRPr="008A2E2E" w:rsidRDefault="002E5780" w:rsidP="002E5780">
      <w:pPr>
        <w:rPr>
          <w:rFonts w:ascii="Aparajita" w:hAnsi="Aparajita" w:cs="Aparajita"/>
          <w:sz w:val="26"/>
          <w:szCs w:val="26"/>
        </w:rPr>
      </w:pPr>
    </w:p>
    <w:p w14:paraId="0FF50F27" w14:textId="77777777" w:rsidR="00A906D5" w:rsidRPr="008A2E2E" w:rsidRDefault="002E5780" w:rsidP="00A906D5">
      <w:pPr>
        <w:rPr>
          <w:rFonts w:ascii="Aparajita" w:hAnsi="Aparajita" w:cs="Aparajita"/>
          <w:sz w:val="26"/>
          <w:szCs w:val="26"/>
        </w:rPr>
      </w:pPr>
      <w:r w:rsidRPr="008A2E2E">
        <w:rPr>
          <w:rFonts w:ascii="Aparajita" w:hAnsi="Aparajita" w:cs="Aparajita"/>
          <w:sz w:val="26"/>
          <w:szCs w:val="26"/>
        </w:rPr>
        <w:t xml:space="preserve">Demographics, psychographics, and behavioural characteristics may be used to divide up the market for boxing matches at Swansea Arena. Young individuals (18–35), middle-aged professionals (36–50), and families with children are the main demographic groups. </w:t>
      </w:r>
      <w:proofErr w:type="spellStart"/>
      <w:r w:rsidRPr="008A2E2E">
        <w:rPr>
          <w:rFonts w:ascii="Aparajita" w:hAnsi="Aparajita" w:cs="Aparajita"/>
          <w:sz w:val="26"/>
          <w:szCs w:val="26"/>
        </w:rPr>
        <w:t>Kotler</w:t>
      </w:r>
      <w:proofErr w:type="spellEnd"/>
      <w:r w:rsidRPr="008A2E2E">
        <w:rPr>
          <w:rFonts w:ascii="Aparajita" w:hAnsi="Aparajita" w:cs="Aparajita"/>
          <w:sz w:val="26"/>
          <w:szCs w:val="26"/>
        </w:rPr>
        <w:t xml:space="preserve"> and Armstrong (2018) assert that this kind </w:t>
      </w:r>
      <w:r w:rsidRPr="008A2E2E">
        <w:rPr>
          <w:rFonts w:ascii="Aparajita" w:hAnsi="Aparajita" w:cs="Aparajita"/>
          <w:sz w:val="26"/>
          <w:szCs w:val="26"/>
        </w:rPr>
        <w:lastRenderedPageBreak/>
        <w:t>of audience segmentation</w:t>
      </w:r>
      <w:r w:rsidR="00534614" w:rsidRPr="008A2E2E">
        <w:rPr>
          <w:rFonts w:ascii="Aparajita" w:hAnsi="Aparajita" w:cs="Aparajita"/>
          <w:sz w:val="26"/>
          <w:szCs w:val="26"/>
        </w:rPr>
        <w:t xml:space="preserve"> </w:t>
      </w:r>
      <w:r w:rsidR="00A906D5" w:rsidRPr="008A2E2E">
        <w:rPr>
          <w:rFonts w:ascii="Aparajita" w:hAnsi="Aparajita" w:cs="Aparajita"/>
          <w:sz w:val="26"/>
          <w:szCs w:val="26"/>
        </w:rPr>
        <w:t>enables marketers to modify their tactics to suit certain customer demands, which eventually raises attendance and engagement.</w:t>
      </w:r>
    </w:p>
    <w:p w14:paraId="47530A42" w14:textId="77777777" w:rsidR="00A906D5" w:rsidRPr="008A2E2E" w:rsidRDefault="00A906D5" w:rsidP="00A906D5">
      <w:pPr>
        <w:rPr>
          <w:rFonts w:ascii="Aparajita" w:hAnsi="Aparajita" w:cs="Aparajita"/>
          <w:sz w:val="26"/>
          <w:szCs w:val="26"/>
        </w:rPr>
      </w:pPr>
    </w:p>
    <w:p w14:paraId="57BD5D91" w14:textId="77777777" w:rsidR="00A906D5" w:rsidRPr="008A2E2E" w:rsidRDefault="00A906D5" w:rsidP="00A906D5">
      <w:pPr>
        <w:rPr>
          <w:rFonts w:ascii="Aparajita" w:hAnsi="Aparajita" w:cs="Aparajita"/>
          <w:sz w:val="26"/>
          <w:szCs w:val="26"/>
        </w:rPr>
      </w:pPr>
      <w:r w:rsidRPr="008A2E2E">
        <w:rPr>
          <w:rFonts w:ascii="Aparajita" w:hAnsi="Aparajita" w:cs="Aparajita"/>
          <w:sz w:val="26"/>
          <w:szCs w:val="26"/>
        </w:rPr>
        <w:t>Psychographic segmentation takes the values and interests of the audience into account. For instance, live boxing events are a desirable alternative for young adults who frequently seek out exciting and dynamic encounters. Middle-aged professionals, on the other hand, place a higher value on comfort and exclusivity, such as VIP experiences and first-class seating, which satisfy their desire for individualised attention (</w:t>
      </w:r>
      <w:proofErr w:type="spellStart"/>
      <w:r w:rsidRPr="008A2E2E">
        <w:rPr>
          <w:rFonts w:ascii="Aparajita" w:hAnsi="Aparajita" w:cs="Aparajita"/>
          <w:sz w:val="26"/>
          <w:szCs w:val="26"/>
        </w:rPr>
        <w:t>Masterman</w:t>
      </w:r>
      <w:proofErr w:type="spellEnd"/>
      <w:r w:rsidRPr="008A2E2E">
        <w:rPr>
          <w:rFonts w:ascii="Aparajita" w:hAnsi="Aparajita" w:cs="Aparajita"/>
          <w:sz w:val="26"/>
          <w:szCs w:val="26"/>
        </w:rPr>
        <w:t>, 2014). Additionally important is behavioural segmentation, which takes into account factors like boxing fan devotion and attendance frequency. Customers who have a strong affinity for a sport are more inclined to attend related events on a regular basis, claim Funk and James (2001).</w:t>
      </w:r>
    </w:p>
    <w:p w14:paraId="16BB6A7B" w14:textId="77777777" w:rsidR="00A906D5" w:rsidRPr="008A2E2E" w:rsidRDefault="00A906D5" w:rsidP="00A906D5">
      <w:pPr>
        <w:rPr>
          <w:rFonts w:ascii="Aparajita" w:hAnsi="Aparajita" w:cs="Aparajita"/>
          <w:sz w:val="26"/>
          <w:szCs w:val="26"/>
        </w:rPr>
      </w:pPr>
    </w:p>
    <w:p w14:paraId="6DFB09B3" w14:textId="77777777" w:rsidR="00F27374" w:rsidRPr="008A2E2E" w:rsidRDefault="00A906D5" w:rsidP="00F27374">
      <w:pPr>
        <w:rPr>
          <w:rFonts w:ascii="Aparajita" w:hAnsi="Aparajita" w:cs="Aparajita"/>
          <w:sz w:val="26"/>
          <w:szCs w:val="26"/>
        </w:rPr>
      </w:pPr>
      <w:r w:rsidRPr="008A2E2E">
        <w:rPr>
          <w:rFonts w:ascii="Aparajita" w:hAnsi="Aparajita" w:cs="Aparajita"/>
          <w:sz w:val="26"/>
          <w:szCs w:val="26"/>
        </w:rPr>
        <w:t>It takes a targeted strategy to target these populations. Dynamic social media campaigns that highlight the importance of using</w:t>
      </w:r>
      <w:r w:rsidR="00C827C4" w:rsidRPr="008A2E2E">
        <w:rPr>
          <w:rFonts w:ascii="Aparajita" w:hAnsi="Aparajita" w:cs="Aparajita"/>
          <w:sz w:val="26"/>
          <w:szCs w:val="26"/>
        </w:rPr>
        <w:t xml:space="preserve"> </w:t>
      </w:r>
      <w:r w:rsidR="00F27374" w:rsidRPr="008A2E2E">
        <w:rPr>
          <w:rFonts w:ascii="Aparajita" w:hAnsi="Aparajita" w:cs="Aparajita"/>
          <w:sz w:val="26"/>
          <w:szCs w:val="26"/>
        </w:rPr>
        <w:t>via engaging influencers to generate interest and implementing creative social media campaigns that showcase the energy of live boxing events. These ads frequently feature highlights from previous bouts. VIP packages and premium seating satisfy middle-aged professionals' need for unique experiences. However, family ticket reductions and kid-friendly interactive daytime activities can encourage families, which is consistent with Smith's (2016) findings that family-friendly events stimulate more community involvement.</w:t>
      </w:r>
    </w:p>
    <w:p w14:paraId="52B002A6" w14:textId="77777777" w:rsidR="00F27374" w:rsidRPr="008A2E2E" w:rsidRDefault="00F27374" w:rsidP="00F27374">
      <w:pPr>
        <w:rPr>
          <w:rFonts w:ascii="Aparajita" w:hAnsi="Aparajita" w:cs="Aparajita"/>
          <w:sz w:val="26"/>
          <w:szCs w:val="26"/>
        </w:rPr>
      </w:pPr>
    </w:p>
    <w:p w14:paraId="2F285552" w14:textId="3585B920" w:rsidR="006773B5" w:rsidRPr="008A2E2E" w:rsidRDefault="00F27374" w:rsidP="006773B5">
      <w:pPr>
        <w:rPr>
          <w:rFonts w:ascii="Aparajita" w:hAnsi="Aparajita" w:cs="Aparajita"/>
          <w:sz w:val="26"/>
          <w:szCs w:val="26"/>
        </w:rPr>
      </w:pPr>
      <w:r w:rsidRPr="008A2E2E">
        <w:rPr>
          <w:rFonts w:ascii="Aparajita" w:hAnsi="Aparajita" w:cs="Aparajita"/>
          <w:sz w:val="26"/>
          <w:szCs w:val="26"/>
        </w:rPr>
        <w:t>It distinguishes itself from other athletic events in Wales by presenting itself as a two-fold event that promotes local talent and provides top-notch entertainment. The event provides a unique proposal by combining professional matches in the evening with grassroots seminars during the day. Loyalty is frequently higher at events that combine entertainment with social and cultural significance.</w:t>
      </w:r>
      <w:r w:rsidR="006773B5" w:rsidRPr="008A2E2E">
        <w:rPr>
          <w:rFonts w:ascii="Aparajita" w:hAnsi="Aparajita" w:cs="Aparajita"/>
          <w:sz w:val="26"/>
          <w:szCs w:val="26"/>
        </w:rPr>
        <w:t xml:space="preserve"> and greater degrees of involvement in the community (</w:t>
      </w:r>
      <w:proofErr w:type="spellStart"/>
      <w:r w:rsidR="006773B5" w:rsidRPr="008A2E2E">
        <w:rPr>
          <w:rFonts w:ascii="Aparajita" w:hAnsi="Aparajita" w:cs="Aparajita"/>
          <w:sz w:val="26"/>
          <w:szCs w:val="26"/>
        </w:rPr>
        <w:t>Chalip</w:t>
      </w:r>
      <w:proofErr w:type="spellEnd"/>
      <w:r w:rsidR="006773B5" w:rsidRPr="008A2E2E">
        <w:rPr>
          <w:rFonts w:ascii="Aparajita" w:hAnsi="Aparajita" w:cs="Aparajita"/>
          <w:sz w:val="26"/>
          <w:szCs w:val="26"/>
        </w:rPr>
        <w:t xml:space="preserve"> and </w:t>
      </w:r>
      <w:proofErr w:type="spellStart"/>
      <w:r w:rsidR="006773B5" w:rsidRPr="008A2E2E">
        <w:rPr>
          <w:rFonts w:ascii="Aparajita" w:hAnsi="Aparajita" w:cs="Aparajita"/>
          <w:sz w:val="26"/>
          <w:szCs w:val="26"/>
        </w:rPr>
        <w:t>McGuirty</w:t>
      </w:r>
      <w:proofErr w:type="spellEnd"/>
      <w:r w:rsidR="006773B5" w:rsidRPr="008A2E2E">
        <w:rPr>
          <w:rFonts w:ascii="Aparajita" w:hAnsi="Aparajita" w:cs="Aparajita"/>
          <w:sz w:val="26"/>
          <w:szCs w:val="26"/>
        </w:rPr>
        <w:t xml:space="preserve"> 2006).</w:t>
      </w:r>
    </w:p>
    <w:p w14:paraId="395DFB7D" w14:textId="77777777" w:rsidR="006773B5" w:rsidRPr="008A2E2E" w:rsidRDefault="006773B5" w:rsidP="006773B5">
      <w:pPr>
        <w:rPr>
          <w:rFonts w:ascii="Aparajita" w:hAnsi="Aparajita" w:cs="Aparajita"/>
          <w:sz w:val="26"/>
          <w:szCs w:val="26"/>
        </w:rPr>
      </w:pPr>
    </w:p>
    <w:p w14:paraId="6585B5F0" w14:textId="5CF80294" w:rsidR="006773B5" w:rsidRPr="008A2E2E" w:rsidRDefault="00865AE8" w:rsidP="006773B5">
      <w:pPr>
        <w:rPr>
          <w:rFonts w:ascii="Aparajita" w:hAnsi="Aparajita" w:cs="Aparajita"/>
          <w:sz w:val="26"/>
          <w:szCs w:val="26"/>
        </w:rPr>
      </w:pPr>
      <w:r>
        <w:rPr>
          <w:rFonts w:ascii="Aparajita" w:hAnsi="Aparajita" w:cs="Aparajita"/>
          <w:sz w:val="26"/>
          <w:szCs w:val="26"/>
        </w:rPr>
        <w:t>Marketing Mix</w:t>
      </w:r>
    </w:p>
    <w:p w14:paraId="55A1959F" w14:textId="77777777" w:rsidR="006773B5" w:rsidRPr="008A2E2E" w:rsidRDefault="006773B5" w:rsidP="006773B5">
      <w:pPr>
        <w:rPr>
          <w:rFonts w:ascii="Aparajita" w:hAnsi="Aparajita" w:cs="Aparajita"/>
          <w:sz w:val="26"/>
          <w:szCs w:val="26"/>
        </w:rPr>
      </w:pPr>
    </w:p>
    <w:p w14:paraId="32F5E202" w14:textId="77777777" w:rsidR="006773B5" w:rsidRPr="008A2E2E" w:rsidRDefault="006773B5" w:rsidP="006773B5">
      <w:pPr>
        <w:rPr>
          <w:rFonts w:ascii="Aparajita" w:hAnsi="Aparajita" w:cs="Aparajita"/>
          <w:sz w:val="26"/>
          <w:szCs w:val="26"/>
        </w:rPr>
      </w:pPr>
      <w:r w:rsidRPr="008A2E2E">
        <w:rPr>
          <w:rFonts w:ascii="Aparajita" w:hAnsi="Aparajita" w:cs="Aparajita"/>
          <w:sz w:val="26"/>
          <w:szCs w:val="26"/>
        </w:rPr>
        <w:t>To satisfy the requirements and tastes of various audience segments, a well-crafted marketing mix is necessary.</w:t>
      </w:r>
    </w:p>
    <w:p w14:paraId="1DEC3A20" w14:textId="77777777" w:rsidR="006773B5" w:rsidRPr="008A2E2E" w:rsidRDefault="006773B5" w:rsidP="006773B5">
      <w:pPr>
        <w:rPr>
          <w:rFonts w:ascii="Aparajita" w:hAnsi="Aparajita" w:cs="Aparajita"/>
          <w:sz w:val="26"/>
          <w:szCs w:val="26"/>
        </w:rPr>
      </w:pPr>
    </w:p>
    <w:p w14:paraId="0EE33DEC" w14:textId="0A7E9779" w:rsidR="00435F4D" w:rsidRPr="008A2E2E" w:rsidRDefault="006773B5">
      <w:pPr>
        <w:rPr>
          <w:rFonts w:ascii="Aparajita" w:hAnsi="Aparajita" w:cs="Aparajita"/>
          <w:sz w:val="26"/>
          <w:szCs w:val="26"/>
        </w:rPr>
      </w:pPr>
      <w:r w:rsidRPr="008A2E2E">
        <w:rPr>
          <w:rFonts w:ascii="Aparajita" w:hAnsi="Aparajita" w:cs="Aparajita"/>
          <w:sz w:val="26"/>
          <w:szCs w:val="26"/>
        </w:rPr>
        <w:t xml:space="preserve">The event itself, which combines professional boxing contests with engaging grassroots activities, is the product being provided. Professional fights showcasing up-and-coming Welsh talent are the main draw, but the enhanced offering also has family-friendly areas, merchandising booths, and meet-and-greets with </w:t>
      </w:r>
      <w:r w:rsidRPr="008A2E2E">
        <w:rPr>
          <w:rFonts w:ascii="Aparajita" w:hAnsi="Aparajita" w:cs="Aparajita"/>
          <w:sz w:val="26"/>
          <w:szCs w:val="26"/>
        </w:rPr>
        <w:lastRenderedPageBreak/>
        <w:t xml:space="preserve">fighters. According to </w:t>
      </w:r>
      <w:proofErr w:type="spellStart"/>
      <w:r w:rsidRPr="008A2E2E">
        <w:rPr>
          <w:rFonts w:ascii="Aparajita" w:hAnsi="Aparajita" w:cs="Aparajita"/>
          <w:sz w:val="26"/>
          <w:szCs w:val="26"/>
        </w:rPr>
        <w:t>Masterman</w:t>
      </w:r>
      <w:proofErr w:type="spellEnd"/>
      <w:r w:rsidRPr="008A2E2E">
        <w:rPr>
          <w:rFonts w:ascii="Aparajita" w:hAnsi="Aparajita" w:cs="Aparajita"/>
          <w:sz w:val="26"/>
          <w:szCs w:val="26"/>
        </w:rPr>
        <w:t xml:space="preserve"> (2014), offering participants a multifaceted event experience increases their total value and encourages repeat business and consumer satisfaction. The event becomes more memorable and captivating for a variety of audiences by incorporating interactive elements, such as virtual reality boxing training sessions and picture opportunities with athletes.</w:t>
      </w:r>
    </w:p>
    <w:p w14:paraId="02A03067" w14:textId="77777777" w:rsidR="009C2A69" w:rsidRPr="008A2E2E" w:rsidRDefault="009C2A69" w:rsidP="009C2A69">
      <w:pPr>
        <w:rPr>
          <w:rFonts w:ascii="Aparajita" w:hAnsi="Aparajita" w:cs="Aparajita"/>
          <w:sz w:val="26"/>
          <w:szCs w:val="26"/>
        </w:rPr>
      </w:pPr>
      <w:r w:rsidRPr="008A2E2E">
        <w:rPr>
          <w:rFonts w:ascii="Aparajita" w:hAnsi="Aparajita" w:cs="Aparajita"/>
          <w:sz w:val="26"/>
          <w:szCs w:val="26"/>
        </w:rPr>
        <w:t xml:space="preserve">Accessibility and profitability must be balanced in the price plan. The cost of tickets might vary from £20 for general admission to £50 for premium seating if a value-based pricing approach is used. Group prices, family packages, and early bird discounts will all help to boost ticket sales. Pricing techniques that take audience demographics and perceived worth into consideration are essential for optimising income while maintaining inclusion, claim </w:t>
      </w:r>
      <w:proofErr w:type="spellStart"/>
      <w:r w:rsidRPr="008A2E2E">
        <w:rPr>
          <w:rFonts w:ascii="Aparajita" w:hAnsi="Aparajita" w:cs="Aparajita"/>
          <w:sz w:val="26"/>
          <w:szCs w:val="26"/>
        </w:rPr>
        <w:t>Tsiotsou</w:t>
      </w:r>
      <w:proofErr w:type="spellEnd"/>
      <w:r w:rsidRPr="008A2E2E">
        <w:rPr>
          <w:rFonts w:ascii="Aparajita" w:hAnsi="Aparajita" w:cs="Aparajita"/>
          <w:sz w:val="26"/>
          <w:szCs w:val="26"/>
        </w:rPr>
        <w:t xml:space="preserve"> and Goldsmith (2012).</w:t>
      </w:r>
    </w:p>
    <w:p w14:paraId="566D8D7F" w14:textId="77777777" w:rsidR="009C2A69" w:rsidRPr="008A2E2E" w:rsidRDefault="009C2A69" w:rsidP="009C2A69">
      <w:pPr>
        <w:rPr>
          <w:rFonts w:ascii="Aparajita" w:hAnsi="Aparajita" w:cs="Aparajita"/>
          <w:sz w:val="26"/>
          <w:szCs w:val="26"/>
        </w:rPr>
      </w:pPr>
    </w:p>
    <w:p w14:paraId="54C70258" w14:textId="58902ED5" w:rsidR="006773B5" w:rsidRPr="008A2E2E" w:rsidRDefault="009C2A69">
      <w:pPr>
        <w:rPr>
          <w:rFonts w:ascii="Aparajita" w:hAnsi="Aparajita" w:cs="Aparajita"/>
          <w:sz w:val="26"/>
          <w:szCs w:val="26"/>
        </w:rPr>
      </w:pPr>
      <w:r w:rsidRPr="008A2E2E">
        <w:rPr>
          <w:rFonts w:ascii="Aparajita" w:hAnsi="Aparajita" w:cs="Aparajita"/>
          <w:sz w:val="26"/>
          <w:szCs w:val="26"/>
        </w:rPr>
        <w:t>The success of the event is greatly influenced by the venue, Swansea Arena. The arena is surrounded by neighbourhood facilities and has good access to public transit in Swansea's revitalised waterfront area. Getz (2012) points out that because there are less logistical obstacles for attendees, venues in developed locations with easy access frequently have greater attendance rates</w:t>
      </w:r>
      <w:r w:rsidR="00FB77DE" w:rsidRPr="008A2E2E">
        <w:rPr>
          <w:rFonts w:ascii="Aparajita" w:hAnsi="Aparajita" w:cs="Aparajita"/>
          <w:sz w:val="26"/>
          <w:szCs w:val="26"/>
        </w:rPr>
        <w:t>.</w:t>
      </w:r>
    </w:p>
    <w:p w14:paraId="634633EF" w14:textId="77777777" w:rsidR="00D60053" w:rsidRPr="008A2E2E" w:rsidRDefault="00D60053" w:rsidP="00D60053">
      <w:pPr>
        <w:rPr>
          <w:rFonts w:ascii="Aparajita" w:hAnsi="Aparajita" w:cs="Aparajita"/>
          <w:sz w:val="26"/>
          <w:szCs w:val="26"/>
        </w:rPr>
      </w:pPr>
      <w:r w:rsidRPr="008A2E2E">
        <w:rPr>
          <w:rFonts w:ascii="Aparajita" w:hAnsi="Aparajita" w:cs="Aparajita"/>
          <w:sz w:val="26"/>
          <w:szCs w:val="26"/>
        </w:rPr>
        <w:t>To ensure convenience for all guests, tickets will be distributed via a variety of channels, such as local stores, box office sales, and internet platforms.</w:t>
      </w:r>
    </w:p>
    <w:p w14:paraId="17435089" w14:textId="77777777" w:rsidR="00D60053" w:rsidRPr="008A2E2E" w:rsidRDefault="00D60053" w:rsidP="00D60053">
      <w:pPr>
        <w:rPr>
          <w:rFonts w:ascii="Aparajita" w:hAnsi="Aparajita" w:cs="Aparajita"/>
          <w:sz w:val="26"/>
          <w:szCs w:val="26"/>
        </w:rPr>
      </w:pPr>
    </w:p>
    <w:p w14:paraId="69825AFB" w14:textId="3959328A" w:rsidR="00473FC7" w:rsidRPr="008A2E2E" w:rsidRDefault="00D60053" w:rsidP="00473FC7">
      <w:pPr>
        <w:rPr>
          <w:rFonts w:ascii="Aparajita" w:hAnsi="Aparajita" w:cs="Aparajita"/>
          <w:sz w:val="26"/>
          <w:szCs w:val="26"/>
        </w:rPr>
      </w:pPr>
      <w:r w:rsidRPr="008A2E2E">
        <w:rPr>
          <w:rFonts w:ascii="Aparajita" w:hAnsi="Aparajita" w:cs="Aparajita"/>
          <w:sz w:val="26"/>
          <w:szCs w:val="26"/>
        </w:rPr>
        <w:t xml:space="preserve">To increase awareness and engagement, the promotion plan will make use of a range of mediums. Campaigns on social media sites like Facebook, Instagram, and Twitter will draw attention to the event's twin goals while generating excitement with behind-the-scenes photos and boxer interviews. In addition to creating enthusiasm, social media facilitates a direct line of communication between the event and its audience, claim Fullerton and </w:t>
      </w:r>
      <w:proofErr w:type="spellStart"/>
      <w:r w:rsidRPr="008A2E2E">
        <w:rPr>
          <w:rFonts w:ascii="Aparajita" w:hAnsi="Aparajita" w:cs="Aparajita"/>
          <w:sz w:val="26"/>
          <w:szCs w:val="26"/>
        </w:rPr>
        <w:t>Merz</w:t>
      </w:r>
      <w:proofErr w:type="spellEnd"/>
      <w:r w:rsidRPr="008A2E2E">
        <w:rPr>
          <w:rFonts w:ascii="Aparajita" w:hAnsi="Aparajita" w:cs="Aparajita"/>
          <w:sz w:val="26"/>
          <w:szCs w:val="26"/>
        </w:rPr>
        <w:t xml:space="preserve"> (2008). While traditional media, including local newspapers and radio stations, will guarantee a wider reach, partnerships with neighbourhood gyms, schools, and community organisations will increase grassroots involvement. Public relations initiatives that include the fighters' personal narratives and </w:t>
      </w:r>
      <w:r w:rsidR="00473FC7" w:rsidRPr="008A2E2E">
        <w:rPr>
          <w:rFonts w:ascii="Aparajita" w:hAnsi="Aparajita" w:cs="Aparajita"/>
          <w:sz w:val="26"/>
          <w:szCs w:val="26"/>
        </w:rPr>
        <w:t xml:space="preserve">adventures, will strengthen guests' emotional bonds. According to Smith's (2016) research, using emotional storytelling in event marketing </w:t>
      </w:r>
      <w:r w:rsidR="00E56466" w:rsidRPr="008A2E2E">
        <w:rPr>
          <w:rFonts w:ascii="Aparajita" w:hAnsi="Aparajita" w:cs="Aparajita"/>
          <w:sz w:val="26"/>
          <w:szCs w:val="26"/>
        </w:rPr>
        <w:t>boosts</w:t>
      </w:r>
      <w:r w:rsidR="00473FC7" w:rsidRPr="008A2E2E">
        <w:rPr>
          <w:rFonts w:ascii="Aparajita" w:hAnsi="Aparajita" w:cs="Aparajita"/>
          <w:sz w:val="26"/>
          <w:szCs w:val="26"/>
        </w:rPr>
        <w:t xml:space="preserve"> audience loyalty and retention.</w:t>
      </w:r>
    </w:p>
    <w:p w14:paraId="48E9433F" w14:textId="77777777" w:rsidR="00473FC7" w:rsidRPr="008A2E2E" w:rsidRDefault="00473FC7" w:rsidP="00473FC7">
      <w:pPr>
        <w:rPr>
          <w:rFonts w:ascii="Aparajita" w:hAnsi="Aparajita" w:cs="Aparajita"/>
          <w:sz w:val="26"/>
          <w:szCs w:val="26"/>
        </w:rPr>
      </w:pPr>
    </w:p>
    <w:p w14:paraId="37C5AF97" w14:textId="77777777" w:rsidR="00473FC7" w:rsidRPr="008A2E2E" w:rsidRDefault="00473FC7" w:rsidP="00473FC7">
      <w:pPr>
        <w:rPr>
          <w:rFonts w:ascii="Aparajita" w:hAnsi="Aparajita" w:cs="Aparajita"/>
          <w:sz w:val="26"/>
          <w:szCs w:val="26"/>
        </w:rPr>
      </w:pPr>
      <w:r w:rsidRPr="008A2E2E">
        <w:rPr>
          <w:rFonts w:ascii="Aparajita" w:hAnsi="Aparajita" w:cs="Aparajita"/>
          <w:sz w:val="26"/>
          <w:szCs w:val="26"/>
        </w:rPr>
        <w:t>Marketing Goals and Strategies</w:t>
      </w:r>
    </w:p>
    <w:p w14:paraId="35EDF651" w14:textId="77777777" w:rsidR="00473FC7" w:rsidRPr="008A2E2E" w:rsidRDefault="00473FC7" w:rsidP="00473FC7">
      <w:pPr>
        <w:rPr>
          <w:rFonts w:ascii="Aparajita" w:hAnsi="Aparajita" w:cs="Aparajita"/>
          <w:sz w:val="26"/>
          <w:szCs w:val="26"/>
        </w:rPr>
      </w:pPr>
    </w:p>
    <w:p w14:paraId="050F5FB1" w14:textId="77777777" w:rsidR="00473FC7" w:rsidRPr="008A2E2E" w:rsidRDefault="00473FC7" w:rsidP="00473FC7">
      <w:pPr>
        <w:rPr>
          <w:rFonts w:ascii="Aparajita" w:hAnsi="Aparajita" w:cs="Aparajita"/>
          <w:sz w:val="26"/>
          <w:szCs w:val="26"/>
        </w:rPr>
      </w:pPr>
      <w:r w:rsidRPr="008A2E2E">
        <w:rPr>
          <w:rFonts w:ascii="Aparajita" w:hAnsi="Aparajita" w:cs="Aparajita"/>
          <w:sz w:val="26"/>
          <w:szCs w:val="26"/>
        </w:rPr>
        <w:t xml:space="preserve">A number of marketing goals have been set in order to guarantee the event's success. Reaching a 75% attendance percentage is the primary goal, and this may be done by using community outreach and focused advertising. According to a research by </w:t>
      </w:r>
      <w:proofErr w:type="spellStart"/>
      <w:r w:rsidRPr="008A2E2E">
        <w:rPr>
          <w:rFonts w:ascii="Aparajita" w:hAnsi="Aparajita" w:cs="Aparajita"/>
          <w:sz w:val="26"/>
          <w:szCs w:val="26"/>
        </w:rPr>
        <w:t>Kotler</w:t>
      </w:r>
      <w:proofErr w:type="spellEnd"/>
      <w:r w:rsidRPr="008A2E2E">
        <w:rPr>
          <w:rFonts w:ascii="Aparajita" w:hAnsi="Aparajita" w:cs="Aparajita"/>
          <w:sz w:val="26"/>
          <w:szCs w:val="26"/>
        </w:rPr>
        <w:t xml:space="preserve"> and Armstrong (2018), event attendance is much increased when advertising strategies are tailored to specific populations.</w:t>
      </w:r>
    </w:p>
    <w:p w14:paraId="39D6A9BF" w14:textId="77777777" w:rsidR="00473FC7" w:rsidRPr="008A2E2E" w:rsidRDefault="00473FC7" w:rsidP="00473FC7">
      <w:pPr>
        <w:rPr>
          <w:rFonts w:ascii="Aparajita" w:hAnsi="Aparajita" w:cs="Aparajita"/>
          <w:sz w:val="26"/>
          <w:szCs w:val="26"/>
        </w:rPr>
      </w:pPr>
    </w:p>
    <w:p w14:paraId="1AD0A1DD" w14:textId="77777777" w:rsidR="008609AE" w:rsidRPr="008A2E2E" w:rsidRDefault="00473FC7" w:rsidP="008609AE">
      <w:pPr>
        <w:rPr>
          <w:rFonts w:ascii="Aparajita" w:hAnsi="Aparajita" w:cs="Aparajita"/>
          <w:sz w:val="26"/>
          <w:szCs w:val="26"/>
        </w:rPr>
      </w:pPr>
      <w:r w:rsidRPr="008A2E2E">
        <w:rPr>
          <w:rFonts w:ascii="Aparajita" w:hAnsi="Aparajita" w:cs="Aparajita"/>
          <w:sz w:val="26"/>
          <w:szCs w:val="26"/>
        </w:rPr>
        <w:lastRenderedPageBreak/>
        <w:t>In the three months preceding the event, another goal is to raise social media involvement by 50%. Funk and James (2001) assert that encouraging interaction through interactive materials, including training videos, live Q&amp;A sessions, and event countdowns, may greatly increase brand awareness and</w:t>
      </w:r>
      <w:r w:rsidR="00DA282C" w:rsidRPr="008A2E2E">
        <w:rPr>
          <w:rFonts w:ascii="Aparajita" w:hAnsi="Aparajita" w:cs="Aparajita"/>
          <w:sz w:val="26"/>
          <w:szCs w:val="26"/>
        </w:rPr>
        <w:t xml:space="preserve"> </w:t>
      </w:r>
      <w:r w:rsidR="008609AE" w:rsidRPr="008A2E2E">
        <w:rPr>
          <w:rFonts w:ascii="Aparajita" w:hAnsi="Aparajita" w:cs="Aparajita"/>
          <w:sz w:val="26"/>
          <w:szCs w:val="26"/>
        </w:rPr>
        <w:t xml:space="preserve">anticipation of the audience. Another area of concentration is merchandise sales, with the aim of raising income by 20% over prior events. To accomplish this goal, exclusive event items and ticket package discounts will be crucial strategies (Shank and </w:t>
      </w:r>
      <w:proofErr w:type="spellStart"/>
      <w:r w:rsidR="008609AE" w:rsidRPr="008A2E2E">
        <w:rPr>
          <w:rFonts w:ascii="Aparajita" w:hAnsi="Aparajita" w:cs="Aparajita"/>
          <w:sz w:val="26"/>
          <w:szCs w:val="26"/>
        </w:rPr>
        <w:t>Lyberger</w:t>
      </w:r>
      <w:proofErr w:type="spellEnd"/>
      <w:r w:rsidR="008609AE" w:rsidRPr="008A2E2E">
        <w:rPr>
          <w:rFonts w:ascii="Aparajita" w:hAnsi="Aparajita" w:cs="Aparajita"/>
          <w:sz w:val="26"/>
          <w:szCs w:val="26"/>
        </w:rPr>
        <w:t>, 2014).</w:t>
      </w:r>
    </w:p>
    <w:p w14:paraId="50DE51AF" w14:textId="77777777" w:rsidR="008609AE" w:rsidRPr="008A2E2E" w:rsidRDefault="008609AE" w:rsidP="008609AE">
      <w:pPr>
        <w:rPr>
          <w:rFonts w:ascii="Aparajita" w:hAnsi="Aparajita" w:cs="Aparajita"/>
          <w:sz w:val="26"/>
          <w:szCs w:val="26"/>
        </w:rPr>
      </w:pPr>
    </w:p>
    <w:p w14:paraId="6BEC2E95" w14:textId="7BF07B77" w:rsidR="00FB77DE" w:rsidRPr="008A2E2E" w:rsidRDefault="008609AE">
      <w:pPr>
        <w:rPr>
          <w:rFonts w:ascii="Aparajita" w:hAnsi="Aparajita" w:cs="Aparajita"/>
          <w:sz w:val="26"/>
          <w:szCs w:val="26"/>
        </w:rPr>
      </w:pPr>
      <w:r w:rsidRPr="008A2E2E">
        <w:rPr>
          <w:rFonts w:ascii="Aparajita" w:hAnsi="Aparajita" w:cs="Aparajita"/>
          <w:sz w:val="26"/>
          <w:szCs w:val="26"/>
        </w:rPr>
        <w:t xml:space="preserve">Another key component of the marketing approach is community participation. In order to spread the word at the local level, the event hopes to collaborate with at least five organisations, such as sports teams and schools. Partnerships with community organisations not only boost marketing efforts but also foster long-term goodwill for the event, according to </w:t>
      </w:r>
      <w:proofErr w:type="spellStart"/>
      <w:r w:rsidRPr="008A2E2E">
        <w:rPr>
          <w:rFonts w:ascii="Aparajita" w:hAnsi="Aparajita" w:cs="Aparajita"/>
          <w:sz w:val="26"/>
          <w:szCs w:val="26"/>
        </w:rPr>
        <w:t>Chalip</w:t>
      </w:r>
      <w:proofErr w:type="spellEnd"/>
      <w:r w:rsidRPr="008A2E2E">
        <w:rPr>
          <w:rFonts w:ascii="Aparajita" w:hAnsi="Aparajita" w:cs="Aparajita"/>
          <w:sz w:val="26"/>
          <w:szCs w:val="26"/>
        </w:rPr>
        <w:t xml:space="preserve"> and </w:t>
      </w:r>
      <w:proofErr w:type="spellStart"/>
      <w:r w:rsidRPr="008A2E2E">
        <w:rPr>
          <w:rFonts w:ascii="Aparajita" w:hAnsi="Aparajita" w:cs="Aparajita"/>
          <w:sz w:val="26"/>
          <w:szCs w:val="26"/>
        </w:rPr>
        <w:t>McGuirty</w:t>
      </w:r>
      <w:proofErr w:type="spellEnd"/>
      <w:r w:rsidRPr="008A2E2E">
        <w:rPr>
          <w:rFonts w:ascii="Aparajita" w:hAnsi="Aparajita" w:cs="Aparajita"/>
          <w:sz w:val="26"/>
          <w:szCs w:val="26"/>
        </w:rPr>
        <w:t xml:space="preserve"> (2004). Additionally, enlisting nearby companies as sponsors helps strengthen neighbourhood relations and increase the promotional reach.</w:t>
      </w:r>
    </w:p>
    <w:p w14:paraId="7CE33C63" w14:textId="7F672559" w:rsidR="008A2E2E" w:rsidRPr="008A2E2E" w:rsidRDefault="008A2E2E" w:rsidP="008A2E2E">
      <w:pPr>
        <w:rPr>
          <w:rFonts w:ascii="Aparajita" w:hAnsi="Aparajita" w:cs="Aparajita"/>
          <w:sz w:val="26"/>
          <w:szCs w:val="26"/>
        </w:rPr>
      </w:pPr>
      <w:r w:rsidRPr="008A2E2E">
        <w:rPr>
          <w:rFonts w:ascii="Aparajita" w:hAnsi="Aparajita" w:cs="Aparajita"/>
          <w:sz w:val="26"/>
          <w:szCs w:val="26"/>
        </w:rPr>
        <w:t xml:space="preserve">In </w:t>
      </w:r>
      <w:r w:rsidR="00A8065A">
        <w:rPr>
          <w:rFonts w:ascii="Aparajita" w:hAnsi="Aparajita" w:cs="Aparajita"/>
          <w:sz w:val="26"/>
          <w:szCs w:val="26"/>
        </w:rPr>
        <w:t>C</w:t>
      </w:r>
      <w:r w:rsidRPr="008A2E2E">
        <w:rPr>
          <w:rFonts w:ascii="Aparajita" w:hAnsi="Aparajita" w:cs="Aparajita"/>
          <w:sz w:val="26"/>
          <w:szCs w:val="26"/>
        </w:rPr>
        <w:t>onclusion</w:t>
      </w:r>
    </w:p>
    <w:p w14:paraId="4F5329BB" w14:textId="6AB8B241" w:rsidR="008A2E2E" w:rsidRDefault="008A2E2E">
      <w:pPr>
        <w:rPr>
          <w:rFonts w:ascii="Aparajita" w:hAnsi="Aparajita" w:cs="Aparajita"/>
          <w:sz w:val="26"/>
          <w:szCs w:val="26"/>
        </w:rPr>
      </w:pPr>
      <w:r w:rsidRPr="008A2E2E">
        <w:rPr>
          <w:rFonts w:ascii="Aparajita" w:hAnsi="Aparajita" w:cs="Aparajita"/>
          <w:sz w:val="26"/>
          <w:szCs w:val="26"/>
        </w:rPr>
        <w:t>A thorough framework for the effective promotion and management of boxing events at Swansea Arena is provided by this strategic marketing strategy. The event may appeal to a large audience and accomplish its goals by utilising efficient segmentation, targeting, and positioning methods as well as by optimising the marketing mix. Supported by strong strategies and an emphasis on community involvement, this event might establish a standard for sports marketing in Wales.</w:t>
      </w:r>
    </w:p>
    <w:p w14:paraId="47018D90" w14:textId="77777777" w:rsidR="00827CF5" w:rsidRDefault="00827CF5">
      <w:pPr>
        <w:rPr>
          <w:rFonts w:ascii="Aparajita" w:hAnsi="Aparajita" w:cs="Aparajita"/>
          <w:sz w:val="26"/>
          <w:szCs w:val="26"/>
        </w:rPr>
      </w:pPr>
    </w:p>
    <w:p w14:paraId="2BF70C4E" w14:textId="16070494" w:rsidR="00827CF5" w:rsidRPr="007040EC" w:rsidRDefault="00827CF5">
      <w:pPr>
        <w:rPr>
          <w:rFonts w:ascii="Aparajita" w:hAnsi="Aparajita" w:cs="Aparajita"/>
          <w:sz w:val="32"/>
          <w:szCs w:val="32"/>
        </w:rPr>
      </w:pPr>
      <w:r w:rsidRPr="007040EC">
        <w:rPr>
          <w:rFonts w:ascii="Aparajita" w:hAnsi="Aparajita" w:cs="Aparajita"/>
          <w:sz w:val="32"/>
          <w:szCs w:val="32"/>
        </w:rPr>
        <w:t>Reference List</w:t>
      </w:r>
    </w:p>
    <w:p w14:paraId="0A85A7DD" w14:textId="77777777" w:rsidR="00230B91" w:rsidRPr="007040EC" w:rsidRDefault="00230B91">
      <w:pPr>
        <w:rPr>
          <w:rFonts w:ascii="Aparajita" w:hAnsi="Aparajita" w:cs="Aparajita"/>
          <w:sz w:val="32"/>
          <w:szCs w:val="32"/>
        </w:rPr>
      </w:pPr>
    </w:p>
    <w:p w14:paraId="30317566" w14:textId="15144F17" w:rsidR="00230B91" w:rsidRPr="007040EC" w:rsidRDefault="00230B91" w:rsidP="007040EC">
      <w:pPr>
        <w:pStyle w:val="ListParagraph"/>
        <w:numPr>
          <w:ilvl w:val="0"/>
          <w:numId w:val="3"/>
        </w:numPr>
        <w:spacing w:after="0" w:line="240" w:lineRule="auto"/>
        <w:divId w:val="1546024231"/>
        <w:rPr>
          <w:rFonts w:ascii="Aparajita" w:eastAsia="Times New Roman" w:hAnsi="Aparajita" w:cs="Aparajita"/>
          <w:kern w:val="0"/>
          <w:sz w:val="32"/>
          <w:szCs w:val="32"/>
          <w14:ligatures w14:val="none"/>
        </w:rPr>
      </w:pPr>
      <w:proofErr w:type="spellStart"/>
      <w:r w:rsidRPr="007040EC">
        <w:rPr>
          <w:rFonts w:ascii="Aparajita" w:eastAsia="Times New Roman" w:hAnsi="Aparajita" w:cs="Aparajita"/>
          <w:kern w:val="0"/>
          <w:sz w:val="32"/>
          <w:szCs w:val="32"/>
          <w14:ligatures w14:val="none"/>
        </w:rPr>
        <w:t>Chalip</w:t>
      </w:r>
      <w:proofErr w:type="spellEnd"/>
      <w:r w:rsidRPr="007040EC">
        <w:rPr>
          <w:rFonts w:ascii="Aparajita" w:eastAsia="Times New Roman" w:hAnsi="Aparajita" w:cs="Aparajita"/>
          <w:kern w:val="0"/>
          <w:sz w:val="32"/>
          <w:szCs w:val="32"/>
          <w14:ligatures w14:val="none"/>
        </w:rPr>
        <w:t xml:space="preserve">, L. and </w:t>
      </w:r>
      <w:proofErr w:type="spellStart"/>
      <w:r w:rsidRPr="007040EC">
        <w:rPr>
          <w:rFonts w:ascii="Aparajita" w:eastAsia="Times New Roman" w:hAnsi="Aparajita" w:cs="Aparajita"/>
          <w:kern w:val="0"/>
          <w:sz w:val="32"/>
          <w:szCs w:val="32"/>
          <w14:ligatures w14:val="none"/>
        </w:rPr>
        <w:t>McGuirty</w:t>
      </w:r>
      <w:proofErr w:type="spellEnd"/>
      <w:r w:rsidRPr="007040EC">
        <w:rPr>
          <w:rFonts w:ascii="Aparajita" w:eastAsia="Times New Roman" w:hAnsi="Aparajita" w:cs="Aparajita"/>
          <w:kern w:val="0"/>
          <w:sz w:val="32"/>
          <w:szCs w:val="32"/>
          <w14:ligatures w14:val="none"/>
        </w:rPr>
        <w:t>, J. (2004) ‘Bundling sport events with the host destination’, Journal of Sport Tourism, 9(3), pp. 267–282. Available at: https://doi.org/10.1080/1477508042000320241 (Accessed: 18 November 2024).</w:t>
      </w:r>
    </w:p>
    <w:p w14:paraId="74719C8C" w14:textId="486FD56B" w:rsidR="00230B91" w:rsidRPr="007040EC" w:rsidRDefault="00230B91" w:rsidP="007040EC">
      <w:pPr>
        <w:pStyle w:val="ListParagraph"/>
        <w:numPr>
          <w:ilvl w:val="0"/>
          <w:numId w:val="3"/>
        </w:numPr>
        <w:spacing w:after="0" w:line="240" w:lineRule="auto"/>
        <w:divId w:val="1546024231"/>
        <w:rPr>
          <w:rFonts w:ascii="Aparajita" w:eastAsia="Times New Roman" w:hAnsi="Aparajita" w:cs="Aparajita"/>
          <w:kern w:val="0"/>
          <w:sz w:val="32"/>
          <w:szCs w:val="32"/>
          <w14:ligatures w14:val="none"/>
        </w:rPr>
      </w:pPr>
      <w:r w:rsidRPr="007040EC">
        <w:rPr>
          <w:rFonts w:ascii="Aparajita" w:eastAsia="Times New Roman" w:hAnsi="Aparajita" w:cs="Aparajita"/>
          <w:kern w:val="0"/>
          <w:sz w:val="32"/>
          <w:szCs w:val="32"/>
          <w14:ligatures w14:val="none"/>
        </w:rPr>
        <w:t xml:space="preserve">Fullerton, S. and </w:t>
      </w:r>
      <w:proofErr w:type="spellStart"/>
      <w:r w:rsidRPr="007040EC">
        <w:rPr>
          <w:rFonts w:ascii="Aparajita" w:eastAsia="Times New Roman" w:hAnsi="Aparajita" w:cs="Aparajita"/>
          <w:kern w:val="0"/>
          <w:sz w:val="32"/>
          <w:szCs w:val="32"/>
          <w14:ligatures w14:val="none"/>
        </w:rPr>
        <w:t>Merz</w:t>
      </w:r>
      <w:proofErr w:type="spellEnd"/>
      <w:r w:rsidRPr="007040EC">
        <w:rPr>
          <w:rFonts w:ascii="Aparajita" w:eastAsia="Times New Roman" w:hAnsi="Aparajita" w:cs="Aparajita"/>
          <w:kern w:val="0"/>
          <w:sz w:val="32"/>
          <w:szCs w:val="32"/>
          <w14:ligatures w14:val="none"/>
        </w:rPr>
        <w:t>, G.R. (2008) ‘The four domains of sports marketing: A conceptual framework’, Sport Marketing Quarterly, 17(2), pp. 90–108. Available at: https://fitpublishing.com/content/four-domains-sports-marketing-conceptual-framework-pp-90-108 (Accessed: 19 November 2024).</w:t>
      </w:r>
    </w:p>
    <w:p w14:paraId="458FA68A" w14:textId="7FFAD58B" w:rsidR="00230B91" w:rsidRPr="007040EC" w:rsidRDefault="00230B91" w:rsidP="007040EC">
      <w:pPr>
        <w:pStyle w:val="ListParagraph"/>
        <w:numPr>
          <w:ilvl w:val="0"/>
          <w:numId w:val="3"/>
        </w:numPr>
        <w:spacing w:after="0" w:line="240" w:lineRule="auto"/>
        <w:divId w:val="1546024231"/>
        <w:rPr>
          <w:rFonts w:ascii="Aparajita" w:eastAsia="Times New Roman" w:hAnsi="Aparajita" w:cs="Aparajita"/>
          <w:kern w:val="0"/>
          <w:sz w:val="32"/>
          <w:szCs w:val="32"/>
          <w14:ligatures w14:val="none"/>
        </w:rPr>
      </w:pPr>
      <w:r w:rsidRPr="007040EC">
        <w:rPr>
          <w:rFonts w:ascii="Aparajita" w:eastAsia="Times New Roman" w:hAnsi="Aparajita" w:cs="Aparajita"/>
          <w:kern w:val="0"/>
          <w:sz w:val="32"/>
          <w:szCs w:val="32"/>
          <w14:ligatures w14:val="none"/>
        </w:rPr>
        <w:t xml:space="preserve">Funk, D.C. and James, J.D. (2001) ‘The psychological continuum model: A conceptual framework for understanding an individual’s psychological connection to sport’, Sport Management Review, 4(2), pp. 119–150. Available </w:t>
      </w:r>
      <w:r w:rsidRPr="007040EC">
        <w:rPr>
          <w:rFonts w:ascii="Aparajita" w:eastAsia="Times New Roman" w:hAnsi="Aparajita" w:cs="Aparajita"/>
          <w:kern w:val="0"/>
          <w:sz w:val="32"/>
          <w:szCs w:val="32"/>
          <w14:ligatures w14:val="none"/>
        </w:rPr>
        <w:lastRenderedPageBreak/>
        <w:t>at: https://doi.org/10.1016/S1441-3523(01)70072-1 (Accessed: 19 November 2024).</w:t>
      </w:r>
    </w:p>
    <w:p w14:paraId="32F4C364" w14:textId="1945E5DD" w:rsidR="00230B91" w:rsidRPr="007040EC" w:rsidRDefault="00230B91" w:rsidP="007040EC">
      <w:pPr>
        <w:pStyle w:val="ListParagraph"/>
        <w:numPr>
          <w:ilvl w:val="0"/>
          <w:numId w:val="3"/>
        </w:numPr>
        <w:spacing w:after="0" w:line="240" w:lineRule="auto"/>
        <w:divId w:val="1546024231"/>
        <w:rPr>
          <w:rFonts w:ascii="Aparajita" w:eastAsia="Times New Roman" w:hAnsi="Aparajita" w:cs="Aparajita"/>
          <w:kern w:val="0"/>
          <w:sz w:val="32"/>
          <w:szCs w:val="32"/>
          <w14:ligatures w14:val="none"/>
        </w:rPr>
      </w:pPr>
      <w:r w:rsidRPr="007040EC">
        <w:rPr>
          <w:rFonts w:ascii="Aparajita" w:eastAsia="Times New Roman" w:hAnsi="Aparajita" w:cs="Aparajita"/>
          <w:kern w:val="0"/>
          <w:sz w:val="32"/>
          <w:szCs w:val="32"/>
          <w14:ligatures w14:val="none"/>
        </w:rPr>
        <w:t xml:space="preserve">Getz, D. (2012) Event Studies: Theory, Research and Policy for Planned Events. 2nd </w:t>
      </w:r>
      <w:proofErr w:type="spellStart"/>
      <w:r w:rsidRPr="007040EC">
        <w:rPr>
          <w:rFonts w:ascii="Aparajita" w:eastAsia="Times New Roman" w:hAnsi="Aparajita" w:cs="Aparajita"/>
          <w:kern w:val="0"/>
          <w:sz w:val="32"/>
          <w:szCs w:val="32"/>
          <w14:ligatures w14:val="none"/>
        </w:rPr>
        <w:t>edn</w:t>
      </w:r>
      <w:proofErr w:type="spellEnd"/>
      <w:r w:rsidRPr="007040EC">
        <w:rPr>
          <w:rFonts w:ascii="Aparajita" w:eastAsia="Times New Roman" w:hAnsi="Aparajita" w:cs="Aparajita"/>
          <w:kern w:val="0"/>
          <w:sz w:val="32"/>
          <w:szCs w:val="32"/>
          <w14:ligatures w14:val="none"/>
        </w:rPr>
        <w:t xml:space="preserve">. London: </w:t>
      </w:r>
      <w:proofErr w:type="spellStart"/>
      <w:r w:rsidRPr="007040EC">
        <w:rPr>
          <w:rFonts w:ascii="Aparajita" w:eastAsia="Times New Roman" w:hAnsi="Aparajita" w:cs="Aparajita"/>
          <w:kern w:val="0"/>
          <w:sz w:val="32"/>
          <w:szCs w:val="32"/>
          <w14:ligatures w14:val="none"/>
        </w:rPr>
        <w:t>Routledge</w:t>
      </w:r>
      <w:proofErr w:type="spellEnd"/>
      <w:r w:rsidRPr="007040EC">
        <w:rPr>
          <w:rFonts w:ascii="Aparajita" w:eastAsia="Times New Roman" w:hAnsi="Aparajita" w:cs="Aparajita"/>
          <w:kern w:val="0"/>
          <w:sz w:val="32"/>
          <w:szCs w:val="32"/>
          <w14:ligatures w14:val="none"/>
        </w:rPr>
        <w:t>. Available at: https://www.routledge.com/Event-Studies-Theory-Research-and-Policy-for-Planned-Events/Getz/p/book/9780080969534 (Accessed: 18 November 2024).</w:t>
      </w:r>
    </w:p>
    <w:p w14:paraId="72F8A333" w14:textId="11D9515E" w:rsidR="00230B91" w:rsidRPr="007040EC" w:rsidRDefault="00230B91" w:rsidP="007040EC">
      <w:pPr>
        <w:pStyle w:val="ListParagraph"/>
        <w:numPr>
          <w:ilvl w:val="0"/>
          <w:numId w:val="3"/>
        </w:numPr>
        <w:spacing w:after="0" w:line="240" w:lineRule="auto"/>
        <w:divId w:val="1546024231"/>
        <w:rPr>
          <w:rFonts w:ascii="Aparajita" w:eastAsia="Times New Roman" w:hAnsi="Aparajita" w:cs="Aparajita"/>
          <w:kern w:val="0"/>
          <w:sz w:val="32"/>
          <w:szCs w:val="32"/>
          <w14:ligatures w14:val="none"/>
        </w:rPr>
      </w:pPr>
      <w:proofErr w:type="spellStart"/>
      <w:r w:rsidRPr="007040EC">
        <w:rPr>
          <w:rFonts w:ascii="Aparajita" w:eastAsia="Times New Roman" w:hAnsi="Aparajita" w:cs="Aparajita"/>
          <w:kern w:val="0"/>
          <w:sz w:val="32"/>
          <w:szCs w:val="32"/>
          <w14:ligatures w14:val="none"/>
        </w:rPr>
        <w:t>Kotler</w:t>
      </w:r>
      <w:proofErr w:type="spellEnd"/>
      <w:r w:rsidRPr="007040EC">
        <w:rPr>
          <w:rFonts w:ascii="Aparajita" w:eastAsia="Times New Roman" w:hAnsi="Aparajita" w:cs="Aparajita"/>
          <w:kern w:val="0"/>
          <w:sz w:val="32"/>
          <w:szCs w:val="32"/>
          <w14:ligatures w14:val="none"/>
        </w:rPr>
        <w:t xml:space="preserve">, P. and Armstrong, G. (2018) Principles of Marketing. 17th </w:t>
      </w:r>
      <w:proofErr w:type="spellStart"/>
      <w:r w:rsidRPr="007040EC">
        <w:rPr>
          <w:rFonts w:ascii="Aparajita" w:eastAsia="Times New Roman" w:hAnsi="Aparajita" w:cs="Aparajita"/>
          <w:kern w:val="0"/>
          <w:sz w:val="32"/>
          <w:szCs w:val="32"/>
          <w14:ligatures w14:val="none"/>
        </w:rPr>
        <w:t>edn</w:t>
      </w:r>
      <w:proofErr w:type="spellEnd"/>
      <w:r w:rsidRPr="007040EC">
        <w:rPr>
          <w:rFonts w:ascii="Aparajita" w:eastAsia="Times New Roman" w:hAnsi="Aparajita" w:cs="Aparajita"/>
          <w:kern w:val="0"/>
          <w:sz w:val="32"/>
          <w:szCs w:val="32"/>
          <w14:ligatures w14:val="none"/>
        </w:rPr>
        <w:t>. Harlow: Pearson. Available at: https://www.pearson.com/store/p/principles-of-marketing/P100000268572 (Accessed: 19 November 2024).</w:t>
      </w:r>
    </w:p>
    <w:p w14:paraId="4799CD7E" w14:textId="49D28EAE" w:rsidR="00230B91" w:rsidRPr="007040EC" w:rsidRDefault="00230B91" w:rsidP="007040EC">
      <w:pPr>
        <w:pStyle w:val="ListParagraph"/>
        <w:numPr>
          <w:ilvl w:val="0"/>
          <w:numId w:val="3"/>
        </w:numPr>
        <w:spacing w:after="0" w:line="240" w:lineRule="auto"/>
        <w:divId w:val="1546024231"/>
        <w:rPr>
          <w:rFonts w:ascii="Aparajita" w:eastAsia="Times New Roman" w:hAnsi="Aparajita" w:cs="Aparajita"/>
          <w:kern w:val="0"/>
          <w:sz w:val="32"/>
          <w:szCs w:val="32"/>
          <w14:ligatures w14:val="none"/>
        </w:rPr>
      </w:pPr>
      <w:proofErr w:type="spellStart"/>
      <w:r w:rsidRPr="007040EC">
        <w:rPr>
          <w:rFonts w:ascii="Aparajita" w:eastAsia="Times New Roman" w:hAnsi="Aparajita" w:cs="Aparajita"/>
          <w:kern w:val="0"/>
          <w:sz w:val="32"/>
          <w:szCs w:val="32"/>
          <w14:ligatures w14:val="none"/>
        </w:rPr>
        <w:t>Masterman</w:t>
      </w:r>
      <w:proofErr w:type="spellEnd"/>
      <w:r w:rsidRPr="007040EC">
        <w:rPr>
          <w:rFonts w:ascii="Aparajita" w:eastAsia="Times New Roman" w:hAnsi="Aparajita" w:cs="Aparajita"/>
          <w:kern w:val="0"/>
          <w:sz w:val="32"/>
          <w:szCs w:val="32"/>
          <w14:ligatures w14:val="none"/>
        </w:rPr>
        <w:t xml:space="preserve">, G. (2014) Strategic Sports Event Management. 3rd </w:t>
      </w:r>
      <w:proofErr w:type="spellStart"/>
      <w:r w:rsidRPr="007040EC">
        <w:rPr>
          <w:rFonts w:ascii="Aparajita" w:eastAsia="Times New Roman" w:hAnsi="Aparajita" w:cs="Aparajita"/>
          <w:kern w:val="0"/>
          <w:sz w:val="32"/>
          <w:szCs w:val="32"/>
          <w14:ligatures w14:val="none"/>
        </w:rPr>
        <w:t>edn</w:t>
      </w:r>
      <w:proofErr w:type="spellEnd"/>
      <w:r w:rsidRPr="007040EC">
        <w:rPr>
          <w:rFonts w:ascii="Aparajita" w:eastAsia="Times New Roman" w:hAnsi="Aparajita" w:cs="Aparajita"/>
          <w:kern w:val="0"/>
          <w:sz w:val="32"/>
          <w:szCs w:val="32"/>
          <w14:ligatures w14:val="none"/>
        </w:rPr>
        <w:t xml:space="preserve">. London: </w:t>
      </w:r>
      <w:proofErr w:type="spellStart"/>
      <w:r w:rsidRPr="007040EC">
        <w:rPr>
          <w:rFonts w:ascii="Aparajita" w:eastAsia="Times New Roman" w:hAnsi="Aparajita" w:cs="Aparajita"/>
          <w:kern w:val="0"/>
          <w:sz w:val="32"/>
          <w:szCs w:val="32"/>
          <w14:ligatures w14:val="none"/>
        </w:rPr>
        <w:t>Routledge</w:t>
      </w:r>
      <w:proofErr w:type="spellEnd"/>
      <w:r w:rsidRPr="007040EC">
        <w:rPr>
          <w:rFonts w:ascii="Aparajita" w:eastAsia="Times New Roman" w:hAnsi="Aparajita" w:cs="Aparajita"/>
          <w:kern w:val="0"/>
          <w:sz w:val="32"/>
          <w:szCs w:val="32"/>
          <w14:ligatures w14:val="none"/>
        </w:rPr>
        <w:t>. Available at: https://www.routledge.com/Strategic-Sports-Event-Management/Masterman/p/book/9780415528623 (Accessed: 20 November 2024).</w:t>
      </w:r>
    </w:p>
    <w:p w14:paraId="726D3F40" w14:textId="3EB31689" w:rsidR="00230B91" w:rsidRPr="007040EC" w:rsidRDefault="00230B91" w:rsidP="007040EC">
      <w:pPr>
        <w:pStyle w:val="ListParagraph"/>
        <w:numPr>
          <w:ilvl w:val="0"/>
          <w:numId w:val="3"/>
        </w:numPr>
        <w:spacing w:after="0" w:line="240" w:lineRule="auto"/>
        <w:divId w:val="1546024231"/>
        <w:rPr>
          <w:rFonts w:ascii="Aparajita" w:eastAsia="Times New Roman" w:hAnsi="Aparajita" w:cs="Aparajita"/>
          <w:kern w:val="0"/>
          <w:sz w:val="32"/>
          <w:szCs w:val="32"/>
          <w14:ligatures w14:val="none"/>
        </w:rPr>
      </w:pPr>
      <w:proofErr w:type="spellStart"/>
      <w:r w:rsidRPr="007040EC">
        <w:rPr>
          <w:rFonts w:ascii="Aparajita" w:eastAsia="Times New Roman" w:hAnsi="Aparajita" w:cs="Aparajita"/>
          <w:kern w:val="0"/>
          <w:sz w:val="32"/>
          <w:szCs w:val="32"/>
          <w14:ligatures w14:val="none"/>
        </w:rPr>
        <w:t>Mullin</w:t>
      </w:r>
      <w:proofErr w:type="spellEnd"/>
      <w:r w:rsidRPr="007040EC">
        <w:rPr>
          <w:rFonts w:ascii="Aparajita" w:eastAsia="Times New Roman" w:hAnsi="Aparajita" w:cs="Aparajita"/>
          <w:kern w:val="0"/>
          <w:sz w:val="32"/>
          <w:szCs w:val="32"/>
          <w14:ligatures w14:val="none"/>
        </w:rPr>
        <w:t xml:space="preserve">, B.J., Hardy, S. and Sutton, W.A. (2014) Sport Marketing. 4th </w:t>
      </w:r>
      <w:proofErr w:type="spellStart"/>
      <w:r w:rsidRPr="007040EC">
        <w:rPr>
          <w:rFonts w:ascii="Aparajita" w:eastAsia="Times New Roman" w:hAnsi="Aparajita" w:cs="Aparajita"/>
          <w:kern w:val="0"/>
          <w:sz w:val="32"/>
          <w:szCs w:val="32"/>
          <w14:ligatures w14:val="none"/>
        </w:rPr>
        <w:t>edn</w:t>
      </w:r>
      <w:proofErr w:type="spellEnd"/>
      <w:r w:rsidRPr="007040EC">
        <w:rPr>
          <w:rFonts w:ascii="Aparajita" w:eastAsia="Times New Roman" w:hAnsi="Aparajita" w:cs="Aparajita"/>
          <w:kern w:val="0"/>
          <w:sz w:val="32"/>
          <w:szCs w:val="32"/>
          <w14:ligatures w14:val="none"/>
        </w:rPr>
        <w:t>. Champaign: Human Kinetics. Available at: https://us.humankinetics.com/products/sport-marketing-4th-edition (Accessed: 18 November 2024).</w:t>
      </w:r>
    </w:p>
    <w:p w14:paraId="64206A57" w14:textId="43B206BD" w:rsidR="00230B91" w:rsidRPr="007040EC" w:rsidRDefault="00230B91" w:rsidP="007040EC">
      <w:pPr>
        <w:pStyle w:val="ListParagraph"/>
        <w:numPr>
          <w:ilvl w:val="0"/>
          <w:numId w:val="3"/>
        </w:numPr>
        <w:spacing w:after="0" w:line="240" w:lineRule="auto"/>
        <w:divId w:val="1546024231"/>
        <w:rPr>
          <w:rFonts w:ascii="Aparajita" w:eastAsia="Times New Roman" w:hAnsi="Aparajita" w:cs="Aparajita"/>
          <w:kern w:val="0"/>
          <w:sz w:val="32"/>
          <w:szCs w:val="32"/>
          <w14:ligatures w14:val="none"/>
        </w:rPr>
      </w:pPr>
      <w:r w:rsidRPr="007040EC">
        <w:rPr>
          <w:rFonts w:ascii="Aparajita" w:eastAsia="Times New Roman" w:hAnsi="Aparajita" w:cs="Aparajita"/>
          <w:kern w:val="0"/>
          <w:sz w:val="32"/>
          <w:szCs w:val="32"/>
          <w14:ligatures w14:val="none"/>
        </w:rPr>
        <w:t xml:space="preserve">Shank, M.D. and </w:t>
      </w:r>
      <w:proofErr w:type="spellStart"/>
      <w:r w:rsidRPr="007040EC">
        <w:rPr>
          <w:rFonts w:ascii="Aparajita" w:eastAsia="Times New Roman" w:hAnsi="Aparajita" w:cs="Aparajita"/>
          <w:kern w:val="0"/>
          <w:sz w:val="32"/>
          <w:szCs w:val="32"/>
          <w14:ligatures w14:val="none"/>
        </w:rPr>
        <w:t>Lyberger</w:t>
      </w:r>
      <w:proofErr w:type="spellEnd"/>
      <w:r w:rsidRPr="007040EC">
        <w:rPr>
          <w:rFonts w:ascii="Aparajita" w:eastAsia="Times New Roman" w:hAnsi="Aparajita" w:cs="Aparajita"/>
          <w:kern w:val="0"/>
          <w:sz w:val="32"/>
          <w:szCs w:val="32"/>
          <w14:ligatures w14:val="none"/>
        </w:rPr>
        <w:t xml:space="preserve">, M.R. (2014) Sports Marketing: A Strategic Perspective. 5th </w:t>
      </w:r>
      <w:proofErr w:type="spellStart"/>
      <w:r w:rsidRPr="007040EC">
        <w:rPr>
          <w:rFonts w:ascii="Aparajita" w:eastAsia="Times New Roman" w:hAnsi="Aparajita" w:cs="Aparajita"/>
          <w:kern w:val="0"/>
          <w:sz w:val="32"/>
          <w:szCs w:val="32"/>
          <w14:ligatures w14:val="none"/>
        </w:rPr>
        <w:t>edn</w:t>
      </w:r>
      <w:proofErr w:type="spellEnd"/>
      <w:r w:rsidRPr="007040EC">
        <w:rPr>
          <w:rFonts w:ascii="Aparajita" w:eastAsia="Times New Roman" w:hAnsi="Aparajita" w:cs="Aparajita"/>
          <w:kern w:val="0"/>
          <w:sz w:val="32"/>
          <w:szCs w:val="32"/>
          <w14:ligatures w14:val="none"/>
        </w:rPr>
        <w:t xml:space="preserve">. London: </w:t>
      </w:r>
      <w:proofErr w:type="spellStart"/>
      <w:r w:rsidRPr="007040EC">
        <w:rPr>
          <w:rFonts w:ascii="Aparajita" w:eastAsia="Times New Roman" w:hAnsi="Aparajita" w:cs="Aparajita"/>
          <w:kern w:val="0"/>
          <w:sz w:val="32"/>
          <w:szCs w:val="32"/>
          <w14:ligatures w14:val="none"/>
        </w:rPr>
        <w:t>Routledge</w:t>
      </w:r>
      <w:proofErr w:type="spellEnd"/>
      <w:r w:rsidRPr="007040EC">
        <w:rPr>
          <w:rFonts w:ascii="Aparajita" w:eastAsia="Times New Roman" w:hAnsi="Aparajita" w:cs="Aparajita"/>
          <w:kern w:val="0"/>
          <w:sz w:val="32"/>
          <w:szCs w:val="32"/>
          <w14:ligatures w14:val="none"/>
        </w:rPr>
        <w:t>. Available at: https://www.routledge.com/Sports-Marketing-A-Strategic-Perspective/Shank-Lyberger/p/book/9781138015968 (Accessed: 19 November 2024).</w:t>
      </w:r>
    </w:p>
    <w:p w14:paraId="4A9C819E" w14:textId="76184A0C" w:rsidR="00230B91" w:rsidRPr="007040EC" w:rsidRDefault="00230B91" w:rsidP="007040EC">
      <w:pPr>
        <w:pStyle w:val="ListParagraph"/>
        <w:numPr>
          <w:ilvl w:val="0"/>
          <w:numId w:val="3"/>
        </w:numPr>
        <w:spacing w:after="0" w:line="240" w:lineRule="auto"/>
        <w:divId w:val="1546024231"/>
        <w:rPr>
          <w:rFonts w:ascii="Aparajita" w:eastAsia="Times New Roman" w:hAnsi="Aparajita" w:cs="Aparajita"/>
          <w:kern w:val="0"/>
          <w:sz w:val="32"/>
          <w:szCs w:val="32"/>
          <w14:ligatures w14:val="none"/>
        </w:rPr>
      </w:pPr>
      <w:r w:rsidRPr="007040EC">
        <w:rPr>
          <w:rFonts w:ascii="Aparajita" w:eastAsia="Times New Roman" w:hAnsi="Aparajita" w:cs="Aparajita"/>
          <w:kern w:val="0"/>
          <w:sz w:val="32"/>
          <w:szCs w:val="32"/>
          <w14:ligatures w14:val="none"/>
        </w:rPr>
        <w:t>Smith, A. (2016) ‘Event marketing: Measuring an experience’, International Journal of Event and Festival Management, 7(1), pp. 7–19. Available at: https://doi.org/10.1108/IJEFM-05-2015-0020 (Accessed: 20 November 2024).</w:t>
      </w:r>
    </w:p>
    <w:p w14:paraId="252AAF22" w14:textId="0E41252C" w:rsidR="00230B91" w:rsidRPr="007040EC" w:rsidRDefault="00230B91" w:rsidP="007040EC">
      <w:pPr>
        <w:pStyle w:val="ListParagraph"/>
        <w:numPr>
          <w:ilvl w:val="0"/>
          <w:numId w:val="3"/>
        </w:numPr>
        <w:rPr>
          <w:rFonts w:ascii="Aparajita" w:hAnsi="Aparajita" w:cs="Aparajita"/>
          <w:sz w:val="32"/>
          <w:szCs w:val="32"/>
        </w:rPr>
      </w:pPr>
      <w:proofErr w:type="spellStart"/>
      <w:r w:rsidRPr="007040EC">
        <w:rPr>
          <w:rFonts w:ascii="Aparajita" w:eastAsia="Times New Roman" w:hAnsi="Aparajita" w:cs="Aparajita"/>
          <w:kern w:val="0"/>
          <w:sz w:val="32"/>
          <w:szCs w:val="32"/>
          <w14:ligatures w14:val="none"/>
        </w:rPr>
        <w:t>Tsiotsou</w:t>
      </w:r>
      <w:proofErr w:type="spellEnd"/>
      <w:r w:rsidRPr="007040EC">
        <w:rPr>
          <w:rFonts w:ascii="Aparajita" w:eastAsia="Times New Roman" w:hAnsi="Aparajita" w:cs="Aparajita"/>
          <w:kern w:val="0"/>
          <w:sz w:val="32"/>
          <w:szCs w:val="32"/>
          <w14:ligatures w14:val="none"/>
        </w:rPr>
        <w:t xml:space="preserve">, R.H. and Goldsmith, R.E. (2012) Strategic Marketing in Tourism Services. </w:t>
      </w:r>
      <w:proofErr w:type="spellStart"/>
      <w:r w:rsidRPr="007040EC">
        <w:rPr>
          <w:rFonts w:ascii="Aparajita" w:eastAsia="Times New Roman" w:hAnsi="Aparajita" w:cs="Aparajita"/>
          <w:kern w:val="0"/>
          <w:sz w:val="32"/>
          <w:szCs w:val="32"/>
          <w14:ligatures w14:val="none"/>
        </w:rPr>
        <w:t>Bingley</w:t>
      </w:r>
      <w:proofErr w:type="spellEnd"/>
      <w:r w:rsidRPr="007040EC">
        <w:rPr>
          <w:rFonts w:ascii="Aparajita" w:eastAsia="Times New Roman" w:hAnsi="Aparajita" w:cs="Aparajita"/>
          <w:kern w:val="0"/>
          <w:sz w:val="32"/>
          <w:szCs w:val="32"/>
          <w14:ligatures w14:val="none"/>
        </w:rPr>
        <w:t>: Emerald Group Publishing. Available at: https://books.emeraldinsight.com/page/detail/Strategic-Marketing-in-Tourism-Services/?k=9781780520701 (Accessed: 20 November 2024).</w:t>
      </w:r>
    </w:p>
    <w:p w14:paraId="4EF0A372" w14:textId="77777777" w:rsidR="00230B91" w:rsidRPr="008A2E2E" w:rsidRDefault="00230B91">
      <w:pPr>
        <w:rPr>
          <w:rFonts w:ascii="Aparajita" w:hAnsi="Aparajita" w:cs="Aparajita"/>
          <w:sz w:val="26"/>
          <w:szCs w:val="26"/>
        </w:rPr>
      </w:pPr>
    </w:p>
    <w:sectPr w:rsidR="00230B91" w:rsidRPr="008A2E2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Display">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Aparajita">
    <w:panose1 w:val="02020603050405020304"/>
    <w:charset w:val="00"/>
    <w:family w:val="roman"/>
    <w:pitch w:val="variable"/>
    <w:sig w:usb0="00008003" w:usb1="00000000" w:usb2="00000000" w:usb3="00000000" w:csb0="00000001" w:csb1="00000000"/>
  </w:font>
  <w:font w:name="Work Sans">
    <w:panose1 w:val="00000000000000000000"/>
    <w:charset w:val="4D"/>
    <w:family w:val="auto"/>
    <w:pitch w:val="variable"/>
    <w:sig w:usb0="A00000FF" w:usb1="5000E07B" w:usb2="00000000" w:usb3="00000000" w:csb0="00000193"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9113E3"/>
    <w:multiLevelType w:val="hybridMultilevel"/>
    <w:tmpl w:val="A7503BFA"/>
    <w:lvl w:ilvl="0" w:tplc="FFFFFFFF">
      <w:numFmt w:val="bullet"/>
      <w:lvlText w:val=""/>
      <w:lvlJc w:val="left"/>
      <w:pPr>
        <w:ind w:left="720" w:hanging="360"/>
      </w:pPr>
      <w:rPr>
        <w:rFonts w:ascii="Aptos Display" w:eastAsia="Times New Roman" w:hAnsi="Aptos Display"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44F73AC"/>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19B48FE"/>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9BD3810"/>
    <w:multiLevelType w:val="hybridMultilevel"/>
    <w:tmpl w:val="E5B011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9E70B5B"/>
    <w:multiLevelType w:val="hybridMultilevel"/>
    <w:tmpl w:val="A636D7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59585948">
    <w:abstractNumId w:val="1"/>
  </w:num>
  <w:num w:numId="2" w16cid:durableId="1772238196">
    <w:abstractNumId w:val="2"/>
  </w:num>
  <w:num w:numId="3" w16cid:durableId="945696116">
    <w:abstractNumId w:val="4"/>
  </w:num>
  <w:num w:numId="4" w16cid:durableId="1772893840">
    <w:abstractNumId w:val="3"/>
  </w:num>
  <w:num w:numId="5" w16cid:durableId="81784224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2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5544"/>
    <w:rsid w:val="000017E1"/>
    <w:rsid w:val="00030691"/>
    <w:rsid w:val="00045FAB"/>
    <w:rsid w:val="00047429"/>
    <w:rsid w:val="000539CE"/>
    <w:rsid w:val="00070883"/>
    <w:rsid w:val="000C3883"/>
    <w:rsid w:val="000E6BC7"/>
    <w:rsid w:val="001042EF"/>
    <w:rsid w:val="00130260"/>
    <w:rsid w:val="00132A71"/>
    <w:rsid w:val="00167618"/>
    <w:rsid w:val="00185477"/>
    <w:rsid w:val="001A1A22"/>
    <w:rsid w:val="001B5843"/>
    <w:rsid w:val="001E51EC"/>
    <w:rsid w:val="00206CE7"/>
    <w:rsid w:val="00222E70"/>
    <w:rsid w:val="00230B91"/>
    <w:rsid w:val="0023288E"/>
    <w:rsid w:val="00235214"/>
    <w:rsid w:val="002E5780"/>
    <w:rsid w:val="0036762B"/>
    <w:rsid w:val="003B032F"/>
    <w:rsid w:val="003D1D29"/>
    <w:rsid w:val="004213C5"/>
    <w:rsid w:val="00435F4D"/>
    <w:rsid w:val="0046170E"/>
    <w:rsid w:val="00473FC7"/>
    <w:rsid w:val="00494741"/>
    <w:rsid w:val="004F3335"/>
    <w:rsid w:val="00517B68"/>
    <w:rsid w:val="00526E2C"/>
    <w:rsid w:val="00534614"/>
    <w:rsid w:val="005851F0"/>
    <w:rsid w:val="005905D5"/>
    <w:rsid w:val="0059691E"/>
    <w:rsid w:val="005A0EC3"/>
    <w:rsid w:val="005F70D4"/>
    <w:rsid w:val="0061362E"/>
    <w:rsid w:val="00630164"/>
    <w:rsid w:val="006773B5"/>
    <w:rsid w:val="006E2660"/>
    <w:rsid w:val="007040EC"/>
    <w:rsid w:val="0070730C"/>
    <w:rsid w:val="007314A5"/>
    <w:rsid w:val="00786419"/>
    <w:rsid w:val="00814D0F"/>
    <w:rsid w:val="00827CF5"/>
    <w:rsid w:val="00830E7B"/>
    <w:rsid w:val="00834AC2"/>
    <w:rsid w:val="00842507"/>
    <w:rsid w:val="00845544"/>
    <w:rsid w:val="008609AE"/>
    <w:rsid w:val="008616D8"/>
    <w:rsid w:val="00865AE8"/>
    <w:rsid w:val="00896EF1"/>
    <w:rsid w:val="008A2E2E"/>
    <w:rsid w:val="008B27DB"/>
    <w:rsid w:val="008E02C3"/>
    <w:rsid w:val="00917136"/>
    <w:rsid w:val="00937A55"/>
    <w:rsid w:val="00956BAA"/>
    <w:rsid w:val="00961D53"/>
    <w:rsid w:val="009634FE"/>
    <w:rsid w:val="009A05F5"/>
    <w:rsid w:val="009A6E15"/>
    <w:rsid w:val="009C2A69"/>
    <w:rsid w:val="009C3335"/>
    <w:rsid w:val="009D0BC4"/>
    <w:rsid w:val="009D38C5"/>
    <w:rsid w:val="009E0A46"/>
    <w:rsid w:val="00A8065A"/>
    <w:rsid w:val="00A906D5"/>
    <w:rsid w:val="00AB55DB"/>
    <w:rsid w:val="00AB7D92"/>
    <w:rsid w:val="00AE69CD"/>
    <w:rsid w:val="00B02278"/>
    <w:rsid w:val="00B44625"/>
    <w:rsid w:val="00B56DFE"/>
    <w:rsid w:val="00B76164"/>
    <w:rsid w:val="00B827B2"/>
    <w:rsid w:val="00B82858"/>
    <w:rsid w:val="00BB3E86"/>
    <w:rsid w:val="00C82186"/>
    <w:rsid w:val="00C827C4"/>
    <w:rsid w:val="00C95C82"/>
    <w:rsid w:val="00CC4034"/>
    <w:rsid w:val="00D57B31"/>
    <w:rsid w:val="00D60053"/>
    <w:rsid w:val="00DA282C"/>
    <w:rsid w:val="00DC66F5"/>
    <w:rsid w:val="00DE6D0F"/>
    <w:rsid w:val="00E320D9"/>
    <w:rsid w:val="00E56159"/>
    <w:rsid w:val="00E56466"/>
    <w:rsid w:val="00E57147"/>
    <w:rsid w:val="00E622A7"/>
    <w:rsid w:val="00EC4EE8"/>
    <w:rsid w:val="00EE5394"/>
    <w:rsid w:val="00EF0671"/>
    <w:rsid w:val="00F027E4"/>
    <w:rsid w:val="00F27374"/>
    <w:rsid w:val="00F31886"/>
    <w:rsid w:val="00F618F9"/>
    <w:rsid w:val="00FA1B4E"/>
    <w:rsid w:val="00FB32FB"/>
    <w:rsid w:val="00FB77DE"/>
    <w:rsid w:val="00FE7D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27101B8"/>
  <w15:chartTrackingRefBased/>
  <w15:docId w15:val="{5ECC0478-B2E3-8F49-A1AF-33F19ED9A2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4554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4554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4554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4554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4554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4554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4554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4554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4554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4554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4554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4554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4554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4554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4554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4554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4554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45544"/>
    <w:rPr>
      <w:rFonts w:eastAsiaTheme="majorEastAsia" w:cstheme="majorBidi"/>
      <w:color w:val="272727" w:themeColor="text1" w:themeTint="D8"/>
    </w:rPr>
  </w:style>
  <w:style w:type="paragraph" w:styleId="Title">
    <w:name w:val="Title"/>
    <w:basedOn w:val="Normal"/>
    <w:next w:val="Normal"/>
    <w:link w:val="TitleChar"/>
    <w:uiPriority w:val="10"/>
    <w:qFormat/>
    <w:rsid w:val="0084554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4554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4554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4554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45544"/>
    <w:pPr>
      <w:spacing w:before="160"/>
      <w:jc w:val="center"/>
    </w:pPr>
    <w:rPr>
      <w:i/>
      <w:iCs/>
      <w:color w:val="404040" w:themeColor="text1" w:themeTint="BF"/>
    </w:rPr>
  </w:style>
  <w:style w:type="character" w:customStyle="1" w:styleId="QuoteChar">
    <w:name w:val="Quote Char"/>
    <w:basedOn w:val="DefaultParagraphFont"/>
    <w:link w:val="Quote"/>
    <w:uiPriority w:val="29"/>
    <w:rsid w:val="00845544"/>
    <w:rPr>
      <w:i/>
      <w:iCs/>
      <w:color w:val="404040" w:themeColor="text1" w:themeTint="BF"/>
    </w:rPr>
  </w:style>
  <w:style w:type="paragraph" w:styleId="ListParagraph">
    <w:name w:val="List Paragraph"/>
    <w:basedOn w:val="Normal"/>
    <w:uiPriority w:val="34"/>
    <w:qFormat/>
    <w:rsid w:val="00845544"/>
    <w:pPr>
      <w:ind w:left="720"/>
      <w:contextualSpacing/>
    </w:pPr>
  </w:style>
  <w:style w:type="character" w:styleId="IntenseEmphasis">
    <w:name w:val="Intense Emphasis"/>
    <w:basedOn w:val="DefaultParagraphFont"/>
    <w:uiPriority w:val="21"/>
    <w:qFormat/>
    <w:rsid w:val="00845544"/>
    <w:rPr>
      <w:i/>
      <w:iCs/>
      <w:color w:val="0F4761" w:themeColor="accent1" w:themeShade="BF"/>
    </w:rPr>
  </w:style>
  <w:style w:type="paragraph" w:styleId="IntenseQuote">
    <w:name w:val="Intense Quote"/>
    <w:basedOn w:val="Normal"/>
    <w:next w:val="Normal"/>
    <w:link w:val="IntenseQuoteChar"/>
    <w:uiPriority w:val="30"/>
    <w:qFormat/>
    <w:rsid w:val="0084554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45544"/>
    <w:rPr>
      <w:i/>
      <w:iCs/>
      <w:color w:val="0F4761" w:themeColor="accent1" w:themeShade="BF"/>
    </w:rPr>
  </w:style>
  <w:style w:type="character" w:styleId="IntenseReference">
    <w:name w:val="Intense Reference"/>
    <w:basedOn w:val="DefaultParagraphFont"/>
    <w:uiPriority w:val="32"/>
    <w:qFormat/>
    <w:rsid w:val="00845544"/>
    <w:rPr>
      <w:b/>
      <w:bCs/>
      <w:smallCaps/>
      <w:color w:val="0F4761" w:themeColor="accent1" w:themeShade="BF"/>
      <w:spacing w:val="5"/>
    </w:rPr>
  </w:style>
  <w:style w:type="paragraph" w:styleId="NormalWeb">
    <w:name w:val="Normal (Web)"/>
    <w:basedOn w:val="Normal"/>
    <w:uiPriority w:val="99"/>
    <w:semiHidden/>
    <w:unhideWhenUsed/>
    <w:rsid w:val="00222E70"/>
    <w:pPr>
      <w:spacing w:before="100" w:beforeAutospacing="1" w:after="100" w:afterAutospacing="1" w:line="240" w:lineRule="auto"/>
    </w:pPr>
    <w:rPr>
      <w:rFonts w:ascii="Times New Roman" w:hAnsi="Times New Roman" w:cs="Times New Roman"/>
      <w:kern w:val="0"/>
      <w14:ligatures w14:val="none"/>
    </w:rPr>
  </w:style>
  <w:style w:type="character" w:styleId="Strong">
    <w:name w:val="Strong"/>
    <w:basedOn w:val="DefaultParagraphFont"/>
    <w:uiPriority w:val="22"/>
    <w:qFormat/>
    <w:rsid w:val="00222E70"/>
    <w:rPr>
      <w:b/>
      <w:bCs/>
    </w:rPr>
  </w:style>
  <w:style w:type="character" w:customStyle="1" w:styleId="apple-converted-space">
    <w:name w:val="apple-converted-space"/>
    <w:basedOn w:val="DefaultParagraphFont"/>
    <w:rsid w:val="00222E70"/>
  </w:style>
  <w:style w:type="character" w:styleId="Emphasis">
    <w:name w:val="Emphasis"/>
    <w:basedOn w:val="DefaultParagraphFont"/>
    <w:uiPriority w:val="20"/>
    <w:qFormat/>
    <w:rsid w:val="00222E70"/>
    <w:rPr>
      <w:i/>
      <w:iCs/>
    </w:rPr>
  </w:style>
  <w:style w:type="character" w:styleId="Hyperlink">
    <w:name w:val="Hyperlink"/>
    <w:basedOn w:val="DefaultParagraphFont"/>
    <w:uiPriority w:val="99"/>
    <w:semiHidden/>
    <w:unhideWhenUsed/>
    <w:rsid w:val="00222E70"/>
    <w:rPr>
      <w:color w:val="0000FF"/>
      <w:u w:val="single"/>
    </w:rPr>
  </w:style>
  <w:style w:type="paragraph" w:styleId="z-TopofForm">
    <w:name w:val="HTML Top of Form"/>
    <w:basedOn w:val="Normal"/>
    <w:next w:val="Normal"/>
    <w:link w:val="z-TopofFormChar"/>
    <w:hidden/>
    <w:uiPriority w:val="99"/>
    <w:semiHidden/>
    <w:unhideWhenUsed/>
    <w:rsid w:val="009A6E15"/>
    <w:pPr>
      <w:pBdr>
        <w:bottom w:val="single" w:sz="6" w:space="1" w:color="auto"/>
      </w:pBdr>
      <w:spacing w:after="0" w:line="240" w:lineRule="auto"/>
      <w:jc w:val="center"/>
    </w:pPr>
    <w:rPr>
      <w:rFonts w:ascii="Arial" w:hAnsi="Arial" w:cs="Arial"/>
      <w:vanish/>
      <w:kern w:val="0"/>
      <w:sz w:val="16"/>
      <w:szCs w:val="16"/>
      <w14:ligatures w14:val="none"/>
    </w:rPr>
  </w:style>
  <w:style w:type="character" w:customStyle="1" w:styleId="z-TopofFormChar">
    <w:name w:val="z-Top of Form Char"/>
    <w:basedOn w:val="DefaultParagraphFont"/>
    <w:link w:val="z-TopofForm"/>
    <w:uiPriority w:val="99"/>
    <w:semiHidden/>
    <w:rsid w:val="009A6E15"/>
    <w:rPr>
      <w:rFonts w:ascii="Arial" w:hAnsi="Arial" w:cs="Arial"/>
      <w:vanish/>
      <w:kern w:val="0"/>
      <w:sz w:val="16"/>
      <w:szCs w:val="16"/>
      <w14:ligatures w14:val="none"/>
    </w:rPr>
  </w:style>
  <w:style w:type="paragraph" w:styleId="z-BottomofForm">
    <w:name w:val="HTML Bottom of Form"/>
    <w:basedOn w:val="Normal"/>
    <w:next w:val="Normal"/>
    <w:link w:val="z-BottomofFormChar"/>
    <w:hidden/>
    <w:uiPriority w:val="99"/>
    <w:semiHidden/>
    <w:unhideWhenUsed/>
    <w:rsid w:val="009A6E15"/>
    <w:pPr>
      <w:pBdr>
        <w:top w:val="single" w:sz="6" w:space="1" w:color="auto"/>
      </w:pBdr>
      <w:spacing w:after="0" w:line="240" w:lineRule="auto"/>
      <w:jc w:val="center"/>
    </w:pPr>
    <w:rPr>
      <w:rFonts w:ascii="Arial" w:hAnsi="Arial" w:cs="Arial"/>
      <w:vanish/>
      <w:kern w:val="0"/>
      <w:sz w:val="16"/>
      <w:szCs w:val="16"/>
      <w14:ligatures w14:val="none"/>
    </w:rPr>
  </w:style>
  <w:style w:type="character" w:customStyle="1" w:styleId="z-BottomofFormChar">
    <w:name w:val="z-Bottom of Form Char"/>
    <w:basedOn w:val="DefaultParagraphFont"/>
    <w:link w:val="z-BottomofForm"/>
    <w:uiPriority w:val="99"/>
    <w:semiHidden/>
    <w:rsid w:val="009A6E15"/>
    <w:rPr>
      <w:rFonts w:ascii="Arial" w:hAnsi="Arial" w:cs="Arial"/>
      <w:vanish/>
      <w:kern w:val="0"/>
      <w:sz w:val="16"/>
      <w:szCs w:val="16"/>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46024231">
      <w:bodyDiv w:val="1"/>
      <w:marLeft w:val="0"/>
      <w:marRight w:val="0"/>
      <w:marTop w:val="0"/>
      <w:marBottom w:val="0"/>
      <w:divBdr>
        <w:top w:val="none" w:sz="0" w:space="0" w:color="auto"/>
        <w:left w:val="none" w:sz="0" w:space="0" w:color="auto"/>
        <w:bottom w:val="none" w:sz="0" w:space="0" w:color="auto"/>
        <w:right w:val="none" w:sz="0" w:space="0" w:color="auto"/>
      </w:divBdr>
    </w:div>
    <w:div w:id="1596286381">
      <w:bodyDiv w:val="1"/>
      <w:marLeft w:val="0"/>
      <w:marRight w:val="0"/>
      <w:marTop w:val="0"/>
      <w:marBottom w:val="0"/>
      <w:divBdr>
        <w:top w:val="none" w:sz="0" w:space="0" w:color="auto"/>
        <w:left w:val="none" w:sz="0" w:space="0" w:color="auto"/>
        <w:bottom w:val="none" w:sz="0" w:space="0" w:color="auto"/>
        <w:right w:val="none" w:sz="0" w:space="0" w:color="auto"/>
      </w:divBdr>
      <w:divsChild>
        <w:div w:id="1367367890">
          <w:marLeft w:val="0"/>
          <w:marRight w:val="0"/>
          <w:marTop w:val="0"/>
          <w:marBottom w:val="0"/>
          <w:divBdr>
            <w:top w:val="none" w:sz="0" w:space="0" w:color="auto"/>
            <w:left w:val="none" w:sz="0" w:space="0" w:color="auto"/>
            <w:bottom w:val="none" w:sz="0" w:space="0" w:color="auto"/>
            <w:right w:val="none" w:sz="0" w:space="0" w:color="auto"/>
          </w:divBdr>
          <w:divsChild>
            <w:div w:id="1659963241">
              <w:marLeft w:val="0"/>
              <w:marRight w:val="0"/>
              <w:marTop w:val="0"/>
              <w:marBottom w:val="0"/>
              <w:divBdr>
                <w:top w:val="none" w:sz="0" w:space="0" w:color="auto"/>
                <w:left w:val="none" w:sz="0" w:space="0" w:color="auto"/>
                <w:bottom w:val="none" w:sz="0" w:space="0" w:color="auto"/>
                <w:right w:val="none" w:sz="0" w:space="0" w:color="auto"/>
              </w:divBdr>
              <w:divsChild>
                <w:div w:id="1685093197">
                  <w:marLeft w:val="0"/>
                  <w:marRight w:val="0"/>
                  <w:marTop w:val="0"/>
                  <w:marBottom w:val="0"/>
                  <w:divBdr>
                    <w:top w:val="none" w:sz="0" w:space="0" w:color="auto"/>
                    <w:left w:val="none" w:sz="0" w:space="0" w:color="auto"/>
                    <w:bottom w:val="none" w:sz="0" w:space="0" w:color="auto"/>
                    <w:right w:val="none" w:sz="0" w:space="0" w:color="auto"/>
                  </w:divBdr>
                </w:div>
              </w:divsChild>
            </w:div>
            <w:div w:id="731998404">
              <w:marLeft w:val="0"/>
              <w:marRight w:val="0"/>
              <w:marTop w:val="0"/>
              <w:marBottom w:val="0"/>
              <w:divBdr>
                <w:top w:val="none" w:sz="0" w:space="0" w:color="auto"/>
                <w:left w:val="none" w:sz="0" w:space="0" w:color="auto"/>
                <w:bottom w:val="none" w:sz="0" w:space="0" w:color="auto"/>
                <w:right w:val="none" w:sz="0" w:space="0" w:color="auto"/>
              </w:divBdr>
              <w:divsChild>
                <w:div w:id="941500420">
                  <w:marLeft w:val="0"/>
                  <w:marRight w:val="0"/>
                  <w:marTop w:val="0"/>
                  <w:marBottom w:val="0"/>
                  <w:divBdr>
                    <w:top w:val="none" w:sz="0" w:space="0" w:color="auto"/>
                    <w:left w:val="none" w:sz="0" w:space="0" w:color="auto"/>
                    <w:bottom w:val="none" w:sz="0" w:space="0" w:color="auto"/>
                    <w:right w:val="none" w:sz="0" w:space="0" w:color="auto"/>
                  </w:divBdr>
                  <w:divsChild>
                    <w:div w:id="1348747670">
                      <w:marLeft w:val="0"/>
                      <w:marRight w:val="0"/>
                      <w:marTop w:val="0"/>
                      <w:marBottom w:val="150"/>
                      <w:divBdr>
                        <w:top w:val="none" w:sz="0" w:space="0" w:color="auto"/>
                        <w:left w:val="none" w:sz="0" w:space="0" w:color="auto"/>
                        <w:bottom w:val="none" w:sz="0" w:space="0" w:color="auto"/>
                        <w:right w:val="none" w:sz="0" w:space="0" w:color="auto"/>
                      </w:divBdr>
                    </w:div>
                  </w:divsChild>
                </w:div>
              </w:divsChild>
            </w:div>
          </w:divsChild>
        </w:div>
        <w:div w:id="447622150">
          <w:marLeft w:val="0"/>
          <w:marRight w:val="0"/>
          <w:marTop w:val="0"/>
          <w:marBottom w:val="0"/>
          <w:divBdr>
            <w:top w:val="none" w:sz="0" w:space="0" w:color="auto"/>
            <w:left w:val="none" w:sz="0" w:space="0" w:color="auto"/>
            <w:bottom w:val="none" w:sz="0" w:space="0" w:color="auto"/>
            <w:right w:val="none" w:sz="0" w:space="0" w:color="auto"/>
          </w:divBdr>
        </w:div>
      </w:divsChild>
    </w:div>
    <w:div w:id="19947229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ondonmet.ac.uk/" TargetMode="External"/><Relationship Id="rId13" Type="http://schemas.openxmlformats.org/officeDocument/2006/relationships/hyperlink" Target="https://thesportjournal.org/" TargetMode="External"/><Relationship Id="rId3" Type="http://schemas.openxmlformats.org/officeDocument/2006/relationships/settings" Target="settings.xml"/><Relationship Id="rId7" Type="http://schemas.openxmlformats.org/officeDocument/2006/relationships/hyperlink" Target="https://core.ac.uk/" TargetMode="External"/><Relationship Id="rId12" Type="http://schemas.openxmlformats.org/officeDocument/2006/relationships/hyperlink" Target="https://frontiersin.org/"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academia.edu/" TargetMode="External"/><Relationship Id="rId11" Type="http://schemas.openxmlformats.org/officeDocument/2006/relationships/hyperlink" Target="https://swansea.gov.uk/" TargetMode="External"/><Relationship Id="rId5" Type="http://schemas.openxmlformats.org/officeDocument/2006/relationships/image" Target="media/image1.png"/><Relationship Id="rId15" Type="http://schemas.openxmlformats.org/officeDocument/2006/relationships/hyperlink" Target="https://gov.wales/" TargetMode="External"/><Relationship Id="rId10" Type="http://schemas.openxmlformats.org/officeDocument/2006/relationships/hyperlink" Target="https://sport.wales/" TargetMode="External"/><Relationship Id="rId4" Type="http://schemas.openxmlformats.org/officeDocument/2006/relationships/webSettings" Target="webSettings.xml"/><Relationship Id="rId9" Type="http://schemas.openxmlformats.org/officeDocument/2006/relationships/hyperlink" Target="https://core.ac.uk/" TargetMode="External"/><Relationship Id="rId14" Type="http://schemas.openxmlformats.org/officeDocument/2006/relationships/hyperlink" Target="https://visitwales.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TotalTime>
  <Pages>9</Pages>
  <Words>3428</Words>
  <Characters>19542</Characters>
  <Application>Microsoft Office Word</Application>
  <DocSecurity>0</DocSecurity>
  <Lines>162</Lines>
  <Paragraphs>45</Paragraphs>
  <ScaleCrop>false</ScaleCrop>
  <Company/>
  <LinksUpToDate>false</LinksUpToDate>
  <CharactersWithSpaces>22925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Finley McGrath (2215276)</dc:creator>
  <cp:keywords/>
  <dc:description/>
  <cp:lastModifiedBy>Finley Mcgrath (2215276)</cp:lastModifiedBy>
  <cp:revision>2</cp:revision>
  <dcterms:created xsi:type="dcterms:W3CDTF">2024-11-22T20:50:00Z</dcterms:created>
  <dcterms:modified xsi:type="dcterms:W3CDTF">2024-11-22T20:50:00Z</dcterms:modified>
</cp:coreProperties>
</file>