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061007" w14:textId="47A1933E" w:rsidR="003C1399" w:rsidRPr="005A5DA4" w:rsidRDefault="003C1399" w:rsidP="00AC0D94">
      <w:pPr>
        <w:adjustRightInd w:val="0"/>
        <w:snapToGrid w:val="0"/>
        <w:jc w:val="center"/>
        <w:rPr>
          <w:rFonts w:ascii="Times New Roman" w:hAnsi="Times New Roman"/>
          <w:sz w:val="20"/>
          <w:szCs w:val="20"/>
          <w:lang w:val="en-HK"/>
        </w:rPr>
      </w:pPr>
    </w:p>
    <w:p w14:paraId="72FCCD6A" w14:textId="77777777" w:rsidR="003C1399" w:rsidRPr="003C1399" w:rsidRDefault="003C1399" w:rsidP="00AC0D94">
      <w:pPr>
        <w:adjustRightInd w:val="0"/>
        <w:snapToGrid w:val="0"/>
        <w:spacing w:line="0" w:lineRule="atLeast"/>
        <w:jc w:val="both"/>
        <w:rPr>
          <w:rFonts w:ascii="Times New Roman" w:hAnsi="Times New Roman"/>
          <w:b/>
          <w:sz w:val="26"/>
          <w:szCs w:val="24"/>
          <w:lang w:val="en-HK"/>
        </w:rPr>
      </w:pPr>
    </w:p>
    <w:p w14:paraId="67614CF2" w14:textId="77777777" w:rsidR="003C1399" w:rsidRPr="003C1399" w:rsidRDefault="003C1399" w:rsidP="00AC0D94">
      <w:pPr>
        <w:adjustRightInd w:val="0"/>
        <w:snapToGrid w:val="0"/>
        <w:spacing w:line="0" w:lineRule="atLeast"/>
        <w:jc w:val="center"/>
        <w:rPr>
          <w:rFonts w:ascii="Times New Roman" w:hAnsi="Times New Roman"/>
          <w:b/>
          <w:sz w:val="26"/>
          <w:szCs w:val="26"/>
          <w:lang w:val="en-HK"/>
        </w:rPr>
      </w:pPr>
      <w:r w:rsidRPr="003C1399">
        <w:rPr>
          <w:rFonts w:ascii="Times New Roman" w:hAnsi="Times New Roman"/>
          <w:b/>
          <w:noProof/>
          <w:sz w:val="26"/>
          <w:szCs w:val="24"/>
        </w:rPr>
        <w:drawing>
          <wp:inline distT="0" distB="0" distL="0" distR="0" wp14:anchorId="641C6A05" wp14:editId="311C2193">
            <wp:extent cx="2218690" cy="882650"/>
            <wp:effectExtent l="0" t="0" r="0" b="0"/>
            <wp:docPr id="1" name="圖片 1" descr="一張含有 文字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圖片 1" descr="一張含有 文字 的圖片&#10;&#10;自動產生的描述"/>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18690" cy="882650"/>
                    </a:xfrm>
                    <a:prstGeom prst="rect">
                      <a:avLst/>
                    </a:prstGeom>
                    <a:noFill/>
                    <a:ln>
                      <a:noFill/>
                    </a:ln>
                  </pic:spPr>
                </pic:pic>
              </a:graphicData>
            </a:graphic>
          </wp:inline>
        </w:drawing>
      </w:r>
    </w:p>
    <w:p w14:paraId="1AD1E06B" w14:textId="77777777" w:rsidR="003C1399" w:rsidRPr="003C1399" w:rsidRDefault="003C1399" w:rsidP="00AC0D94">
      <w:pPr>
        <w:adjustRightInd w:val="0"/>
        <w:snapToGrid w:val="0"/>
        <w:spacing w:line="0" w:lineRule="atLeast"/>
        <w:jc w:val="center"/>
        <w:rPr>
          <w:rFonts w:ascii="Times New Roman" w:hAnsi="Times New Roman"/>
          <w:b/>
          <w:sz w:val="26"/>
          <w:szCs w:val="26"/>
          <w:lang w:val="en-HK"/>
        </w:rPr>
      </w:pPr>
    </w:p>
    <w:p w14:paraId="009B300F" w14:textId="77777777" w:rsidR="003C1399" w:rsidRPr="003C1399" w:rsidRDefault="003C1399" w:rsidP="00AC0D94">
      <w:pPr>
        <w:adjustRightInd w:val="0"/>
        <w:snapToGrid w:val="0"/>
        <w:spacing w:line="0" w:lineRule="atLeast"/>
        <w:jc w:val="center"/>
        <w:rPr>
          <w:rFonts w:ascii="Times New Roman" w:hAnsi="Times New Roman"/>
          <w:b/>
          <w:sz w:val="26"/>
          <w:szCs w:val="26"/>
          <w:lang w:val="en-HK"/>
        </w:rPr>
      </w:pPr>
    </w:p>
    <w:p w14:paraId="18C8F440" w14:textId="50DBCE3E" w:rsidR="00313CFB" w:rsidRPr="00E940F0" w:rsidRDefault="00E940F0" w:rsidP="00AC0D94">
      <w:pPr>
        <w:adjustRightInd w:val="0"/>
        <w:snapToGrid w:val="0"/>
        <w:spacing w:line="0" w:lineRule="atLeast"/>
        <w:jc w:val="center"/>
        <w:rPr>
          <w:rFonts w:ascii="Times New Roman" w:hAnsi="Times New Roman"/>
          <w:b/>
          <w:sz w:val="36"/>
          <w:szCs w:val="36"/>
          <w:lang w:val="en-HK"/>
        </w:rPr>
      </w:pPr>
      <w:r w:rsidRPr="00E940F0">
        <w:rPr>
          <w:rFonts w:ascii="Times New Roman" w:hAnsi="Times New Roman"/>
          <w:color w:val="000000"/>
          <w:sz w:val="36"/>
          <w:szCs w:val="36"/>
        </w:rPr>
        <w:t>UWTSD MBA HKBM7009</w:t>
      </w:r>
      <w:r w:rsidRPr="00E940F0">
        <w:rPr>
          <w:rFonts w:ascii="Times New Roman" w:hAnsi="Times New Roman"/>
          <w:color w:val="000000"/>
          <w:sz w:val="36"/>
          <w:szCs w:val="36"/>
        </w:rPr>
        <w:br/>
        <w:t>(UWMBA-30013-202</w:t>
      </w:r>
      <w:r w:rsidR="008B389D">
        <w:rPr>
          <w:rFonts w:ascii="Times New Roman" w:hAnsi="Times New Roman"/>
          <w:color w:val="000000"/>
          <w:sz w:val="36"/>
          <w:szCs w:val="36"/>
        </w:rPr>
        <w:t>4</w:t>
      </w:r>
      <w:r w:rsidRPr="00E940F0">
        <w:rPr>
          <w:rFonts w:ascii="Times New Roman" w:hAnsi="Times New Roman"/>
          <w:color w:val="000000"/>
          <w:sz w:val="36"/>
          <w:szCs w:val="36"/>
        </w:rPr>
        <w:t>-1-SS)</w:t>
      </w:r>
    </w:p>
    <w:p w14:paraId="1E48F155" w14:textId="25999459" w:rsidR="00313CFB" w:rsidRPr="00E940F0" w:rsidRDefault="00CD7E3B" w:rsidP="00AC0D94">
      <w:pPr>
        <w:adjustRightInd w:val="0"/>
        <w:snapToGrid w:val="0"/>
        <w:spacing w:line="0" w:lineRule="atLeast"/>
        <w:jc w:val="center"/>
        <w:rPr>
          <w:rFonts w:ascii="Times New Roman" w:hAnsi="Times New Roman"/>
          <w:bCs/>
          <w:sz w:val="36"/>
          <w:szCs w:val="36"/>
          <w:lang w:val="en-HK"/>
        </w:rPr>
      </w:pPr>
      <w:r w:rsidRPr="00CD7E3B">
        <w:rPr>
          <w:rFonts w:ascii="Times New Roman" w:hAnsi="Times New Roman"/>
          <w:bCs/>
          <w:sz w:val="36"/>
          <w:szCs w:val="36"/>
          <w:lang w:val="en-HK"/>
        </w:rPr>
        <w:t>HKBM7009</w:t>
      </w:r>
      <w:r>
        <w:rPr>
          <w:rFonts w:ascii="Times New Roman" w:hAnsi="Times New Roman"/>
          <w:bCs/>
          <w:sz w:val="36"/>
          <w:szCs w:val="36"/>
          <w:lang w:val="en-HK"/>
        </w:rPr>
        <w:t xml:space="preserve"> </w:t>
      </w:r>
      <w:r w:rsidR="00E940F0" w:rsidRPr="00E940F0">
        <w:rPr>
          <w:rFonts w:ascii="Times New Roman" w:hAnsi="Times New Roman"/>
          <w:bCs/>
          <w:sz w:val="36"/>
          <w:szCs w:val="36"/>
          <w:lang w:val="en-HK"/>
        </w:rPr>
        <w:t xml:space="preserve">Global Business Challenges </w:t>
      </w:r>
    </w:p>
    <w:p w14:paraId="2C46C56B" w14:textId="1E35C84E" w:rsidR="00313CFB" w:rsidRDefault="00313CFB" w:rsidP="00AC0D94">
      <w:pPr>
        <w:adjustRightInd w:val="0"/>
        <w:snapToGrid w:val="0"/>
        <w:spacing w:line="0" w:lineRule="atLeast"/>
        <w:jc w:val="center"/>
        <w:rPr>
          <w:rFonts w:ascii="Times New Roman" w:hAnsi="Times New Roman"/>
          <w:b/>
          <w:sz w:val="32"/>
          <w:szCs w:val="32"/>
          <w:lang w:val="en-HK"/>
        </w:rPr>
      </w:pPr>
    </w:p>
    <w:p w14:paraId="10522B82" w14:textId="6A1EBF65" w:rsidR="00E940F0" w:rsidRDefault="00E940F0" w:rsidP="00AC0D94">
      <w:pPr>
        <w:adjustRightInd w:val="0"/>
        <w:snapToGrid w:val="0"/>
        <w:spacing w:line="0" w:lineRule="atLeast"/>
        <w:jc w:val="center"/>
        <w:rPr>
          <w:rFonts w:ascii="Times New Roman" w:hAnsi="Times New Roman"/>
          <w:b/>
          <w:sz w:val="32"/>
          <w:szCs w:val="32"/>
          <w:lang w:val="en-HK"/>
        </w:rPr>
      </w:pPr>
    </w:p>
    <w:p w14:paraId="38A16873" w14:textId="2330C6B1" w:rsidR="00684616" w:rsidRDefault="00684616" w:rsidP="00AC0D94">
      <w:pPr>
        <w:adjustRightInd w:val="0"/>
        <w:snapToGrid w:val="0"/>
        <w:spacing w:line="0" w:lineRule="atLeast"/>
        <w:jc w:val="center"/>
        <w:rPr>
          <w:rFonts w:ascii="Times New Roman" w:hAnsi="Times New Roman"/>
          <w:b/>
          <w:sz w:val="32"/>
          <w:szCs w:val="32"/>
          <w:lang w:val="en-HK"/>
        </w:rPr>
      </w:pPr>
    </w:p>
    <w:p w14:paraId="21432FA5" w14:textId="16DB448B" w:rsidR="00684616" w:rsidRPr="00293F31" w:rsidRDefault="008B389D" w:rsidP="00AC0D94">
      <w:pPr>
        <w:adjustRightInd w:val="0"/>
        <w:snapToGrid w:val="0"/>
        <w:spacing w:line="0" w:lineRule="atLeast"/>
        <w:jc w:val="center"/>
        <w:rPr>
          <w:rFonts w:ascii="Times New Roman" w:hAnsi="Times New Roman"/>
          <w:b/>
          <w:sz w:val="36"/>
          <w:szCs w:val="36"/>
          <w:lang w:val="en-HK"/>
        </w:rPr>
      </w:pPr>
      <w:r w:rsidRPr="008B389D">
        <w:rPr>
          <w:rFonts w:ascii="Times New Roman" w:hAnsi="Times New Roman"/>
          <w:b/>
          <w:kern w:val="0"/>
          <w:sz w:val="36"/>
          <w:szCs w:val="36"/>
          <w:lang w:val="en-GB"/>
        </w:rPr>
        <w:t>An Analytical Report on How Global price Changes Affects Domestic market</w:t>
      </w:r>
    </w:p>
    <w:p w14:paraId="36DDE773" w14:textId="77777777" w:rsidR="004857C6" w:rsidRDefault="004857C6" w:rsidP="00AC0D94">
      <w:pPr>
        <w:adjustRightInd w:val="0"/>
        <w:snapToGrid w:val="0"/>
        <w:spacing w:line="0" w:lineRule="atLeast"/>
        <w:jc w:val="center"/>
        <w:rPr>
          <w:rFonts w:ascii="Times New Roman" w:hAnsi="Times New Roman"/>
          <w:b/>
          <w:sz w:val="32"/>
          <w:szCs w:val="32"/>
          <w:lang w:val="en-HK"/>
        </w:rPr>
      </w:pPr>
      <w:r>
        <w:rPr>
          <w:rFonts w:ascii="Times New Roman" w:hAnsi="Times New Roman"/>
          <w:b/>
          <w:sz w:val="32"/>
          <w:szCs w:val="32"/>
          <w:lang w:val="en-HK"/>
        </w:rPr>
        <w:t xml:space="preserve"> </w:t>
      </w:r>
    </w:p>
    <w:p w14:paraId="6108190B" w14:textId="77777777" w:rsidR="003C1399" w:rsidRPr="003C1399" w:rsidRDefault="003C1399" w:rsidP="00AC0D94">
      <w:pPr>
        <w:adjustRightInd w:val="0"/>
        <w:snapToGrid w:val="0"/>
        <w:spacing w:line="0" w:lineRule="atLeast"/>
        <w:jc w:val="center"/>
        <w:rPr>
          <w:rFonts w:ascii="Times New Roman" w:hAnsi="Times New Roman"/>
          <w:b/>
          <w:sz w:val="26"/>
          <w:szCs w:val="26"/>
          <w:lang w:val="en-HK"/>
        </w:rPr>
      </w:pPr>
    </w:p>
    <w:p w14:paraId="741BC221" w14:textId="4CE14C2E" w:rsidR="003C1399" w:rsidRPr="003C1399" w:rsidRDefault="003C1399" w:rsidP="00AC0D94">
      <w:pPr>
        <w:adjustRightInd w:val="0"/>
        <w:snapToGrid w:val="0"/>
        <w:spacing w:line="0" w:lineRule="atLeast"/>
        <w:jc w:val="center"/>
        <w:rPr>
          <w:rFonts w:ascii="Times New Roman" w:hAnsi="Times New Roman"/>
          <w:b/>
          <w:sz w:val="32"/>
          <w:szCs w:val="32"/>
          <w:lang w:val="en-HK"/>
        </w:rPr>
      </w:pPr>
      <w:r w:rsidRPr="003C1399">
        <w:rPr>
          <w:rFonts w:ascii="Times New Roman" w:hAnsi="Times New Roman"/>
          <w:b/>
          <w:sz w:val="32"/>
          <w:szCs w:val="32"/>
          <w:lang w:val="en-HK"/>
        </w:rPr>
        <w:t xml:space="preserve"> </w:t>
      </w:r>
    </w:p>
    <w:p w14:paraId="67F3509E" w14:textId="77777777" w:rsidR="003C1399" w:rsidRPr="003C1399" w:rsidRDefault="003C1399" w:rsidP="00AC0D94">
      <w:pPr>
        <w:adjustRightInd w:val="0"/>
        <w:snapToGrid w:val="0"/>
        <w:spacing w:line="0" w:lineRule="atLeast"/>
        <w:jc w:val="center"/>
        <w:rPr>
          <w:rFonts w:ascii="Times New Roman" w:hAnsi="Times New Roman"/>
          <w:b/>
          <w:sz w:val="26"/>
          <w:szCs w:val="24"/>
          <w:lang w:val="en-HK"/>
        </w:rPr>
      </w:pPr>
    </w:p>
    <w:p w14:paraId="0FD2F0AB" w14:textId="77777777" w:rsidR="003C1399" w:rsidRPr="003C1399" w:rsidRDefault="003C1399" w:rsidP="00AC0D94">
      <w:pPr>
        <w:adjustRightInd w:val="0"/>
        <w:snapToGrid w:val="0"/>
        <w:spacing w:line="0" w:lineRule="atLeast"/>
        <w:jc w:val="both"/>
        <w:rPr>
          <w:rFonts w:ascii="Times New Roman" w:hAnsi="Times New Roman"/>
          <w:b/>
          <w:sz w:val="26"/>
          <w:szCs w:val="24"/>
          <w:lang w:val="en-HK"/>
        </w:rPr>
      </w:pPr>
    </w:p>
    <w:p w14:paraId="5D9608A1" w14:textId="77777777" w:rsidR="003C1399" w:rsidRPr="003C1399" w:rsidRDefault="003C1399" w:rsidP="00AC0D94">
      <w:pPr>
        <w:adjustRightInd w:val="0"/>
        <w:snapToGrid w:val="0"/>
        <w:spacing w:line="0" w:lineRule="atLeast"/>
        <w:jc w:val="both"/>
        <w:rPr>
          <w:rFonts w:ascii="Times New Roman" w:hAnsi="Times New Roman"/>
          <w:b/>
          <w:sz w:val="26"/>
          <w:szCs w:val="24"/>
          <w:lang w:val="en-HK"/>
        </w:rPr>
      </w:pPr>
    </w:p>
    <w:p w14:paraId="5FD5EC24" w14:textId="77777777" w:rsidR="003C1399" w:rsidRPr="003C1399" w:rsidRDefault="003C1399" w:rsidP="00AC0D94">
      <w:pPr>
        <w:adjustRightInd w:val="0"/>
        <w:snapToGrid w:val="0"/>
        <w:spacing w:line="0" w:lineRule="atLeast"/>
        <w:jc w:val="both"/>
        <w:rPr>
          <w:rFonts w:ascii="Times New Roman" w:hAnsi="Times New Roman"/>
          <w:b/>
          <w:sz w:val="26"/>
          <w:szCs w:val="24"/>
          <w:lang w:val="en-HK"/>
        </w:rPr>
      </w:pPr>
    </w:p>
    <w:p w14:paraId="1A89CACF" w14:textId="41370FF1" w:rsidR="00313CFB" w:rsidRPr="00684616" w:rsidRDefault="003C1399" w:rsidP="00AC0D94">
      <w:pPr>
        <w:adjustRightInd w:val="0"/>
        <w:snapToGrid w:val="0"/>
        <w:spacing w:line="0" w:lineRule="atLeast"/>
        <w:jc w:val="center"/>
        <w:rPr>
          <w:rFonts w:ascii="Times New Roman" w:hAnsi="Times New Roman"/>
          <w:sz w:val="28"/>
          <w:szCs w:val="28"/>
          <w:lang w:val="en-HK"/>
        </w:rPr>
      </w:pPr>
      <w:r w:rsidRPr="003C1399">
        <w:rPr>
          <w:rFonts w:ascii="Times New Roman" w:hAnsi="Times New Roman"/>
          <w:sz w:val="28"/>
          <w:szCs w:val="28"/>
          <w:lang w:val="en-HK"/>
        </w:rPr>
        <w:t>A</w:t>
      </w:r>
      <w:r w:rsidR="00313CFB" w:rsidRPr="00684616">
        <w:rPr>
          <w:rFonts w:ascii="Times New Roman" w:hAnsi="Times New Roman"/>
          <w:sz w:val="28"/>
          <w:szCs w:val="28"/>
          <w:lang w:val="en-HK"/>
        </w:rPr>
        <w:t>n</w:t>
      </w:r>
      <w:r w:rsidRPr="003C1399">
        <w:rPr>
          <w:rFonts w:ascii="Times New Roman" w:hAnsi="Times New Roman"/>
          <w:sz w:val="28"/>
          <w:szCs w:val="28"/>
          <w:lang w:val="en-HK"/>
        </w:rPr>
        <w:t xml:space="preserve"> </w:t>
      </w:r>
      <w:r w:rsidR="00313CFB" w:rsidRPr="00684616">
        <w:rPr>
          <w:rFonts w:ascii="Times New Roman" w:hAnsi="Times New Roman"/>
          <w:sz w:val="28"/>
          <w:szCs w:val="28"/>
          <w:lang w:val="en-HK"/>
        </w:rPr>
        <w:t xml:space="preserve">Analytical Report </w:t>
      </w:r>
      <w:r w:rsidRPr="003C1399">
        <w:rPr>
          <w:rFonts w:ascii="Times New Roman" w:hAnsi="Times New Roman"/>
          <w:sz w:val="28"/>
          <w:szCs w:val="28"/>
          <w:lang w:val="en-HK"/>
        </w:rPr>
        <w:t xml:space="preserve">Submitted in </w:t>
      </w:r>
      <w:r w:rsidR="00313CFB" w:rsidRPr="00684616">
        <w:rPr>
          <w:rFonts w:ascii="Times New Roman" w:hAnsi="Times New Roman"/>
          <w:sz w:val="28"/>
          <w:szCs w:val="28"/>
          <w:lang w:val="en-HK"/>
        </w:rPr>
        <w:t xml:space="preserve">Contribution to 100% </w:t>
      </w:r>
      <w:r w:rsidR="00E940F0" w:rsidRPr="00684616">
        <w:rPr>
          <w:rFonts w:ascii="Times New Roman" w:hAnsi="Times New Roman"/>
          <w:sz w:val="28"/>
          <w:szCs w:val="28"/>
          <w:lang w:val="en-HK"/>
        </w:rPr>
        <w:t xml:space="preserve">Module </w:t>
      </w:r>
      <w:r w:rsidR="00313CFB" w:rsidRPr="00684616">
        <w:rPr>
          <w:rFonts w:ascii="Times New Roman" w:hAnsi="Times New Roman"/>
          <w:sz w:val="28"/>
          <w:szCs w:val="28"/>
          <w:lang w:val="en-HK"/>
        </w:rPr>
        <w:t>Assessment</w:t>
      </w:r>
    </w:p>
    <w:p w14:paraId="2CD1113F" w14:textId="786B66B7" w:rsidR="003C1399" w:rsidRPr="003C1399" w:rsidRDefault="003C1399" w:rsidP="00AC0D94">
      <w:pPr>
        <w:adjustRightInd w:val="0"/>
        <w:snapToGrid w:val="0"/>
        <w:spacing w:line="0" w:lineRule="atLeast"/>
        <w:jc w:val="center"/>
        <w:rPr>
          <w:rFonts w:ascii="Times New Roman" w:hAnsi="Times New Roman"/>
          <w:szCs w:val="24"/>
          <w:lang w:val="en-HK"/>
        </w:rPr>
      </w:pPr>
    </w:p>
    <w:p w14:paraId="6B8F7480" w14:textId="77777777" w:rsidR="003C1399" w:rsidRPr="003C1399" w:rsidRDefault="003C1399" w:rsidP="00AC0D94">
      <w:pPr>
        <w:adjustRightInd w:val="0"/>
        <w:snapToGrid w:val="0"/>
        <w:spacing w:line="0" w:lineRule="atLeast"/>
        <w:jc w:val="both"/>
        <w:rPr>
          <w:rFonts w:ascii="Times New Roman" w:hAnsi="Times New Roman"/>
          <w:b/>
          <w:sz w:val="26"/>
          <w:szCs w:val="24"/>
          <w:lang w:val="en-HK"/>
        </w:rPr>
      </w:pPr>
      <w:r w:rsidRPr="003C1399">
        <w:rPr>
          <w:rFonts w:ascii="Times New Roman" w:hAnsi="Times New Roman"/>
          <w:b/>
          <w:sz w:val="26"/>
          <w:szCs w:val="24"/>
          <w:lang w:val="en-HK"/>
        </w:rPr>
        <w:t xml:space="preserve"> </w:t>
      </w:r>
    </w:p>
    <w:p w14:paraId="5E034975" w14:textId="2987A163" w:rsidR="003C1399" w:rsidRDefault="003C1399" w:rsidP="00AC0D94">
      <w:pPr>
        <w:adjustRightInd w:val="0"/>
        <w:snapToGrid w:val="0"/>
        <w:spacing w:line="0" w:lineRule="atLeast"/>
        <w:jc w:val="both"/>
        <w:rPr>
          <w:rFonts w:ascii="Times New Roman" w:hAnsi="Times New Roman"/>
          <w:b/>
          <w:sz w:val="26"/>
          <w:szCs w:val="24"/>
          <w:lang w:val="en-HK"/>
        </w:rPr>
      </w:pPr>
    </w:p>
    <w:p w14:paraId="534721A4" w14:textId="6AE25FC6" w:rsidR="00684616" w:rsidRDefault="00684616" w:rsidP="00AC0D94">
      <w:pPr>
        <w:adjustRightInd w:val="0"/>
        <w:snapToGrid w:val="0"/>
        <w:spacing w:line="0" w:lineRule="atLeast"/>
        <w:jc w:val="both"/>
        <w:rPr>
          <w:rFonts w:ascii="Times New Roman" w:hAnsi="Times New Roman"/>
          <w:b/>
          <w:sz w:val="26"/>
          <w:szCs w:val="24"/>
          <w:lang w:val="en-HK"/>
        </w:rPr>
      </w:pPr>
    </w:p>
    <w:p w14:paraId="09812EE9" w14:textId="3BF15D69" w:rsidR="00684616" w:rsidRDefault="00684616" w:rsidP="00AC0D94">
      <w:pPr>
        <w:adjustRightInd w:val="0"/>
        <w:snapToGrid w:val="0"/>
        <w:spacing w:line="0" w:lineRule="atLeast"/>
        <w:jc w:val="both"/>
        <w:rPr>
          <w:rFonts w:ascii="Times New Roman" w:hAnsi="Times New Roman"/>
          <w:b/>
          <w:sz w:val="26"/>
          <w:szCs w:val="24"/>
          <w:lang w:val="en-HK"/>
        </w:rPr>
      </w:pPr>
    </w:p>
    <w:p w14:paraId="35996AE6" w14:textId="59A6C6A8" w:rsidR="00684616" w:rsidRDefault="00684616" w:rsidP="00AC0D94">
      <w:pPr>
        <w:adjustRightInd w:val="0"/>
        <w:snapToGrid w:val="0"/>
        <w:spacing w:line="0" w:lineRule="atLeast"/>
        <w:jc w:val="both"/>
        <w:rPr>
          <w:rFonts w:ascii="Times New Roman" w:hAnsi="Times New Roman"/>
          <w:b/>
          <w:sz w:val="26"/>
          <w:szCs w:val="24"/>
          <w:lang w:val="en-HK"/>
        </w:rPr>
      </w:pPr>
    </w:p>
    <w:p w14:paraId="6E1FF159" w14:textId="77777777" w:rsidR="00684616" w:rsidRPr="003C1399" w:rsidRDefault="00684616" w:rsidP="00AC0D94">
      <w:pPr>
        <w:adjustRightInd w:val="0"/>
        <w:snapToGrid w:val="0"/>
        <w:spacing w:line="0" w:lineRule="atLeast"/>
        <w:jc w:val="both"/>
        <w:rPr>
          <w:rFonts w:ascii="Times New Roman" w:hAnsi="Times New Roman"/>
          <w:b/>
          <w:sz w:val="26"/>
          <w:szCs w:val="24"/>
          <w:lang w:val="en-HK"/>
        </w:rPr>
      </w:pPr>
    </w:p>
    <w:p w14:paraId="3F260072" w14:textId="77777777" w:rsidR="003C1399" w:rsidRPr="003C1399" w:rsidRDefault="003C1399" w:rsidP="00AC0D94">
      <w:pPr>
        <w:adjustRightInd w:val="0"/>
        <w:snapToGrid w:val="0"/>
        <w:spacing w:line="0" w:lineRule="atLeast"/>
        <w:jc w:val="both"/>
        <w:rPr>
          <w:rFonts w:ascii="Times New Roman" w:hAnsi="Times New Roman"/>
          <w:b/>
          <w:sz w:val="26"/>
          <w:szCs w:val="24"/>
          <w:lang w:val="en-HK"/>
        </w:rPr>
      </w:pPr>
    </w:p>
    <w:p w14:paraId="2FEBE151" w14:textId="77777777" w:rsidR="003C1399" w:rsidRPr="003C1399" w:rsidRDefault="003C1399" w:rsidP="00AC0D94">
      <w:pPr>
        <w:adjustRightInd w:val="0"/>
        <w:snapToGrid w:val="0"/>
        <w:spacing w:line="0" w:lineRule="atLeast"/>
        <w:jc w:val="both"/>
        <w:rPr>
          <w:rFonts w:ascii="Times New Roman" w:hAnsi="Times New Roman"/>
          <w:b/>
          <w:sz w:val="26"/>
          <w:szCs w:val="24"/>
          <w:lang w:val="en-HK"/>
        </w:rPr>
      </w:pPr>
    </w:p>
    <w:tbl>
      <w:tblPr>
        <w:tblW w:w="8610" w:type="dxa"/>
        <w:tblLayout w:type="fixed"/>
        <w:tblLook w:val="04A0" w:firstRow="1" w:lastRow="0" w:firstColumn="1" w:lastColumn="0" w:noHBand="0" w:noVBand="1"/>
      </w:tblPr>
      <w:tblGrid>
        <w:gridCol w:w="2942"/>
        <w:gridCol w:w="284"/>
        <w:gridCol w:w="5384"/>
      </w:tblGrid>
      <w:tr w:rsidR="003C1399" w:rsidRPr="003C1399" w14:paraId="1DAA85DD" w14:textId="77777777" w:rsidTr="00E940F0">
        <w:tc>
          <w:tcPr>
            <w:tcW w:w="2942" w:type="dxa"/>
            <w:hideMark/>
          </w:tcPr>
          <w:p w14:paraId="3C195889" w14:textId="77777777" w:rsidR="003C1399" w:rsidRPr="003C1399" w:rsidRDefault="003C1399" w:rsidP="00AC0D94">
            <w:pPr>
              <w:tabs>
                <w:tab w:val="left" w:pos="4606"/>
              </w:tabs>
              <w:adjustRightInd w:val="0"/>
              <w:snapToGrid w:val="0"/>
              <w:spacing w:line="360" w:lineRule="auto"/>
              <w:jc w:val="both"/>
              <w:rPr>
                <w:rFonts w:ascii="Times New Roman" w:hAnsi="Times New Roman"/>
                <w:b/>
                <w:sz w:val="26"/>
                <w:szCs w:val="24"/>
                <w:lang w:val="en-HK"/>
              </w:rPr>
            </w:pPr>
            <w:r w:rsidRPr="003C1399">
              <w:rPr>
                <w:rFonts w:ascii="Times New Roman" w:hAnsi="Times New Roman"/>
                <w:b/>
                <w:sz w:val="28"/>
                <w:szCs w:val="28"/>
                <w:lang w:val="en-HK"/>
              </w:rPr>
              <w:t>Student Name</w:t>
            </w:r>
          </w:p>
        </w:tc>
        <w:tc>
          <w:tcPr>
            <w:tcW w:w="284" w:type="dxa"/>
            <w:hideMark/>
          </w:tcPr>
          <w:p w14:paraId="33665D5B" w14:textId="77777777" w:rsidR="003C1399" w:rsidRPr="003C1399" w:rsidRDefault="003C1399" w:rsidP="00AC0D94">
            <w:pPr>
              <w:tabs>
                <w:tab w:val="left" w:pos="4606"/>
              </w:tabs>
              <w:adjustRightInd w:val="0"/>
              <w:snapToGrid w:val="0"/>
              <w:spacing w:line="360" w:lineRule="auto"/>
              <w:jc w:val="both"/>
              <w:rPr>
                <w:rFonts w:ascii="Times New Roman" w:hAnsi="Times New Roman"/>
                <w:b/>
                <w:sz w:val="26"/>
                <w:szCs w:val="24"/>
                <w:lang w:val="en-HK"/>
              </w:rPr>
            </w:pPr>
            <w:r w:rsidRPr="003C1399">
              <w:rPr>
                <w:rFonts w:ascii="Times New Roman" w:hAnsi="Times New Roman" w:hint="eastAsia"/>
                <w:b/>
                <w:sz w:val="28"/>
                <w:szCs w:val="28"/>
                <w:lang w:val="en-HK"/>
              </w:rPr>
              <w:t>：</w:t>
            </w:r>
          </w:p>
        </w:tc>
        <w:tc>
          <w:tcPr>
            <w:tcW w:w="5384" w:type="dxa"/>
          </w:tcPr>
          <w:p w14:paraId="327DC2E4" w14:textId="0B7B234E" w:rsidR="003C1399" w:rsidRPr="00D82022" w:rsidRDefault="00D82022" w:rsidP="00AC0D94">
            <w:pPr>
              <w:tabs>
                <w:tab w:val="left" w:pos="4606"/>
              </w:tabs>
              <w:adjustRightInd w:val="0"/>
              <w:snapToGrid w:val="0"/>
              <w:spacing w:line="360" w:lineRule="auto"/>
              <w:jc w:val="both"/>
              <w:rPr>
                <w:rFonts w:ascii="Times New Roman" w:hAnsi="Times New Roman"/>
                <w:sz w:val="26"/>
                <w:szCs w:val="26"/>
                <w:lang w:val="en-HK"/>
              </w:rPr>
            </w:pPr>
            <w:r>
              <w:rPr>
                <w:rFonts w:ascii="Times New Roman" w:hAnsi="Times New Roman"/>
                <w:sz w:val="26"/>
                <w:szCs w:val="26"/>
                <w:lang w:val="en-HK"/>
              </w:rPr>
              <w:t xml:space="preserve">Martin Tam </w:t>
            </w:r>
          </w:p>
        </w:tc>
      </w:tr>
      <w:tr w:rsidR="003C1399" w:rsidRPr="003C1399" w14:paraId="32CBE455" w14:textId="77777777" w:rsidTr="00E940F0">
        <w:tc>
          <w:tcPr>
            <w:tcW w:w="2942" w:type="dxa"/>
            <w:hideMark/>
          </w:tcPr>
          <w:p w14:paraId="31DE2B61" w14:textId="77777777" w:rsidR="003C1399" w:rsidRPr="003C1399" w:rsidRDefault="003C1399" w:rsidP="00AC0D94">
            <w:pPr>
              <w:tabs>
                <w:tab w:val="left" w:pos="4606"/>
              </w:tabs>
              <w:adjustRightInd w:val="0"/>
              <w:snapToGrid w:val="0"/>
              <w:spacing w:line="360" w:lineRule="auto"/>
              <w:jc w:val="both"/>
              <w:rPr>
                <w:rFonts w:ascii="Times New Roman" w:hAnsi="Times New Roman"/>
                <w:b/>
                <w:sz w:val="26"/>
                <w:szCs w:val="24"/>
                <w:lang w:val="en-HK"/>
              </w:rPr>
            </w:pPr>
            <w:r w:rsidRPr="003C1399">
              <w:rPr>
                <w:rFonts w:ascii="Times New Roman" w:hAnsi="Times New Roman"/>
                <w:b/>
                <w:sz w:val="28"/>
                <w:szCs w:val="28"/>
                <w:lang w:val="en-HK"/>
              </w:rPr>
              <w:t>Student ID Number</w:t>
            </w:r>
          </w:p>
        </w:tc>
        <w:tc>
          <w:tcPr>
            <w:tcW w:w="284" w:type="dxa"/>
            <w:hideMark/>
          </w:tcPr>
          <w:p w14:paraId="3332F5A4" w14:textId="77777777" w:rsidR="003C1399" w:rsidRPr="003C1399" w:rsidRDefault="003C1399" w:rsidP="00AC0D94">
            <w:pPr>
              <w:tabs>
                <w:tab w:val="left" w:pos="4606"/>
              </w:tabs>
              <w:adjustRightInd w:val="0"/>
              <w:snapToGrid w:val="0"/>
              <w:spacing w:line="360" w:lineRule="auto"/>
              <w:jc w:val="both"/>
              <w:rPr>
                <w:rFonts w:ascii="Times New Roman" w:hAnsi="Times New Roman"/>
                <w:b/>
                <w:sz w:val="26"/>
                <w:szCs w:val="24"/>
                <w:lang w:val="en-HK"/>
              </w:rPr>
            </w:pPr>
            <w:r w:rsidRPr="003C1399">
              <w:rPr>
                <w:rFonts w:ascii="Times New Roman" w:hAnsi="Times New Roman" w:hint="eastAsia"/>
                <w:b/>
                <w:sz w:val="28"/>
                <w:szCs w:val="28"/>
                <w:lang w:val="en-HK"/>
              </w:rPr>
              <w:t>：</w:t>
            </w:r>
          </w:p>
        </w:tc>
        <w:tc>
          <w:tcPr>
            <w:tcW w:w="5384" w:type="dxa"/>
          </w:tcPr>
          <w:p w14:paraId="20AD48BB" w14:textId="2D001409" w:rsidR="003C1399" w:rsidRPr="00753C4B" w:rsidRDefault="00753C4B" w:rsidP="00AC0D94">
            <w:pPr>
              <w:tabs>
                <w:tab w:val="left" w:pos="4606"/>
              </w:tabs>
              <w:adjustRightInd w:val="0"/>
              <w:snapToGrid w:val="0"/>
              <w:spacing w:line="360" w:lineRule="auto"/>
              <w:jc w:val="both"/>
              <w:rPr>
                <w:rFonts w:ascii="Times New Roman" w:hAnsi="Times New Roman"/>
                <w:sz w:val="26"/>
                <w:szCs w:val="26"/>
                <w:lang w:val="en-HK"/>
              </w:rPr>
            </w:pPr>
            <w:r>
              <w:rPr>
                <w:rFonts w:ascii="Times New Roman" w:hAnsi="Times New Roman"/>
                <w:sz w:val="26"/>
                <w:szCs w:val="26"/>
                <w:lang w:val="en-HK"/>
              </w:rPr>
              <w:t>2425264</w:t>
            </w:r>
          </w:p>
        </w:tc>
      </w:tr>
      <w:tr w:rsidR="003C1399" w:rsidRPr="003C1399" w14:paraId="0396F091" w14:textId="77777777" w:rsidTr="00E940F0">
        <w:tc>
          <w:tcPr>
            <w:tcW w:w="2942" w:type="dxa"/>
          </w:tcPr>
          <w:p w14:paraId="44642F0D" w14:textId="0D05ECAA" w:rsidR="003C1399" w:rsidRPr="001E2AE8" w:rsidRDefault="003C1399" w:rsidP="00AC0D94">
            <w:pPr>
              <w:tabs>
                <w:tab w:val="left" w:pos="4606"/>
              </w:tabs>
              <w:adjustRightInd w:val="0"/>
              <w:snapToGrid w:val="0"/>
              <w:spacing w:line="360" w:lineRule="auto"/>
              <w:jc w:val="both"/>
              <w:rPr>
                <w:rFonts w:ascii="Times New Roman" w:hAnsi="Times New Roman"/>
                <w:b/>
                <w:sz w:val="28"/>
                <w:szCs w:val="28"/>
                <w:lang w:val="en-HK"/>
              </w:rPr>
            </w:pPr>
            <w:r w:rsidRPr="003C1399">
              <w:rPr>
                <w:rFonts w:ascii="Times New Roman" w:hAnsi="Times New Roman"/>
                <w:b/>
                <w:sz w:val="28"/>
                <w:szCs w:val="28"/>
                <w:lang w:val="en-HK"/>
              </w:rPr>
              <w:t>Date of Submission</w:t>
            </w:r>
          </w:p>
        </w:tc>
        <w:tc>
          <w:tcPr>
            <w:tcW w:w="284" w:type="dxa"/>
            <w:hideMark/>
          </w:tcPr>
          <w:p w14:paraId="526DE28F" w14:textId="77777777" w:rsidR="003C1399" w:rsidRPr="003C1399" w:rsidRDefault="003C1399" w:rsidP="00AC0D94">
            <w:pPr>
              <w:tabs>
                <w:tab w:val="left" w:pos="4606"/>
              </w:tabs>
              <w:adjustRightInd w:val="0"/>
              <w:snapToGrid w:val="0"/>
              <w:spacing w:line="360" w:lineRule="auto"/>
              <w:jc w:val="both"/>
              <w:rPr>
                <w:rFonts w:ascii="Times New Roman" w:hAnsi="Times New Roman"/>
                <w:b/>
                <w:sz w:val="26"/>
                <w:szCs w:val="24"/>
                <w:lang w:val="en-HK"/>
              </w:rPr>
            </w:pPr>
            <w:r w:rsidRPr="003C1399">
              <w:rPr>
                <w:rFonts w:ascii="Times New Roman" w:hAnsi="Times New Roman" w:hint="eastAsia"/>
                <w:b/>
                <w:sz w:val="28"/>
                <w:szCs w:val="28"/>
                <w:lang w:val="en-HK"/>
              </w:rPr>
              <w:t>：</w:t>
            </w:r>
          </w:p>
        </w:tc>
        <w:tc>
          <w:tcPr>
            <w:tcW w:w="5384" w:type="dxa"/>
            <w:hideMark/>
          </w:tcPr>
          <w:p w14:paraId="5C9963CF" w14:textId="43E27C11" w:rsidR="003C1399" w:rsidRPr="003C1399" w:rsidRDefault="009E6700" w:rsidP="00AC0D94">
            <w:pPr>
              <w:tabs>
                <w:tab w:val="left" w:pos="4606"/>
              </w:tabs>
              <w:adjustRightInd w:val="0"/>
              <w:snapToGrid w:val="0"/>
              <w:spacing w:line="360" w:lineRule="auto"/>
              <w:jc w:val="both"/>
              <w:rPr>
                <w:rFonts w:ascii="Times New Roman" w:hAnsi="Times New Roman"/>
                <w:sz w:val="26"/>
                <w:szCs w:val="24"/>
                <w:lang w:val="en-HK"/>
              </w:rPr>
            </w:pPr>
            <w:r>
              <w:rPr>
                <w:rFonts w:ascii="Times New Roman" w:hAnsi="Times New Roman"/>
                <w:sz w:val="26"/>
                <w:szCs w:val="24"/>
                <w:lang w:val="en-HK"/>
              </w:rPr>
              <w:t>11</w:t>
            </w:r>
            <w:r w:rsidR="00E940F0" w:rsidRPr="00E940F0">
              <w:rPr>
                <w:rFonts w:ascii="Times New Roman" w:hAnsi="Times New Roman"/>
                <w:sz w:val="26"/>
                <w:szCs w:val="24"/>
                <w:lang w:val="en-HK"/>
              </w:rPr>
              <w:t xml:space="preserve"> </w:t>
            </w:r>
            <w:r>
              <w:rPr>
                <w:rFonts w:ascii="Times New Roman" w:hAnsi="Times New Roman"/>
                <w:sz w:val="26"/>
                <w:szCs w:val="24"/>
                <w:lang w:val="en-HK"/>
              </w:rPr>
              <w:t>March</w:t>
            </w:r>
            <w:r w:rsidR="00E940F0" w:rsidRPr="00E940F0">
              <w:rPr>
                <w:rFonts w:ascii="Times New Roman" w:hAnsi="Times New Roman"/>
                <w:sz w:val="26"/>
                <w:szCs w:val="24"/>
                <w:lang w:val="en-HK"/>
              </w:rPr>
              <w:t xml:space="preserve"> 202</w:t>
            </w:r>
            <w:r w:rsidR="008349B4">
              <w:rPr>
                <w:rFonts w:ascii="Times New Roman" w:hAnsi="Times New Roman"/>
                <w:sz w:val="26"/>
                <w:szCs w:val="24"/>
                <w:lang w:val="en-HK"/>
              </w:rPr>
              <w:t>4</w:t>
            </w:r>
          </w:p>
        </w:tc>
      </w:tr>
      <w:tr w:rsidR="00E940F0" w:rsidRPr="003C1399" w14:paraId="3D778F36" w14:textId="77777777" w:rsidTr="00E940F0">
        <w:tc>
          <w:tcPr>
            <w:tcW w:w="2942" w:type="dxa"/>
          </w:tcPr>
          <w:p w14:paraId="3C5CF1D2" w14:textId="0079BCEE" w:rsidR="00E940F0" w:rsidRPr="003C1399" w:rsidRDefault="00E940F0" w:rsidP="00AC0D94">
            <w:pPr>
              <w:tabs>
                <w:tab w:val="left" w:pos="4606"/>
              </w:tabs>
              <w:adjustRightInd w:val="0"/>
              <w:snapToGrid w:val="0"/>
              <w:spacing w:line="360" w:lineRule="auto"/>
              <w:jc w:val="both"/>
              <w:rPr>
                <w:rFonts w:ascii="Times New Roman" w:hAnsi="Times New Roman"/>
                <w:b/>
                <w:sz w:val="28"/>
                <w:szCs w:val="28"/>
                <w:lang w:val="en-HK"/>
              </w:rPr>
            </w:pPr>
            <w:r>
              <w:rPr>
                <w:rFonts w:ascii="Times New Roman" w:hAnsi="Times New Roman" w:hint="eastAsia"/>
                <w:b/>
                <w:sz w:val="28"/>
                <w:szCs w:val="28"/>
                <w:lang w:val="en-HK"/>
              </w:rPr>
              <w:t>L</w:t>
            </w:r>
            <w:r>
              <w:rPr>
                <w:rFonts w:ascii="Times New Roman" w:hAnsi="Times New Roman"/>
                <w:b/>
                <w:sz w:val="28"/>
                <w:szCs w:val="28"/>
                <w:lang w:val="en-HK"/>
              </w:rPr>
              <w:t>ecturer</w:t>
            </w:r>
          </w:p>
        </w:tc>
        <w:tc>
          <w:tcPr>
            <w:tcW w:w="284" w:type="dxa"/>
          </w:tcPr>
          <w:p w14:paraId="54B5CBA5" w14:textId="2B4F1065" w:rsidR="00E940F0" w:rsidRPr="003C1399" w:rsidRDefault="00E940F0" w:rsidP="00AC0D94">
            <w:pPr>
              <w:tabs>
                <w:tab w:val="left" w:pos="4606"/>
              </w:tabs>
              <w:adjustRightInd w:val="0"/>
              <w:snapToGrid w:val="0"/>
              <w:spacing w:line="360" w:lineRule="auto"/>
              <w:jc w:val="both"/>
              <w:rPr>
                <w:rFonts w:ascii="Times New Roman" w:hAnsi="Times New Roman"/>
                <w:b/>
                <w:sz w:val="28"/>
                <w:szCs w:val="28"/>
                <w:lang w:val="en-HK"/>
              </w:rPr>
            </w:pPr>
            <w:r w:rsidRPr="003C1399">
              <w:rPr>
                <w:rFonts w:ascii="Times New Roman" w:hAnsi="Times New Roman" w:hint="eastAsia"/>
                <w:b/>
                <w:sz w:val="28"/>
                <w:szCs w:val="28"/>
                <w:lang w:val="en-HK"/>
              </w:rPr>
              <w:t>：</w:t>
            </w:r>
          </w:p>
        </w:tc>
        <w:tc>
          <w:tcPr>
            <w:tcW w:w="5384" w:type="dxa"/>
          </w:tcPr>
          <w:p w14:paraId="5D526849" w14:textId="7A4B362D" w:rsidR="00E940F0" w:rsidRPr="003C1399" w:rsidRDefault="00E940F0" w:rsidP="00AC0D94">
            <w:pPr>
              <w:tabs>
                <w:tab w:val="left" w:pos="4606"/>
              </w:tabs>
              <w:adjustRightInd w:val="0"/>
              <w:snapToGrid w:val="0"/>
              <w:spacing w:line="360" w:lineRule="auto"/>
              <w:jc w:val="both"/>
              <w:rPr>
                <w:rFonts w:ascii="Times New Roman" w:hAnsi="Times New Roman"/>
                <w:sz w:val="26"/>
                <w:szCs w:val="24"/>
                <w:lang w:val="en-HK"/>
              </w:rPr>
            </w:pPr>
            <w:r w:rsidRPr="00E940F0">
              <w:rPr>
                <w:rFonts w:ascii="Times New Roman" w:hAnsi="Times New Roman"/>
                <w:sz w:val="26"/>
                <w:szCs w:val="24"/>
                <w:lang w:val="en-HK"/>
              </w:rPr>
              <w:t>Dr. Che Cheong Poon</w:t>
            </w:r>
          </w:p>
        </w:tc>
      </w:tr>
    </w:tbl>
    <w:p w14:paraId="5097A186" w14:textId="77777777" w:rsidR="003C1399" w:rsidRPr="003C1399" w:rsidRDefault="003C1399" w:rsidP="00AC0D94">
      <w:pPr>
        <w:autoSpaceDE w:val="0"/>
        <w:autoSpaceDN w:val="0"/>
        <w:adjustRightInd w:val="0"/>
        <w:snapToGrid w:val="0"/>
        <w:spacing w:line="360" w:lineRule="auto"/>
        <w:rPr>
          <w:rFonts w:ascii="TimesNewRoman,Bold" w:hAnsi="TimesNewRoman,Bold" w:cs="TimesNewRoman,Bold"/>
          <w:b/>
          <w:bCs/>
          <w:kern w:val="0"/>
          <w:sz w:val="40"/>
          <w:szCs w:val="40"/>
          <w:lang w:val="en-HK"/>
        </w:rPr>
      </w:pPr>
    </w:p>
    <w:p w14:paraId="1C9A7BEE" w14:textId="6D911B18" w:rsidR="003C1399" w:rsidRDefault="003C1399" w:rsidP="00AC0D94">
      <w:pPr>
        <w:adjustRightInd w:val="0"/>
        <w:snapToGrid w:val="0"/>
        <w:jc w:val="center"/>
        <w:rPr>
          <w:rFonts w:ascii="Times New Roman" w:hAnsi="Times New Roman"/>
          <w:sz w:val="20"/>
          <w:szCs w:val="20"/>
          <w:lang w:val="en-GB"/>
        </w:rPr>
      </w:pPr>
    </w:p>
    <w:p w14:paraId="72C96C6A" w14:textId="345112B9" w:rsidR="003C1399" w:rsidRDefault="003C1399" w:rsidP="00AC0D94">
      <w:pPr>
        <w:adjustRightInd w:val="0"/>
        <w:snapToGrid w:val="0"/>
        <w:jc w:val="center"/>
        <w:rPr>
          <w:rFonts w:ascii="Times New Roman" w:hAnsi="Times New Roman"/>
          <w:sz w:val="20"/>
          <w:szCs w:val="20"/>
          <w:lang w:val="en-GB"/>
        </w:rPr>
      </w:pPr>
    </w:p>
    <w:p w14:paraId="2548128F" w14:textId="58FCB923" w:rsidR="003C1399" w:rsidRDefault="003C1399" w:rsidP="00AC0D94">
      <w:pPr>
        <w:adjustRightInd w:val="0"/>
        <w:snapToGrid w:val="0"/>
        <w:jc w:val="center"/>
        <w:rPr>
          <w:rFonts w:ascii="Times New Roman" w:hAnsi="Times New Roman"/>
          <w:sz w:val="20"/>
          <w:szCs w:val="20"/>
          <w:lang w:val="en-GB"/>
        </w:rPr>
      </w:pPr>
    </w:p>
    <w:p w14:paraId="0FBA2A24" w14:textId="77777777" w:rsidR="004238D8" w:rsidRPr="0096250A" w:rsidRDefault="004238D8" w:rsidP="00AC0D94">
      <w:pPr>
        <w:jc w:val="both"/>
        <w:rPr>
          <w:rFonts w:ascii="Times New Roman" w:eastAsia="DFKai-SB" w:hAnsi="Times New Roman"/>
          <w:b/>
          <w:smallCaps/>
          <w:sz w:val="22"/>
          <w:u w:val="single"/>
          <w:lang w:val="en-GB"/>
        </w:rPr>
        <w:sectPr w:rsidR="004238D8" w:rsidRPr="0096250A" w:rsidSect="005E0786">
          <w:footerReference w:type="even" r:id="rId8"/>
          <w:footerReference w:type="default" r:id="rId9"/>
          <w:pgSz w:w="11906" w:h="16838"/>
          <w:pgMar w:top="1134" w:right="1134" w:bottom="1134" w:left="1134" w:header="851" w:footer="992" w:gutter="0"/>
          <w:pgNumType w:fmt="lowerRoman" w:start="1"/>
          <w:cols w:space="425"/>
          <w:titlePg/>
          <w:docGrid w:type="lines" w:linePitch="360"/>
        </w:sectPr>
      </w:pPr>
    </w:p>
    <w:p w14:paraId="73EF718E" w14:textId="77777777" w:rsidR="004238D8" w:rsidRDefault="004238D8" w:rsidP="00AC0D94">
      <w:pPr>
        <w:jc w:val="both"/>
        <w:rPr>
          <w:rFonts w:ascii="Times New Roman" w:hAnsi="Times New Roman"/>
          <w:b/>
          <w:sz w:val="20"/>
          <w:szCs w:val="20"/>
          <w:u w:val="single"/>
        </w:rPr>
      </w:pPr>
    </w:p>
    <w:p w14:paraId="43E4438E" w14:textId="41CC56BC" w:rsidR="00B638D9" w:rsidRPr="00311ADA" w:rsidRDefault="00311ADA" w:rsidP="00AC0D94">
      <w:pPr>
        <w:adjustRightInd w:val="0"/>
        <w:jc w:val="center"/>
        <w:rPr>
          <w:rFonts w:ascii="Times New Roman" w:hAnsi="Times New Roman"/>
          <w:b/>
          <w:sz w:val="26"/>
          <w:szCs w:val="26"/>
          <w:u w:val="single"/>
        </w:rPr>
      </w:pPr>
      <w:r w:rsidRPr="00311ADA">
        <w:rPr>
          <w:rFonts w:ascii="Times New Roman" w:hAnsi="Times New Roman"/>
          <w:color w:val="000000"/>
          <w:sz w:val="26"/>
          <w:szCs w:val="26"/>
        </w:rPr>
        <w:t>UWTSD MBA (</w:t>
      </w:r>
      <w:r w:rsidR="002904D7">
        <w:rPr>
          <w:rFonts w:ascii="Times New Roman" w:hAnsi="Times New Roman"/>
          <w:color w:val="000000"/>
          <w:sz w:val="26"/>
          <w:szCs w:val="26"/>
        </w:rPr>
        <w:t>May/</w:t>
      </w:r>
      <w:r w:rsidRPr="00311ADA">
        <w:rPr>
          <w:rFonts w:ascii="Times New Roman" w:hAnsi="Times New Roman"/>
          <w:color w:val="000000"/>
          <w:sz w:val="26"/>
          <w:szCs w:val="26"/>
        </w:rPr>
        <w:t xml:space="preserve">Nov </w:t>
      </w:r>
      <w:r w:rsidR="002904D7">
        <w:rPr>
          <w:rFonts w:ascii="Times New Roman" w:hAnsi="Times New Roman"/>
          <w:color w:val="000000"/>
          <w:sz w:val="26"/>
          <w:szCs w:val="26"/>
        </w:rPr>
        <w:t>20</w:t>
      </w:r>
      <w:r w:rsidR="00DF39E6">
        <w:rPr>
          <w:rFonts w:ascii="Times New Roman" w:hAnsi="Times New Roman"/>
          <w:color w:val="000000"/>
          <w:sz w:val="26"/>
          <w:szCs w:val="26"/>
        </w:rPr>
        <w:t>2</w:t>
      </w:r>
      <w:r w:rsidR="008349B4">
        <w:rPr>
          <w:rFonts w:ascii="Times New Roman" w:hAnsi="Times New Roman"/>
          <w:color w:val="000000"/>
          <w:sz w:val="26"/>
          <w:szCs w:val="26"/>
        </w:rPr>
        <w:t>3</w:t>
      </w:r>
      <w:r w:rsidRPr="00311ADA">
        <w:rPr>
          <w:rFonts w:ascii="Times New Roman" w:hAnsi="Times New Roman"/>
          <w:color w:val="000000"/>
          <w:sz w:val="26"/>
          <w:szCs w:val="26"/>
        </w:rPr>
        <w:t xml:space="preserve"> intake</w:t>
      </w:r>
      <w:r w:rsidR="002904D7">
        <w:rPr>
          <w:rFonts w:ascii="Times New Roman" w:hAnsi="Times New Roman"/>
          <w:color w:val="000000"/>
          <w:sz w:val="26"/>
          <w:szCs w:val="26"/>
        </w:rPr>
        <w:t>s</w:t>
      </w:r>
      <w:r w:rsidRPr="00311ADA">
        <w:rPr>
          <w:rFonts w:ascii="Times New Roman" w:hAnsi="Times New Roman"/>
          <w:color w:val="000000"/>
          <w:sz w:val="26"/>
          <w:szCs w:val="26"/>
        </w:rPr>
        <w:t xml:space="preserve">) </w:t>
      </w:r>
      <w:r w:rsidR="002904D7">
        <w:rPr>
          <w:rFonts w:ascii="Times New Roman" w:hAnsi="Times New Roman"/>
          <w:color w:val="000000"/>
          <w:sz w:val="26"/>
          <w:szCs w:val="26"/>
        </w:rPr>
        <w:br/>
      </w:r>
      <w:r w:rsidR="002904D7" w:rsidRPr="002904D7">
        <w:rPr>
          <w:rFonts w:ascii="Times New Roman" w:hAnsi="Times New Roman"/>
          <w:color w:val="000000"/>
          <w:sz w:val="26"/>
          <w:szCs w:val="26"/>
        </w:rPr>
        <w:t>BMMB700</w:t>
      </w:r>
      <w:r w:rsidR="00DF39E6">
        <w:rPr>
          <w:rFonts w:ascii="Times New Roman" w:hAnsi="Times New Roman"/>
          <w:color w:val="000000"/>
          <w:sz w:val="26"/>
          <w:szCs w:val="26"/>
        </w:rPr>
        <w:t>9</w:t>
      </w:r>
      <w:r w:rsidR="002904D7">
        <w:rPr>
          <w:rFonts w:ascii="Times New Roman" w:hAnsi="Times New Roman"/>
          <w:color w:val="000000"/>
          <w:sz w:val="26"/>
          <w:szCs w:val="26"/>
        </w:rPr>
        <w:t xml:space="preserve"> </w:t>
      </w:r>
      <w:r w:rsidR="002904D7" w:rsidRPr="002904D7">
        <w:rPr>
          <w:rFonts w:ascii="Times New Roman" w:hAnsi="Times New Roman"/>
          <w:color w:val="000000"/>
          <w:sz w:val="26"/>
          <w:szCs w:val="26"/>
        </w:rPr>
        <w:t>Global Business Challenges</w:t>
      </w:r>
    </w:p>
    <w:p w14:paraId="270078E0" w14:textId="77777777" w:rsidR="00B638D9" w:rsidRPr="00311ADA" w:rsidRDefault="00B638D9" w:rsidP="00AC0D94">
      <w:pPr>
        <w:adjustRightInd w:val="0"/>
        <w:jc w:val="center"/>
        <w:rPr>
          <w:rFonts w:ascii="Times New Roman" w:hAnsi="Times New Roman"/>
          <w:b/>
          <w:sz w:val="26"/>
          <w:szCs w:val="26"/>
          <w:u w:val="single"/>
        </w:rPr>
      </w:pPr>
    </w:p>
    <w:p w14:paraId="42880AAC" w14:textId="77777777" w:rsidR="00850120" w:rsidRDefault="00311ADA" w:rsidP="00AC0D94">
      <w:pPr>
        <w:rPr>
          <w:rFonts w:ascii="Times New Roman" w:hAnsi="Times New Roman"/>
          <w:sz w:val="26"/>
          <w:szCs w:val="26"/>
        </w:rPr>
      </w:pPr>
      <w:r w:rsidRPr="00FE6608">
        <w:rPr>
          <w:rFonts w:ascii="Times New Roman" w:hAnsi="Times New Roman"/>
          <w:sz w:val="26"/>
          <w:szCs w:val="26"/>
        </w:rPr>
        <w:t>Assignment Title:</w:t>
      </w:r>
      <w:r w:rsidR="00850120">
        <w:rPr>
          <w:rFonts w:ascii="Times New Roman" w:hAnsi="Times New Roman"/>
          <w:sz w:val="26"/>
          <w:szCs w:val="26"/>
        </w:rPr>
        <w:t xml:space="preserve"> </w:t>
      </w:r>
    </w:p>
    <w:p w14:paraId="0247944B" w14:textId="160F2382" w:rsidR="008B389D" w:rsidRDefault="008B389D" w:rsidP="00AC0D94">
      <w:pPr>
        <w:rPr>
          <w:rFonts w:ascii="Times New Roman" w:hAnsi="Times New Roman"/>
          <w:sz w:val="26"/>
          <w:szCs w:val="26"/>
        </w:rPr>
      </w:pPr>
      <w:r w:rsidRPr="008B389D">
        <w:rPr>
          <w:rFonts w:ascii="Times New Roman" w:hAnsi="Times New Roman"/>
          <w:sz w:val="26"/>
          <w:szCs w:val="26"/>
        </w:rPr>
        <w:t>An Analytical Report on How Global price Changes Affects Domestic market</w:t>
      </w:r>
    </w:p>
    <w:p w14:paraId="7C296744" w14:textId="77777777" w:rsidR="00BB4C1B" w:rsidRDefault="00BB4C1B" w:rsidP="00AC0D94">
      <w:pPr>
        <w:jc w:val="both"/>
        <w:rPr>
          <w:rFonts w:ascii="Times New Roman" w:hAnsi="Times New Roman"/>
          <w:szCs w:val="21"/>
        </w:rPr>
      </w:pPr>
    </w:p>
    <w:p w14:paraId="0AB70F5B" w14:textId="75CBCB65" w:rsidR="004238D8" w:rsidRPr="00FE6608" w:rsidRDefault="00B25B3D" w:rsidP="00AC0D94">
      <w:pPr>
        <w:jc w:val="both"/>
        <w:rPr>
          <w:rFonts w:ascii="Times New Roman" w:hAnsi="Times New Roman"/>
          <w:sz w:val="32"/>
          <w:szCs w:val="32"/>
        </w:rPr>
      </w:pPr>
      <w:r w:rsidRPr="00FE6608">
        <w:rPr>
          <w:rFonts w:ascii="Times New Roman" w:hAnsi="Times New Roman"/>
          <w:sz w:val="32"/>
          <w:szCs w:val="32"/>
        </w:rPr>
        <w:t>“I,</w:t>
      </w:r>
      <w:r w:rsidR="004F6A54">
        <w:rPr>
          <w:rFonts w:ascii="Times New Roman" w:hAnsi="Times New Roman"/>
          <w:sz w:val="32"/>
          <w:szCs w:val="32"/>
        </w:rPr>
        <w:t xml:space="preserve"> Martin, Tam Kai Lim</w:t>
      </w:r>
      <w:r w:rsidR="009A7025">
        <w:rPr>
          <w:rFonts w:ascii="Times New Roman" w:hAnsi="Times New Roman"/>
          <w:sz w:val="32"/>
          <w:szCs w:val="32"/>
        </w:rPr>
        <w:t xml:space="preserve"> </w:t>
      </w:r>
      <w:r w:rsidR="004F6A54">
        <w:rPr>
          <w:rFonts w:ascii="Times New Roman" w:hAnsi="Times New Roman"/>
          <w:sz w:val="32"/>
          <w:szCs w:val="32"/>
        </w:rPr>
        <w:t>(2425264)</w:t>
      </w:r>
      <w:r w:rsidRPr="00FE6608">
        <w:rPr>
          <w:rFonts w:ascii="Times New Roman" w:hAnsi="Times New Roman"/>
          <w:sz w:val="32"/>
          <w:szCs w:val="32"/>
        </w:rPr>
        <w:t xml:space="preserve">, </w:t>
      </w:r>
      <w:r w:rsidR="004238D8" w:rsidRPr="00FE6608">
        <w:rPr>
          <w:rFonts w:ascii="Times New Roman" w:hAnsi="Times New Roman"/>
          <w:sz w:val="32"/>
          <w:szCs w:val="32"/>
        </w:rPr>
        <w:t>certify this work is the result of my own investigations, except where otherwise stated.  All references have been duly cited”</w:t>
      </w:r>
    </w:p>
    <w:p w14:paraId="2001BEE3" w14:textId="77777777" w:rsidR="004238D8" w:rsidRDefault="004238D8" w:rsidP="00AC0D94">
      <w:pPr>
        <w:jc w:val="both"/>
        <w:rPr>
          <w:rFonts w:ascii="Times New Roman" w:hAnsi="Times New Roman"/>
        </w:rPr>
      </w:pPr>
    </w:p>
    <w:p w14:paraId="1B6FA4C1" w14:textId="77777777" w:rsidR="00B638D9" w:rsidRDefault="00B638D9" w:rsidP="00AC0D94">
      <w:pPr>
        <w:jc w:val="both"/>
        <w:rPr>
          <w:rFonts w:ascii="Times New Roman" w:hAnsi="Times New Roman"/>
        </w:rPr>
      </w:pPr>
    </w:p>
    <w:p w14:paraId="25103C95" w14:textId="77777777" w:rsidR="00B638D9" w:rsidRDefault="00B638D9" w:rsidP="00AC0D94">
      <w:pPr>
        <w:jc w:val="both"/>
        <w:rPr>
          <w:rFonts w:ascii="Times New Roman" w:hAnsi="Times New Roman"/>
        </w:rPr>
      </w:pPr>
    </w:p>
    <w:p w14:paraId="7AF0EA01" w14:textId="77777777" w:rsidR="004238D8" w:rsidRDefault="004238D8" w:rsidP="00AC0D94">
      <w:pPr>
        <w:jc w:val="both"/>
        <w:rPr>
          <w:rFonts w:ascii="Times New Roman" w:hAnsi="Times New Roman"/>
          <w:b/>
        </w:rPr>
      </w:pPr>
    </w:p>
    <w:p w14:paraId="074E2C51" w14:textId="77777777" w:rsidR="004238D8" w:rsidRPr="00FE6608" w:rsidRDefault="004238D8" w:rsidP="00AC0D94">
      <w:pPr>
        <w:jc w:val="both"/>
        <w:rPr>
          <w:rFonts w:ascii="Times New Roman" w:hAnsi="Times New Roman"/>
        </w:rPr>
      </w:pPr>
      <w:r w:rsidRPr="00FE6608">
        <w:rPr>
          <w:rFonts w:ascii="Times New Roman" w:hAnsi="Times New Roman"/>
        </w:rPr>
        <w:t>Signed</w:t>
      </w:r>
      <w:r w:rsidR="000C61E4" w:rsidRPr="00FE6608">
        <w:rPr>
          <w:rFonts w:ascii="Times New Roman" w:hAnsi="Times New Roman"/>
        </w:rPr>
        <w:t>:</w:t>
      </w:r>
      <w:r w:rsidR="00B25B3D" w:rsidRPr="00FE6608">
        <w:rPr>
          <w:rFonts w:ascii="Times New Roman" w:hAnsi="Times New Roman"/>
        </w:rPr>
        <w:t xml:space="preserve"> </w:t>
      </w:r>
      <w:r w:rsidR="00FE6608">
        <w:rPr>
          <w:rFonts w:ascii="Times New Roman" w:hAnsi="Times New Roman"/>
        </w:rPr>
        <w:t>_____________________</w:t>
      </w:r>
    </w:p>
    <w:p w14:paraId="5D06CDF4" w14:textId="77777777" w:rsidR="00FE6608" w:rsidRDefault="00FE6608" w:rsidP="00AC0D94">
      <w:pPr>
        <w:rPr>
          <w:rFonts w:ascii="Times New Roman" w:hAnsi="Times New Roman"/>
          <w:sz w:val="26"/>
        </w:rPr>
      </w:pPr>
    </w:p>
    <w:p w14:paraId="69180220" w14:textId="008E1715" w:rsidR="00603E07" w:rsidRPr="00FE6608" w:rsidRDefault="000C61E4" w:rsidP="00AC0D94">
      <w:pPr>
        <w:rPr>
          <w:rFonts w:ascii="Times New Roman" w:hAnsi="Times New Roman"/>
          <w:sz w:val="26"/>
        </w:rPr>
      </w:pPr>
      <w:r w:rsidRPr="00FE6608">
        <w:rPr>
          <w:rFonts w:ascii="Times New Roman" w:hAnsi="Times New Roman"/>
          <w:sz w:val="26"/>
        </w:rPr>
        <w:t>D</w:t>
      </w:r>
      <w:r w:rsidR="00B25B3D" w:rsidRPr="00FE6608">
        <w:rPr>
          <w:rFonts w:ascii="Times New Roman" w:hAnsi="Times New Roman"/>
          <w:sz w:val="26"/>
        </w:rPr>
        <w:t>ate</w:t>
      </w:r>
      <w:r w:rsidRPr="00FE6608">
        <w:rPr>
          <w:rFonts w:ascii="Times New Roman" w:hAnsi="Times New Roman"/>
          <w:sz w:val="26"/>
        </w:rPr>
        <w:t>:</w:t>
      </w:r>
      <w:r w:rsidR="00FE6608">
        <w:rPr>
          <w:rFonts w:ascii="Times New Roman" w:hAnsi="Times New Roman"/>
          <w:sz w:val="26"/>
        </w:rPr>
        <w:t xml:space="preserve">  </w:t>
      </w:r>
    </w:p>
    <w:p w14:paraId="59166276" w14:textId="77777777" w:rsidR="00603E07" w:rsidRDefault="00603E07" w:rsidP="00AC0D94">
      <w:pPr>
        <w:jc w:val="center"/>
        <w:rPr>
          <w:sz w:val="26"/>
        </w:rPr>
      </w:pPr>
    </w:p>
    <w:p w14:paraId="791BBD2D" w14:textId="77777777" w:rsidR="005F5BA8" w:rsidRDefault="005F5BA8" w:rsidP="00AC0D94">
      <w:pPr>
        <w:widowControl/>
        <w:adjustRightInd w:val="0"/>
        <w:snapToGrid w:val="0"/>
        <w:jc w:val="center"/>
        <w:rPr>
          <w:sz w:val="26"/>
        </w:rPr>
      </w:pPr>
    </w:p>
    <w:p w14:paraId="711D9D36" w14:textId="77777777" w:rsidR="005F5BA8" w:rsidRDefault="005F5BA8" w:rsidP="00AC0D94">
      <w:pPr>
        <w:widowControl/>
        <w:adjustRightInd w:val="0"/>
        <w:snapToGrid w:val="0"/>
        <w:jc w:val="center"/>
        <w:rPr>
          <w:sz w:val="26"/>
        </w:rPr>
      </w:pPr>
    </w:p>
    <w:p w14:paraId="5F0ABC6B" w14:textId="77777777" w:rsidR="005F5BA8" w:rsidRDefault="005F5BA8" w:rsidP="00AC0D94">
      <w:pPr>
        <w:widowControl/>
        <w:adjustRightInd w:val="0"/>
        <w:snapToGrid w:val="0"/>
        <w:jc w:val="center"/>
        <w:rPr>
          <w:sz w:val="26"/>
        </w:rPr>
      </w:pPr>
    </w:p>
    <w:p w14:paraId="4ACC24BB" w14:textId="237C731E" w:rsidR="00074B88" w:rsidRPr="001870C1" w:rsidRDefault="00074B88" w:rsidP="00AC0D94">
      <w:pPr>
        <w:widowControl/>
        <w:adjustRightInd w:val="0"/>
        <w:snapToGrid w:val="0"/>
        <w:jc w:val="center"/>
        <w:rPr>
          <w:rFonts w:ascii="Times New Roman" w:hAnsi="Times New Roman"/>
          <w:color w:val="0000CC"/>
          <w:sz w:val="26"/>
        </w:rPr>
      </w:pPr>
      <w:r w:rsidRPr="001870C1">
        <w:rPr>
          <w:color w:val="0000CC"/>
          <w:sz w:val="26"/>
        </w:rPr>
        <w:br w:type="page"/>
      </w:r>
    </w:p>
    <w:p w14:paraId="22FCB631" w14:textId="6415814B" w:rsidR="00DD79F6" w:rsidRDefault="00074B88" w:rsidP="00AC0D94">
      <w:pPr>
        <w:widowControl/>
        <w:adjustRightInd w:val="0"/>
        <w:snapToGrid w:val="0"/>
        <w:spacing w:line="360" w:lineRule="auto"/>
        <w:rPr>
          <w:rFonts w:ascii="Times New Roman" w:hAnsi="Times New Roman"/>
          <w:b/>
          <w:szCs w:val="24"/>
        </w:rPr>
      </w:pPr>
      <w:r w:rsidRPr="00AF0637">
        <w:rPr>
          <w:rFonts w:ascii="Times New Roman" w:hAnsi="Times New Roman"/>
          <w:b/>
          <w:szCs w:val="24"/>
        </w:rPr>
        <w:lastRenderedPageBreak/>
        <w:t>Synopsis</w:t>
      </w:r>
      <w:r w:rsidR="00CA1589" w:rsidRPr="00AF0637">
        <w:rPr>
          <w:rFonts w:ascii="Times New Roman" w:hAnsi="Times New Roman"/>
          <w:b/>
          <w:szCs w:val="24"/>
        </w:rPr>
        <w:t xml:space="preserve"> </w:t>
      </w:r>
    </w:p>
    <w:p w14:paraId="3C340C53" w14:textId="77777777" w:rsidR="00AF0637" w:rsidRPr="001456A2" w:rsidRDefault="00AF0637" w:rsidP="00AC0D94">
      <w:pPr>
        <w:widowControl/>
        <w:adjustRightInd w:val="0"/>
        <w:snapToGrid w:val="0"/>
        <w:spacing w:line="360" w:lineRule="auto"/>
        <w:rPr>
          <w:rFonts w:ascii="Times New Roman" w:hAnsi="Times New Roman"/>
          <w:szCs w:val="24"/>
        </w:rPr>
      </w:pPr>
    </w:p>
    <w:p w14:paraId="031C4FE5" w14:textId="7AAA4EEA" w:rsidR="00074B88" w:rsidRPr="001456A2" w:rsidRDefault="001456A2" w:rsidP="00AC0D94">
      <w:pPr>
        <w:widowControl/>
        <w:adjustRightInd w:val="0"/>
        <w:snapToGrid w:val="0"/>
        <w:spacing w:line="360" w:lineRule="auto"/>
        <w:rPr>
          <w:rFonts w:ascii="Times New Roman" w:hAnsi="Times New Roman"/>
          <w:szCs w:val="24"/>
        </w:rPr>
      </w:pPr>
      <w:r w:rsidRPr="001456A2">
        <w:rPr>
          <w:rFonts w:ascii="Times New Roman" w:hAnsi="Times New Roman"/>
          <w:szCs w:val="24"/>
        </w:rPr>
        <w:t>This study analyzes consumer inflation and retail sales trends in Hong Kong and Thailand (2005–2023) to guide AAA’s investment strategy. Hong Kong’s retail sector showed strong growth pre-2013 but faced volatility post-2014 due to political unrest and COVID-19, while its CPI remained stable. Thailand’s inflation was more variable, driven by tourism and global commodity prices, but its retail environment was stable. A strong correlation (0.69) between inflation rates and moderate correlation (0.51) between Thailand’s inflation and Hong Kong’s retail sales highlight economic interconnectedness. Recommendations include expanding into Thailand, importing goods, establishing franchises, and optimizing rental costs to mitigate risks and capitalize on growth opportunities in both regions.</w:t>
      </w:r>
    </w:p>
    <w:p w14:paraId="191D6F19" w14:textId="77777777" w:rsidR="00074B88" w:rsidRPr="008E3F76" w:rsidRDefault="00074B88" w:rsidP="00AC0D94">
      <w:pPr>
        <w:widowControl/>
        <w:adjustRightInd w:val="0"/>
        <w:snapToGrid w:val="0"/>
        <w:spacing w:line="360" w:lineRule="auto"/>
        <w:rPr>
          <w:rFonts w:ascii="Times New Roman" w:hAnsi="Times New Roman"/>
          <w:b/>
          <w:szCs w:val="24"/>
        </w:rPr>
      </w:pPr>
    </w:p>
    <w:p w14:paraId="193BD825" w14:textId="77777777" w:rsidR="00074B88" w:rsidRPr="008E3F76" w:rsidRDefault="00074B88" w:rsidP="00AC0D94">
      <w:pPr>
        <w:widowControl/>
        <w:adjustRightInd w:val="0"/>
        <w:snapToGrid w:val="0"/>
        <w:spacing w:line="360" w:lineRule="auto"/>
        <w:rPr>
          <w:rFonts w:ascii="Times New Roman" w:hAnsi="Times New Roman"/>
          <w:b/>
          <w:szCs w:val="24"/>
        </w:rPr>
      </w:pPr>
    </w:p>
    <w:p w14:paraId="27DFB08D" w14:textId="77777777" w:rsidR="00074B88" w:rsidRPr="008E3F76" w:rsidRDefault="00074B88" w:rsidP="00AC0D94">
      <w:pPr>
        <w:widowControl/>
        <w:adjustRightInd w:val="0"/>
        <w:snapToGrid w:val="0"/>
        <w:spacing w:line="360" w:lineRule="auto"/>
        <w:rPr>
          <w:rFonts w:ascii="Times New Roman" w:hAnsi="Times New Roman"/>
          <w:b/>
          <w:szCs w:val="24"/>
        </w:rPr>
      </w:pPr>
    </w:p>
    <w:p w14:paraId="5615B959" w14:textId="77777777" w:rsidR="004A16A5" w:rsidRPr="008E3F76" w:rsidRDefault="004A16A5" w:rsidP="00AC0D94">
      <w:pPr>
        <w:widowControl/>
        <w:adjustRightInd w:val="0"/>
        <w:snapToGrid w:val="0"/>
        <w:spacing w:line="360" w:lineRule="auto"/>
        <w:rPr>
          <w:rFonts w:ascii="Times New Roman" w:hAnsi="Times New Roman"/>
          <w:b/>
          <w:szCs w:val="24"/>
        </w:rPr>
      </w:pPr>
    </w:p>
    <w:p w14:paraId="00066764" w14:textId="77777777" w:rsidR="004A16A5" w:rsidRPr="008E3F76" w:rsidRDefault="004A16A5" w:rsidP="00AC0D94">
      <w:pPr>
        <w:widowControl/>
        <w:adjustRightInd w:val="0"/>
        <w:snapToGrid w:val="0"/>
        <w:spacing w:line="360" w:lineRule="auto"/>
        <w:rPr>
          <w:rFonts w:ascii="Times New Roman" w:hAnsi="Times New Roman"/>
          <w:b/>
          <w:szCs w:val="24"/>
        </w:rPr>
      </w:pPr>
    </w:p>
    <w:p w14:paraId="282C43AD" w14:textId="77777777" w:rsidR="004A16A5" w:rsidRPr="008E3F76" w:rsidRDefault="004A16A5" w:rsidP="00AC0D94">
      <w:pPr>
        <w:widowControl/>
        <w:adjustRightInd w:val="0"/>
        <w:snapToGrid w:val="0"/>
        <w:spacing w:line="360" w:lineRule="auto"/>
        <w:rPr>
          <w:rFonts w:ascii="Times New Roman" w:hAnsi="Times New Roman"/>
          <w:b/>
          <w:szCs w:val="24"/>
        </w:rPr>
      </w:pPr>
    </w:p>
    <w:p w14:paraId="6AE2C035" w14:textId="77777777" w:rsidR="004A16A5" w:rsidRDefault="004A16A5" w:rsidP="00AC0D94">
      <w:pPr>
        <w:widowControl/>
        <w:adjustRightInd w:val="0"/>
        <w:snapToGrid w:val="0"/>
        <w:spacing w:line="360" w:lineRule="auto"/>
        <w:rPr>
          <w:rFonts w:ascii="Times New Roman" w:hAnsi="Times New Roman"/>
          <w:b/>
          <w:szCs w:val="24"/>
        </w:rPr>
      </w:pPr>
    </w:p>
    <w:p w14:paraId="47A88311" w14:textId="77777777" w:rsidR="001456A2" w:rsidRPr="008E3F76" w:rsidRDefault="001456A2" w:rsidP="00AC0D94">
      <w:pPr>
        <w:widowControl/>
        <w:adjustRightInd w:val="0"/>
        <w:snapToGrid w:val="0"/>
        <w:spacing w:line="360" w:lineRule="auto"/>
        <w:rPr>
          <w:rFonts w:ascii="Times New Roman" w:hAnsi="Times New Roman"/>
          <w:b/>
          <w:szCs w:val="24"/>
        </w:rPr>
      </w:pPr>
    </w:p>
    <w:p w14:paraId="2057321E" w14:textId="77777777" w:rsidR="004A16A5" w:rsidRPr="008E3F76" w:rsidRDefault="004A16A5" w:rsidP="00AC0D94">
      <w:pPr>
        <w:widowControl/>
        <w:adjustRightInd w:val="0"/>
        <w:snapToGrid w:val="0"/>
        <w:spacing w:line="360" w:lineRule="auto"/>
        <w:rPr>
          <w:rFonts w:ascii="Times New Roman" w:hAnsi="Times New Roman"/>
          <w:b/>
          <w:szCs w:val="24"/>
        </w:rPr>
      </w:pPr>
    </w:p>
    <w:p w14:paraId="114333BF" w14:textId="77777777" w:rsidR="004A16A5" w:rsidRPr="008E3F76" w:rsidRDefault="004A16A5" w:rsidP="00AC0D94">
      <w:pPr>
        <w:widowControl/>
        <w:adjustRightInd w:val="0"/>
        <w:snapToGrid w:val="0"/>
        <w:spacing w:line="360" w:lineRule="auto"/>
        <w:rPr>
          <w:rFonts w:ascii="Times New Roman" w:hAnsi="Times New Roman"/>
          <w:b/>
          <w:szCs w:val="24"/>
        </w:rPr>
      </w:pPr>
    </w:p>
    <w:p w14:paraId="54CF0D8C" w14:textId="77777777" w:rsidR="004A16A5" w:rsidRPr="008E3F76" w:rsidRDefault="004A16A5" w:rsidP="00AC0D94">
      <w:pPr>
        <w:widowControl/>
        <w:adjustRightInd w:val="0"/>
        <w:snapToGrid w:val="0"/>
        <w:spacing w:line="360" w:lineRule="auto"/>
        <w:rPr>
          <w:rFonts w:ascii="Times New Roman" w:hAnsi="Times New Roman"/>
          <w:b/>
          <w:szCs w:val="24"/>
        </w:rPr>
      </w:pPr>
    </w:p>
    <w:p w14:paraId="03C6829F" w14:textId="77777777" w:rsidR="004A16A5" w:rsidRPr="008E3F76" w:rsidRDefault="004A16A5" w:rsidP="00AC0D94">
      <w:pPr>
        <w:widowControl/>
        <w:adjustRightInd w:val="0"/>
        <w:snapToGrid w:val="0"/>
        <w:spacing w:line="360" w:lineRule="auto"/>
        <w:rPr>
          <w:rFonts w:ascii="Times New Roman" w:hAnsi="Times New Roman"/>
          <w:b/>
          <w:szCs w:val="24"/>
        </w:rPr>
      </w:pPr>
    </w:p>
    <w:p w14:paraId="0940CAAD" w14:textId="77777777" w:rsidR="00615002" w:rsidRPr="008E3F76" w:rsidRDefault="00615002" w:rsidP="00AC0D94">
      <w:pPr>
        <w:widowControl/>
        <w:adjustRightInd w:val="0"/>
        <w:snapToGrid w:val="0"/>
        <w:spacing w:line="360" w:lineRule="auto"/>
        <w:rPr>
          <w:rFonts w:ascii="Times New Roman" w:hAnsi="Times New Roman"/>
          <w:b/>
          <w:szCs w:val="24"/>
        </w:rPr>
      </w:pPr>
    </w:p>
    <w:p w14:paraId="178CE2BE" w14:textId="77777777" w:rsidR="00615002" w:rsidRPr="008E3F76" w:rsidRDefault="00615002" w:rsidP="00AC0D94">
      <w:pPr>
        <w:widowControl/>
        <w:adjustRightInd w:val="0"/>
        <w:snapToGrid w:val="0"/>
        <w:spacing w:line="360" w:lineRule="auto"/>
        <w:rPr>
          <w:rFonts w:ascii="Times New Roman" w:hAnsi="Times New Roman"/>
          <w:b/>
          <w:szCs w:val="24"/>
        </w:rPr>
      </w:pPr>
    </w:p>
    <w:p w14:paraId="651E7FA2" w14:textId="77777777" w:rsidR="004A16A5" w:rsidRPr="008E3F76" w:rsidRDefault="004A16A5" w:rsidP="00AC0D94">
      <w:pPr>
        <w:widowControl/>
        <w:adjustRightInd w:val="0"/>
        <w:snapToGrid w:val="0"/>
        <w:spacing w:line="360" w:lineRule="auto"/>
        <w:rPr>
          <w:rFonts w:ascii="Times New Roman" w:hAnsi="Times New Roman"/>
          <w:b/>
          <w:szCs w:val="24"/>
        </w:rPr>
      </w:pPr>
    </w:p>
    <w:p w14:paraId="27B08597" w14:textId="77777777" w:rsidR="004A16A5" w:rsidRPr="008E3F76" w:rsidRDefault="004A16A5" w:rsidP="00AC0D94">
      <w:pPr>
        <w:widowControl/>
        <w:adjustRightInd w:val="0"/>
        <w:snapToGrid w:val="0"/>
        <w:spacing w:line="360" w:lineRule="auto"/>
        <w:rPr>
          <w:rFonts w:ascii="Times New Roman" w:hAnsi="Times New Roman"/>
          <w:b/>
          <w:szCs w:val="24"/>
        </w:rPr>
      </w:pPr>
    </w:p>
    <w:p w14:paraId="6FB716F1" w14:textId="77777777" w:rsidR="004A16A5" w:rsidRPr="008E3F76" w:rsidRDefault="004A16A5" w:rsidP="00AC0D94">
      <w:pPr>
        <w:widowControl/>
        <w:adjustRightInd w:val="0"/>
        <w:snapToGrid w:val="0"/>
        <w:spacing w:line="360" w:lineRule="auto"/>
        <w:rPr>
          <w:rFonts w:ascii="Times New Roman" w:hAnsi="Times New Roman"/>
          <w:b/>
          <w:szCs w:val="24"/>
        </w:rPr>
      </w:pPr>
    </w:p>
    <w:p w14:paraId="0E093E02" w14:textId="77777777" w:rsidR="004A16A5" w:rsidRPr="008E3F76" w:rsidRDefault="004A16A5" w:rsidP="00AC0D94">
      <w:pPr>
        <w:widowControl/>
        <w:adjustRightInd w:val="0"/>
        <w:snapToGrid w:val="0"/>
        <w:spacing w:line="360" w:lineRule="auto"/>
        <w:rPr>
          <w:rFonts w:ascii="Times New Roman" w:hAnsi="Times New Roman"/>
          <w:b/>
          <w:szCs w:val="24"/>
        </w:rPr>
      </w:pPr>
    </w:p>
    <w:p w14:paraId="76C6EB35" w14:textId="77777777" w:rsidR="004A16A5" w:rsidRPr="008E3F76" w:rsidRDefault="004A16A5" w:rsidP="00AC0D94">
      <w:pPr>
        <w:widowControl/>
        <w:adjustRightInd w:val="0"/>
        <w:snapToGrid w:val="0"/>
        <w:spacing w:line="360" w:lineRule="auto"/>
        <w:rPr>
          <w:rFonts w:ascii="Times New Roman" w:hAnsi="Times New Roman"/>
          <w:b/>
          <w:szCs w:val="24"/>
        </w:rPr>
      </w:pPr>
    </w:p>
    <w:p w14:paraId="7D72E999" w14:textId="77777777" w:rsidR="004A16A5" w:rsidRPr="008E3F76" w:rsidRDefault="004A16A5" w:rsidP="00AC0D94">
      <w:pPr>
        <w:widowControl/>
        <w:adjustRightInd w:val="0"/>
        <w:snapToGrid w:val="0"/>
        <w:spacing w:line="360" w:lineRule="auto"/>
        <w:rPr>
          <w:rFonts w:ascii="Times New Roman" w:hAnsi="Times New Roman"/>
          <w:b/>
          <w:szCs w:val="24"/>
        </w:rPr>
      </w:pPr>
    </w:p>
    <w:tbl>
      <w:tblPr>
        <w:tblW w:w="8506" w:type="dxa"/>
        <w:tblLook w:val="04A0" w:firstRow="1" w:lastRow="0" w:firstColumn="1" w:lastColumn="0" w:noHBand="0" w:noVBand="1"/>
      </w:tblPr>
      <w:tblGrid>
        <w:gridCol w:w="960"/>
        <w:gridCol w:w="6720"/>
        <w:gridCol w:w="826"/>
      </w:tblGrid>
      <w:tr w:rsidR="00366724" w:rsidRPr="00366724" w14:paraId="467BE641" w14:textId="77777777" w:rsidTr="00444DDA">
        <w:trPr>
          <w:trHeight w:val="300"/>
        </w:trPr>
        <w:tc>
          <w:tcPr>
            <w:tcW w:w="7680" w:type="dxa"/>
            <w:gridSpan w:val="2"/>
            <w:tcBorders>
              <w:top w:val="nil"/>
              <w:left w:val="nil"/>
              <w:bottom w:val="nil"/>
              <w:right w:val="nil"/>
            </w:tcBorders>
            <w:shd w:val="clear" w:color="auto" w:fill="auto"/>
            <w:noWrap/>
            <w:vAlign w:val="center"/>
            <w:hideMark/>
          </w:tcPr>
          <w:p w14:paraId="18919D9D" w14:textId="77777777" w:rsidR="00366724" w:rsidRPr="00366724" w:rsidRDefault="00366724" w:rsidP="00AC0D94">
            <w:pPr>
              <w:widowControl/>
              <w:rPr>
                <w:rFonts w:ascii="Times New Roman" w:eastAsia="Times New Roman" w:hAnsi="Times New Roman"/>
                <w:b/>
                <w:bCs/>
                <w:color w:val="000000"/>
                <w:kern w:val="0"/>
                <w:szCs w:val="24"/>
              </w:rPr>
            </w:pPr>
            <w:r w:rsidRPr="00366724">
              <w:rPr>
                <w:rFonts w:ascii="Times New Roman" w:eastAsia="Times New Roman" w:hAnsi="Times New Roman"/>
                <w:b/>
                <w:bCs/>
                <w:color w:val="000000"/>
                <w:kern w:val="0"/>
                <w:szCs w:val="24"/>
              </w:rPr>
              <w:lastRenderedPageBreak/>
              <w:t>Table of Contents</w:t>
            </w:r>
          </w:p>
        </w:tc>
        <w:tc>
          <w:tcPr>
            <w:tcW w:w="826" w:type="dxa"/>
            <w:tcBorders>
              <w:top w:val="nil"/>
              <w:left w:val="nil"/>
              <w:bottom w:val="nil"/>
              <w:right w:val="nil"/>
            </w:tcBorders>
            <w:shd w:val="clear" w:color="auto" w:fill="auto"/>
            <w:noWrap/>
            <w:vAlign w:val="bottom"/>
            <w:hideMark/>
          </w:tcPr>
          <w:p w14:paraId="255845D6" w14:textId="77777777" w:rsidR="00366724" w:rsidRPr="00366724" w:rsidRDefault="00366724" w:rsidP="00AC0D94">
            <w:pPr>
              <w:widowControl/>
              <w:rPr>
                <w:rFonts w:ascii="Times New Roman" w:eastAsia="Times New Roman" w:hAnsi="Times New Roman"/>
                <w:b/>
                <w:bCs/>
                <w:color w:val="000000"/>
                <w:kern w:val="0"/>
                <w:szCs w:val="24"/>
              </w:rPr>
            </w:pPr>
          </w:p>
        </w:tc>
      </w:tr>
      <w:tr w:rsidR="00366724" w:rsidRPr="00366724" w14:paraId="67E73615" w14:textId="77777777" w:rsidTr="00444DDA">
        <w:trPr>
          <w:trHeight w:val="310"/>
        </w:trPr>
        <w:tc>
          <w:tcPr>
            <w:tcW w:w="7680" w:type="dxa"/>
            <w:gridSpan w:val="2"/>
            <w:tcBorders>
              <w:top w:val="nil"/>
              <w:left w:val="nil"/>
              <w:bottom w:val="nil"/>
              <w:right w:val="nil"/>
            </w:tcBorders>
            <w:shd w:val="clear" w:color="auto" w:fill="auto"/>
            <w:vAlign w:val="center"/>
            <w:hideMark/>
          </w:tcPr>
          <w:p w14:paraId="1A3D1858" w14:textId="77777777" w:rsidR="00366724" w:rsidRPr="00366724" w:rsidRDefault="00366724" w:rsidP="00AC0D94">
            <w:pPr>
              <w:widowControl/>
              <w:jc w:val="center"/>
              <w:rPr>
                <w:rFonts w:ascii="Times New Roman" w:eastAsia="Times New Roman" w:hAnsi="Times New Roman"/>
                <w:kern w:val="0"/>
                <w:sz w:val="20"/>
                <w:szCs w:val="20"/>
              </w:rPr>
            </w:pPr>
          </w:p>
        </w:tc>
        <w:tc>
          <w:tcPr>
            <w:tcW w:w="826" w:type="dxa"/>
            <w:tcBorders>
              <w:top w:val="nil"/>
              <w:left w:val="nil"/>
              <w:bottom w:val="nil"/>
              <w:right w:val="nil"/>
            </w:tcBorders>
            <w:shd w:val="clear" w:color="auto" w:fill="auto"/>
            <w:vAlign w:val="center"/>
            <w:hideMark/>
          </w:tcPr>
          <w:p w14:paraId="34DB9B72" w14:textId="77777777" w:rsidR="00366724" w:rsidRPr="00366724" w:rsidRDefault="00366724" w:rsidP="00AC0D94">
            <w:pPr>
              <w:widowControl/>
              <w:jc w:val="center"/>
              <w:rPr>
                <w:rFonts w:ascii="Times New Roman" w:eastAsia="Times New Roman" w:hAnsi="Times New Roman"/>
                <w:b/>
                <w:bCs/>
                <w:color w:val="000000"/>
                <w:kern w:val="0"/>
                <w:szCs w:val="24"/>
              </w:rPr>
            </w:pPr>
            <w:r w:rsidRPr="00366724">
              <w:rPr>
                <w:rFonts w:ascii="Times New Roman" w:eastAsia="Times New Roman" w:hAnsi="Times New Roman"/>
                <w:b/>
                <w:bCs/>
                <w:color w:val="000000"/>
                <w:kern w:val="0"/>
                <w:szCs w:val="24"/>
              </w:rPr>
              <w:t>Page</w:t>
            </w:r>
          </w:p>
        </w:tc>
      </w:tr>
      <w:tr w:rsidR="00366724" w:rsidRPr="00366724" w14:paraId="7A6914C4" w14:textId="77777777" w:rsidTr="00444DDA">
        <w:trPr>
          <w:trHeight w:val="310"/>
        </w:trPr>
        <w:tc>
          <w:tcPr>
            <w:tcW w:w="7680" w:type="dxa"/>
            <w:gridSpan w:val="2"/>
            <w:tcBorders>
              <w:top w:val="nil"/>
              <w:left w:val="nil"/>
              <w:bottom w:val="nil"/>
              <w:right w:val="nil"/>
            </w:tcBorders>
            <w:shd w:val="clear" w:color="auto" w:fill="auto"/>
            <w:vAlign w:val="center"/>
            <w:hideMark/>
          </w:tcPr>
          <w:p w14:paraId="2C12C362" w14:textId="77777777" w:rsidR="00366724" w:rsidRPr="00366724" w:rsidRDefault="00366724" w:rsidP="00AC0D94">
            <w:pPr>
              <w:widowControl/>
              <w:jc w:val="both"/>
              <w:rPr>
                <w:rFonts w:ascii="Times New Roman" w:eastAsia="Times New Roman" w:hAnsi="Times New Roman"/>
                <w:color w:val="000000"/>
                <w:kern w:val="0"/>
                <w:szCs w:val="24"/>
              </w:rPr>
            </w:pPr>
            <w:r w:rsidRPr="00366724">
              <w:rPr>
                <w:rFonts w:ascii="Times New Roman" w:eastAsia="Times New Roman" w:hAnsi="Times New Roman"/>
                <w:color w:val="000000"/>
                <w:kern w:val="0"/>
                <w:szCs w:val="24"/>
              </w:rPr>
              <w:t>1. Introduction</w:t>
            </w:r>
          </w:p>
        </w:tc>
        <w:tc>
          <w:tcPr>
            <w:tcW w:w="826" w:type="dxa"/>
            <w:tcBorders>
              <w:top w:val="nil"/>
              <w:left w:val="nil"/>
              <w:bottom w:val="nil"/>
              <w:right w:val="nil"/>
            </w:tcBorders>
            <w:shd w:val="clear" w:color="auto" w:fill="auto"/>
            <w:vAlign w:val="center"/>
            <w:hideMark/>
          </w:tcPr>
          <w:p w14:paraId="66DE54D3" w14:textId="77777777" w:rsidR="00366724" w:rsidRPr="00366724" w:rsidRDefault="00366724" w:rsidP="00AC0D94">
            <w:pPr>
              <w:widowControl/>
              <w:jc w:val="center"/>
              <w:rPr>
                <w:rFonts w:ascii="Times New Roman" w:eastAsia="Times New Roman" w:hAnsi="Times New Roman"/>
                <w:color w:val="000000"/>
                <w:kern w:val="0"/>
                <w:szCs w:val="24"/>
              </w:rPr>
            </w:pPr>
            <w:r w:rsidRPr="00366724">
              <w:rPr>
                <w:rFonts w:ascii="Times New Roman" w:eastAsia="Times New Roman" w:hAnsi="Times New Roman"/>
                <w:color w:val="000000"/>
                <w:kern w:val="0"/>
                <w:szCs w:val="24"/>
              </w:rPr>
              <w:t>1~2</w:t>
            </w:r>
          </w:p>
        </w:tc>
      </w:tr>
      <w:tr w:rsidR="00366724" w:rsidRPr="00366724" w14:paraId="6FF1DB7F" w14:textId="77777777" w:rsidTr="00444DDA">
        <w:trPr>
          <w:trHeight w:val="310"/>
        </w:trPr>
        <w:tc>
          <w:tcPr>
            <w:tcW w:w="7680" w:type="dxa"/>
            <w:gridSpan w:val="2"/>
            <w:tcBorders>
              <w:top w:val="nil"/>
              <w:left w:val="nil"/>
              <w:bottom w:val="nil"/>
              <w:right w:val="nil"/>
            </w:tcBorders>
            <w:shd w:val="clear" w:color="auto" w:fill="auto"/>
            <w:vAlign w:val="center"/>
            <w:hideMark/>
          </w:tcPr>
          <w:p w14:paraId="2C4E958C" w14:textId="77777777" w:rsidR="00366724" w:rsidRPr="00366724" w:rsidRDefault="00366724" w:rsidP="00AC0D94">
            <w:pPr>
              <w:widowControl/>
              <w:rPr>
                <w:rFonts w:ascii="Times New Roman" w:eastAsia="Times New Roman" w:hAnsi="Times New Roman"/>
                <w:color w:val="000000"/>
                <w:kern w:val="0"/>
                <w:szCs w:val="24"/>
              </w:rPr>
            </w:pPr>
            <w:r w:rsidRPr="00366724">
              <w:rPr>
                <w:rFonts w:ascii="Times New Roman" w:eastAsia="Times New Roman" w:hAnsi="Times New Roman"/>
                <w:color w:val="000000"/>
                <w:kern w:val="0"/>
                <w:szCs w:val="24"/>
              </w:rPr>
              <w:t>2. Research Background</w:t>
            </w:r>
          </w:p>
        </w:tc>
        <w:tc>
          <w:tcPr>
            <w:tcW w:w="826" w:type="dxa"/>
            <w:tcBorders>
              <w:top w:val="nil"/>
              <w:left w:val="nil"/>
              <w:bottom w:val="nil"/>
              <w:right w:val="nil"/>
            </w:tcBorders>
            <w:shd w:val="clear" w:color="auto" w:fill="auto"/>
            <w:vAlign w:val="center"/>
            <w:hideMark/>
          </w:tcPr>
          <w:p w14:paraId="5DCBD687" w14:textId="0E3E8767" w:rsidR="00366724" w:rsidRPr="00366724" w:rsidRDefault="001926DE" w:rsidP="00AC0D94">
            <w:pPr>
              <w:widowControl/>
              <w:jc w:val="center"/>
              <w:rPr>
                <w:rFonts w:ascii="Times New Roman" w:eastAsia="Times New Roman" w:hAnsi="Times New Roman"/>
                <w:color w:val="000000"/>
                <w:kern w:val="0"/>
                <w:szCs w:val="24"/>
              </w:rPr>
            </w:pPr>
            <w:r>
              <w:rPr>
                <w:rFonts w:ascii="Times New Roman" w:eastAsia="Times New Roman" w:hAnsi="Times New Roman"/>
                <w:color w:val="000000"/>
                <w:kern w:val="0"/>
                <w:szCs w:val="24"/>
              </w:rPr>
              <w:t>2</w:t>
            </w:r>
          </w:p>
        </w:tc>
      </w:tr>
      <w:tr w:rsidR="00366724" w:rsidRPr="00366724" w14:paraId="36619088" w14:textId="77777777" w:rsidTr="00444DDA">
        <w:trPr>
          <w:trHeight w:val="310"/>
        </w:trPr>
        <w:tc>
          <w:tcPr>
            <w:tcW w:w="960" w:type="dxa"/>
            <w:tcBorders>
              <w:top w:val="nil"/>
              <w:left w:val="nil"/>
              <w:bottom w:val="nil"/>
              <w:right w:val="nil"/>
            </w:tcBorders>
            <w:shd w:val="clear" w:color="auto" w:fill="auto"/>
            <w:vAlign w:val="center"/>
            <w:hideMark/>
          </w:tcPr>
          <w:p w14:paraId="2C7E8AE7" w14:textId="77777777" w:rsidR="00366724" w:rsidRPr="00366724" w:rsidRDefault="00366724" w:rsidP="00AC0D94">
            <w:pPr>
              <w:widowControl/>
              <w:jc w:val="center"/>
              <w:rPr>
                <w:rFonts w:ascii="Times New Roman" w:eastAsia="Times New Roman" w:hAnsi="Times New Roman"/>
                <w:color w:val="000000"/>
                <w:kern w:val="0"/>
                <w:szCs w:val="24"/>
              </w:rPr>
            </w:pPr>
          </w:p>
        </w:tc>
        <w:tc>
          <w:tcPr>
            <w:tcW w:w="6720" w:type="dxa"/>
            <w:tcBorders>
              <w:top w:val="nil"/>
              <w:left w:val="nil"/>
              <w:bottom w:val="nil"/>
              <w:right w:val="nil"/>
            </w:tcBorders>
            <w:shd w:val="clear" w:color="auto" w:fill="auto"/>
            <w:vAlign w:val="center"/>
            <w:hideMark/>
          </w:tcPr>
          <w:p w14:paraId="0DA38BD3" w14:textId="77777777" w:rsidR="00366724" w:rsidRPr="00366724" w:rsidRDefault="00366724" w:rsidP="00AC0D94">
            <w:pPr>
              <w:widowControl/>
              <w:jc w:val="both"/>
              <w:rPr>
                <w:rFonts w:ascii="Times New Roman" w:eastAsia="Times New Roman" w:hAnsi="Times New Roman"/>
                <w:color w:val="000000"/>
                <w:kern w:val="0"/>
                <w:szCs w:val="24"/>
              </w:rPr>
            </w:pPr>
            <w:r w:rsidRPr="00366724">
              <w:rPr>
                <w:rFonts w:ascii="Times New Roman" w:eastAsia="Times New Roman" w:hAnsi="Times New Roman"/>
                <w:color w:val="000000"/>
                <w:kern w:val="0"/>
                <w:szCs w:val="24"/>
              </w:rPr>
              <w:t>2.1 Theoretical Basis</w:t>
            </w:r>
          </w:p>
        </w:tc>
        <w:tc>
          <w:tcPr>
            <w:tcW w:w="826" w:type="dxa"/>
            <w:tcBorders>
              <w:top w:val="nil"/>
              <w:left w:val="nil"/>
              <w:bottom w:val="nil"/>
              <w:right w:val="nil"/>
            </w:tcBorders>
            <w:shd w:val="clear" w:color="auto" w:fill="auto"/>
            <w:vAlign w:val="center"/>
            <w:hideMark/>
          </w:tcPr>
          <w:p w14:paraId="5637D134" w14:textId="70E7E343" w:rsidR="00366724" w:rsidRPr="00366724" w:rsidRDefault="001926DE" w:rsidP="00AC0D94">
            <w:pPr>
              <w:widowControl/>
              <w:jc w:val="center"/>
              <w:rPr>
                <w:rFonts w:ascii="Times New Roman" w:eastAsia="Times New Roman" w:hAnsi="Times New Roman"/>
                <w:color w:val="000000"/>
                <w:kern w:val="0"/>
                <w:szCs w:val="24"/>
              </w:rPr>
            </w:pPr>
            <w:r>
              <w:rPr>
                <w:rFonts w:ascii="Times New Roman" w:eastAsia="Times New Roman" w:hAnsi="Times New Roman"/>
                <w:color w:val="000000"/>
                <w:kern w:val="0"/>
                <w:szCs w:val="24"/>
              </w:rPr>
              <w:t>2~</w:t>
            </w:r>
            <w:r w:rsidR="00444DDA">
              <w:rPr>
                <w:rFonts w:ascii="Times New Roman" w:eastAsia="Times New Roman" w:hAnsi="Times New Roman"/>
                <w:color w:val="000000"/>
                <w:kern w:val="0"/>
                <w:szCs w:val="24"/>
              </w:rPr>
              <w:t>3</w:t>
            </w:r>
          </w:p>
        </w:tc>
      </w:tr>
      <w:tr w:rsidR="00366724" w:rsidRPr="00366724" w14:paraId="7A710F75" w14:textId="77777777" w:rsidTr="00444DDA">
        <w:trPr>
          <w:trHeight w:val="1300"/>
        </w:trPr>
        <w:tc>
          <w:tcPr>
            <w:tcW w:w="960" w:type="dxa"/>
            <w:tcBorders>
              <w:top w:val="nil"/>
              <w:left w:val="nil"/>
              <w:bottom w:val="nil"/>
              <w:right w:val="nil"/>
            </w:tcBorders>
            <w:shd w:val="clear" w:color="auto" w:fill="auto"/>
            <w:vAlign w:val="center"/>
            <w:hideMark/>
          </w:tcPr>
          <w:p w14:paraId="57F286AC" w14:textId="77777777" w:rsidR="00366724" w:rsidRPr="00366724" w:rsidRDefault="00366724" w:rsidP="00AC0D94">
            <w:pPr>
              <w:widowControl/>
              <w:jc w:val="center"/>
              <w:rPr>
                <w:rFonts w:ascii="Times New Roman" w:eastAsia="Times New Roman" w:hAnsi="Times New Roman"/>
                <w:color w:val="000000"/>
                <w:kern w:val="0"/>
                <w:szCs w:val="24"/>
              </w:rPr>
            </w:pPr>
          </w:p>
        </w:tc>
        <w:tc>
          <w:tcPr>
            <w:tcW w:w="6720" w:type="dxa"/>
            <w:tcBorders>
              <w:top w:val="nil"/>
              <w:left w:val="nil"/>
              <w:bottom w:val="nil"/>
              <w:right w:val="nil"/>
            </w:tcBorders>
            <w:shd w:val="clear" w:color="auto" w:fill="auto"/>
            <w:vAlign w:val="center"/>
            <w:hideMark/>
          </w:tcPr>
          <w:p w14:paraId="0E256973" w14:textId="77777777" w:rsidR="00366724" w:rsidRPr="00366724" w:rsidRDefault="00366724" w:rsidP="00AC0D94">
            <w:pPr>
              <w:widowControl/>
              <w:jc w:val="both"/>
              <w:rPr>
                <w:rFonts w:ascii="Times New Roman" w:eastAsia="Times New Roman" w:hAnsi="Times New Roman"/>
                <w:color w:val="000000"/>
                <w:kern w:val="0"/>
                <w:szCs w:val="24"/>
              </w:rPr>
            </w:pPr>
            <w:r w:rsidRPr="00366724">
              <w:rPr>
                <w:rFonts w:ascii="Times New Roman" w:eastAsia="Times New Roman" w:hAnsi="Times New Roman"/>
                <w:color w:val="000000"/>
                <w:kern w:val="0"/>
                <w:szCs w:val="24"/>
              </w:rPr>
              <w:t>2.2 Current Performance of Consumer Inflation and Retail Sales in Hong Kong and Thailand</w:t>
            </w:r>
          </w:p>
        </w:tc>
        <w:tc>
          <w:tcPr>
            <w:tcW w:w="826" w:type="dxa"/>
            <w:tcBorders>
              <w:top w:val="nil"/>
              <w:left w:val="nil"/>
              <w:bottom w:val="nil"/>
              <w:right w:val="nil"/>
            </w:tcBorders>
            <w:shd w:val="clear" w:color="auto" w:fill="auto"/>
            <w:vAlign w:val="center"/>
            <w:hideMark/>
          </w:tcPr>
          <w:p w14:paraId="4C4B2902" w14:textId="32C1980E" w:rsidR="00366724" w:rsidRPr="00366724" w:rsidRDefault="00444DDA" w:rsidP="00AC0D94">
            <w:pPr>
              <w:widowControl/>
              <w:jc w:val="center"/>
              <w:rPr>
                <w:rFonts w:ascii="Times New Roman" w:eastAsia="Times New Roman" w:hAnsi="Times New Roman"/>
                <w:color w:val="000000"/>
                <w:kern w:val="0"/>
                <w:szCs w:val="24"/>
              </w:rPr>
            </w:pPr>
            <w:r>
              <w:rPr>
                <w:rFonts w:ascii="Times New Roman" w:eastAsia="Times New Roman" w:hAnsi="Times New Roman"/>
                <w:color w:val="000000"/>
                <w:kern w:val="0"/>
                <w:szCs w:val="24"/>
              </w:rPr>
              <w:t>3~4</w:t>
            </w:r>
          </w:p>
        </w:tc>
      </w:tr>
      <w:tr w:rsidR="00366724" w:rsidRPr="00366724" w14:paraId="1A1EAA0C" w14:textId="77777777" w:rsidTr="00444DDA">
        <w:trPr>
          <w:trHeight w:val="310"/>
        </w:trPr>
        <w:tc>
          <w:tcPr>
            <w:tcW w:w="960" w:type="dxa"/>
            <w:tcBorders>
              <w:top w:val="nil"/>
              <w:left w:val="nil"/>
              <w:bottom w:val="nil"/>
              <w:right w:val="nil"/>
            </w:tcBorders>
            <w:shd w:val="clear" w:color="auto" w:fill="auto"/>
            <w:vAlign w:val="center"/>
            <w:hideMark/>
          </w:tcPr>
          <w:p w14:paraId="5E6B049F" w14:textId="77777777" w:rsidR="00366724" w:rsidRPr="00366724" w:rsidRDefault="00366724" w:rsidP="00AC0D94">
            <w:pPr>
              <w:widowControl/>
              <w:jc w:val="center"/>
              <w:rPr>
                <w:rFonts w:ascii="Times New Roman" w:eastAsia="Times New Roman" w:hAnsi="Times New Roman"/>
                <w:color w:val="000000"/>
                <w:kern w:val="0"/>
                <w:szCs w:val="24"/>
              </w:rPr>
            </w:pPr>
          </w:p>
        </w:tc>
        <w:tc>
          <w:tcPr>
            <w:tcW w:w="6720" w:type="dxa"/>
            <w:tcBorders>
              <w:top w:val="nil"/>
              <w:left w:val="nil"/>
              <w:bottom w:val="nil"/>
              <w:right w:val="nil"/>
            </w:tcBorders>
            <w:shd w:val="clear" w:color="auto" w:fill="auto"/>
            <w:vAlign w:val="center"/>
            <w:hideMark/>
          </w:tcPr>
          <w:p w14:paraId="4A9D312F" w14:textId="77777777" w:rsidR="00366724" w:rsidRPr="00366724" w:rsidRDefault="00366724" w:rsidP="00AC0D94">
            <w:pPr>
              <w:widowControl/>
              <w:jc w:val="both"/>
              <w:rPr>
                <w:rFonts w:ascii="Times New Roman" w:eastAsia="Times New Roman" w:hAnsi="Times New Roman"/>
                <w:color w:val="000000"/>
                <w:kern w:val="0"/>
                <w:szCs w:val="24"/>
              </w:rPr>
            </w:pPr>
            <w:r w:rsidRPr="00366724">
              <w:rPr>
                <w:rFonts w:ascii="Times New Roman" w:eastAsia="Times New Roman" w:hAnsi="Times New Roman"/>
                <w:color w:val="000000"/>
                <w:kern w:val="0"/>
                <w:szCs w:val="24"/>
              </w:rPr>
              <w:t>2.3 Dataset</w:t>
            </w:r>
          </w:p>
        </w:tc>
        <w:tc>
          <w:tcPr>
            <w:tcW w:w="826" w:type="dxa"/>
            <w:tcBorders>
              <w:top w:val="nil"/>
              <w:left w:val="nil"/>
              <w:bottom w:val="nil"/>
              <w:right w:val="nil"/>
            </w:tcBorders>
            <w:shd w:val="clear" w:color="auto" w:fill="auto"/>
            <w:vAlign w:val="center"/>
            <w:hideMark/>
          </w:tcPr>
          <w:p w14:paraId="0B74C7B9" w14:textId="3908A007" w:rsidR="00366724" w:rsidRPr="00366724" w:rsidRDefault="00444DDA" w:rsidP="00AC0D94">
            <w:pPr>
              <w:widowControl/>
              <w:jc w:val="center"/>
              <w:rPr>
                <w:rFonts w:ascii="Times New Roman" w:eastAsia="Times New Roman" w:hAnsi="Times New Roman"/>
                <w:color w:val="000000"/>
                <w:kern w:val="0"/>
                <w:szCs w:val="24"/>
              </w:rPr>
            </w:pPr>
            <w:r>
              <w:rPr>
                <w:rFonts w:ascii="Times New Roman" w:eastAsia="Times New Roman" w:hAnsi="Times New Roman"/>
                <w:color w:val="000000"/>
                <w:kern w:val="0"/>
                <w:szCs w:val="24"/>
              </w:rPr>
              <w:t>5~6</w:t>
            </w:r>
          </w:p>
        </w:tc>
      </w:tr>
      <w:tr w:rsidR="00366724" w:rsidRPr="00366724" w14:paraId="1943851E" w14:textId="77777777" w:rsidTr="00444DDA">
        <w:trPr>
          <w:trHeight w:val="310"/>
        </w:trPr>
        <w:tc>
          <w:tcPr>
            <w:tcW w:w="7680" w:type="dxa"/>
            <w:gridSpan w:val="2"/>
            <w:tcBorders>
              <w:top w:val="nil"/>
              <w:left w:val="nil"/>
              <w:bottom w:val="nil"/>
              <w:right w:val="nil"/>
            </w:tcBorders>
            <w:shd w:val="clear" w:color="auto" w:fill="auto"/>
            <w:vAlign w:val="center"/>
            <w:hideMark/>
          </w:tcPr>
          <w:p w14:paraId="256E5DC9" w14:textId="77777777" w:rsidR="00366724" w:rsidRPr="00366724" w:rsidRDefault="00366724" w:rsidP="00AC0D94">
            <w:pPr>
              <w:widowControl/>
              <w:jc w:val="both"/>
              <w:rPr>
                <w:rFonts w:ascii="Times New Roman" w:eastAsia="Times New Roman" w:hAnsi="Times New Roman"/>
                <w:color w:val="000000"/>
                <w:kern w:val="0"/>
                <w:szCs w:val="24"/>
              </w:rPr>
            </w:pPr>
            <w:r w:rsidRPr="00366724">
              <w:rPr>
                <w:rFonts w:ascii="Times New Roman" w:eastAsia="Times New Roman" w:hAnsi="Times New Roman"/>
                <w:color w:val="000000"/>
                <w:kern w:val="0"/>
                <w:szCs w:val="24"/>
              </w:rPr>
              <w:t>3. Analysis and Discussion</w:t>
            </w:r>
          </w:p>
        </w:tc>
        <w:tc>
          <w:tcPr>
            <w:tcW w:w="826" w:type="dxa"/>
            <w:tcBorders>
              <w:top w:val="nil"/>
              <w:left w:val="nil"/>
              <w:bottom w:val="nil"/>
              <w:right w:val="nil"/>
            </w:tcBorders>
            <w:shd w:val="clear" w:color="auto" w:fill="auto"/>
            <w:vAlign w:val="center"/>
            <w:hideMark/>
          </w:tcPr>
          <w:p w14:paraId="1610B02E" w14:textId="4B1CAD99" w:rsidR="00366724" w:rsidRPr="00366724" w:rsidRDefault="00FB2505" w:rsidP="00AC0D94">
            <w:pPr>
              <w:widowControl/>
              <w:jc w:val="center"/>
              <w:rPr>
                <w:rFonts w:ascii="Times New Roman" w:eastAsia="Times New Roman" w:hAnsi="Times New Roman"/>
                <w:color w:val="000000"/>
                <w:kern w:val="0"/>
                <w:szCs w:val="24"/>
              </w:rPr>
            </w:pPr>
            <w:r>
              <w:rPr>
                <w:rFonts w:ascii="Times New Roman" w:eastAsia="Times New Roman" w:hAnsi="Times New Roman"/>
                <w:color w:val="000000"/>
                <w:kern w:val="0"/>
                <w:szCs w:val="24"/>
              </w:rPr>
              <w:t>8</w:t>
            </w:r>
          </w:p>
        </w:tc>
      </w:tr>
      <w:tr w:rsidR="00366724" w:rsidRPr="00366724" w14:paraId="7A7F4FC1" w14:textId="77777777" w:rsidTr="00444DDA">
        <w:trPr>
          <w:trHeight w:val="310"/>
        </w:trPr>
        <w:tc>
          <w:tcPr>
            <w:tcW w:w="960" w:type="dxa"/>
            <w:tcBorders>
              <w:top w:val="nil"/>
              <w:left w:val="nil"/>
              <w:bottom w:val="nil"/>
              <w:right w:val="nil"/>
            </w:tcBorders>
            <w:shd w:val="clear" w:color="auto" w:fill="auto"/>
            <w:vAlign w:val="center"/>
            <w:hideMark/>
          </w:tcPr>
          <w:p w14:paraId="4E569069" w14:textId="77777777" w:rsidR="00366724" w:rsidRPr="00366724" w:rsidRDefault="00366724" w:rsidP="00AC0D94">
            <w:pPr>
              <w:widowControl/>
              <w:jc w:val="center"/>
              <w:rPr>
                <w:rFonts w:ascii="Times New Roman" w:eastAsia="Times New Roman" w:hAnsi="Times New Roman"/>
                <w:color w:val="000000"/>
                <w:kern w:val="0"/>
                <w:szCs w:val="24"/>
              </w:rPr>
            </w:pPr>
          </w:p>
        </w:tc>
        <w:tc>
          <w:tcPr>
            <w:tcW w:w="6720" w:type="dxa"/>
            <w:tcBorders>
              <w:top w:val="nil"/>
              <w:left w:val="nil"/>
              <w:bottom w:val="nil"/>
              <w:right w:val="nil"/>
            </w:tcBorders>
            <w:shd w:val="clear" w:color="auto" w:fill="auto"/>
            <w:vAlign w:val="center"/>
            <w:hideMark/>
          </w:tcPr>
          <w:p w14:paraId="69EEF50B" w14:textId="43E909EC" w:rsidR="00366724" w:rsidRPr="00366724" w:rsidRDefault="00366724" w:rsidP="00AC0D94">
            <w:pPr>
              <w:widowControl/>
              <w:jc w:val="both"/>
              <w:rPr>
                <w:rFonts w:ascii="Times New Roman" w:eastAsia="Times New Roman" w:hAnsi="Times New Roman"/>
                <w:color w:val="000000"/>
                <w:kern w:val="0"/>
                <w:szCs w:val="24"/>
              </w:rPr>
            </w:pPr>
            <w:r w:rsidRPr="00366724">
              <w:rPr>
                <w:rFonts w:ascii="Times New Roman" w:eastAsia="Times New Roman" w:hAnsi="Times New Roman"/>
                <w:color w:val="000000"/>
                <w:kern w:val="0"/>
                <w:szCs w:val="24"/>
              </w:rPr>
              <w:t xml:space="preserve">3.1 Trends in Hong Kong and Thailand: An Overview </w:t>
            </w:r>
          </w:p>
        </w:tc>
        <w:tc>
          <w:tcPr>
            <w:tcW w:w="826" w:type="dxa"/>
            <w:tcBorders>
              <w:top w:val="nil"/>
              <w:left w:val="nil"/>
              <w:bottom w:val="nil"/>
              <w:right w:val="nil"/>
            </w:tcBorders>
            <w:shd w:val="clear" w:color="auto" w:fill="auto"/>
            <w:vAlign w:val="center"/>
            <w:hideMark/>
          </w:tcPr>
          <w:p w14:paraId="0F3B8C3A" w14:textId="3C96285C" w:rsidR="00366724" w:rsidRPr="00366724" w:rsidRDefault="00FB2505" w:rsidP="00AC0D94">
            <w:pPr>
              <w:widowControl/>
              <w:jc w:val="center"/>
              <w:rPr>
                <w:rFonts w:ascii="Times New Roman" w:eastAsia="Times New Roman" w:hAnsi="Times New Roman"/>
                <w:color w:val="000000"/>
                <w:kern w:val="0"/>
                <w:szCs w:val="24"/>
              </w:rPr>
            </w:pPr>
            <w:r>
              <w:rPr>
                <w:rFonts w:ascii="Times New Roman" w:eastAsia="Times New Roman" w:hAnsi="Times New Roman"/>
                <w:color w:val="000000"/>
                <w:kern w:val="0"/>
                <w:szCs w:val="24"/>
              </w:rPr>
              <w:t>8~10</w:t>
            </w:r>
          </w:p>
        </w:tc>
      </w:tr>
      <w:tr w:rsidR="00366724" w:rsidRPr="00366724" w14:paraId="7C819241" w14:textId="77777777" w:rsidTr="00444DDA">
        <w:trPr>
          <w:trHeight w:val="310"/>
        </w:trPr>
        <w:tc>
          <w:tcPr>
            <w:tcW w:w="960" w:type="dxa"/>
            <w:tcBorders>
              <w:top w:val="nil"/>
              <w:left w:val="nil"/>
              <w:bottom w:val="nil"/>
              <w:right w:val="nil"/>
            </w:tcBorders>
            <w:shd w:val="clear" w:color="auto" w:fill="auto"/>
            <w:vAlign w:val="center"/>
            <w:hideMark/>
          </w:tcPr>
          <w:p w14:paraId="01239248" w14:textId="77777777" w:rsidR="00366724" w:rsidRPr="00366724" w:rsidRDefault="00366724" w:rsidP="00AC0D94">
            <w:pPr>
              <w:widowControl/>
              <w:jc w:val="center"/>
              <w:rPr>
                <w:rFonts w:ascii="Times New Roman" w:eastAsia="Times New Roman" w:hAnsi="Times New Roman"/>
                <w:color w:val="000000"/>
                <w:kern w:val="0"/>
                <w:szCs w:val="24"/>
              </w:rPr>
            </w:pPr>
          </w:p>
        </w:tc>
        <w:tc>
          <w:tcPr>
            <w:tcW w:w="6720" w:type="dxa"/>
            <w:tcBorders>
              <w:top w:val="nil"/>
              <w:left w:val="nil"/>
              <w:bottom w:val="nil"/>
              <w:right w:val="nil"/>
            </w:tcBorders>
            <w:shd w:val="clear" w:color="auto" w:fill="auto"/>
            <w:vAlign w:val="center"/>
            <w:hideMark/>
          </w:tcPr>
          <w:p w14:paraId="4CAF8EAD" w14:textId="3AB84AB1" w:rsidR="00366724" w:rsidRPr="00366724" w:rsidRDefault="00366724" w:rsidP="00AC0D94">
            <w:pPr>
              <w:widowControl/>
              <w:jc w:val="both"/>
              <w:rPr>
                <w:rFonts w:ascii="Times New Roman" w:eastAsia="Times New Roman" w:hAnsi="Times New Roman"/>
                <w:color w:val="000000"/>
                <w:kern w:val="0"/>
                <w:szCs w:val="24"/>
              </w:rPr>
            </w:pPr>
            <w:r w:rsidRPr="00366724">
              <w:rPr>
                <w:rFonts w:ascii="Times New Roman" w:eastAsia="Times New Roman" w:hAnsi="Times New Roman"/>
                <w:color w:val="000000"/>
                <w:kern w:val="0"/>
                <w:szCs w:val="24"/>
              </w:rPr>
              <w:t xml:space="preserve">3.2 Comparative Analysis of Inflation and Retail Sales </w:t>
            </w:r>
          </w:p>
        </w:tc>
        <w:tc>
          <w:tcPr>
            <w:tcW w:w="826" w:type="dxa"/>
            <w:tcBorders>
              <w:top w:val="nil"/>
              <w:left w:val="nil"/>
              <w:bottom w:val="nil"/>
              <w:right w:val="nil"/>
            </w:tcBorders>
            <w:shd w:val="clear" w:color="auto" w:fill="auto"/>
            <w:vAlign w:val="center"/>
            <w:hideMark/>
          </w:tcPr>
          <w:p w14:paraId="0601575F" w14:textId="7B41C747" w:rsidR="00366724" w:rsidRPr="00366724" w:rsidRDefault="00405182" w:rsidP="00AC0D94">
            <w:pPr>
              <w:widowControl/>
              <w:jc w:val="center"/>
              <w:rPr>
                <w:rFonts w:ascii="Times New Roman" w:eastAsia="Times New Roman" w:hAnsi="Times New Roman"/>
                <w:color w:val="000000"/>
                <w:kern w:val="0"/>
                <w:szCs w:val="24"/>
              </w:rPr>
            </w:pPr>
            <w:r>
              <w:rPr>
                <w:rFonts w:ascii="Times New Roman" w:eastAsia="Times New Roman" w:hAnsi="Times New Roman"/>
                <w:color w:val="000000"/>
                <w:kern w:val="0"/>
                <w:szCs w:val="24"/>
              </w:rPr>
              <w:t>10~13</w:t>
            </w:r>
          </w:p>
        </w:tc>
      </w:tr>
      <w:tr w:rsidR="00366724" w:rsidRPr="00366724" w14:paraId="6C5A96EE" w14:textId="77777777" w:rsidTr="00444DDA">
        <w:trPr>
          <w:trHeight w:val="310"/>
        </w:trPr>
        <w:tc>
          <w:tcPr>
            <w:tcW w:w="960" w:type="dxa"/>
            <w:tcBorders>
              <w:top w:val="nil"/>
              <w:left w:val="nil"/>
              <w:bottom w:val="nil"/>
              <w:right w:val="nil"/>
            </w:tcBorders>
            <w:shd w:val="clear" w:color="auto" w:fill="auto"/>
            <w:vAlign w:val="center"/>
            <w:hideMark/>
          </w:tcPr>
          <w:p w14:paraId="11D4B10A" w14:textId="77777777" w:rsidR="00366724" w:rsidRPr="00366724" w:rsidRDefault="00366724" w:rsidP="00AC0D94">
            <w:pPr>
              <w:widowControl/>
              <w:jc w:val="center"/>
              <w:rPr>
                <w:rFonts w:ascii="Times New Roman" w:eastAsia="Times New Roman" w:hAnsi="Times New Roman"/>
                <w:color w:val="000000"/>
                <w:kern w:val="0"/>
                <w:szCs w:val="24"/>
              </w:rPr>
            </w:pPr>
          </w:p>
        </w:tc>
        <w:tc>
          <w:tcPr>
            <w:tcW w:w="6720" w:type="dxa"/>
            <w:tcBorders>
              <w:top w:val="nil"/>
              <w:left w:val="nil"/>
              <w:bottom w:val="nil"/>
              <w:right w:val="nil"/>
            </w:tcBorders>
            <w:shd w:val="clear" w:color="auto" w:fill="auto"/>
            <w:vAlign w:val="center"/>
            <w:hideMark/>
          </w:tcPr>
          <w:p w14:paraId="279895FD" w14:textId="0356F0D2" w:rsidR="00366724" w:rsidRPr="00366724" w:rsidRDefault="00366724" w:rsidP="00AC0D94">
            <w:pPr>
              <w:widowControl/>
              <w:jc w:val="both"/>
              <w:rPr>
                <w:rFonts w:ascii="Times New Roman" w:eastAsia="Times New Roman" w:hAnsi="Times New Roman"/>
                <w:color w:val="000000"/>
                <w:kern w:val="0"/>
                <w:szCs w:val="24"/>
              </w:rPr>
            </w:pPr>
            <w:r w:rsidRPr="00366724">
              <w:rPr>
                <w:rFonts w:ascii="Times New Roman" w:eastAsia="Times New Roman" w:hAnsi="Times New Roman"/>
                <w:color w:val="000000"/>
                <w:kern w:val="0"/>
                <w:szCs w:val="24"/>
              </w:rPr>
              <w:t>3</w:t>
            </w:r>
            <w:r w:rsidR="008565BA">
              <w:rPr>
                <w:rFonts w:ascii="Times New Roman" w:eastAsia="Times New Roman" w:hAnsi="Times New Roman"/>
                <w:color w:val="000000"/>
                <w:kern w:val="0"/>
                <w:szCs w:val="24"/>
              </w:rPr>
              <w:t>.3</w:t>
            </w:r>
            <w:r w:rsidRPr="00366724">
              <w:rPr>
                <w:rFonts w:ascii="Times New Roman" w:eastAsia="Times New Roman" w:hAnsi="Times New Roman"/>
                <w:color w:val="000000"/>
                <w:kern w:val="0"/>
                <w:szCs w:val="24"/>
              </w:rPr>
              <w:t xml:space="preserve"> </w:t>
            </w:r>
            <w:r w:rsidR="003448E2">
              <w:rPr>
                <w:rFonts w:ascii="Times New Roman" w:eastAsia="Times New Roman" w:hAnsi="Times New Roman"/>
                <w:color w:val="000000"/>
                <w:kern w:val="0"/>
                <w:szCs w:val="24"/>
              </w:rPr>
              <w:t>Implications for the company</w:t>
            </w:r>
          </w:p>
        </w:tc>
        <w:tc>
          <w:tcPr>
            <w:tcW w:w="826" w:type="dxa"/>
            <w:tcBorders>
              <w:top w:val="nil"/>
              <w:left w:val="nil"/>
              <w:bottom w:val="nil"/>
              <w:right w:val="nil"/>
            </w:tcBorders>
            <w:shd w:val="clear" w:color="auto" w:fill="auto"/>
            <w:vAlign w:val="center"/>
            <w:hideMark/>
          </w:tcPr>
          <w:p w14:paraId="23BEDE15" w14:textId="2E960F8D" w:rsidR="00366724" w:rsidRPr="00366724" w:rsidRDefault="00405182" w:rsidP="00AC0D94">
            <w:pPr>
              <w:widowControl/>
              <w:jc w:val="center"/>
              <w:rPr>
                <w:rFonts w:ascii="Times New Roman" w:eastAsia="Times New Roman" w:hAnsi="Times New Roman"/>
                <w:color w:val="000000"/>
                <w:kern w:val="0"/>
                <w:szCs w:val="24"/>
              </w:rPr>
            </w:pPr>
            <w:r>
              <w:rPr>
                <w:rFonts w:ascii="Times New Roman" w:eastAsia="Times New Roman" w:hAnsi="Times New Roman"/>
                <w:color w:val="000000"/>
                <w:kern w:val="0"/>
                <w:szCs w:val="24"/>
              </w:rPr>
              <w:t>13~</w:t>
            </w:r>
            <w:r w:rsidR="00C5491C">
              <w:rPr>
                <w:rFonts w:ascii="Times New Roman" w:eastAsia="Times New Roman" w:hAnsi="Times New Roman"/>
                <w:color w:val="000000"/>
                <w:kern w:val="0"/>
                <w:szCs w:val="24"/>
              </w:rPr>
              <w:t>16</w:t>
            </w:r>
          </w:p>
        </w:tc>
      </w:tr>
      <w:tr w:rsidR="00366724" w:rsidRPr="00366724" w14:paraId="34057815" w14:textId="77777777" w:rsidTr="00444DDA">
        <w:trPr>
          <w:trHeight w:val="310"/>
        </w:trPr>
        <w:tc>
          <w:tcPr>
            <w:tcW w:w="960" w:type="dxa"/>
            <w:tcBorders>
              <w:top w:val="nil"/>
              <w:left w:val="nil"/>
              <w:bottom w:val="nil"/>
              <w:right w:val="nil"/>
            </w:tcBorders>
            <w:shd w:val="clear" w:color="auto" w:fill="auto"/>
            <w:vAlign w:val="center"/>
            <w:hideMark/>
          </w:tcPr>
          <w:p w14:paraId="6A5D175A" w14:textId="77777777" w:rsidR="00366724" w:rsidRPr="00366724" w:rsidRDefault="00366724" w:rsidP="00AC0D94">
            <w:pPr>
              <w:widowControl/>
              <w:jc w:val="center"/>
              <w:rPr>
                <w:rFonts w:ascii="Times New Roman" w:eastAsia="Times New Roman" w:hAnsi="Times New Roman"/>
                <w:color w:val="000000"/>
                <w:kern w:val="0"/>
                <w:szCs w:val="24"/>
              </w:rPr>
            </w:pPr>
          </w:p>
        </w:tc>
        <w:tc>
          <w:tcPr>
            <w:tcW w:w="6720" w:type="dxa"/>
            <w:tcBorders>
              <w:top w:val="nil"/>
              <w:left w:val="nil"/>
              <w:bottom w:val="nil"/>
              <w:right w:val="nil"/>
            </w:tcBorders>
            <w:shd w:val="clear" w:color="auto" w:fill="auto"/>
            <w:vAlign w:val="center"/>
            <w:hideMark/>
          </w:tcPr>
          <w:p w14:paraId="1055D14F" w14:textId="0A67CF3B" w:rsidR="00366724" w:rsidRPr="00366724" w:rsidRDefault="00366724" w:rsidP="00AC0D94">
            <w:pPr>
              <w:widowControl/>
              <w:jc w:val="both"/>
              <w:rPr>
                <w:rFonts w:ascii="Times New Roman" w:eastAsia="Times New Roman" w:hAnsi="Times New Roman"/>
                <w:color w:val="000000"/>
                <w:kern w:val="0"/>
                <w:szCs w:val="24"/>
              </w:rPr>
            </w:pPr>
            <w:r w:rsidRPr="00366724">
              <w:rPr>
                <w:rFonts w:ascii="Times New Roman" w:eastAsia="Times New Roman" w:hAnsi="Times New Roman"/>
                <w:color w:val="000000"/>
                <w:kern w:val="0"/>
                <w:szCs w:val="24"/>
              </w:rPr>
              <w:t>3.</w:t>
            </w:r>
            <w:r w:rsidR="00504C19">
              <w:rPr>
                <w:rFonts w:ascii="Times New Roman" w:eastAsia="Times New Roman" w:hAnsi="Times New Roman"/>
                <w:color w:val="000000"/>
                <w:kern w:val="0"/>
                <w:szCs w:val="24"/>
              </w:rPr>
              <w:t>4</w:t>
            </w:r>
            <w:r w:rsidRPr="00366724">
              <w:rPr>
                <w:rFonts w:ascii="Times New Roman" w:eastAsia="Times New Roman" w:hAnsi="Times New Roman"/>
                <w:color w:val="000000"/>
                <w:kern w:val="0"/>
                <w:szCs w:val="24"/>
              </w:rPr>
              <w:t xml:space="preserve"> </w:t>
            </w:r>
            <w:r w:rsidR="00504C19">
              <w:rPr>
                <w:rFonts w:ascii="Times New Roman" w:eastAsia="Times New Roman" w:hAnsi="Times New Roman"/>
                <w:color w:val="000000"/>
                <w:kern w:val="0"/>
                <w:szCs w:val="24"/>
              </w:rPr>
              <w:t>Corre</w:t>
            </w:r>
            <w:r w:rsidR="00C65DE0">
              <w:rPr>
                <w:rFonts w:ascii="Times New Roman" w:eastAsia="Times New Roman" w:hAnsi="Times New Roman"/>
                <w:color w:val="000000"/>
                <w:kern w:val="0"/>
                <w:szCs w:val="24"/>
              </w:rPr>
              <w:t>lation Analysis</w:t>
            </w:r>
          </w:p>
        </w:tc>
        <w:tc>
          <w:tcPr>
            <w:tcW w:w="826" w:type="dxa"/>
            <w:tcBorders>
              <w:top w:val="nil"/>
              <w:left w:val="nil"/>
              <w:bottom w:val="nil"/>
              <w:right w:val="nil"/>
            </w:tcBorders>
            <w:shd w:val="clear" w:color="auto" w:fill="auto"/>
            <w:vAlign w:val="center"/>
            <w:hideMark/>
          </w:tcPr>
          <w:p w14:paraId="474B6F9B" w14:textId="232BD120" w:rsidR="00366724" w:rsidRPr="00366724" w:rsidRDefault="00C5491C" w:rsidP="00AC0D94">
            <w:pPr>
              <w:widowControl/>
              <w:jc w:val="center"/>
              <w:rPr>
                <w:rFonts w:ascii="Times New Roman" w:eastAsia="Times New Roman" w:hAnsi="Times New Roman"/>
                <w:color w:val="000000"/>
                <w:kern w:val="0"/>
                <w:szCs w:val="24"/>
              </w:rPr>
            </w:pPr>
            <w:r>
              <w:rPr>
                <w:rFonts w:ascii="Times New Roman" w:eastAsia="Times New Roman" w:hAnsi="Times New Roman"/>
                <w:color w:val="000000"/>
                <w:kern w:val="0"/>
                <w:szCs w:val="24"/>
              </w:rPr>
              <w:t>16~21</w:t>
            </w:r>
          </w:p>
        </w:tc>
      </w:tr>
      <w:tr w:rsidR="00366724" w:rsidRPr="00366724" w14:paraId="26FBF01E" w14:textId="77777777" w:rsidTr="00444DDA">
        <w:trPr>
          <w:trHeight w:val="310"/>
        </w:trPr>
        <w:tc>
          <w:tcPr>
            <w:tcW w:w="960" w:type="dxa"/>
            <w:tcBorders>
              <w:top w:val="nil"/>
              <w:left w:val="nil"/>
              <w:bottom w:val="nil"/>
              <w:right w:val="nil"/>
            </w:tcBorders>
            <w:shd w:val="clear" w:color="auto" w:fill="auto"/>
            <w:vAlign w:val="center"/>
          </w:tcPr>
          <w:p w14:paraId="50DC9140" w14:textId="77777777" w:rsidR="00366724" w:rsidRPr="00366724" w:rsidRDefault="00366724" w:rsidP="00AC0D94">
            <w:pPr>
              <w:widowControl/>
              <w:jc w:val="center"/>
              <w:rPr>
                <w:rFonts w:ascii="Times New Roman" w:eastAsia="Times New Roman" w:hAnsi="Times New Roman"/>
                <w:color w:val="000000"/>
                <w:kern w:val="0"/>
                <w:szCs w:val="24"/>
              </w:rPr>
            </w:pPr>
          </w:p>
        </w:tc>
        <w:tc>
          <w:tcPr>
            <w:tcW w:w="6720" w:type="dxa"/>
            <w:tcBorders>
              <w:top w:val="nil"/>
              <w:left w:val="nil"/>
              <w:bottom w:val="nil"/>
              <w:right w:val="nil"/>
            </w:tcBorders>
            <w:shd w:val="clear" w:color="auto" w:fill="auto"/>
            <w:vAlign w:val="center"/>
          </w:tcPr>
          <w:p w14:paraId="38BD1300" w14:textId="59E3B2EC" w:rsidR="00366724" w:rsidRPr="00366724" w:rsidRDefault="00366724" w:rsidP="00AC0D94">
            <w:pPr>
              <w:widowControl/>
              <w:jc w:val="both"/>
              <w:rPr>
                <w:rFonts w:ascii="Times New Roman" w:eastAsia="Times New Roman" w:hAnsi="Times New Roman"/>
                <w:color w:val="000000"/>
                <w:kern w:val="0"/>
                <w:szCs w:val="24"/>
              </w:rPr>
            </w:pPr>
          </w:p>
        </w:tc>
        <w:tc>
          <w:tcPr>
            <w:tcW w:w="826" w:type="dxa"/>
            <w:tcBorders>
              <w:top w:val="nil"/>
              <w:left w:val="nil"/>
              <w:bottom w:val="nil"/>
              <w:right w:val="nil"/>
            </w:tcBorders>
            <w:shd w:val="clear" w:color="auto" w:fill="auto"/>
            <w:vAlign w:val="center"/>
          </w:tcPr>
          <w:p w14:paraId="488EBD2B" w14:textId="58D40C2B" w:rsidR="00366724" w:rsidRPr="00366724" w:rsidRDefault="00366724" w:rsidP="00AC0D94">
            <w:pPr>
              <w:widowControl/>
              <w:jc w:val="center"/>
              <w:rPr>
                <w:rFonts w:ascii="Times New Roman" w:eastAsia="Times New Roman" w:hAnsi="Times New Roman"/>
                <w:color w:val="000000"/>
                <w:kern w:val="0"/>
                <w:szCs w:val="24"/>
              </w:rPr>
            </w:pPr>
          </w:p>
        </w:tc>
      </w:tr>
      <w:tr w:rsidR="00366724" w:rsidRPr="00366724" w14:paraId="360D0625" w14:textId="77777777" w:rsidTr="00444DDA">
        <w:trPr>
          <w:trHeight w:val="520"/>
        </w:trPr>
        <w:tc>
          <w:tcPr>
            <w:tcW w:w="7680" w:type="dxa"/>
            <w:gridSpan w:val="2"/>
            <w:tcBorders>
              <w:top w:val="nil"/>
              <w:left w:val="nil"/>
              <w:bottom w:val="nil"/>
              <w:right w:val="nil"/>
            </w:tcBorders>
            <w:shd w:val="clear" w:color="auto" w:fill="auto"/>
            <w:vAlign w:val="center"/>
            <w:hideMark/>
          </w:tcPr>
          <w:p w14:paraId="2A376C0B" w14:textId="77777777" w:rsidR="00366724" w:rsidRPr="00366724" w:rsidRDefault="00366724" w:rsidP="00AC0D94">
            <w:pPr>
              <w:widowControl/>
              <w:jc w:val="both"/>
              <w:rPr>
                <w:rFonts w:ascii="Times New Roman" w:eastAsia="Times New Roman" w:hAnsi="Times New Roman"/>
                <w:color w:val="000000"/>
                <w:kern w:val="0"/>
                <w:szCs w:val="24"/>
              </w:rPr>
            </w:pPr>
            <w:r w:rsidRPr="00366724">
              <w:rPr>
                <w:rFonts w:ascii="Times New Roman" w:eastAsia="Times New Roman" w:hAnsi="Times New Roman"/>
                <w:color w:val="000000"/>
                <w:kern w:val="0"/>
                <w:szCs w:val="24"/>
              </w:rPr>
              <w:t>4.Conclusion and Recommendations</w:t>
            </w:r>
          </w:p>
        </w:tc>
        <w:tc>
          <w:tcPr>
            <w:tcW w:w="826" w:type="dxa"/>
            <w:tcBorders>
              <w:top w:val="nil"/>
              <w:left w:val="nil"/>
              <w:bottom w:val="nil"/>
              <w:right w:val="nil"/>
            </w:tcBorders>
            <w:shd w:val="clear" w:color="auto" w:fill="auto"/>
            <w:vAlign w:val="center"/>
            <w:hideMark/>
          </w:tcPr>
          <w:p w14:paraId="2B389DDE" w14:textId="3C1C5167" w:rsidR="00366724" w:rsidRPr="00366724" w:rsidRDefault="008A4B3D" w:rsidP="00AC0D94">
            <w:pPr>
              <w:widowControl/>
              <w:jc w:val="center"/>
              <w:rPr>
                <w:rFonts w:ascii="Times New Roman" w:eastAsia="Times New Roman" w:hAnsi="Times New Roman"/>
                <w:color w:val="000000"/>
                <w:kern w:val="0"/>
                <w:szCs w:val="24"/>
              </w:rPr>
            </w:pPr>
            <w:r>
              <w:rPr>
                <w:rFonts w:ascii="Times New Roman" w:eastAsia="Times New Roman" w:hAnsi="Times New Roman"/>
                <w:color w:val="000000"/>
                <w:kern w:val="0"/>
                <w:szCs w:val="24"/>
              </w:rPr>
              <w:t>2</w:t>
            </w:r>
            <w:r w:rsidR="003E5BFC">
              <w:rPr>
                <w:rFonts w:ascii="Times New Roman" w:eastAsia="Times New Roman" w:hAnsi="Times New Roman"/>
                <w:color w:val="000000"/>
                <w:kern w:val="0"/>
                <w:szCs w:val="24"/>
              </w:rPr>
              <w:t>2</w:t>
            </w:r>
            <w:r>
              <w:rPr>
                <w:rFonts w:ascii="Times New Roman" w:eastAsia="Times New Roman" w:hAnsi="Times New Roman"/>
                <w:color w:val="000000"/>
                <w:kern w:val="0"/>
                <w:szCs w:val="24"/>
              </w:rPr>
              <w:t>~2</w:t>
            </w:r>
            <w:r w:rsidR="001C4B23">
              <w:rPr>
                <w:rFonts w:ascii="Times New Roman" w:eastAsia="Times New Roman" w:hAnsi="Times New Roman"/>
                <w:color w:val="000000"/>
                <w:kern w:val="0"/>
                <w:szCs w:val="24"/>
              </w:rPr>
              <w:t>4</w:t>
            </w:r>
          </w:p>
        </w:tc>
      </w:tr>
      <w:tr w:rsidR="00366724" w:rsidRPr="00366724" w14:paraId="6C7E778B" w14:textId="77777777" w:rsidTr="00444DDA">
        <w:trPr>
          <w:trHeight w:val="310"/>
        </w:trPr>
        <w:tc>
          <w:tcPr>
            <w:tcW w:w="960" w:type="dxa"/>
            <w:tcBorders>
              <w:top w:val="nil"/>
              <w:left w:val="nil"/>
              <w:bottom w:val="nil"/>
              <w:right w:val="nil"/>
            </w:tcBorders>
            <w:shd w:val="clear" w:color="auto" w:fill="auto"/>
            <w:vAlign w:val="center"/>
            <w:hideMark/>
          </w:tcPr>
          <w:p w14:paraId="2CB191A2" w14:textId="77777777" w:rsidR="00366724" w:rsidRPr="00366724" w:rsidRDefault="00366724" w:rsidP="00AC0D94">
            <w:pPr>
              <w:widowControl/>
              <w:jc w:val="center"/>
              <w:rPr>
                <w:rFonts w:ascii="Times New Roman" w:eastAsia="Times New Roman" w:hAnsi="Times New Roman"/>
                <w:color w:val="000000"/>
                <w:kern w:val="0"/>
                <w:szCs w:val="24"/>
              </w:rPr>
            </w:pPr>
          </w:p>
        </w:tc>
        <w:tc>
          <w:tcPr>
            <w:tcW w:w="6720" w:type="dxa"/>
            <w:tcBorders>
              <w:top w:val="nil"/>
              <w:left w:val="nil"/>
              <w:bottom w:val="nil"/>
              <w:right w:val="nil"/>
            </w:tcBorders>
            <w:shd w:val="clear" w:color="auto" w:fill="auto"/>
            <w:vAlign w:val="center"/>
            <w:hideMark/>
          </w:tcPr>
          <w:p w14:paraId="332CC5AD" w14:textId="2472C6FD" w:rsidR="00366724" w:rsidRPr="00366724" w:rsidRDefault="00366724" w:rsidP="00AC0D94">
            <w:pPr>
              <w:widowControl/>
              <w:jc w:val="both"/>
              <w:rPr>
                <w:rFonts w:ascii="Times New Roman" w:eastAsia="Times New Roman" w:hAnsi="Times New Roman"/>
                <w:color w:val="000000"/>
                <w:kern w:val="0"/>
                <w:szCs w:val="24"/>
              </w:rPr>
            </w:pPr>
            <w:r w:rsidRPr="00366724">
              <w:rPr>
                <w:rFonts w:ascii="Times New Roman" w:eastAsia="Times New Roman" w:hAnsi="Times New Roman"/>
                <w:color w:val="000000"/>
                <w:kern w:val="0"/>
                <w:szCs w:val="24"/>
              </w:rPr>
              <w:t>4.1 Conclusion</w:t>
            </w:r>
          </w:p>
        </w:tc>
        <w:tc>
          <w:tcPr>
            <w:tcW w:w="826" w:type="dxa"/>
            <w:tcBorders>
              <w:top w:val="nil"/>
              <w:left w:val="nil"/>
              <w:bottom w:val="nil"/>
              <w:right w:val="nil"/>
            </w:tcBorders>
            <w:shd w:val="clear" w:color="auto" w:fill="auto"/>
            <w:vAlign w:val="center"/>
            <w:hideMark/>
          </w:tcPr>
          <w:p w14:paraId="57A83ECF" w14:textId="2E280B93" w:rsidR="00366724" w:rsidRPr="00366724" w:rsidRDefault="00853106" w:rsidP="00AC0D94">
            <w:pPr>
              <w:widowControl/>
              <w:jc w:val="center"/>
              <w:rPr>
                <w:rFonts w:ascii="Times New Roman" w:eastAsia="Times New Roman" w:hAnsi="Times New Roman"/>
                <w:color w:val="000000"/>
                <w:kern w:val="0"/>
                <w:szCs w:val="24"/>
              </w:rPr>
            </w:pPr>
            <w:r>
              <w:rPr>
                <w:rFonts w:ascii="Times New Roman" w:eastAsia="Times New Roman" w:hAnsi="Times New Roman"/>
                <w:color w:val="000000"/>
                <w:kern w:val="0"/>
                <w:szCs w:val="24"/>
              </w:rPr>
              <w:t>2</w:t>
            </w:r>
            <w:r w:rsidR="003E5BFC">
              <w:rPr>
                <w:rFonts w:ascii="Times New Roman" w:eastAsia="Times New Roman" w:hAnsi="Times New Roman"/>
                <w:color w:val="000000"/>
                <w:kern w:val="0"/>
                <w:szCs w:val="24"/>
              </w:rPr>
              <w:t>2</w:t>
            </w:r>
          </w:p>
        </w:tc>
      </w:tr>
      <w:tr w:rsidR="00853106" w:rsidRPr="00366724" w14:paraId="77E207E4" w14:textId="77777777" w:rsidTr="00444DDA">
        <w:trPr>
          <w:trHeight w:val="310"/>
        </w:trPr>
        <w:tc>
          <w:tcPr>
            <w:tcW w:w="960" w:type="dxa"/>
            <w:tcBorders>
              <w:top w:val="nil"/>
              <w:left w:val="nil"/>
              <w:bottom w:val="nil"/>
              <w:right w:val="nil"/>
            </w:tcBorders>
            <w:shd w:val="clear" w:color="auto" w:fill="auto"/>
            <w:vAlign w:val="center"/>
            <w:hideMark/>
          </w:tcPr>
          <w:p w14:paraId="4ABD025C" w14:textId="77777777" w:rsidR="00853106" w:rsidRPr="00366724" w:rsidRDefault="00853106" w:rsidP="00853106">
            <w:pPr>
              <w:widowControl/>
              <w:jc w:val="center"/>
              <w:rPr>
                <w:rFonts w:ascii="Times New Roman" w:eastAsia="Times New Roman" w:hAnsi="Times New Roman"/>
                <w:color w:val="000000"/>
                <w:kern w:val="0"/>
                <w:szCs w:val="24"/>
              </w:rPr>
            </w:pPr>
          </w:p>
        </w:tc>
        <w:tc>
          <w:tcPr>
            <w:tcW w:w="6720" w:type="dxa"/>
            <w:tcBorders>
              <w:top w:val="nil"/>
              <w:left w:val="nil"/>
              <w:bottom w:val="nil"/>
              <w:right w:val="nil"/>
            </w:tcBorders>
            <w:shd w:val="clear" w:color="auto" w:fill="auto"/>
            <w:vAlign w:val="center"/>
          </w:tcPr>
          <w:p w14:paraId="50106ECB" w14:textId="24E3D86B" w:rsidR="00853106" w:rsidRPr="00366724" w:rsidRDefault="00853106" w:rsidP="00853106">
            <w:pPr>
              <w:widowControl/>
              <w:jc w:val="both"/>
              <w:rPr>
                <w:rFonts w:ascii="Times New Roman" w:eastAsia="Times New Roman" w:hAnsi="Times New Roman"/>
                <w:color w:val="000000"/>
                <w:kern w:val="0"/>
                <w:szCs w:val="24"/>
              </w:rPr>
            </w:pPr>
            <w:r w:rsidRPr="00366724">
              <w:rPr>
                <w:rFonts w:ascii="Times New Roman" w:eastAsia="Times New Roman" w:hAnsi="Times New Roman"/>
                <w:color w:val="000000"/>
                <w:kern w:val="0"/>
                <w:szCs w:val="24"/>
              </w:rPr>
              <w:t>4.</w:t>
            </w:r>
            <w:r>
              <w:rPr>
                <w:rFonts w:ascii="Times New Roman" w:eastAsia="Times New Roman" w:hAnsi="Times New Roman"/>
                <w:color w:val="000000"/>
                <w:kern w:val="0"/>
                <w:szCs w:val="24"/>
              </w:rPr>
              <w:t>2</w:t>
            </w:r>
            <w:r w:rsidRPr="00366724">
              <w:rPr>
                <w:rFonts w:ascii="Times New Roman" w:eastAsia="Times New Roman" w:hAnsi="Times New Roman"/>
                <w:color w:val="000000"/>
                <w:kern w:val="0"/>
                <w:szCs w:val="24"/>
              </w:rPr>
              <w:t xml:space="preserve"> </w:t>
            </w:r>
            <w:r w:rsidR="001F4B40">
              <w:rPr>
                <w:rFonts w:ascii="Times New Roman" w:eastAsia="Times New Roman" w:hAnsi="Times New Roman"/>
                <w:color w:val="000000"/>
                <w:kern w:val="0"/>
                <w:szCs w:val="24"/>
              </w:rPr>
              <w:t>Recommendations</w:t>
            </w:r>
          </w:p>
        </w:tc>
        <w:tc>
          <w:tcPr>
            <w:tcW w:w="826" w:type="dxa"/>
            <w:tcBorders>
              <w:top w:val="nil"/>
              <w:left w:val="nil"/>
              <w:bottom w:val="nil"/>
              <w:right w:val="nil"/>
            </w:tcBorders>
            <w:shd w:val="clear" w:color="auto" w:fill="auto"/>
            <w:vAlign w:val="center"/>
          </w:tcPr>
          <w:p w14:paraId="217746C0" w14:textId="6CE1CE6A" w:rsidR="00853106" w:rsidRPr="00366724" w:rsidRDefault="00853106" w:rsidP="00853106">
            <w:pPr>
              <w:widowControl/>
              <w:jc w:val="center"/>
              <w:rPr>
                <w:rFonts w:ascii="Times New Roman" w:eastAsia="Times New Roman" w:hAnsi="Times New Roman"/>
                <w:color w:val="000000"/>
                <w:kern w:val="0"/>
                <w:szCs w:val="24"/>
              </w:rPr>
            </w:pPr>
            <w:r>
              <w:rPr>
                <w:rFonts w:ascii="Times New Roman" w:eastAsia="Times New Roman" w:hAnsi="Times New Roman"/>
                <w:color w:val="000000"/>
                <w:kern w:val="0"/>
                <w:szCs w:val="24"/>
              </w:rPr>
              <w:t>2</w:t>
            </w:r>
            <w:r w:rsidR="003E5BFC">
              <w:rPr>
                <w:rFonts w:ascii="Times New Roman" w:eastAsia="Times New Roman" w:hAnsi="Times New Roman"/>
                <w:color w:val="000000"/>
                <w:kern w:val="0"/>
                <w:szCs w:val="24"/>
              </w:rPr>
              <w:t>3</w:t>
            </w:r>
          </w:p>
        </w:tc>
      </w:tr>
      <w:tr w:rsidR="001F4B40" w:rsidRPr="00366724" w14:paraId="784962C1" w14:textId="77777777" w:rsidTr="00444DDA">
        <w:trPr>
          <w:trHeight w:val="310"/>
        </w:trPr>
        <w:tc>
          <w:tcPr>
            <w:tcW w:w="960" w:type="dxa"/>
            <w:tcBorders>
              <w:top w:val="nil"/>
              <w:left w:val="nil"/>
              <w:bottom w:val="nil"/>
              <w:right w:val="nil"/>
            </w:tcBorders>
            <w:shd w:val="clear" w:color="auto" w:fill="auto"/>
            <w:vAlign w:val="center"/>
          </w:tcPr>
          <w:p w14:paraId="59D523C8" w14:textId="77777777" w:rsidR="001F4B40" w:rsidRPr="00366724" w:rsidRDefault="001F4B40" w:rsidP="00853106">
            <w:pPr>
              <w:widowControl/>
              <w:jc w:val="center"/>
              <w:rPr>
                <w:rFonts w:ascii="Times New Roman" w:eastAsia="Times New Roman" w:hAnsi="Times New Roman"/>
                <w:color w:val="000000"/>
                <w:kern w:val="0"/>
                <w:szCs w:val="24"/>
              </w:rPr>
            </w:pPr>
          </w:p>
        </w:tc>
        <w:tc>
          <w:tcPr>
            <w:tcW w:w="6720" w:type="dxa"/>
            <w:tcBorders>
              <w:top w:val="nil"/>
              <w:left w:val="nil"/>
              <w:bottom w:val="nil"/>
              <w:right w:val="nil"/>
            </w:tcBorders>
            <w:shd w:val="clear" w:color="auto" w:fill="auto"/>
            <w:vAlign w:val="center"/>
          </w:tcPr>
          <w:p w14:paraId="60CAA36B" w14:textId="3277568D" w:rsidR="001F4B40" w:rsidRPr="00366724" w:rsidRDefault="001F4B40" w:rsidP="00853106">
            <w:pPr>
              <w:widowControl/>
              <w:jc w:val="both"/>
              <w:rPr>
                <w:rFonts w:ascii="Times New Roman" w:eastAsia="Times New Roman" w:hAnsi="Times New Roman"/>
                <w:color w:val="000000"/>
                <w:kern w:val="0"/>
                <w:szCs w:val="24"/>
              </w:rPr>
            </w:pPr>
            <w:r>
              <w:rPr>
                <w:rFonts w:ascii="Times New Roman" w:eastAsia="Times New Roman" w:hAnsi="Times New Roman"/>
                <w:color w:val="000000"/>
                <w:kern w:val="0"/>
                <w:szCs w:val="24"/>
              </w:rPr>
              <w:t>4.3 Limita</w:t>
            </w:r>
            <w:r w:rsidR="0045395A">
              <w:rPr>
                <w:rFonts w:ascii="Times New Roman" w:eastAsia="Times New Roman" w:hAnsi="Times New Roman"/>
                <w:color w:val="000000"/>
                <w:kern w:val="0"/>
                <w:szCs w:val="24"/>
              </w:rPr>
              <w:t>tions and Future Research</w:t>
            </w:r>
          </w:p>
        </w:tc>
        <w:tc>
          <w:tcPr>
            <w:tcW w:w="826" w:type="dxa"/>
            <w:tcBorders>
              <w:top w:val="nil"/>
              <w:left w:val="nil"/>
              <w:bottom w:val="nil"/>
              <w:right w:val="nil"/>
            </w:tcBorders>
            <w:shd w:val="clear" w:color="auto" w:fill="auto"/>
            <w:vAlign w:val="center"/>
          </w:tcPr>
          <w:p w14:paraId="58EC3210" w14:textId="1DB0880C" w:rsidR="001F4B40" w:rsidRDefault="0045395A" w:rsidP="00853106">
            <w:pPr>
              <w:widowControl/>
              <w:jc w:val="center"/>
              <w:rPr>
                <w:rFonts w:ascii="Times New Roman" w:eastAsia="Times New Roman" w:hAnsi="Times New Roman"/>
                <w:color w:val="000000"/>
                <w:kern w:val="0"/>
                <w:szCs w:val="24"/>
              </w:rPr>
            </w:pPr>
            <w:r>
              <w:rPr>
                <w:rFonts w:ascii="Times New Roman" w:eastAsia="Times New Roman" w:hAnsi="Times New Roman"/>
                <w:color w:val="000000"/>
                <w:kern w:val="0"/>
                <w:szCs w:val="24"/>
              </w:rPr>
              <w:t>2</w:t>
            </w:r>
            <w:r w:rsidR="003E5BFC">
              <w:rPr>
                <w:rFonts w:ascii="Times New Roman" w:eastAsia="Times New Roman" w:hAnsi="Times New Roman"/>
                <w:color w:val="000000"/>
                <w:kern w:val="0"/>
                <w:szCs w:val="24"/>
              </w:rPr>
              <w:t>4</w:t>
            </w:r>
          </w:p>
        </w:tc>
      </w:tr>
      <w:tr w:rsidR="00853106" w:rsidRPr="00366724" w14:paraId="72BF10E4" w14:textId="77777777" w:rsidTr="00444DDA">
        <w:trPr>
          <w:trHeight w:val="310"/>
        </w:trPr>
        <w:tc>
          <w:tcPr>
            <w:tcW w:w="960" w:type="dxa"/>
            <w:tcBorders>
              <w:top w:val="nil"/>
              <w:left w:val="nil"/>
              <w:bottom w:val="nil"/>
              <w:right w:val="nil"/>
            </w:tcBorders>
            <w:shd w:val="clear" w:color="auto" w:fill="auto"/>
            <w:vAlign w:val="center"/>
            <w:hideMark/>
          </w:tcPr>
          <w:p w14:paraId="53133261" w14:textId="77777777" w:rsidR="00853106" w:rsidRPr="00366724" w:rsidRDefault="00853106" w:rsidP="00853106">
            <w:pPr>
              <w:widowControl/>
              <w:ind w:firstLineChars="300" w:firstLine="720"/>
              <w:rPr>
                <w:rFonts w:ascii="Times New Roman" w:eastAsia="Times New Roman" w:hAnsi="Times New Roman"/>
                <w:color w:val="000000"/>
                <w:kern w:val="0"/>
                <w:szCs w:val="24"/>
              </w:rPr>
            </w:pPr>
          </w:p>
        </w:tc>
        <w:tc>
          <w:tcPr>
            <w:tcW w:w="6720" w:type="dxa"/>
            <w:tcBorders>
              <w:top w:val="nil"/>
              <w:left w:val="nil"/>
              <w:bottom w:val="nil"/>
              <w:right w:val="nil"/>
            </w:tcBorders>
            <w:shd w:val="clear" w:color="auto" w:fill="auto"/>
            <w:vAlign w:val="center"/>
          </w:tcPr>
          <w:p w14:paraId="228095C5" w14:textId="63CF5FE5" w:rsidR="00853106" w:rsidRPr="00366724" w:rsidRDefault="00853106" w:rsidP="00853106">
            <w:pPr>
              <w:widowControl/>
              <w:ind w:firstLineChars="300" w:firstLine="720"/>
              <w:rPr>
                <w:rFonts w:ascii="Times New Roman" w:eastAsia="Times New Roman" w:hAnsi="Times New Roman"/>
                <w:color w:val="000000"/>
                <w:kern w:val="0"/>
                <w:szCs w:val="24"/>
              </w:rPr>
            </w:pPr>
          </w:p>
        </w:tc>
        <w:tc>
          <w:tcPr>
            <w:tcW w:w="826" w:type="dxa"/>
            <w:tcBorders>
              <w:top w:val="nil"/>
              <w:left w:val="nil"/>
              <w:bottom w:val="nil"/>
              <w:right w:val="nil"/>
            </w:tcBorders>
            <w:shd w:val="clear" w:color="auto" w:fill="auto"/>
            <w:vAlign w:val="center"/>
          </w:tcPr>
          <w:p w14:paraId="39FE7AF0" w14:textId="77777777" w:rsidR="00853106" w:rsidRPr="00366724" w:rsidRDefault="00853106" w:rsidP="00853106">
            <w:pPr>
              <w:widowControl/>
              <w:ind w:firstLineChars="300" w:firstLine="720"/>
              <w:rPr>
                <w:rFonts w:ascii="Times New Roman" w:eastAsia="Times New Roman" w:hAnsi="Times New Roman"/>
                <w:color w:val="000000"/>
                <w:kern w:val="0"/>
                <w:szCs w:val="24"/>
              </w:rPr>
            </w:pPr>
          </w:p>
        </w:tc>
      </w:tr>
      <w:tr w:rsidR="00853106" w:rsidRPr="00366724" w14:paraId="7BE791AA" w14:textId="77777777" w:rsidTr="00444DDA">
        <w:trPr>
          <w:trHeight w:val="310"/>
        </w:trPr>
        <w:tc>
          <w:tcPr>
            <w:tcW w:w="7680" w:type="dxa"/>
            <w:gridSpan w:val="2"/>
            <w:tcBorders>
              <w:top w:val="nil"/>
              <w:left w:val="nil"/>
              <w:bottom w:val="nil"/>
              <w:right w:val="nil"/>
            </w:tcBorders>
            <w:shd w:val="clear" w:color="auto" w:fill="auto"/>
            <w:vAlign w:val="center"/>
            <w:hideMark/>
          </w:tcPr>
          <w:p w14:paraId="26F7F483" w14:textId="77777777" w:rsidR="00853106" w:rsidRPr="00366724" w:rsidRDefault="00853106" w:rsidP="00853106">
            <w:pPr>
              <w:widowControl/>
              <w:jc w:val="both"/>
              <w:rPr>
                <w:rFonts w:ascii="Times New Roman" w:eastAsia="Times New Roman" w:hAnsi="Times New Roman"/>
                <w:color w:val="000000"/>
                <w:kern w:val="0"/>
                <w:szCs w:val="24"/>
              </w:rPr>
            </w:pPr>
            <w:r w:rsidRPr="00366724">
              <w:rPr>
                <w:rFonts w:ascii="Times New Roman" w:eastAsia="Times New Roman" w:hAnsi="Times New Roman"/>
                <w:color w:val="000000"/>
                <w:kern w:val="0"/>
                <w:szCs w:val="24"/>
              </w:rPr>
              <w:t>References</w:t>
            </w:r>
          </w:p>
        </w:tc>
        <w:tc>
          <w:tcPr>
            <w:tcW w:w="826" w:type="dxa"/>
            <w:tcBorders>
              <w:top w:val="nil"/>
              <w:left w:val="nil"/>
              <w:bottom w:val="nil"/>
              <w:right w:val="nil"/>
            </w:tcBorders>
            <w:shd w:val="clear" w:color="auto" w:fill="auto"/>
            <w:vAlign w:val="center"/>
            <w:hideMark/>
          </w:tcPr>
          <w:p w14:paraId="116C1ED5" w14:textId="14F4ED33" w:rsidR="00853106" w:rsidRPr="00366724" w:rsidRDefault="003E5BFC" w:rsidP="00853106">
            <w:pPr>
              <w:widowControl/>
              <w:jc w:val="center"/>
              <w:rPr>
                <w:rFonts w:ascii="Times New Roman" w:eastAsia="Times New Roman" w:hAnsi="Times New Roman"/>
                <w:color w:val="000000"/>
                <w:kern w:val="0"/>
                <w:szCs w:val="24"/>
              </w:rPr>
            </w:pPr>
            <w:r>
              <w:rPr>
                <w:rFonts w:ascii="Times New Roman" w:eastAsia="Times New Roman" w:hAnsi="Times New Roman"/>
                <w:color w:val="000000"/>
                <w:kern w:val="0"/>
                <w:szCs w:val="24"/>
              </w:rPr>
              <w:t>25</w:t>
            </w:r>
          </w:p>
        </w:tc>
      </w:tr>
    </w:tbl>
    <w:p w14:paraId="5FF40601" w14:textId="62E114F4" w:rsidR="006841F6" w:rsidRPr="008E3F76" w:rsidRDefault="006841F6" w:rsidP="00AC0D94">
      <w:pPr>
        <w:widowControl/>
        <w:adjustRightInd w:val="0"/>
        <w:snapToGrid w:val="0"/>
        <w:spacing w:line="360" w:lineRule="auto"/>
        <w:jc w:val="both"/>
        <w:rPr>
          <w:rFonts w:ascii="Times New Roman" w:hAnsi="Times New Roman"/>
          <w:szCs w:val="24"/>
        </w:rPr>
      </w:pPr>
    </w:p>
    <w:p w14:paraId="2F972F7A" w14:textId="77777777" w:rsidR="00074B88" w:rsidRPr="008E3F76" w:rsidRDefault="00074B88" w:rsidP="00AC0D94">
      <w:pPr>
        <w:widowControl/>
        <w:adjustRightInd w:val="0"/>
        <w:snapToGrid w:val="0"/>
        <w:spacing w:line="360" w:lineRule="auto"/>
        <w:jc w:val="both"/>
        <w:rPr>
          <w:rFonts w:ascii="Times New Roman" w:hAnsi="Times New Roman"/>
          <w:szCs w:val="24"/>
        </w:rPr>
      </w:pPr>
    </w:p>
    <w:p w14:paraId="5605305D" w14:textId="77777777" w:rsidR="00074B88" w:rsidRPr="008E3F76" w:rsidRDefault="00074B88" w:rsidP="00AC0D94">
      <w:pPr>
        <w:widowControl/>
        <w:adjustRightInd w:val="0"/>
        <w:snapToGrid w:val="0"/>
        <w:spacing w:line="360" w:lineRule="auto"/>
        <w:jc w:val="both"/>
        <w:rPr>
          <w:rFonts w:ascii="Times New Roman" w:hAnsi="Times New Roman"/>
          <w:szCs w:val="24"/>
        </w:rPr>
      </w:pPr>
    </w:p>
    <w:p w14:paraId="201D3FD8" w14:textId="77777777" w:rsidR="00074B88" w:rsidRPr="008E3F76" w:rsidRDefault="00074B88" w:rsidP="00AC0D94">
      <w:pPr>
        <w:widowControl/>
        <w:adjustRightInd w:val="0"/>
        <w:snapToGrid w:val="0"/>
        <w:spacing w:line="360" w:lineRule="auto"/>
        <w:jc w:val="both"/>
        <w:rPr>
          <w:rFonts w:ascii="Times New Roman" w:hAnsi="Times New Roman"/>
          <w:szCs w:val="24"/>
        </w:rPr>
        <w:sectPr w:rsidR="00074B88" w:rsidRPr="008E3F76" w:rsidSect="005E0786">
          <w:pgSz w:w="11906" w:h="16838"/>
          <w:pgMar w:top="1134" w:right="1418" w:bottom="1134" w:left="1418" w:header="851" w:footer="992" w:gutter="0"/>
          <w:pgNumType w:fmt="lowerRoman" w:start="1"/>
          <w:cols w:space="425"/>
          <w:docGrid w:type="linesAndChars" w:linePitch="360"/>
        </w:sectPr>
      </w:pPr>
    </w:p>
    <w:p w14:paraId="11DD7387" w14:textId="12E33F1F" w:rsidR="00B91315" w:rsidRPr="008E3F76" w:rsidRDefault="00B91315" w:rsidP="00AC0D94">
      <w:pPr>
        <w:widowControl/>
        <w:spacing w:line="360" w:lineRule="auto"/>
        <w:rPr>
          <w:rFonts w:ascii="Times New Roman" w:hAnsi="Times New Roman"/>
          <w:b/>
          <w:bCs/>
          <w:szCs w:val="24"/>
        </w:rPr>
      </w:pPr>
      <w:r w:rsidRPr="008E3F76">
        <w:rPr>
          <w:rFonts w:ascii="Times New Roman" w:hAnsi="Times New Roman"/>
          <w:b/>
          <w:bCs/>
          <w:szCs w:val="24"/>
        </w:rPr>
        <w:lastRenderedPageBreak/>
        <w:t>1. Introduction</w:t>
      </w:r>
    </w:p>
    <w:p w14:paraId="4C20ABB0" w14:textId="77777777" w:rsidR="00E87D56" w:rsidRPr="00E87D56" w:rsidRDefault="00E87D56" w:rsidP="00E87D56">
      <w:pPr>
        <w:adjustRightInd w:val="0"/>
        <w:snapToGrid w:val="0"/>
        <w:spacing w:line="360" w:lineRule="auto"/>
        <w:jc w:val="both"/>
        <w:rPr>
          <w:rFonts w:ascii="Times New Roman" w:hAnsi="Times New Roman"/>
          <w:szCs w:val="24"/>
        </w:rPr>
      </w:pPr>
      <w:r w:rsidRPr="00E87D56">
        <w:rPr>
          <w:rFonts w:ascii="Times New Roman" w:hAnsi="Times New Roman"/>
          <w:szCs w:val="24"/>
        </w:rPr>
        <w:t>This study investigates the impact of global price fluctuations on domestic retail markets through a comparative analysis of consumer inflation patterns in Hong Kong and Thailand. In the post-COVID era, businesses face unprecedented challenges driven by global economic shifts, including volatile consumer demand, inflationary pressures, and supply chain disruptions. For AAA, a historic retail institution in Hong Kong, these global changes have significantly influenced its domestic market performance, necessitating a strategic reevaluation of its operations.</w:t>
      </w:r>
    </w:p>
    <w:p w14:paraId="1C675FF9" w14:textId="77777777" w:rsidR="00E87D56" w:rsidRPr="00E87D56" w:rsidRDefault="00E87D56" w:rsidP="00E87D56">
      <w:pPr>
        <w:adjustRightInd w:val="0"/>
        <w:snapToGrid w:val="0"/>
        <w:spacing w:line="360" w:lineRule="auto"/>
        <w:jc w:val="both"/>
        <w:rPr>
          <w:rFonts w:ascii="Times New Roman" w:hAnsi="Times New Roman"/>
          <w:szCs w:val="24"/>
        </w:rPr>
      </w:pPr>
      <w:r w:rsidRPr="00E87D56">
        <w:rPr>
          <w:rFonts w:ascii="Times New Roman" w:hAnsi="Times New Roman"/>
          <w:szCs w:val="24"/>
        </w:rPr>
        <w:t>The study seeks to achieve three key objectives:</w:t>
      </w:r>
    </w:p>
    <w:p w14:paraId="44D98F8D" w14:textId="77777777" w:rsidR="00E87D56" w:rsidRPr="00E87D56" w:rsidRDefault="00E87D56" w:rsidP="00E87D56">
      <w:pPr>
        <w:numPr>
          <w:ilvl w:val="0"/>
          <w:numId w:val="32"/>
        </w:numPr>
        <w:adjustRightInd w:val="0"/>
        <w:snapToGrid w:val="0"/>
        <w:spacing w:line="360" w:lineRule="auto"/>
        <w:jc w:val="both"/>
        <w:rPr>
          <w:rFonts w:ascii="Times New Roman" w:hAnsi="Times New Roman"/>
          <w:szCs w:val="24"/>
        </w:rPr>
      </w:pPr>
      <w:r w:rsidRPr="00E87D56">
        <w:rPr>
          <w:rFonts w:ascii="Times New Roman" w:hAnsi="Times New Roman"/>
          <w:szCs w:val="24"/>
        </w:rPr>
        <w:t>To establish an empirical relationship between consumer inflation rates and retail sales in Hong Kong, focusing on how global economic trends influence domestic market dynamics.</w:t>
      </w:r>
    </w:p>
    <w:p w14:paraId="6964E19F" w14:textId="77777777" w:rsidR="00E87D56" w:rsidRPr="00E87D56" w:rsidRDefault="00E87D56" w:rsidP="00E87D56">
      <w:pPr>
        <w:numPr>
          <w:ilvl w:val="0"/>
          <w:numId w:val="32"/>
        </w:numPr>
        <w:adjustRightInd w:val="0"/>
        <w:snapToGrid w:val="0"/>
        <w:spacing w:line="360" w:lineRule="auto"/>
        <w:jc w:val="both"/>
        <w:rPr>
          <w:rFonts w:ascii="Times New Roman" w:hAnsi="Times New Roman"/>
          <w:szCs w:val="24"/>
        </w:rPr>
      </w:pPr>
      <w:r w:rsidRPr="00E87D56">
        <w:rPr>
          <w:rFonts w:ascii="Times New Roman" w:hAnsi="Times New Roman"/>
          <w:szCs w:val="24"/>
        </w:rPr>
        <w:t>To analyze the impact of Thailand’s inflation trends on Hong Kong’s retail market, identifying opportunities for cross-border investment driven by global economic interconnectedness.</w:t>
      </w:r>
    </w:p>
    <w:p w14:paraId="5E3082F3" w14:textId="77777777" w:rsidR="00E87D56" w:rsidRPr="00E87D56" w:rsidRDefault="00E87D56" w:rsidP="00E87D56">
      <w:pPr>
        <w:numPr>
          <w:ilvl w:val="0"/>
          <w:numId w:val="32"/>
        </w:numPr>
        <w:adjustRightInd w:val="0"/>
        <w:snapToGrid w:val="0"/>
        <w:spacing w:line="360" w:lineRule="auto"/>
        <w:jc w:val="both"/>
        <w:rPr>
          <w:rFonts w:ascii="Times New Roman" w:hAnsi="Times New Roman"/>
          <w:szCs w:val="24"/>
        </w:rPr>
      </w:pPr>
      <w:r w:rsidRPr="00E87D56">
        <w:rPr>
          <w:rFonts w:ascii="Times New Roman" w:hAnsi="Times New Roman"/>
          <w:szCs w:val="24"/>
        </w:rPr>
        <w:t>To formulate strategic recommendations for AAA to leverage disparities in inflation patterns and consumer behavior between Hong Kong and Thailand, enabling the company to navigate global economic volatility and enhance profitability.</w:t>
      </w:r>
    </w:p>
    <w:p w14:paraId="061C9D97" w14:textId="77777777" w:rsidR="00E87D56" w:rsidRPr="00E87D56" w:rsidRDefault="00E87D56" w:rsidP="00E87D56">
      <w:pPr>
        <w:adjustRightInd w:val="0"/>
        <w:snapToGrid w:val="0"/>
        <w:spacing w:line="360" w:lineRule="auto"/>
        <w:jc w:val="both"/>
        <w:rPr>
          <w:rFonts w:ascii="Times New Roman" w:hAnsi="Times New Roman"/>
          <w:szCs w:val="24"/>
        </w:rPr>
      </w:pPr>
      <w:r w:rsidRPr="00E87D56">
        <w:rPr>
          <w:rFonts w:ascii="Times New Roman" w:hAnsi="Times New Roman"/>
          <w:szCs w:val="24"/>
        </w:rPr>
        <w:t>AAA’s recent financial performance underscores the urgency of this research. According to the company’s interim reports (AAA Company International Limited, 2022, 2024), the Group reported a loss of HK$106.4 million attributable to shareholders in 2022, reflecting the challenges of economic recovery in the wake of the COVID-19 pandemic. The pandemic disrupted global supply chains, accelerated the shift to e-commerce, and transformed consumer purchasing behaviors, highlighting the need for businesses to adapt to global changes.</w:t>
      </w:r>
    </w:p>
    <w:p w14:paraId="12D66042" w14:textId="77777777" w:rsidR="00E87D56" w:rsidRPr="00E87D56" w:rsidRDefault="00E87D56" w:rsidP="00E87D56">
      <w:pPr>
        <w:adjustRightInd w:val="0"/>
        <w:snapToGrid w:val="0"/>
        <w:spacing w:line="360" w:lineRule="auto"/>
        <w:jc w:val="both"/>
        <w:rPr>
          <w:rFonts w:ascii="Times New Roman" w:hAnsi="Times New Roman"/>
          <w:szCs w:val="24"/>
        </w:rPr>
      </w:pPr>
      <w:r w:rsidRPr="00E87D56">
        <w:rPr>
          <w:rFonts w:ascii="Times New Roman" w:hAnsi="Times New Roman"/>
          <w:szCs w:val="24"/>
        </w:rPr>
        <w:t>In this context, understanding how macroeconomic factors such as inflation influence consumer behavior has become critical. For instance, Hong Kong’s retail market has underperformed amid rising outbound travel and cross-border spending, while Thailand’s retail sector has shown resilience, supported by its growing tourism industry and stable inflation. By exploring these dynamics, AAA can identify pathways to mitigate risks and enhance profitability in the face of global economic shifts.</w:t>
      </w:r>
    </w:p>
    <w:p w14:paraId="45377282" w14:textId="77777777" w:rsidR="00E87D56" w:rsidRPr="00E87D56" w:rsidRDefault="00E87D56" w:rsidP="00E87D56">
      <w:pPr>
        <w:adjustRightInd w:val="0"/>
        <w:snapToGrid w:val="0"/>
        <w:spacing w:line="360" w:lineRule="auto"/>
        <w:jc w:val="both"/>
        <w:rPr>
          <w:rFonts w:ascii="Times New Roman" w:hAnsi="Times New Roman"/>
          <w:szCs w:val="24"/>
        </w:rPr>
      </w:pPr>
      <w:r w:rsidRPr="00E87D56">
        <w:rPr>
          <w:rFonts w:ascii="Times New Roman" w:hAnsi="Times New Roman"/>
          <w:szCs w:val="24"/>
        </w:rPr>
        <w:t xml:space="preserve">The motivation for this research stems from AAA’s need to adapt to global challenges and identify growth opportunities in a rapidly evolving retail landscape. The study posits that AAA can capitalize on the economic disparities between Hong Kong and Thailand by leveraging Thailand’s lower production costs, stable inflation, and booming tourism sector—factors driven by global economic trends. For example, the company could explore options such as importing goods from Thailand or </w:t>
      </w:r>
      <w:r w:rsidRPr="00E87D56">
        <w:rPr>
          <w:rFonts w:ascii="Times New Roman" w:hAnsi="Times New Roman"/>
          <w:szCs w:val="24"/>
        </w:rPr>
        <w:lastRenderedPageBreak/>
        <w:t>establishing franchise outlets in the country to take advantage of favorable Consumer Price Index (CPI) trends and inflationary variables (AAA Company International Limited, 2022).</w:t>
      </w:r>
    </w:p>
    <w:p w14:paraId="7B30B758" w14:textId="77777777" w:rsidR="00E87D56" w:rsidRPr="00E87D56" w:rsidRDefault="00E87D56" w:rsidP="00E87D56">
      <w:pPr>
        <w:adjustRightInd w:val="0"/>
        <w:snapToGrid w:val="0"/>
        <w:spacing w:line="360" w:lineRule="auto"/>
        <w:jc w:val="both"/>
        <w:rPr>
          <w:rFonts w:ascii="Times New Roman" w:hAnsi="Times New Roman"/>
          <w:szCs w:val="24"/>
        </w:rPr>
      </w:pPr>
      <w:r w:rsidRPr="00E87D56">
        <w:rPr>
          <w:rFonts w:ascii="Times New Roman" w:hAnsi="Times New Roman"/>
          <w:szCs w:val="24"/>
        </w:rPr>
        <w:t>To achieve these objectives, this study employs a mixed-methods approach. A quantitative analysis examines historical data on retail sales, consumer price indices, and trade statistics for Hong Kong and Thailand from 2006 to 2023. This is complemented by a qualitative assessment of consumer behavior and market trends in both regions, drawing on industry reports, market research, and case studies. Together, these methods provide a comprehensive understanding of how global economic factors influence retail sales and consumer behavior, offering a robust foundation for strategic recommendations.</w:t>
      </w:r>
    </w:p>
    <w:p w14:paraId="16F6AE2C" w14:textId="77777777" w:rsidR="00E87D56" w:rsidRDefault="00E87D56" w:rsidP="00E87D56">
      <w:pPr>
        <w:adjustRightInd w:val="0"/>
        <w:snapToGrid w:val="0"/>
        <w:spacing w:line="360" w:lineRule="auto"/>
        <w:jc w:val="both"/>
        <w:rPr>
          <w:rFonts w:ascii="Times New Roman" w:hAnsi="Times New Roman"/>
          <w:szCs w:val="24"/>
        </w:rPr>
      </w:pPr>
      <w:r w:rsidRPr="00E87D56">
        <w:rPr>
          <w:rFonts w:ascii="Times New Roman" w:hAnsi="Times New Roman"/>
          <w:szCs w:val="24"/>
        </w:rPr>
        <w:t>By addressing these critical issues, this research not only contributes to the academic understanding of inflation and retail dynamics but also provides practical insights for AAA to enhance its competitiveness and profitability in the post-COVID era.</w:t>
      </w:r>
    </w:p>
    <w:p w14:paraId="3576E78B" w14:textId="77777777" w:rsidR="00E87D56" w:rsidRPr="00E87D56" w:rsidRDefault="00E87D56" w:rsidP="00E87D56">
      <w:pPr>
        <w:adjustRightInd w:val="0"/>
        <w:snapToGrid w:val="0"/>
        <w:spacing w:line="360" w:lineRule="auto"/>
        <w:jc w:val="both"/>
        <w:rPr>
          <w:rFonts w:ascii="Times New Roman" w:hAnsi="Times New Roman"/>
          <w:szCs w:val="24"/>
        </w:rPr>
      </w:pPr>
    </w:p>
    <w:p w14:paraId="7BA8A89A" w14:textId="77777777" w:rsidR="0022187C" w:rsidRPr="008E3F76" w:rsidRDefault="0022187C"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t>2. Research Background</w:t>
      </w:r>
    </w:p>
    <w:p w14:paraId="2D39D09C" w14:textId="77777777" w:rsidR="00CB1C63" w:rsidRPr="00CB1C63" w:rsidRDefault="00CB1C63" w:rsidP="00CB1C63">
      <w:pPr>
        <w:adjustRightInd w:val="0"/>
        <w:snapToGrid w:val="0"/>
        <w:spacing w:line="360" w:lineRule="auto"/>
        <w:jc w:val="both"/>
        <w:rPr>
          <w:rFonts w:ascii="Times New Roman" w:hAnsi="Times New Roman"/>
          <w:szCs w:val="24"/>
        </w:rPr>
      </w:pPr>
      <w:r w:rsidRPr="00CB1C63">
        <w:rPr>
          <w:rFonts w:ascii="Times New Roman" w:hAnsi="Times New Roman"/>
          <w:szCs w:val="24"/>
        </w:rPr>
        <w:t>This section justifies the selection of consumer inflation as a key metric for comparing the business environments in Hong Kong and Thailand. Thailand, a popular travel destination for Hong Kong residents, offers cultural familiarity and aligned consumer behavior, making it an ideal case for analysis. Hong Kong, a global financial hub, contrasts with Thailand’s developing economy, marked by differing inflation and spending patterns. Studying inflation and retail sales reveals purchasing power, consumer confidence, and market demand, providing insights for AAA’s strategic decisions.</w:t>
      </w:r>
    </w:p>
    <w:p w14:paraId="1E04AA5E" w14:textId="77777777" w:rsidR="00CB1C63" w:rsidRPr="00CB1C63" w:rsidRDefault="00CB1C63" w:rsidP="00CB1C63">
      <w:pPr>
        <w:adjustRightInd w:val="0"/>
        <w:snapToGrid w:val="0"/>
        <w:spacing w:line="360" w:lineRule="auto"/>
        <w:jc w:val="both"/>
        <w:rPr>
          <w:rFonts w:ascii="Times New Roman" w:hAnsi="Times New Roman"/>
          <w:szCs w:val="24"/>
        </w:rPr>
      </w:pPr>
      <w:r w:rsidRPr="00CB1C63">
        <w:rPr>
          <w:rFonts w:ascii="Times New Roman" w:hAnsi="Times New Roman"/>
          <w:szCs w:val="24"/>
        </w:rPr>
        <w:t>The focus on consumer inflation is particularly relevant in the context of global economic changes, such as fluctuating commodity prices, supply chain disruptions, and geopolitical tensions. These global factors directly impact domestic markets, influencing inflation trends and retail sales in both Hong Kong and Thailand. By examining these dynamics, the study aims to provide actionable insights for AAA to navigate global economic volatility and enhance its competitiveness in domestic markets.</w:t>
      </w:r>
    </w:p>
    <w:p w14:paraId="7CBF0960" w14:textId="77777777" w:rsidR="0022187C" w:rsidRPr="008E3F76" w:rsidRDefault="0022187C" w:rsidP="00AC0D94">
      <w:pPr>
        <w:adjustRightInd w:val="0"/>
        <w:snapToGrid w:val="0"/>
        <w:spacing w:line="360" w:lineRule="auto"/>
        <w:jc w:val="both"/>
        <w:rPr>
          <w:rFonts w:ascii="Times New Roman" w:hAnsi="Times New Roman"/>
          <w:b/>
          <w:bCs/>
          <w:szCs w:val="24"/>
        </w:rPr>
      </w:pPr>
    </w:p>
    <w:p w14:paraId="469F43DC" w14:textId="77777777" w:rsidR="00972FC3" w:rsidRPr="008E3F76" w:rsidRDefault="00972FC3"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t>2.1 Theoretical Basis</w:t>
      </w:r>
    </w:p>
    <w:p w14:paraId="74DED5B5" w14:textId="77777777" w:rsidR="00465B4B" w:rsidRPr="00465B4B" w:rsidRDefault="00465B4B" w:rsidP="00465B4B">
      <w:pPr>
        <w:adjustRightInd w:val="0"/>
        <w:snapToGrid w:val="0"/>
        <w:spacing w:line="360" w:lineRule="auto"/>
        <w:jc w:val="both"/>
        <w:rPr>
          <w:rFonts w:ascii="Times New Roman" w:hAnsi="Times New Roman"/>
          <w:szCs w:val="24"/>
        </w:rPr>
      </w:pPr>
      <w:r w:rsidRPr="00465B4B">
        <w:rPr>
          <w:rFonts w:ascii="Times New Roman" w:hAnsi="Times New Roman"/>
          <w:szCs w:val="24"/>
        </w:rPr>
        <w:t xml:space="preserve">The study is grounded in economic theory, which establishes a clear relationship between consumer inflation and retail sales. Consumer inflation, measured by the Consumer Price Index (CPI), reflects changes in the purchasing power of consumers, while retail sales indicate the level of market demand </w:t>
      </w:r>
      <w:r w:rsidRPr="00465B4B">
        <w:rPr>
          <w:rFonts w:ascii="Times New Roman" w:hAnsi="Times New Roman"/>
          <w:szCs w:val="24"/>
        </w:rPr>
        <w:lastRenderedPageBreak/>
        <w:t>for goods and services. According to Keynesian economics, inflation has a direct impact on aggregate demand. Stable inflation encourages consumer spending by maintaining purchasing power and fostering economic confidence, whereas high inflation reduces disposable income and shifts consumer behavior towards essential goods (Mankiw, 2021). This relationship is further explained by the price elasticity of demand, which describes how changes in prices influence the quantity of goods and services demanded (Marshall, 1890). For instance, during periods of low inflation, consumers are more likely to spend on non-essential items, boosting retail growth. Conversely, high inflation may lead to reduced spending on discretionary items, negatively affecting retail sales.</w:t>
      </w:r>
    </w:p>
    <w:p w14:paraId="23B972B9" w14:textId="77777777" w:rsidR="00465B4B" w:rsidRPr="00465B4B" w:rsidRDefault="00465B4B" w:rsidP="00465B4B">
      <w:pPr>
        <w:adjustRightInd w:val="0"/>
        <w:snapToGrid w:val="0"/>
        <w:spacing w:line="360" w:lineRule="auto"/>
        <w:jc w:val="both"/>
        <w:rPr>
          <w:rFonts w:ascii="Times New Roman" w:hAnsi="Times New Roman"/>
          <w:szCs w:val="24"/>
        </w:rPr>
      </w:pPr>
      <w:r w:rsidRPr="00465B4B">
        <w:rPr>
          <w:rFonts w:ascii="Times New Roman" w:hAnsi="Times New Roman"/>
          <w:szCs w:val="24"/>
        </w:rPr>
        <w:t>Price changes in specific product categories, such as food and clothing and footwear, are essential components of inflation analysis. These categories are particularly significant because they represent a substantial portion of household expenditures and are highly sensitive to external factors such as global commodity prices, supply chain disruptions, and shifts in consumer preferences. For example, fluctuations in global food prices can significantly impact domestic inflation, while disruptions in the global supply chain can lead to volatility in clothing and footwear prices. By analyzing price changes in these categories, retailers like AAA can better anticipate market trends, optimize pricing strategies, and enhance their competitive positioning.</w:t>
      </w:r>
    </w:p>
    <w:p w14:paraId="1C72E153" w14:textId="77777777" w:rsidR="00465B4B" w:rsidRPr="00465B4B" w:rsidRDefault="00465B4B" w:rsidP="00465B4B">
      <w:pPr>
        <w:adjustRightInd w:val="0"/>
        <w:snapToGrid w:val="0"/>
        <w:spacing w:line="360" w:lineRule="auto"/>
        <w:jc w:val="both"/>
        <w:rPr>
          <w:rFonts w:ascii="Times New Roman" w:hAnsi="Times New Roman"/>
          <w:szCs w:val="24"/>
        </w:rPr>
      </w:pPr>
      <w:r w:rsidRPr="00465B4B">
        <w:rPr>
          <w:rFonts w:ascii="Times New Roman" w:hAnsi="Times New Roman"/>
          <w:szCs w:val="24"/>
        </w:rPr>
        <w:t>The theoretical relationship between consumer inflation and retail sales within a country is also influenced by external factors such as global economic conditions and government policies. For example, during periods of economic stability, low inflation rates are often accompanied by increased consumer confidence and higher retail sales. However, in times of economic uncertainty, such as during the COVID-19 pandemic, high inflation can erode purchasing power, leading to a decline in retail sales. Additionally, government policies, such as fiscal stimulus or monetary tightening, can either mitigate or exacerbate the impact of inflation on retail sales. For instance, expansionary fiscal policies may boost consumer spending, while contractionary monetary policies may reduce disposable income and curb retail demand.</w:t>
      </w:r>
    </w:p>
    <w:p w14:paraId="7E3AF6E1" w14:textId="77777777" w:rsidR="00465B4B" w:rsidRDefault="00465B4B" w:rsidP="00465B4B">
      <w:pPr>
        <w:adjustRightInd w:val="0"/>
        <w:snapToGrid w:val="0"/>
        <w:spacing w:line="360" w:lineRule="auto"/>
        <w:jc w:val="both"/>
        <w:rPr>
          <w:rFonts w:ascii="Times New Roman" w:hAnsi="Times New Roman"/>
          <w:szCs w:val="24"/>
        </w:rPr>
      </w:pPr>
      <w:r w:rsidRPr="00465B4B">
        <w:rPr>
          <w:rFonts w:ascii="Times New Roman" w:hAnsi="Times New Roman"/>
          <w:szCs w:val="24"/>
        </w:rPr>
        <w:t xml:space="preserve">When considering the impact of one country’s consumer inflation on another country’s retail sales, the relationship becomes more complex and is often mediated by factors such as trade, tourism, and exchange rates. For example, if a country like Thailand experiences low inflation, it may become an attractive destination for tourists and a cost-effective source of imports for other countries, such as Hong Kong. This can positively influence Hong Kong’s retail sales by providing affordable goods and attracting tourists who contribute to local spending. Conversely, high inflation in Thailand could </w:t>
      </w:r>
      <w:r w:rsidRPr="00465B4B">
        <w:rPr>
          <w:rFonts w:ascii="Times New Roman" w:hAnsi="Times New Roman"/>
          <w:szCs w:val="24"/>
        </w:rPr>
        <w:lastRenderedPageBreak/>
        <w:t>lead to higher import costs for Hong Kong, reducing the affordability of Thai products and potentially dampening retail sales. Thus, the interconnectedness of economies through trade and tourism creates a dynamic relationship where inflation in one country can significantly impact retail sales in another.</w:t>
      </w:r>
    </w:p>
    <w:p w14:paraId="2A0C629F" w14:textId="77777777" w:rsidR="00465B4B" w:rsidRPr="00465B4B" w:rsidRDefault="00465B4B" w:rsidP="00465B4B">
      <w:pPr>
        <w:adjustRightInd w:val="0"/>
        <w:snapToGrid w:val="0"/>
        <w:spacing w:line="360" w:lineRule="auto"/>
        <w:jc w:val="both"/>
        <w:rPr>
          <w:rFonts w:ascii="Times New Roman" w:hAnsi="Times New Roman"/>
          <w:szCs w:val="24"/>
        </w:rPr>
      </w:pPr>
    </w:p>
    <w:p w14:paraId="49E7CE93" w14:textId="77777777" w:rsidR="00972FC3" w:rsidRPr="008E3F76" w:rsidRDefault="00972FC3"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t>2.2 Current Performance of Consumer Inflation and Retail Sales in Hong Kong and Thailand</w:t>
      </w:r>
    </w:p>
    <w:p w14:paraId="64EEFCA5" w14:textId="795392DC" w:rsidR="00A772B0" w:rsidRPr="00A772B0" w:rsidRDefault="00A772B0" w:rsidP="00AC0D94">
      <w:pPr>
        <w:adjustRightInd w:val="0"/>
        <w:snapToGrid w:val="0"/>
        <w:spacing w:line="360" w:lineRule="auto"/>
        <w:jc w:val="both"/>
        <w:rPr>
          <w:rFonts w:ascii="Times New Roman" w:hAnsi="Times New Roman"/>
          <w:szCs w:val="24"/>
        </w:rPr>
      </w:pPr>
      <w:r w:rsidRPr="00A772B0">
        <w:rPr>
          <w:rFonts w:ascii="Times New Roman" w:hAnsi="Times New Roman"/>
          <w:szCs w:val="24"/>
        </w:rPr>
        <w:t>Recent data highlights contrasting trends in consumer inflation and retail sales between Hong Kong and Thailand. In Hong Kong, the Consumer Price Index (CPI) averaged 2.5% from 2012 to 2022, with a recent moderation to 1.4% by December 2024 (Trading Economics, 2024). This decline reflects the impact of global economic uncertainties, including the COVID-19 pandemic and geopolitical tensions, which have dampened consumer demand. Despite this, Hong Kong’s retail sector has shown resilience, with periods of strong growth driven by tourism and economic expansion. However, higher inflation rates have often correlated with slower retail sales growth, as seen in 2024, when a 1.4% inflation rate coincided with subdued consumer spending (Trading Economics, 2024). This trend underscores the sensitivity of Hong Kong’s retail market to inflationary pressures and external shocks.</w:t>
      </w:r>
    </w:p>
    <w:p w14:paraId="3F5F4326" w14:textId="77777777" w:rsidR="00A772B0" w:rsidRPr="00A772B0" w:rsidRDefault="00A772B0" w:rsidP="00AC0D94">
      <w:pPr>
        <w:adjustRightInd w:val="0"/>
        <w:snapToGrid w:val="0"/>
        <w:spacing w:line="360" w:lineRule="auto"/>
        <w:jc w:val="both"/>
        <w:rPr>
          <w:rFonts w:ascii="Times New Roman" w:hAnsi="Times New Roman"/>
          <w:szCs w:val="24"/>
        </w:rPr>
      </w:pPr>
      <w:r w:rsidRPr="00A772B0">
        <w:rPr>
          <w:rFonts w:ascii="Times New Roman" w:hAnsi="Times New Roman"/>
          <w:szCs w:val="24"/>
        </w:rPr>
        <w:t>In contrast, Thailand’s CPI has demonstrated greater stability, averaging 2.4% over the same period, supported by diversified economic policies and low unemployment (FocusEconomics, 2024). Thailand’s inflation trends reflect its reliance on tourism and global commodity prices, with occasional deflationary periods (e.g., -0.9% in 2015) and inflation spikes (e.g., 5.9% in 2022). Despite these fluctuations, Thailand’s retail sector has maintained consistent performance, driven by a robust tourism industry and favorable economic conditions. For instance, the country’s tourism-driven economy has helped sustain retail sales even during periods of moderate inflation, as tourists contribute significantly to local spending. This stability makes Thailand an attractive market for retail expansion, particularly for businesses seeking to mitigate risks associated with volatile inflation.</w:t>
      </w:r>
    </w:p>
    <w:p w14:paraId="6274404D" w14:textId="2810E9D4" w:rsidR="006F2BE4" w:rsidRDefault="00A772B0" w:rsidP="00AC0D94">
      <w:pPr>
        <w:adjustRightInd w:val="0"/>
        <w:snapToGrid w:val="0"/>
        <w:spacing w:line="360" w:lineRule="auto"/>
        <w:jc w:val="both"/>
        <w:rPr>
          <w:rFonts w:ascii="Times New Roman" w:hAnsi="Times New Roman"/>
          <w:b/>
          <w:bCs/>
          <w:szCs w:val="24"/>
        </w:rPr>
      </w:pPr>
      <w:r w:rsidRPr="00A772B0">
        <w:rPr>
          <w:rFonts w:ascii="Times New Roman" w:hAnsi="Times New Roman"/>
          <w:szCs w:val="24"/>
        </w:rPr>
        <w:t xml:space="preserve">The differing inflation and retail sales dynamics in Hong Kong and Thailand provide valuable insights for AAA’s market strategies. In Hong Kong, the correlation between higher inflation and slower retail sales growth highlights the need for adaptive pricing strategies and cost management to maintain profitability. Conversely, Thailand’s stable inflation and strong tourism sector present opportunities for AAA to diversify its operations and reduce reliance on Hong Kong’s volatile market. By leveraging Thailand’s lower production costs and favorable retail environment, AAA can enhance its competitiveness and profitability. These trends underscore the importance of analyzing inflation-retail </w:t>
      </w:r>
      <w:r w:rsidRPr="00A772B0">
        <w:rPr>
          <w:rFonts w:ascii="Times New Roman" w:hAnsi="Times New Roman"/>
          <w:szCs w:val="24"/>
        </w:rPr>
        <w:lastRenderedPageBreak/>
        <w:t>sales correlations in both regions to develop actionable strategies for market expansion and risk mitigation.</w:t>
      </w:r>
    </w:p>
    <w:p w14:paraId="3E7647DC" w14:textId="1D540909" w:rsidR="000D4834" w:rsidRPr="000D4834" w:rsidRDefault="000D4834" w:rsidP="00AC0D94">
      <w:pPr>
        <w:adjustRightInd w:val="0"/>
        <w:snapToGrid w:val="0"/>
        <w:spacing w:line="360" w:lineRule="auto"/>
        <w:jc w:val="both"/>
        <w:rPr>
          <w:rFonts w:ascii="Times New Roman" w:hAnsi="Times New Roman"/>
          <w:b/>
          <w:bCs/>
          <w:szCs w:val="24"/>
        </w:rPr>
      </w:pPr>
      <w:r w:rsidRPr="000D4834">
        <w:rPr>
          <w:rFonts w:ascii="Times New Roman" w:hAnsi="Times New Roman"/>
          <w:b/>
          <w:bCs/>
          <w:szCs w:val="24"/>
        </w:rPr>
        <w:t>2.3 Dataset</w:t>
      </w:r>
    </w:p>
    <w:p w14:paraId="2D23707D" w14:textId="77777777" w:rsidR="00704247" w:rsidRPr="00704247" w:rsidRDefault="00704247" w:rsidP="00AC0D94">
      <w:pPr>
        <w:adjustRightInd w:val="0"/>
        <w:snapToGrid w:val="0"/>
        <w:spacing w:line="360" w:lineRule="auto"/>
        <w:jc w:val="both"/>
        <w:rPr>
          <w:rFonts w:ascii="Times New Roman" w:hAnsi="Times New Roman"/>
          <w:b/>
          <w:bCs/>
          <w:szCs w:val="24"/>
        </w:rPr>
      </w:pPr>
      <w:r w:rsidRPr="00704247">
        <w:rPr>
          <w:rFonts w:ascii="Times New Roman" w:hAnsi="Times New Roman"/>
          <w:b/>
          <w:bCs/>
          <w:szCs w:val="24"/>
        </w:rPr>
        <w:t>Table 1: Retail Sales and Consumer Inflation Rates (2005–2023)</w:t>
      </w:r>
    </w:p>
    <w:tbl>
      <w:tblPr>
        <w:tblW w:w="10000" w:type="dxa"/>
        <w:tblLook w:val="04A0" w:firstRow="1" w:lastRow="0" w:firstColumn="1" w:lastColumn="0" w:noHBand="0" w:noVBand="1"/>
      </w:tblPr>
      <w:tblGrid>
        <w:gridCol w:w="960"/>
        <w:gridCol w:w="2260"/>
        <w:gridCol w:w="2260"/>
        <w:gridCol w:w="2260"/>
        <w:gridCol w:w="2260"/>
      </w:tblGrid>
      <w:tr w:rsidR="00762099" w:rsidRPr="00762099" w14:paraId="546D7963" w14:textId="77777777" w:rsidTr="00762099">
        <w:trPr>
          <w:trHeight w:val="300"/>
        </w:trPr>
        <w:tc>
          <w:tcPr>
            <w:tcW w:w="96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435F1FDF"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Year</w:t>
            </w:r>
          </w:p>
        </w:tc>
        <w:tc>
          <w:tcPr>
            <w:tcW w:w="6780" w:type="dxa"/>
            <w:gridSpan w:val="3"/>
            <w:tcBorders>
              <w:top w:val="single" w:sz="8" w:space="0" w:color="auto"/>
              <w:left w:val="nil"/>
              <w:bottom w:val="single" w:sz="8" w:space="0" w:color="auto"/>
              <w:right w:val="single" w:sz="8" w:space="0" w:color="000000"/>
            </w:tcBorders>
            <w:shd w:val="clear" w:color="auto" w:fill="auto"/>
            <w:vAlign w:val="center"/>
            <w:hideMark/>
          </w:tcPr>
          <w:p w14:paraId="335675CB"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Hong Kong</w:t>
            </w:r>
          </w:p>
        </w:tc>
        <w:tc>
          <w:tcPr>
            <w:tcW w:w="2260" w:type="dxa"/>
            <w:tcBorders>
              <w:top w:val="single" w:sz="8" w:space="0" w:color="auto"/>
              <w:left w:val="nil"/>
              <w:bottom w:val="single" w:sz="8" w:space="0" w:color="auto"/>
              <w:right w:val="single" w:sz="8" w:space="0" w:color="auto"/>
            </w:tcBorders>
            <w:shd w:val="clear" w:color="auto" w:fill="auto"/>
            <w:vAlign w:val="center"/>
            <w:hideMark/>
          </w:tcPr>
          <w:p w14:paraId="16F1C70A"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Thailand</w:t>
            </w:r>
          </w:p>
        </w:tc>
      </w:tr>
      <w:tr w:rsidR="00762099" w:rsidRPr="00762099" w14:paraId="59B51916" w14:textId="77777777" w:rsidTr="00762099">
        <w:trPr>
          <w:trHeight w:val="300"/>
        </w:trPr>
        <w:tc>
          <w:tcPr>
            <w:tcW w:w="960" w:type="dxa"/>
            <w:vMerge/>
            <w:tcBorders>
              <w:top w:val="single" w:sz="8" w:space="0" w:color="auto"/>
              <w:left w:val="single" w:sz="8" w:space="0" w:color="auto"/>
              <w:bottom w:val="single" w:sz="8" w:space="0" w:color="000000"/>
              <w:right w:val="single" w:sz="8" w:space="0" w:color="auto"/>
            </w:tcBorders>
            <w:vAlign w:val="center"/>
            <w:hideMark/>
          </w:tcPr>
          <w:p w14:paraId="06D6B1FF" w14:textId="77777777" w:rsidR="00762099" w:rsidRPr="00762099" w:rsidRDefault="00762099" w:rsidP="00AC0D94">
            <w:pPr>
              <w:widowControl/>
              <w:rPr>
                <w:rFonts w:ascii="Times New Roman" w:eastAsia="Times New Roman" w:hAnsi="Times New Roman"/>
                <w:color w:val="000000"/>
                <w:kern w:val="0"/>
                <w:sz w:val="22"/>
              </w:rPr>
            </w:pPr>
          </w:p>
        </w:tc>
        <w:tc>
          <w:tcPr>
            <w:tcW w:w="2260" w:type="dxa"/>
            <w:tcBorders>
              <w:top w:val="nil"/>
              <w:left w:val="nil"/>
              <w:bottom w:val="single" w:sz="8" w:space="0" w:color="auto"/>
              <w:right w:val="single" w:sz="8" w:space="0" w:color="auto"/>
            </w:tcBorders>
            <w:shd w:val="clear" w:color="auto" w:fill="auto"/>
            <w:vAlign w:val="center"/>
            <w:hideMark/>
          </w:tcPr>
          <w:p w14:paraId="75772DBE"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HKVRS (HK$ Million)</w:t>
            </w:r>
          </w:p>
        </w:tc>
        <w:tc>
          <w:tcPr>
            <w:tcW w:w="2260" w:type="dxa"/>
            <w:tcBorders>
              <w:top w:val="nil"/>
              <w:left w:val="nil"/>
              <w:bottom w:val="single" w:sz="8" w:space="0" w:color="auto"/>
              <w:right w:val="single" w:sz="8" w:space="0" w:color="auto"/>
            </w:tcBorders>
            <w:shd w:val="clear" w:color="auto" w:fill="auto"/>
            <w:vAlign w:val="center"/>
            <w:hideMark/>
          </w:tcPr>
          <w:p w14:paraId="7822D55F"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APCHKVRS</w:t>
            </w:r>
          </w:p>
        </w:tc>
        <w:tc>
          <w:tcPr>
            <w:tcW w:w="2260" w:type="dxa"/>
            <w:tcBorders>
              <w:top w:val="nil"/>
              <w:left w:val="nil"/>
              <w:bottom w:val="single" w:sz="8" w:space="0" w:color="auto"/>
              <w:right w:val="single" w:sz="8" w:space="0" w:color="auto"/>
            </w:tcBorders>
            <w:shd w:val="clear" w:color="auto" w:fill="auto"/>
            <w:vAlign w:val="center"/>
            <w:hideMark/>
          </w:tcPr>
          <w:p w14:paraId="6B608762"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APCHKCCPI</w:t>
            </w:r>
          </w:p>
        </w:tc>
        <w:tc>
          <w:tcPr>
            <w:tcW w:w="2260" w:type="dxa"/>
            <w:tcBorders>
              <w:top w:val="nil"/>
              <w:left w:val="nil"/>
              <w:bottom w:val="single" w:sz="8" w:space="0" w:color="auto"/>
              <w:right w:val="single" w:sz="8" w:space="0" w:color="auto"/>
            </w:tcBorders>
            <w:shd w:val="clear" w:color="auto" w:fill="auto"/>
            <w:vAlign w:val="center"/>
            <w:hideMark/>
          </w:tcPr>
          <w:p w14:paraId="7136ADC4"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APCTHCCPI</w:t>
            </w:r>
          </w:p>
        </w:tc>
      </w:tr>
      <w:tr w:rsidR="00762099" w:rsidRPr="00762099" w14:paraId="2AE68CD2"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13903597"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2005</w:t>
            </w:r>
          </w:p>
        </w:tc>
        <w:tc>
          <w:tcPr>
            <w:tcW w:w="2260" w:type="dxa"/>
            <w:tcBorders>
              <w:top w:val="nil"/>
              <w:left w:val="nil"/>
              <w:bottom w:val="single" w:sz="8" w:space="0" w:color="auto"/>
              <w:right w:val="single" w:sz="8" w:space="0" w:color="auto"/>
            </w:tcBorders>
            <w:shd w:val="clear" w:color="auto" w:fill="auto"/>
            <w:noWrap/>
            <w:vAlign w:val="center"/>
            <w:hideMark/>
          </w:tcPr>
          <w:p w14:paraId="1E64981B"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21,072</w:t>
            </w:r>
          </w:p>
        </w:tc>
        <w:tc>
          <w:tcPr>
            <w:tcW w:w="2260" w:type="dxa"/>
            <w:tcBorders>
              <w:top w:val="nil"/>
              <w:left w:val="nil"/>
              <w:bottom w:val="single" w:sz="8" w:space="0" w:color="auto"/>
              <w:right w:val="single" w:sz="8" w:space="0" w:color="auto"/>
            </w:tcBorders>
            <w:shd w:val="clear" w:color="auto" w:fill="auto"/>
            <w:noWrap/>
            <w:vAlign w:val="center"/>
            <w:hideMark/>
          </w:tcPr>
          <w:p w14:paraId="142C0AC5" w14:textId="71082653"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 </w:t>
            </w:r>
            <w:r w:rsidR="00CF1672">
              <w:rPr>
                <w:rFonts w:ascii="Times New Roman" w:eastAsia="Times New Roman" w:hAnsi="Times New Roman"/>
                <w:color w:val="000000"/>
                <w:kern w:val="0"/>
                <w:sz w:val="22"/>
                <w:lang w:val="en-HK"/>
              </w:rPr>
              <w:t>n.a.</w:t>
            </w:r>
          </w:p>
        </w:tc>
        <w:tc>
          <w:tcPr>
            <w:tcW w:w="2260" w:type="dxa"/>
            <w:tcBorders>
              <w:top w:val="nil"/>
              <w:left w:val="nil"/>
              <w:bottom w:val="single" w:sz="8" w:space="0" w:color="auto"/>
              <w:right w:val="single" w:sz="8" w:space="0" w:color="auto"/>
            </w:tcBorders>
            <w:shd w:val="clear" w:color="auto" w:fill="auto"/>
            <w:vAlign w:val="center"/>
            <w:hideMark/>
          </w:tcPr>
          <w:p w14:paraId="78A5DB90"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1.4</w:t>
            </w:r>
          </w:p>
        </w:tc>
        <w:tc>
          <w:tcPr>
            <w:tcW w:w="2260" w:type="dxa"/>
            <w:tcBorders>
              <w:top w:val="nil"/>
              <w:left w:val="nil"/>
              <w:bottom w:val="single" w:sz="8" w:space="0" w:color="auto"/>
              <w:right w:val="single" w:sz="8" w:space="0" w:color="auto"/>
            </w:tcBorders>
            <w:shd w:val="clear" w:color="auto" w:fill="auto"/>
            <w:noWrap/>
            <w:vAlign w:val="center"/>
            <w:hideMark/>
          </w:tcPr>
          <w:p w14:paraId="0DE525C4"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5.7</w:t>
            </w:r>
          </w:p>
        </w:tc>
      </w:tr>
      <w:tr w:rsidR="00762099" w:rsidRPr="00762099" w14:paraId="609CD714"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69B52C1A"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2006</w:t>
            </w:r>
          </w:p>
        </w:tc>
        <w:tc>
          <w:tcPr>
            <w:tcW w:w="2260" w:type="dxa"/>
            <w:tcBorders>
              <w:top w:val="nil"/>
              <w:left w:val="nil"/>
              <w:bottom w:val="single" w:sz="8" w:space="0" w:color="auto"/>
              <w:right w:val="single" w:sz="8" w:space="0" w:color="auto"/>
            </w:tcBorders>
            <w:shd w:val="clear" w:color="auto" w:fill="auto"/>
            <w:noWrap/>
            <w:vAlign w:val="center"/>
            <w:hideMark/>
          </w:tcPr>
          <w:p w14:paraId="6669DD26"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22,770</w:t>
            </w:r>
          </w:p>
        </w:tc>
        <w:tc>
          <w:tcPr>
            <w:tcW w:w="2260" w:type="dxa"/>
            <w:tcBorders>
              <w:top w:val="nil"/>
              <w:left w:val="nil"/>
              <w:bottom w:val="single" w:sz="8" w:space="0" w:color="auto"/>
              <w:right w:val="single" w:sz="8" w:space="0" w:color="auto"/>
            </w:tcBorders>
            <w:shd w:val="clear" w:color="auto" w:fill="auto"/>
            <w:noWrap/>
            <w:vAlign w:val="center"/>
            <w:hideMark/>
          </w:tcPr>
          <w:p w14:paraId="0655F6BD"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8.10%</w:t>
            </w:r>
          </w:p>
        </w:tc>
        <w:tc>
          <w:tcPr>
            <w:tcW w:w="2260" w:type="dxa"/>
            <w:tcBorders>
              <w:top w:val="nil"/>
              <w:left w:val="nil"/>
              <w:bottom w:val="single" w:sz="8" w:space="0" w:color="auto"/>
              <w:right w:val="single" w:sz="8" w:space="0" w:color="auto"/>
            </w:tcBorders>
            <w:shd w:val="clear" w:color="auto" w:fill="auto"/>
            <w:vAlign w:val="center"/>
            <w:hideMark/>
          </w:tcPr>
          <w:p w14:paraId="2AE774C6"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2.2</w:t>
            </w:r>
          </w:p>
        </w:tc>
        <w:tc>
          <w:tcPr>
            <w:tcW w:w="2260" w:type="dxa"/>
            <w:tcBorders>
              <w:top w:val="nil"/>
              <w:left w:val="nil"/>
              <w:bottom w:val="single" w:sz="8" w:space="0" w:color="auto"/>
              <w:right w:val="single" w:sz="8" w:space="0" w:color="auto"/>
            </w:tcBorders>
            <w:shd w:val="clear" w:color="auto" w:fill="auto"/>
            <w:noWrap/>
            <w:vAlign w:val="center"/>
            <w:hideMark/>
          </w:tcPr>
          <w:p w14:paraId="0C7787AE"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3.7</w:t>
            </w:r>
          </w:p>
        </w:tc>
      </w:tr>
      <w:tr w:rsidR="00762099" w:rsidRPr="00762099" w14:paraId="5714DDC1"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7BF4154B"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2007</w:t>
            </w:r>
          </w:p>
        </w:tc>
        <w:tc>
          <w:tcPr>
            <w:tcW w:w="2260" w:type="dxa"/>
            <w:tcBorders>
              <w:top w:val="nil"/>
              <w:left w:val="nil"/>
              <w:bottom w:val="single" w:sz="8" w:space="0" w:color="auto"/>
              <w:right w:val="single" w:sz="8" w:space="0" w:color="auto"/>
            </w:tcBorders>
            <w:shd w:val="clear" w:color="auto" w:fill="auto"/>
            <w:noWrap/>
            <w:vAlign w:val="center"/>
            <w:hideMark/>
          </w:tcPr>
          <w:p w14:paraId="5DE1E830"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25,654</w:t>
            </w:r>
          </w:p>
        </w:tc>
        <w:tc>
          <w:tcPr>
            <w:tcW w:w="2260" w:type="dxa"/>
            <w:tcBorders>
              <w:top w:val="nil"/>
              <w:left w:val="nil"/>
              <w:bottom w:val="single" w:sz="8" w:space="0" w:color="auto"/>
              <w:right w:val="single" w:sz="8" w:space="0" w:color="auto"/>
            </w:tcBorders>
            <w:shd w:val="clear" w:color="auto" w:fill="auto"/>
            <w:noWrap/>
            <w:vAlign w:val="center"/>
            <w:hideMark/>
          </w:tcPr>
          <w:p w14:paraId="3E9562B6"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12.70%</w:t>
            </w:r>
          </w:p>
        </w:tc>
        <w:tc>
          <w:tcPr>
            <w:tcW w:w="2260" w:type="dxa"/>
            <w:tcBorders>
              <w:top w:val="nil"/>
              <w:left w:val="nil"/>
              <w:bottom w:val="single" w:sz="8" w:space="0" w:color="auto"/>
              <w:right w:val="single" w:sz="8" w:space="0" w:color="auto"/>
            </w:tcBorders>
            <w:shd w:val="clear" w:color="auto" w:fill="auto"/>
            <w:vAlign w:val="center"/>
            <w:hideMark/>
          </w:tcPr>
          <w:p w14:paraId="03F8C1D4"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3.8</w:t>
            </w:r>
          </w:p>
        </w:tc>
        <w:tc>
          <w:tcPr>
            <w:tcW w:w="2260" w:type="dxa"/>
            <w:tcBorders>
              <w:top w:val="nil"/>
              <w:left w:val="nil"/>
              <w:bottom w:val="single" w:sz="8" w:space="0" w:color="auto"/>
              <w:right w:val="single" w:sz="8" w:space="0" w:color="auto"/>
            </w:tcBorders>
            <w:shd w:val="clear" w:color="auto" w:fill="auto"/>
            <w:noWrap/>
            <w:vAlign w:val="center"/>
            <w:hideMark/>
          </w:tcPr>
          <w:p w14:paraId="79309018"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w:t>
            </w:r>
          </w:p>
        </w:tc>
      </w:tr>
      <w:tr w:rsidR="00762099" w:rsidRPr="00762099" w14:paraId="2A723618"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568C2AD3"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2008</w:t>
            </w:r>
          </w:p>
        </w:tc>
        <w:tc>
          <w:tcPr>
            <w:tcW w:w="2260" w:type="dxa"/>
            <w:tcBorders>
              <w:top w:val="nil"/>
              <w:left w:val="nil"/>
              <w:bottom w:val="single" w:sz="8" w:space="0" w:color="auto"/>
              <w:right w:val="single" w:sz="8" w:space="0" w:color="auto"/>
            </w:tcBorders>
            <w:shd w:val="clear" w:color="auto" w:fill="auto"/>
            <w:noWrap/>
            <w:vAlign w:val="center"/>
            <w:hideMark/>
          </w:tcPr>
          <w:p w14:paraId="5A53C834"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27,856</w:t>
            </w:r>
          </w:p>
        </w:tc>
        <w:tc>
          <w:tcPr>
            <w:tcW w:w="2260" w:type="dxa"/>
            <w:tcBorders>
              <w:top w:val="nil"/>
              <w:left w:val="nil"/>
              <w:bottom w:val="single" w:sz="8" w:space="0" w:color="auto"/>
              <w:right w:val="single" w:sz="8" w:space="0" w:color="auto"/>
            </w:tcBorders>
            <w:shd w:val="clear" w:color="auto" w:fill="auto"/>
            <w:noWrap/>
            <w:vAlign w:val="center"/>
            <w:hideMark/>
          </w:tcPr>
          <w:p w14:paraId="5B344DC7"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8.60%</w:t>
            </w:r>
          </w:p>
        </w:tc>
        <w:tc>
          <w:tcPr>
            <w:tcW w:w="2260" w:type="dxa"/>
            <w:tcBorders>
              <w:top w:val="nil"/>
              <w:left w:val="nil"/>
              <w:bottom w:val="single" w:sz="8" w:space="0" w:color="auto"/>
              <w:right w:val="single" w:sz="8" w:space="0" w:color="auto"/>
            </w:tcBorders>
            <w:shd w:val="clear" w:color="auto" w:fill="auto"/>
            <w:vAlign w:val="center"/>
            <w:hideMark/>
          </w:tcPr>
          <w:p w14:paraId="0098B1CD"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2.1</w:t>
            </w:r>
          </w:p>
        </w:tc>
        <w:tc>
          <w:tcPr>
            <w:tcW w:w="2260" w:type="dxa"/>
            <w:tcBorders>
              <w:top w:val="nil"/>
              <w:left w:val="nil"/>
              <w:bottom w:val="single" w:sz="8" w:space="0" w:color="auto"/>
              <w:right w:val="single" w:sz="8" w:space="0" w:color="auto"/>
            </w:tcBorders>
            <w:shd w:val="clear" w:color="auto" w:fill="auto"/>
            <w:noWrap/>
            <w:vAlign w:val="center"/>
            <w:hideMark/>
          </w:tcPr>
          <w:p w14:paraId="7CE9A52A"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0.5</w:t>
            </w:r>
          </w:p>
        </w:tc>
      </w:tr>
      <w:tr w:rsidR="00762099" w:rsidRPr="00762099" w14:paraId="49A1E2A3"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7A920311"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2009</w:t>
            </w:r>
          </w:p>
        </w:tc>
        <w:tc>
          <w:tcPr>
            <w:tcW w:w="2260" w:type="dxa"/>
            <w:tcBorders>
              <w:top w:val="nil"/>
              <w:left w:val="nil"/>
              <w:bottom w:val="single" w:sz="8" w:space="0" w:color="auto"/>
              <w:right w:val="single" w:sz="8" w:space="0" w:color="auto"/>
            </w:tcBorders>
            <w:shd w:val="clear" w:color="auto" w:fill="auto"/>
            <w:noWrap/>
            <w:vAlign w:val="center"/>
            <w:hideMark/>
          </w:tcPr>
          <w:p w14:paraId="4E8CA6E6"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28,197</w:t>
            </w:r>
          </w:p>
        </w:tc>
        <w:tc>
          <w:tcPr>
            <w:tcW w:w="2260" w:type="dxa"/>
            <w:tcBorders>
              <w:top w:val="nil"/>
              <w:left w:val="nil"/>
              <w:bottom w:val="single" w:sz="8" w:space="0" w:color="auto"/>
              <w:right w:val="single" w:sz="8" w:space="0" w:color="auto"/>
            </w:tcBorders>
            <w:shd w:val="clear" w:color="auto" w:fill="auto"/>
            <w:noWrap/>
            <w:vAlign w:val="center"/>
            <w:hideMark/>
          </w:tcPr>
          <w:p w14:paraId="04EBABFC"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1.20%</w:t>
            </w:r>
          </w:p>
        </w:tc>
        <w:tc>
          <w:tcPr>
            <w:tcW w:w="2260" w:type="dxa"/>
            <w:tcBorders>
              <w:top w:val="nil"/>
              <w:left w:val="nil"/>
              <w:bottom w:val="single" w:sz="8" w:space="0" w:color="auto"/>
              <w:right w:val="single" w:sz="8" w:space="0" w:color="auto"/>
            </w:tcBorders>
            <w:shd w:val="clear" w:color="auto" w:fill="auto"/>
            <w:vAlign w:val="center"/>
            <w:hideMark/>
          </w:tcPr>
          <w:p w14:paraId="6031A1A3"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1.5</w:t>
            </w:r>
          </w:p>
        </w:tc>
        <w:tc>
          <w:tcPr>
            <w:tcW w:w="2260" w:type="dxa"/>
            <w:tcBorders>
              <w:top w:val="nil"/>
              <w:left w:val="nil"/>
              <w:bottom w:val="single" w:sz="8" w:space="0" w:color="auto"/>
              <w:right w:val="single" w:sz="8" w:space="0" w:color="auto"/>
            </w:tcBorders>
            <w:shd w:val="clear" w:color="auto" w:fill="auto"/>
            <w:noWrap/>
            <w:vAlign w:val="center"/>
            <w:hideMark/>
          </w:tcPr>
          <w:p w14:paraId="6B12C1CE"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3.5</w:t>
            </w:r>
          </w:p>
        </w:tc>
      </w:tr>
      <w:tr w:rsidR="00762099" w:rsidRPr="00762099" w14:paraId="546ABAC0"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62806925"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2010</w:t>
            </w:r>
          </w:p>
        </w:tc>
        <w:tc>
          <w:tcPr>
            <w:tcW w:w="2260" w:type="dxa"/>
            <w:tcBorders>
              <w:top w:val="nil"/>
              <w:left w:val="nil"/>
              <w:bottom w:val="single" w:sz="8" w:space="0" w:color="auto"/>
              <w:right w:val="single" w:sz="8" w:space="0" w:color="auto"/>
            </w:tcBorders>
            <w:shd w:val="clear" w:color="auto" w:fill="auto"/>
            <w:noWrap/>
            <w:vAlign w:val="center"/>
            <w:hideMark/>
          </w:tcPr>
          <w:p w14:paraId="734E99CA"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32,835</w:t>
            </w:r>
          </w:p>
        </w:tc>
        <w:tc>
          <w:tcPr>
            <w:tcW w:w="2260" w:type="dxa"/>
            <w:tcBorders>
              <w:top w:val="nil"/>
              <w:left w:val="nil"/>
              <w:bottom w:val="single" w:sz="8" w:space="0" w:color="auto"/>
              <w:right w:val="single" w:sz="8" w:space="0" w:color="auto"/>
            </w:tcBorders>
            <w:shd w:val="clear" w:color="auto" w:fill="auto"/>
            <w:noWrap/>
            <w:vAlign w:val="center"/>
            <w:hideMark/>
          </w:tcPr>
          <w:p w14:paraId="296EC30F"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16.40%</w:t>
            </w:r>
          </w:p>
        </w:tc>
        <w:tc>
          <w:tcPr>
            <w:tcW w:w="2260" w:type="dxa"/>
            <w:tcBorders>
              <w:top w:val="nil"/>
              <w:left w:val="nil"/>
              <w:bottom w:val="single" w:sz="8" w:space="0" w:color="auto"/>
              <w:right w:val="single" w:sz="8" w:space="0" w:color="auto"/>
            </w:tcBorders>
            <w:shd w:val="clear" w:color="auto" w:fill="auto"/>
            <w:vAlign w:val="center"/>
            <w:hideMark/>
          </w:tcPr>
          <w:p w14:paraId="193DE6DA"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w:t>
            </w:r>
          </w:p>
        </w:tc>
        <w:tc>
          <w:tcPr>
            <w:tcW w:w="2260" w:type="dxa"/>
            <w:tcBorders>
              <w:top w:val="nil"/>
              <w:left w:val="nil"/>
              <w:bottom w:val="single" w:sz="8" w:space="0" w:color="auto"/>
              <w:right w:val="single" w:sz="8" w:space="0" w:color="auto"/>
            </w:tcBorders>
            <w:shd w:val="clear" w:color="auto" w:fill="auto"/>
            <w:noWrap/>
            <w:vAlign w:val="center"/>
            <w:hideMark/>
          </w:tcPr>
          <w:p w14:paraId="76CDE8D9"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3.1</w:t>
            </w:r>
          </w:p>
        </w:tc>
      </w:tr>
      <w:tr w:rsidR="00762099" w:rsidRPr="00762099" w14:paraId="5E96F3A4"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1D8B4393"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2011</w:t>
            </w:r>
          </w:p>
        </w:tc>
        <w:tc>
          <w:tcPr>
            <w:tcW w:w="2260" w:type="dxa"/>
            <w:tcBorders>
              <w:top w:val="nil"/>
              <w:left w:val="nil"/>
              <w:bottom w:val="single" w:sz="8" w:space="0" w:color="auto"/>
              <w:right w:val="single" w:sz="8" w:space="0" w:color="auto"/>
            </w:tcBorders>
            <w:shd w:val="clear" w:color="auto" w:fill="auto"/>
            <w:noWrap/>
            <w:vAlign w:val="center"/>
            <w:hideMark/>
          </w:tcPr>
          <w:p w14:paraId="02AC207E"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39,938</w:t>
            </w:r>
          </w:p>
        </w:tc>
        <w:tc>
          <w:tcPr>
            <w:tcW w:w="2260" w:type="dxa"/>
            <w:tcBorders>
              <w:top w:val="nil"/>
              <w:left w:val="nil"/>
              <w:bottom w:val="single" w:sz="8" w:space="0" w:color="auto"/>
              <w:right w:val="single" w:sz="8" w:space="0" w:color="auto"/>
            </w:tcBorders>
            <w:shd w:val="clear" w:color="auto" w:fill="auto"/>
            <w:noWrap/>
            <w:vAlign w:val="center"/>
            <w:hideMark/>
          </w:tcPr>
          <w:p w14:paraId="20673D32"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21.60%</w:t>
            </w:r>
          </w:p>
        </w:tc>
        <w:tc>
          <w:tcPr>
            <w:tcW w:w="2260" w:type="dxa"/>
            <w:tcBorders>
              <w:top w:val="nil"/>
              <w:left w:val="nil"/>
              <w:bottom w:val="single" w:sz="8" w:space="0" w:color="auto"/>
              <w:right w:val="single" w:sz="8" w:space="0" w:color="auto"/>
            </w:tcBorders>
            <w:shd w:val="clear" w:color="auto" w:fill="auto"/>
            <w:vAlign w:val="center"/>
            <w:hideMark/>
          </w:tcPr>
          <w:p w14:paraId="33A35C37"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5.7</w:t>
            </w:r>
          </w:p>
        </w:tc>
        <w:tc>
          <w:tcPr>
            <w:tcW w:w="2260" w:type="dxa"/>
            <w:tcBorders>
              <w:top w:val="nil"/>
              <w:left w:val="nil"/>
              <w:bottom w:val="single" w:sz="8" w:space="0" w:color="auto"/>
              <w:right w:val="single" w:sz="8" w:space="0" w:color="auto"/>
            </w:tcBorders>
            <w:shd w:val="clear" w:color="auto" w:fill="auto"/>
            <w:noWrap/>
            <w:vAlign w:val="center"/>
            <w:hideMark/>
          </w:tcPr>
          <w:p w14:paraId="1D158B8A"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3.5</w:t>
            </w:r>
          </w:p>
        </w:tc>
      </w:tr>
      <w:tr w:rsidR="00762099" w:rsidRPr="00762099" w14:paraId="1EB05EB7"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600DB17E"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2012</w:t>
            </w:r>
          </w:p>
        </w:tc>
        <w:tc>
          <w:tcPr>
            <w:tcW w:w="2260" w:type="dxa"/>
            <w:tcBorders>
              <w:top w:val="nil"/>
              <w:left w:val="nil"/>
              <w:bottom w:val="single" w:sz="8" w:space="0" w:color="auto"/>
              <w:right w:val="single" w:sz="8" w:space="0" w:color="auto"/>
            </w:tcBorders>
            <w:shd w:val="clear" w:color="auto" w:fill="auto"/>
            <w:noWrap/>
            <w:vAlign w:val="center"/>
            <w:hideMark/>
          </w:tcPr>
          <w:p w14:paraId="085F2397"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43,811</w:t>
            </w:r>
          </w:p>
        </w:tc>
        <w:tc>
          <w:tcPr>
            <w:tcW w:w="2260" w:type="dxa"/>
            <w:tcBorders>
              <w:top w:val="nil"/>
              <w:left w:val="nil"/>
              <w:bottom w:val="single" w:sz="8" w:space="0" w:color="auto"/>
              <w:right w:val="single" w:sz="8" w:space="0" w:color="auto"/>
            </w:tcBorders>
            <w:shd w:val="clear" w:color="auto" w:fill="auto"/>
            <w:noWrap/>
            <w:vAlign w:val="center"/>
            <w:hideMark/>
          </w:tcPr>
          <w:p w14:paraId="44E51226"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9.70%</w:t>
            </w:r>
          </w:p>
        </w:tc>
        <w:tc>
          <w:tcPr>
            <w:tcW w:w="2260" w:type="dxa"/>
            <w:tcBorders>
              <w:top w:val="nil"/>
              <w:left w:val="nil"/>
              <w:bottom w:val="single" w:sz="8" w:space="0" w:color="auto"/>
              <w:right w:val="single" w:sz="8" w:space="0" w:color="auto"/>
            </w:tcBorders>
            <w:shd w:val="clear" w:color="auto" w:fill="auto"/>
            <w:vAlign w:val="center"/>
            <w:hideMark/>
          </w:tcPr>
          <w:p w14:paraId="22F621C9"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3.6</w:t>
            </w:r>
          </w:p>
        </w:tc>
        <w:tc>
          <w:tcPr>
            <w:tcW w:w="2260" w:type="dxa"/>
            <w:tcBorders>
              <w:top w:val="nil"/>
              <w:left w:val="nil"/>
              <w:bottom w:val="single" w:sz="8" w:space="0" w:color="auto"/>
              <w:right w:val="single" w:sz="8" w:space="0" w:color="auto"/>
            </w:tcBorders>
            <w:shd w:val="clear" w:color="auto" w:fill="auto"/>
            <w:noWrap/>
            <w:vAlign w:val="center"/>
            <w:hideMark/>
          </w:tcPr>
          <w:p w14:paraId="577AD7A9"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3.6</w:t>
            </w:r>
          </w:p>
        </w:tc>
      </w:tr>
      <w:tr w:rsidR="00762099" w:rsidRPr="00762099" w14:paraId="7C8454A4"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6F2E50AB"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2013</w:t>
            </w:r>
          </w:p>
        </w:tc>
        <w:tc>
          <w:tcPr>
            <w:tcW w:w="2260" w:type="dxa"/>
            <w:tcBorders>
              <w:top w:val="nil"/>
              <w:left w:val="nil"/>
              <w:bottom w:val="single" w:sz="8" w:space="0" w:color="auto"/>
              <w:right w:val="single" w:sz="8" w:space="0" w:color="auto"/>
            </w:tcBorders>
            <w:shd w:val="clear" w:color="auto" w:fill="auto"/>
            <w:noWrap/>
            <w:vAlign w:val="center"/>
            <w:hideMark/>
          </w:tcPr>
          <w:p w14:paraId="5ED9A72E"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51,586</w:t>
            </w:r>
          </w:p>
        </w:tc>
        <w:tc>
          <w:tcPr>
            <w:tcW w:w="2260" w:type="dxa"/>
            <w:tcBorders>
              <w:top w:val="nil"/>
              <w:left w:val="nil"/>
              <w:bottom w:val="single" w:sz="8" w:space="0" w:color="auto"/>
              <w:right w:val="single" w:sz="8" w:space="0" w:color="auto"/>
            </w:tcBorders>
            <w:shd w:val="clear" w:color="auto" w:fill="auto"/>
            <w:noWrap/>
            <w:vAlign w:val="center"/>
            <w:hideMark/>
          </w:tcPr>
          <w:p w14:paraId="5EEF81AD"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17.70%</w:t>
            </w:r>
          </w:p>
        </w:tc>
        <w:tc>
          <w:tcPr>
            <w:tcW w:w="2260" w:type="dxa"/>
            <w:tcBorders>
              <w:top w:val="nil"/>
              <w:left w:val="nil"/>
              <w:bottom w:val="single" w:sz="8" w:space="0" w:color="auto"/>
              <w:right w:val="single" w:sz="8" w:space="0" w:color="auto"/>
            </w:tcBorders>
            <w:shd w:val="clear" w:color="auto" w:fill="auto"/>
            <w:vAlign w:val="center"/>
            <w:hideMark/>
          </w:tcPr>
          <w:p w14:paraId="254EAE41"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4.3</w:t>
            </w:r>
          </w:p>
        </w:tc>
        <w:tc>
          <w:tcPr>
            <w:tcW w:w="2260" w:type="dxa"/>
            <w:tcBorders>
              <w:top w:val="nil"/>
              <w:left w:val="nil"/>
              <w:bottom w:val="single" w:sz="8" w:space="0" w:color="auto"/>
              <w:right w:val="single" w:sz="8" w:space="0" w:color="auto"/>
            </w:tcBorders>
            <w:shd w:val="clear" w:color="auto" w:fill="auto"/>
            <w:noWrap/>
            <w:vAlign w:val="center"/>
            <w:hideMark/>
          </w:tcPr>
          <w:p w14:paraId="567FB660"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1.7</w:t>
            </w:r>
          </w:p>
        </w:tc>
      </w:tr>
      <w:tr w:rsidR="00762099" w:rsidRPr="00762099" w14:paraId="6BE3EF2D"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7BB01AA0"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2014</w:t>
            </w:r>
          </w:p>
        </w:tc>
        <w:tc>
          <w:tcPr>
            <w:tcW w:w="2260" w:type="dxa"/>
            <w:tcBorders>
              <w:top w:val="nil"/>
              <w:left w:val="nil"/>
              <w:bottom w:val="single" w:sz="8" w:space="0" w:color="auto"/>
              <w:right w:val="single" w:sz="8" w:space="0" w:color="auto"/>
            </w:tcBorders>
            <w:shd w:val="clear" w:color="auto" w:fill="auto"/>
            <w:noWrap/>
            <w:vAlign w:val="center"/>
            <w:hideMark/>
          </w:tcPr>
          <w:p w14:paraId="2DFA607D"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52,273</w:t>
            </w:r>
          </w:p>
        </w:tc>
        <w:tc>
          <w:tcPr>
            <w:tcW w:w="2260" w:type="dxa"/>
            <w:tcBorders>
              <w:top w:val="nil"/>
              <w:left w:val="nil"/>
              <w:bottom w:val="single" w:sz="8" w:space="0" w:color="auto"/>
              <w:right w:val="single" w:sz="8" w:space="0" w:color="auto"/>
            </w:tcBorders>
            <w:shd w:val="clear" w:color="auto" w:fill="auto"/>
            <w:noWrap/>
            <w:vAlign w:val="center"/>
            <w:hideMark/>
          </w:tcPr>
          <w:p w14:paraId="795478B1"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1.30%</w:t>
            </w:r>
          </w:p>
        </w:tc>
        <w:tc>
          <w:tcPr>
            <w:tcW w:w="2260" w:type="dxa"/>
            <w:tcBorders>
              <w:top w:val="nil"/>
              <w:left w:val="nil"/>
              <w:bottom w:val="single" w:sz="8" w:space="0" w:color="auto"/>
              <w:right w:val="single" w:sz="8" w:space="0" w:color="auto"/>
            </w:tcBorders>
            <w:shd w:val="clear" w:color="auto" w:fill="auto"/>
            <w:vAlign w:val="center"/>
            <w:hideMark/>
          </w:tcPr>
          <w:p w14:paraId="38A723F9"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4.9</w:t>
            </w:r>
          </w:p>
        </w:tc>
        <w:tc>
          <w:tcPr>
            <w:tcW w:w="2260" w:type="dxa"/>
            <w:tcBorders>
              <w:top w:val="nil"/>
              <w:left w:val="nil"/>
              <w:bottom w:val="single" w:sz="8" w:space="0" w:color="auto"/>
              <w:right w:val="single" w:sz="8" w:space="0" w:color="auto"/>
            </w:tcBorders>
            <w:shd w:val="clear" w:color="auto" w:fill="auto"/>
            <w:noWrap/>
            <w:vAlign w:val="center"/>
            <w:hideMark/>
          </w:tcPr>
          <w:p w14:paraId="7F1BE317"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0.6</w:t>
            </w:r>
          </w:p>
        </w:tc>
      </w:tr>
      <w:tr w:rsidR="00762099" w:rsidRPr="00762099" w14:paraId="54A5AFFA"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225B7B13"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2015</w:t>
            </w:r>
          </w:p>
        </w:tc>
        <w:tc>
          <w:tcPr>
            <w:tcW w:w="2260" w:type="dxa"/>
            <w:tcBorders>
              <w:top w:val="nil"/>
              <w:left w:val="nil"/>
              <w:bottom w:val="single" w:sz="8" w:space="0" w:color="auto"/>
              <w:right w:val="single" w:sz="8" w:space="0" w:color="auto"/>
            </w:tcBorders>
            <w:shd w:val="clear" w:color="auto" w:fill="auto"/>
            <w:noWrap/>
            <w:vAlign w:val="center"/>
            <w:hideMark/>
          </w:tcPr>
          <w:p w14:paraId="2A8D46C5"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50,123</w:t>
            </w:r>
          </w:p>
        </w:tc>
        <w:tc>
          <w:tcPr>
            <w:tcW w:w="2260" w:type="dxa"/>
            <w:tcBorders>
              <w:top w:val="nil"/>
              <w:left w:val="nil"/>
              <w:bottom w:val="single" w:sz="8" w:space="0" w:color="auto"/>
              <w:right w:val="single" w:sz="8" w:space="0" w:color="auto"/>
            </w:tcBorders>
            <w:shd w:val="clear" w:color="auto" w:fill="auto"/>
            <w:noWrap/>
            <w:vAlign w:val="center"/>
            <w:hideMark/>
          </w:tcPr>
          <w:p w14:paraId="08E0B642"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-4.10%</w:t>
            </w:r>
          </w:p>
        </w:tc>
        <w:tc>
          <w:tcPr>
            <w:tcW w:w="2260" w:type="dxa"/>
            <w:tcBorders>
              <w:top w:val="nil"/>
              <w:left w:val="nil"/>
              <w:bottom w:val="single" w:sz="8" w:space="0" w:color="auto"/>
              <w:right w:val="single" w:sz="8" w:space="0" w:color="auto"/>
            </w:tcBorders>
            <w:shd w:val="clear" w:color="auto" w:fill="auto"/>
            <w:vAlign w:val="center"/>
            <w:hideMark/>
          </w:tcPr>
          <w:p w14:paraId="2FBCA86B"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2.3</w:t>
            </w:r>
          </w:p>
        </w:tc>
        <w:tc>
          <w:tcPr>
            <w:tcW w:w="2260" w:type="dxa"/>
            <w:tcBorders>
              <w:top w:val="nil"/>
              <w:left w:val="nil"/>
              <w:bottom w:val="single" w:sz="8" w:space="0" w:color="auto"/>
              <w:right w:val="single" w:sz="8" w:space="0" w:color="auto"/>
            </w:tcBorders>
            <w:shd w:val="clear" w:color="auto" w:fill="auto"/>
            <w:noWrap/>
            <w:vAlign w:val="center"/>
            <w:hideMark/>
          </w:tcPr>
          <w:p w14:paraId="7395CB50"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-0.9</w:t>
            </w:r>
          </w:p>
        </w:tc>
      </w:tr>
      <w:tr w:rsidR="00762099" w:rsidRPr="00762099" w14:paraId="0E0174DF"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735CE3A8"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2016</w:t>
            </w:r>
          </w:p>
        </w:tc>
        <w:tc>
          <w:tcPr>
            <w:tcW w:w="2260" w:type="dxa"/>
            <w:tcBorders>
              <w:top w:val="nil"/>
              <w:left w:val="nil"/>
              <w:bottom w:val="single" w:sz="8" w:space="0" w:color="auto"/>
              <w:right w:val="single" w:sz="8" w:space="0" w:color="auto"/>
            </w:tcBorders>
            <w:shd w:val="clear" w:color="auto" w:fill="auto"/>
            <w:noWrap/>
            <w:vAlign w:val="center"/>
            <w:hideMark/>
          </w:tcPr>
          <w:p w14:paraId="4D969C11"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47,011</w:t>
            </w:r>
          </w:p>
        </w:tc>
        <w:tc>
          <w:tcPr>
            <w:tcW w:w="2260" w:type="dxa"/>
            <w:tcBorders>
              <w:top w:val="nil"/>
              <w:left w:val="nil"/>
              <w:bottom w:val="single" w:sz="8" w:space="0" w:color="auto"/>
              <w:right w:val="single" w:sz="8" w:space="0" w:color="auto"/>
            </w:tcBorders>
            <w:shd w:val="clear" w:color="auto" w:fill="auto"/>
            <w:noWrap/>
            <w:vAlign w:val="center"/>
            <w:hideMark/>
          </w:tcPr>
          <w:p w14:paraId="25EE11B8"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-6.20%</w:t>
            </w:r>
          </w:p>
        </w:tc>
        <w:tc>
          <w:tcPr>
            <w:tcW w:w="2260" w:type="dxa"/>
            <w:tcBorders>
              <w:top w:val="nil"/>
              <w:left w:val="nil"/>
              <w:bottom w:val="single" w:sz="8" w:space="0" w:color="auto"/>
              <w:right w:val="single" w:sz="8" w:space="0" w:color="auto"/>
            </w:tcBorders>
            <w:shd w:val="clear" w:color="auto" w:fill="auto"/>
            <w:vAlign w:val="center"/>
            <w:hideMark/>
          </w:tcPr>
          <w:p w14:paraId="392A75A5"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1.2</w:t>
            </w:r>
          </w:p>
        </w:tc>
        <w:tc>
          <w:tcPr>
            <w:tcW w:w="2260" w:type="dxa"/>
            <w:tcBorders>
              <w:top w:val="nil"/>
              <w:left w:val="nil"/>
              <w:bottom w:val="single" w:sz="8" w:space="0" w:color="auto"/>
              <w:right w:val="single" w:sz="8" w:space="0" w:color="auto"/>
            </w:tcBorders>
            <w:shd w:val="clear" w:color="auto" w:fill="auto"/>
            <w:noWrap/>
            <w:vAlign w:val="center"/>
            <w:hideMark/>
          </w:tcPr>
          <w:p w14:paraId="2CEFFE74"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1.1</w:t>
            </w:r>
          </w:p>
        </w:tc>
      </w:tr>
      <w:tr w:rsidR="00762099" w:rsidRPr="00762099" w14:paraId="1A15987E"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68ED427C"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2017</w:t>
            </w:r>
          </w:p>
        </w:tc>
        <w:tc>
          <w:tcPr>
            <w:tcW w:w="2260" w:type="dxa"/>
            <w:tcBorders>
              <w:top w:val="nil"/>
              <w:left w:val="nil"/>
              <w:bottom w:val="single" w:sz="8" w:space="0" w:color="auto"/>
              <w:right w:val="single" w:sz="8" w:space="0" w:color="auto"/>
            </w:tcBorders>
            <w:shd w:val="clear" w:color="auto" w:fill="auto"/>
            <w:noWrap/>
            <w:vAlign w:val="center"/>
            <w:hideMark/>
          </w:tcPr>
          <w:p w14:paraId="711C8714"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48,617</w:t>
            </w:r>
          </w:p>
        </w:tc>
        <w:tc>
          <w:tcPr>
            <w:tcW w:w="2260" w:type="dxa"/>
            <w:tcBorders>
              <w:top w:val="nil"/>
              <w:left w:val="nil"/>
              <w:bottom w:val="single" w:sz="8" w:space="0" w:color="auto"/>
              <w:right w:val="single" w:sz="8" w:space="0" w:color="auto"/>
            </w:tcBorders>
            <w:shd w:val="clear" w:color="auto" w:fill="auto"/>
            <w:noWrap/>
            <w:vAlign w:val="center"/>
            <w:hideMark/>
          </w:tcPr>
          <w:p w14:paraId="6E770A04"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3.40%</w:t>
            </w:r>
          </w:p>
        </w:tc>
        <w:tc>
          <w:tcPr>
            <w:tcW w:w="2260" w:type="dxa"/>
            <w:tcBorders>
              <w:top w:val="nil"/>
              <w:left w:val="nil"/>
              <w:bottom w:val="single" w:sz="8" w:space="0" w:color="auto"/>
              <w:right w:val="single" w:sz="8" w:space="0" w:color="auto"/>
            </w:tcBorders>
            <w:shd w:val="clear" w:color="auto" w:fill="auto"/>
            <w:vAlign w:val="center"/>
            <w:hideMark/>
          </w:tcPr>
          <w:p w14:paraId="67C8301D"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1.7</w:t>
            </w:r>
          </w:p>
        </w:tc>
        <w:tc>
          <w:tcPr>
            <w:tcW w:w="2260" w:type="dxa"/>
            <w:tcBorders>
              <w:top w:val="nil"/>
              <w:left w:val="nil"/>
              <w:bottom w:val="single" w:sz="8" w:space="0" w:color="auto"/>
              <w:right w:val="single" w:sz="8" w:space="0" w:color="auto"/>
            </w:tcBorders>
            <w:shd w:val="clear" w:color="auto" w:fill="auto"/>
            <w:noWrap/>
            <w:vAlign w:val="center"/>
            <w:hideMark/>
          </w:tcPr>
          <w:p w14:paraId="05EAC1B3"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0.8</w:t>
            </w:r>
          </w:p>
        </w:tc>
      </w:tr>
      <w:tr w:rsidR="00762099" w:rsidRPr="00762099" w14:paraId="4C29E307"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4987D08C"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2018</w:t>
            </w:r>
          </w:p>
        </w:tc>
        <w:tc>
          <w:tcPr>
            <w:tcW w:w="2260" w:type="dxa"/>
            <w:tcBorders>
              <w:top w:val="nil"/>
              <w:left w:val="nil"/>
              <w:bottom w:val="single" w:sz="8" w:space="0" w:color="auto"/>
              <w:right w:val="single" w:sz="8" w:space="0" w:color="auto"/>
            </w:tcBorders>
            <w:shd w:val="clear" w:color="auto" w:fill="auto"/>
            <w:noWrap/>
            <w:vAlign w:val="center"/>
            <w:hideMark/>
          </w:tcPr>
          <w:p w14:paraId="7A585C3A"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53,257</w:t>
            </w:r>
          </w:p>
        </w:tc>
        <w:tc>
          <w:tcPr>
            <w:tcW w:w="2260" w:type="dxa"/>
            <w:tcBorders>
              <w:top w:val="nil"/>
              <w:left w:val="nil"/>
              <w:bottom w:val="single" w:sz="8" w:space="0" w:color="auto"/>
              <w:right w:val="single" w:sz="8" w:space="0" w:color="auto"/>
            </w:tcBorders>
            <w:shd w:val="clear" w:color="auto" w:fill="auto"/>
            <w:noWrap/>
            <w:vAlign w:val="center"/>
            <w:hideMark/>
          </w:tcPr>
          <w:p w14:paraId="2AD72751"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9.50%</w:t>
            </w:r>
          </w:p>
        </w:tc>
        <w:tc>
          <w:tcPr>
            <w:tcW w:w="2260" w:type="dxa"/>
            <w:tcBorders>
              <w:top w:val="nil"/>
              <w:left w:val="nil"/>
              <w:bottom w:val="single" w:sz="8" w:space="0" w:color="auto"/>
              <w:right w:val="single" w:sz="8" w:space="0" w:color="auto"/>
            </w:tcBorders>
            <w:shd w:val="clear" w:color="auto" w:fill="auto"/>
            <w:vAlign w:val="center"/>
            <w:hideMark/>
          </w:tcPr>
          <w:p w14:paraId="1B0C06D9"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2.5</w:t>
            </w:r>
          </w:p>
        </w:tc>
        <w:tc>
          <w:tcPr>
            <w:tcW w:w="2260" w:type="dxa"/>
            <w:tcBorders>
              <w:top w:val="nil"/>
              <w:left w:val="nil"/>
              <w:bottom w:val="single" w:sz="8" w:space="0" w:color="auto"/>
              <w:right w:val="single" w:sz="8" w:space="0" w:color="auto"/>
            </w:tcBorders>
            <w:shd w:val="clear" w:color="auto" w:fill="auto"/>
            <w:noWrap/>
            <w:vAlign w:val="center"/>
            <w:hideMark/>
          </w:tcPr>
          <w:p w14:paraId="376F840E"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0.4</w:t>
            </w:r>
          </w:p>
        </w:tc>
      </w:tr>
      <w:tr w:rsidR="00762099" w:rsidRPr="00762099" w14:paraId="7FC16D8F"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7DF76A7E"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2019</w:t>
            </w:r>
          </w:p>
        </w:tc>
        <w:tc>
          <w:tcPr>
            <w:tcW w:w="2260" w:type="dxa"/>
            <w:tcBorders>
              <w:top w:val="nil"/>
              <w:left w:val="nil"/>
              <w:bottom w:val="single" w:sz="8" w:space="0" w:color="auto"/>
              <w:right w:val="single" w:sz="8" w:space="0" w:color="auto"/>
            </w:tcBorders>
            <w:shd w:val="clear" w:color="auto" w:fill="auto"/>
            <w:noWrap/>
            <w:vAlign w:val="center"/>
            <w:hideMark/>
          </w:tcPr>
          <w:p w14:paraId="17BD53A5"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46,353</w:t>
            </w:r>
          </w:p>
        </w:tc>
        <w:tc>
          <w:tcPr>
            <w:tcW w:w="2260" w:type="dxa"/>
            <w:tcBorders>
              <w:top w:val="nil"/>
              <w:left w:val="nil"/>
              <w:bottom w:val="single" w:sz="8" w:space="0" w:color="auto"/>
              <w:right w:val="single" w:sz="8" w:space="0" w:color="auto"/>
            </w:tcBorders>
            <w:shd w:val="clear" w:color="auto" w:fill="auto"/>
            <w:noWrap/>
            <w:vAlign w:val="center"/>
            <w:hideMark/>
          </w:tcPr>
          <w:p w14:paraId="553E9BC2"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-13.00%</w:t>
            </w:r>
          </w:p>
        </w:tc>
        <w:tc>
          <w:tcPr>
            <w:tcW w:w="2260" w:type="dxa"/>
            <w:tcBorders>
              <w:top w:val="nil"/>
              <w:left w:val="nil"/>
              <w:bottom w:val="single" w:sz="8" w:space="0" w:color="auto"/>
              <w:right w:val="single" w:sz="8" w:space="0" w:color="auto"/>
            </w:tcBorders>
            <w:shd w:val="clear" w:color="auto" w:fill="auto"/>
            <w:vAlign w:val="center"/>
            <w:hideMark/>
          </w:tcPr>
          <w:p w14:paraId="5DEA51DE"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2.9</w:t>
            </w:r>
          </w:p>
        </w:tc>
        <w:tc>
          <w:tcPr>
            <w:tcW w:w="2260" w:type="dxa"/>
            <w:tcBorders>
              <w:top w:val="nil"/>
              <w:left w:val="nil"/>
              <w:bottom w:val="single" w:sz="8" w:space="0" w:color="auto"/>
              <w:right w:val="single" w:sz="8" w:space="0" w:color="auto"/>
            </w:tcBorders>
            <w:shd w:val="clear" w:color="auto" w:fill="auto"/>
            <w:noWrap/>
            <w:vAlign w:val="center"/>
            <w:hideMark/>
          </w:tcPr>
          <w:p w14:paraId="01539D2D"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0.9</w:t>
            </w:r>
          </w:p>
        </w:tc>
      </w:tr>
      <w:tr w:rsidR="00762099" w:rsidRPr="00762099" w14:paraId="3953E8E1"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3A94F937"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2020</w:t>
            </w:r>
          </w:p>
        </w:tc>
        <w:tc>
          <w:tcPr>
            <w:tcW w:w="2260" w:type="dxa"/>
            <w:tcBorders>
              <w:top w:val="nil"/>
              <w:left w:val="nil"/>
              <w:bottom w:val="single" w:sz="8" w:space="0" w:color="auto"/>
              <w:right w:val="single" w:sz="8" w:space="0" w:color="auto"/>
            </w:tcBorders>
            <w:shd w:val="clear" w:color="auto" w:fill="auto"/>
            <w:noWrap/>
            <w:vAlign w:val="center"/>
            <w:hideMark/>
          </w:tcPr>
          <w:p w14:paraId="00299883"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35,939</w:t>
            </w:r>
          </w:p>
        </w:tc>
        <w:tc>
          <w:tcPr>
            <w:tcW w:w="2260" w:type="dxa"/>
            <w:tcBorders>
              <w:top w:val="nil"/>
              <w:left w:val="nil"/>
              <w:bottom w:val="single" w:sz="8" w:space="0" w:color="auto"/>
              <w:right w:val="single" w:sz="8" w:space="0" w:color="auto"/>
            </w:tcBorders>
            <w:shd w:val="clear" w:color="auto" w:fill="auto"/>
            <w:noWrap/>
            <w:vAlign w:val="center"/>
            <w:hideMark/>
          </w:tcPr>
          <w:p w14:paraId="56CC91C9"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-22.50%</w:t>
            </w:r>
          </w:p>
        </w:tc>
        <w:tc>
          <w:tcPr>
            <w:tcW w:w="2260" w:type="dxa"/>
            <w:tcBorders>
              <w:top w:val="nil"/>
              <w:left w:val="nil"/>
              <w:bottom w:val="single" w:sz="8" w:space="0" w:color="auto"/>
              <w:right w:val="single" w:sz="8" w:space="0" w:color="auto"/>
            </w:tcBorders>
            <w:shd w:val="clear" w:color="auto" w:fill="auto"/>
            <w:vAlign w:val="center"/>
            <w:hideMark/>
          </w:tcPr>
          <w:p w14:paraId="0101AEB5"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-0.9</w:t>
            </w:r>
          </w:p>
        </w:tc>
        <w:tc>
          <w:tcPr>
            <w:tcW w:w="2260" w:type="dxa"/>
            <w:tcBorders>
              <w:top w:val="nil"/>
              <w:left w:val="nil"/>
              <w:bottom w:val="single" w:sz="8" w:space="0" w:color="auto"/>
              <w:right w:val="single" w:sz="8" w:space="0" w:color="auto"/>
            </w:tcBorders>
            <w:shd w:val="clear" w:color="auto" w:fill="auto"/>
            <w:noWrap/>
            <w:vAlign w:val="center"/>
            <w:hideMark/>
          </w:tcPr>
          <w:p w14:paraId="3897F9B8"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-0.3</w:t>
            </w:r>
          </w:p>
        </w:tc>
      </w:tr>
      <w:tr w:rsidR="00762099" w:rsidRPr="00762099" w14:paraId="7B79B7BC"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6319C74B"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2021</w:t>
            </w:r>
          </w:p>
        </w:tc>
        <w:tc>
          <w:tcPr>
            <w:tcW w:w="2260" w:type="dxa"/>
            <w:tcBorders>
              <w:top w:val="nil"/>
              <w:left w:val="nil"/>
              <w:bottom w:val="single" w:sz="8" w:space="0" w:color="auto"/>
              <w:right w:val="single" w:sz="8" w:space="0" w:color="auto"/>
            </w:tcBorders>
            <w:shd w:val="clear" w:color="auto" w:fill="auto"/>
            <w:noWrap/>
            <w:vAlign w:val="center"/>
            <w:hideMark/>
          </w:tcPr>
          <w:p w14:paraId="6EFF73FE"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34,752</w:t>
            </w:r>
          </w:p>
        </w:tc>
        <w:tc>
          <w:tcPr>
            <w:tcW w:w="2260" w:type="dxa"/>
            <w:tcBorders>
              <w:top w:val="nil"/>
              <w:left w:val="nil"/>
              <w:bottom w:val="single" w:sz="8" w:space="0" w:color="auto"/>
              <w:right w:val="single" w:sz="8" w:space="0" w:color="auto"/>
            </w:tcBorders>
            <w:shd w:val="clear" w:color="auto" w:fill="auto"/>
            <w:noWrap/>
            <w:vAlign w:val="center"/>
            <w:hideMark/>
          </w:tcPr>
          <w:p w14:paraId="5911B8C1"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-3.30%</w:t>
            </w:r>
          </w:p>
        </w:tc>
        <w:tc>
          <w:tcPr>
            <w:tcW w:w="2260" w:type="dxa"/>
            <w:tcBorders>
              <w:top w:val="nil"/>
              <w:left w:val="nil"/>
              <w:bottom w:val="single" w:sz="8" w:space="0" w:color="auto"/>
              <w:right w:val="single" w:sz="8" w:space="0" w:color="auto"/>
            </w:tcBorders>
            <w:shd w:val="clear" w:color="auto" w:fill="auto"/>
            <w:vAlign w:val="center"/>
            <w:hideMark/>
          </w:tcPr>
          <w:p w14:paraId="17E9AA18"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2.4</w:t>
            </w:r>
          </w:p>
        </w:tc>
        <w:tc>
          <w:tcPr>
            <w:tcW w:w="2260" w:type="dxa"/>
            <w:tcBorders>
              <w:top w:val="nil"/>
              <w:left w:val="nil"/>
              <w:bottom w:val="single" w:sz="8" w:space="0" w:color="auto"/>
              <w:right w:val="single" w:sz="8" w:space="0" w:color="auto"/>
            </w:tcBorders>
            <w:shd w:val="clear" w:color="auto" w:fill="auto"/>
            <w:noWrap/>
            <w:vAlign w:val="center"/>
            <w:hideMark/>
          </w:tcPr>
          <w:p w14:paraId="7A2F165C"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2.2</w:t>
            </w:r>
          </w:p>
        </w:tc>
      </w:tr>
      <w:tr w:rsidR="00762099" w:rsidRPr="00762099" w14:paraId="216E542F" w14:textId="77777777" w:rsidTr="00762099">
        <w:trPr>
          <w:trHeight w:val="300"/>
        </w:trPr>
        <w:tc>
          <w:tcPr>
            <w:tcW w:w="960" w:type="dxa"/>
            <w:tcBorders>
              <w:top w:val="nil"/>
              <w:left w:val="single" w:sz="8" w:space="0" w:color="auto"/>
              <w:bottom w:val="single" w:sz="8" w:space="0" w:color="auto"/>
              <w:right w:val="single" w:sz="8" w:space="0" w:color="auto"/>
            </w:tcBorders>
            <w:shd w:val="clear" w:color="auto" w:fill="auto"/>
            <w:noWrap/>
            <w:vAlign w:val="center"/>
            <w:hideMark/>
          </w:tcPr>
          <w:p w14:paraId="078AB24B"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2022</w:t>
            </w:r>
          </w:p>
        </w:tc>
        <w:tc>
          <w:tcPr>
            <w:tcW w:w="2260" w:type="dxa"/>
            <w:tcBorders>
              <w:top w:val="nil"/>
              <w:left w:val="nil"/>
              <w:bottom w:val="single" w:sz="8" w:space="0" w:color="auto"/>
              <w:right w:val="single" w:sz="8" w:space="0" w:color="auto"/>
            </w:tcBorders>
            <w:shd w:val="clear" w:color="auto" w:fill="auto"/>
            <w:noWrap/>
            <w:vAlign w:val="center"/>
            <w:hideMark/>
          </w:tcPr>
          <w:p w14:paraId="6EE6989F"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31,294</w:t>
            </w:r>
          </w:p>
        </w:tc>
        <w:tc>
          <w:tcPr>
            <w:tcW w:w="2260" w:type="dxa"/>
            <w:tcBorders>
              <w:top w:val="nil"/>
              <w:left w:val="nil"/>
              <w:bottom w:val="single" w:sz="8" w:space="0" w:color="auto"/>
              <w:right w:val="single" w:sz="8" w:space="0" w:color="auto"/>
            </w:tcBorders>
            <w:shd w:val="clear" w:color="auto" w:fill="auto"/>
            <w:noWrap/>
            <w:vAlign w:val="center"/>
            <w:hideMark/>
          </w:tcPr>
          <w:p w14:paraId="1F7A0081"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-10.00%</w:t>
            </w:r>
          </w:p>
        </w:tc>
        <w:tc>
          <w:tcPr>
            <w:tcW w:w="2260" w:type="dxa"/>
            <w:tcBorders>
              <w:top w:val="nil"/>
              <w:left w:val="nil"/>
              <w:bottom w:val="single" w:sz="8" w:space="0" w:color="auto"/>
              <w:right w:val="single" w:sz="8" w:space="0" w:color="auto"/>
            </w:tcBorders>
            <w:shd w:val="clear" w:color="auto" w:fill="auto"/>
            <w:vAlign w:val="center"/>
            <w:hideMark/>
          </w:tcPr>
          <w:p w14:paraId="26720857"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w:t>
            </w:r>
          </w:p>
        </w:tc>
        <w:tc>
          <w:tcPr>
            <w:tcW w:w="2260" w:type="dxa"/>
            <w:tcBorders>
              <w:top w:val="nil"/>
              <w:left w:val="nil"/>
              <w:bottom w:val="single" w:sz="8" w:space="0" w:color="auto"/>
              <w:right w:val="single" w:sz="8" w:space="0" w:color="auto"/>
            </w:tcBorders>
            <w:shd w:val="clear" w:color="auto" w:fill="auto"/>
            <w:noWrap/>
            <w:vAlign w:val="center"/>
            <w:hideMark/>
          </w:tcPr>
          <w:p w14:paraId="7FB6C346"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5.9</w:t>
            </w:r>
          </w:p>
        </w:tc>
      </w:tr>
      <w:tr w:rsidR="00762099" w:rsidRPr="00762099" w14:paraId="0A70AE0D" w14:textId="77777777" w:rsidTr="00762099">
        <w:trPr>
          <w:trHeight w:val="300"/>
        </w:trPr>
        <w:tc>
          <w:tcPr>
            <w:tcW w:w="960" w:type="dxa"/>
            <w:tcBorders>
              <w:top w:val="nil"/>
              <w:left w:val="single" w:sz="8" w:space="0" w:color="auto"/>
              <w:bottom w:val="nil"/>
              <w:right w:val="single" w:sz="8" w:space="0" w:color="auto"/>
            </w:tcBorders>
            <w:shd w:val="clear" w:color="auto" w:fill="auto"/>
            <w:noWrap/>
            <w:vAlign w:val="center"/>
            <w:hideMark/>
          </w:tcPr>
          <w:p w14:paraId="20A05D60"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2023</w:t>
            </w:r>
          </w:p>
        </w:tc>
        <w:tc>
          <w:tcPr>
            <w:tcW w:w="2260" w:type="dxa"/>
            <w:tcBorders>
              <w:top w:val="nil"/>
              <w:left w:val="nil"/>
              <w:bottom w:val="nil"/>
              <w:right w:val="single" w:sz="8" w:space="0" w:color="auto"/>
            </w:tcBorders>
            <w:shd w:val="clear" w:color="auto" w:fill="auto"/>
            <w:noWrap/>
            <w:vAlign w:val="center"/>
            <w:hideMark/>
          </w:tcPr>
          <w:p w14:paraId="432AFE99"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35,176</w:t>
            </w:r>
          </w:p>
        </w:tc>
        <w:tc>
          <w:tcPr>
            <w:tcW w:w="2260" w:type="dxa"/>
            <w:tcBorders>
              <w:top w:val="nil"/>
              <w:left w:val="nil"/>
              <w:bottom w:val="nil"/>
              <w:right w:val="single" w:sz="8" w:space="0" w:color="auto"/>
            </w:tcBorders>
            <w:shd w:val="clear" w:color="auto" w:fill="auto"/>
            <w:noWrap/>
            <w:vAlign w:val="center"/>
            <w:hideMark/>
          </w:tcPr>
          <w:p w14:paraId="6375FB70"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12.40%</w:t>
            </w:r>
          </w:p>
        </w:tc>
        <w:tc>
          <w:tcPr>
            <w:tcW w:w="2260" w:type="dxa"/>
            <w:tcBorders>
              <w:top w:val="nil"/>
              <w:left w:val="nil"/>
              <w:bottom w:val="nil"/>
              <w:right w:val="single" w:sz="8" w:space="0" w:color="auto"/>
            </w:tcBorders>
            <w:shd w:val="clear" w:color="auto" w:fill="auto"/>
            <w:vAlign w:val="center"/>
            <w:hideMark/>
          </w:tcPr>
          <w:p w14:paraId="403BD8F2"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2.3</w:t>
            </w:r>
          </w:p>
        </w:tc>
        <w:tc>
          <w:tcPr>
            <w:tcW w:w="2260" w:type="dxa"/>
            <w:tcBorders>
              <w:top w:val="nil"/>
              <w:left w:val="nil"/>
              <w:bottom w:val="nil"/>
              <w:right w:val="single" w:sz="8" w:space="0" w:color="auto"/>
            </w:tcBorders>
            <w:shd w:val="clear" w:color="auto" w:fill="auto"/>
            <w:noWrap/>
            <w:vAlign w:val="center"/>
            <w:hideMark/>
          </w:tcPr>
          <w:p w14:paraId="52FE8CE9" w14:textId="77777777" w:rsidR="00762099" w:rsidRPr="00762099" w:rsidRDefault="00762099" w:rsidP="00AC0D94">
            <w:pPr>
              <w:widowControl/>
              <w:jc w:val="center"/>
              <w:rPr>
                <w:rFonts w:ascii="Times New Roman" w:eastAsia="Times New Roman" w:hAnsi="Times New Roman"/>
                <w:color w:val="000000"/>
                <w:kern w:val="0"/>
                <w:sz w:val="22"/>
              </w:rPr>
            </w:pPr>
            <w:r w:rsidRPr="00762099">
              <w:rPr>
                <w:rFonts w:ascii="Times New Roman" w:eastAsia="Times New Roman" w:hAnsi="Times New Roman"/>
                <w:color w:val="000000"/>
                <w:kern w:val="0"/>
                <w:sz w:val="22"/>
                <w:lang w:val="en-HK"/>
              </w:rPr>
              <w:t>-0.8</w:t>
            </w:r>
          </w:p>
        </w:tc>
      </w:tr>
      <w:tr w:rsidR="00762099" w:rsidRPr="00762099" w14:paraId="72E9F2B8" w14:textId="77777777" w:rsidTr="00762099">
        <w:trPr>
          <w:trHeight w:val="620"/>
        </w:trPr>
        <w:tc>
          <w:tcPr>
            <w:tcW w:w="96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14:paraId="1FD1CF50" w14:textId="77777777" w:rsidR="00762099" w:rsidRPr="00762099" w:rsidRDefault="00762099" w:rsidP="00AC0D94">
            <w:pPr>
              <w:widowControl/>
              <w:rPr>
                <w:rFonts w:ascii="Times New Roman" w:eastAsia="Times New Roman" w:hAnsi="Times New Roman"/>
                <w:color w:val="000000"/>
                <w:kern w:val="0"/>
                <w:sz w:val="18"/>
                <w:szCs w:val="18"/>
              </w:rPr>
            </w:pPr>
            <w:r w:rsidRPr="00762099">
              <w:rPr>
                <w:rFonts w:ascii="Times New Roman" w:eastAsia="Times New Roman" w:hAnsi="Times New Roman"/>
                <w:color w:val="000000"/>
                <w:kern w:val="0"/>
                <w:sz w:val="18"/>
                <w:szCs w:val="18"/>
              </w:rPr>
              <w:t>Sources</w:t>
            </w:r>
          </w:p>
        </w:tc>
        <w:tc>
          <w:tcPr>
            <w:tcW w:w="9040" w:type="dxa"/>
            <w:gridSpan w:val="4"/>
            <w:tcBorders>
              <w:top w:val="single" w:sz="8" w:space="0" w:color="auto"/>
              <w:left w:val="nil"/>
              <w:bottom w:val="single" w:sz="8" w:space="0" w:color="auto"/>
              <w:right w:val="single" w:sz="8" w:space="0" w:color="000000"/>
            </w:tcBorders>
            <w:shd w:val="clear" w:color="auto" w:fill="auto"/>
            <w:vAlign w:val="center"/>
            <w:hideMark/>
          </w:tcPr>
          <w:p w14:paraId="4F0AF871" w14:textId="77777777" w:rsidR="00762099" w:rsidRPr="00762099" w:rsidRDefault="00762099" w:rsidP="00AC0D94">
            <w:pPr>
              <w:widowControl/>
              <w:jc w:val="center"/>
              <w:rPr>
                <w:rFonts w:ascii="Times New Roman" w:eastAsia="Times New Roman" w:hAnsi="Times New Roman"/>
                <w:color w:val="000000"/>
                <w:kern w:val="0"/>
                <w:sz w:val="18"/>
                <w:szCs w:val="18"/>
              </w:rPr>
            </w:pPr>
            <w:r w:rsidRPr="00762099">
              <w:rPr>
                <w:rFonts w:ascii="Times New Roman" w:eastAsia="Times New Roman" w:hAnsi="Times New Roman"/>
                <w:color w:val="000000"/>
                <w:kern w:val="0"/>
                <w:sz w:val="18"/>
                <w:szCs w:val="18"/>
              </w:rPr>
              <w:t>https://www.censtatd.gov.hk/en/web_table.html?id=620-67012</w:t>
            </w:r>
          </w:p>
        </w:tc>
      </w:tr>
      <w:tr w:rsidR="00762099" w:rsidRPr="00762099" w14:paraId="694F504F" w14:textId="77777777" w:rsidTr="00762099">
        <w:trPr>
          <w:trHeight w:val="620"/>
        </w:trPr>
        <w:tc>
          <w:tcPr>
            <w:tcW w:w="960" w:type="dxa"/>
            <w:vMerge/>
            <w:tcBorders>
              <w:top w:val="single" w:sz="8" w:space="0" w:color="auto"/>
              <w:left w:val="single" w:sz="8" w:space="0" w:color="auto"/>
              <w:bottom w:val="single" w:sz="8" w:space="0" w:color="000000"/>
              <w:right w:val="single" w:sz="8" w:space="0" w:color="auto"/>
            </w:tcBorders>
            <w:vAlign w:val="center"/>
            <w:hideMark/>
          </w:tcPr>
          <w:p w14:paraId="14117DB9" w14:textId="77777777" w:rsidR="00762099" w:rsidRPr="00762099" w:rsidRDefault="00762099" w:rsidP="00AC0D94">
            <w:pPr>
              <w:widowControl/>
              <w:rPr>
                <w:rFonts w:ascii="Times New Roman" w:eastAsia="Times New Roman" w:hAnsi="Times New Roman"/>
                <w:color w:val="000000"/>
                <w:kern w:val="0"/>
                <w:sz w:val="18"/>
                <w:szCs w:val="18"/>
              </w:rPr>
            </w:pPr>
          </w:p>
        </w:tc>
        <w:tc>
          <w:tcPr>
            <w:tcW w:w="9040" w:type="dxa"/>
            <w:gridSpan w:val="4"/>
            <w:tcBorders>
              <w:top w:val="single" w:sz="8" w:space="0" w:color="auto"/>
              <w:left w:val="nil"/>
              <w:bottom w:val="single" w:sz="8" w:space="0" w:color="auto"/>
              <w:right w:val="single" w:sz="8" w:space="0" w:color="000000"/>
            </w:tcBorders>
            <w:shd w:val="clear" w:color="auto" w:fill="auto"/>
            <w:vAlign w:val="center"/>
            <w:hideMark/>
          </w:tcPr>
          <w:p w14:paraId="7E10E5DD" w14:textId="77777777" w:rsidR="00762099" w:rsidRPr="00762099" w:rsidRDefault="00762099" w:rsidP="00AC0D94">
            <w:pPr>
              <w:widowControl/>
              <w:jc w:val="center"/>
              <w:rPr>
                <w:rFonts w:ascii="Times New Roman" w:eastAsia="Times New Roman" w:hAnsi="Times New Roman"/>
                <w:color w:val="000000"/>
                <w:kern w:val="0"/>
                <w:sz w:val="18"/>
                <w:szCs w:val="18"/>
              </w:rPr>
            </w:pPr>
            <w:r w:rsidRPr="00762099">
              <w:rPr>
                <w:rFonts w:ascii="Times New Roman" w:eastAsia="Times New Roman" w:hAnsi="Times New Roman"/>
                <w:color w:val="000000"/>
                <w:kern w:val="0"/>
                <w:sz w:val="18"/>
                <w:szCs w:val="18"/>
              </w:rPr>
              <w:t>https://www.imf.org/external/datamapper/PCPIEPCH@WEO/HKG/THA</w:t>
            </w:r>
          </w:p>
        </w:tc>
      </w:tr>
      <w:tr w:rsidR="00762099" w:rsidRPr="00762099" w14:paraId="3BAEB70E" w14:textId="77777777" w:rsidTr="00762099">
        <w:trPr>
          <w:trHeight w:val="620"/>
        </w:trPr>
        <w:tc>
          <w:tcPr>
            <w:tcW w:w="960" w:type="dxa"/>
            <w:tcBorders>
              <w:top w:val="nil"/>
              <w:left w:val="single" w:sz="8" w:space="0" w:color="auto"/>
              <w:bottom w:val="single" w:sz="8" w:space="0" w:color="auto"/>
              <w:right w:val="single" w:sz="8" w:space="0" w:color="auto"/>
            </w:tcBorders>
            <w:shd w:val="clear" w:color="auto" w:fill="auto"/>
            <w:vAlign w:val="center"/>
            <w:hideMark/>
          </w:tcPr>
          <w:p w14:paraId="22C8DED0" w14:textId="77777777" w:rsidR="00762099" w:rsidRPr="00762099" w:rsidRDefault="00762099" w:rsidP="00AC0D94">
            <w:pPr>
              <w:widowControl/>
              <w:rPr>
                <w:rFonts w:ascii="Times New Roman" w:eastAsia="Times New Roman" w:hAnsi="Times New Roman"/>
                <w:color w:val="000000"/>
                <w:kern w:val="0"/>
                <w:sz w:val="18"/>
                <w:szCs w:val="18"/>
              </w:rPr>
            </w:pPr>
            <w:r w:rsidRPr="00762099">
              <w:rPr>
                <w:rFonts w:ascii="Times New Roman" w:eastAsia="Times New Roman" w:hAnsi="Times New Roman"/>
                <w:color w:val="000000"/>
                <w:kern w:val="0"/>
                <w:sz w:val="18"/>
                <w:szCs w:val="18"/>
              </w:rPr>
              <w:t>Notes</w:t>
            </w:r>
          </w:p>
        </w:tc>
        <w:tc>
          <w:tcPr>
            <w:tcW w:w="9040" w:type="dxa"/>
            <w:gridSpan w:val="4"/>
            <w:tcBorders>
              <w:top w:val="single" w:sz="8" w:space="0" w:color="auto"/>
              <w:left w:val="nil"/>
              <w:bottom w:val="single" w:sz="8" w:space="0" w:color="auto"/>
              <w:right w:val="single" w:sz="8" w:space="0" w:color="000000"/>
            </w:tcBorders>
            <w:shd w:val="clear" w:color="auto" w:fill="auto"/>
            <w:vAlign w:val="center"/>
            <w:hideMark/>
          </w:tcPr>
          <w:p w14:paraId="0F188B8F" w14:textId="77777777" w:rsidR="00762099" w:rsidRPr="00762099" w:rsidRDefault="00762099" w:rsidP="00AC0D94">
            <w:pPr>
              <w:widowControl/>
              <w:jc w:val="center"/>
              <w:rPr>
                <w:rFonts w:ascii="Times New Roman" w:eastAsia="Times New Roman" w:hAnsi="Times New Roman"/>
                <w:color w:val="000000"/>
                <w:kern w:val="0"/>
                <w:sz w:val="18"/>
                <w:szCs w:val="18"/>
              </w:rPr>
            </w:pPr>
            <w:r w:rsidRPr="00762099">
              <w:rPr>
                <w:rFonts w:ascii="Times New Roman" w:eastAsia="Times New Roman" w:hAnsi="Times New Roman"/>
                <w:color w:val="000000"/>
                <w:kern w:val="0"/>
                <w:sz w:val="18"/>
                <w:szCs w:val="18"/>
              </w:rPr>
              <w:t>Inflation rate, end of period consumer prices (Annual percent change)</w:t>
            </w:r>
          </w:p>
        </w:tc>
      </w:tr>
    </w:tbl>
    <w:p w14:paraId="1829B1E8" w14:textId="77777777" w:rsidR="006F2BE4" w:rsidRDefault="006F2BE4" w:rsidP="006F2BE4">
      <w:pPr>
        <w:adjustRightInd w:val="0"/>
        <w:snapToGrid w:val="0"/>
        <w:spacing w:line="360" w:lineRule="auto"/>
        <w:jc w:val="both"/>
        <w:rPr>
          <w:rFonts w:ascii="Times New Roman" w:hAnsi="Times New Roman"/>
          <w:szCs w:val="24"/>
        </w:rPr>
      </w:pPr>
    </w:p>
    <w:p w14:paraId="263F1450" w14:textId="79BB0E8A" w:rsidR="006F2BE4" w:rsidRPr="000D4834" w:rsidRDefault="006F2BE4" w:rsidP="006F2BE4">
      <w:pPr>
        <w:adjustRightInd w:val="0"/>
        <w:snapToGrid w:val="0"/>
        <w:spacing w:line="360" w:lineRule="auto"/>
        <w:jc w:val="both"/>
        <w:rPr>
          <w:rFonts w:ascii="Times New Roman" w:hAnsi="Times New Roman"/>
          <w:szCs w:val="24"/>
        </w:rPr>
      </w:pPr>
      <w:r w:rsidRPr="000D4834">
        <w:rPr>
          <w:rFonts w:ascii="Times New Roman" w:hAnsi="Times New Roman"/>
          <w:szCs w:val="24"/>
        </w:rPr>
        <w:t xml:space="preserve">The dataset for this analysis comprises historical data on consumer price indices (CPI) and retail sales </w:t>
      </w:r>
      <w:r w:rsidRPr="000D4834">
        <w:rPr>
          <w:rFonts w:ascii="Times New Roman" w:hAnsi="Times New Roman"/>
          <w:szCs w:val="24"/>
        </w:rPr>
        <w:lastRenderedPageBreak/>
        <w:t>values for Hong Kong and Thailand from 2006 to 2023. The key variables include:</w:t>
      </w:r>
    </w:p>
    <w:p w14:paraId="5CFB1A00" w14:textId="77777777" w:rsidR="006F2BE4" w:rsidRPr="000D4834" w:rsidRDefault="006F2BE4" w:rsidP="006F2BE4">
      <w:pPr>
        <w:numPr>
          <w:ilvl w:val="0"/>
          <w:numId w:val="4"/>
        </w:numPr>
        <w:adjustRightInd w:val="0"/>
        <w:snapToGrid w:val="0"/>
        <w:spacing w:line="360" w:lineRule="auto"/>
        <w:jc w:val="both"/>
        <w:rPr>
          <w:rFonts w:ascii="Times New Roman" w:hAnsi="Times New Roman"/>
          <w:szCs w:val="24"/>
        </w:rPr>
      </w:pPr>
      <w:r w:rsidRPr="000D4834">
        <w:rPr>
          <w:rFonts w:ascii="Times New Roman" w:hAnsi="Times New Roman"/>
          <w:szCs w:val="24"/>
        </w:rPr>
        <w:t>Hong Kong Retail Sales (HKVRS): Represents the total value of retail sales in Hong Kong, measured in Hong Kong dollars (HK$ million).</w:t>
      </w:r>
    </w:p>
    <w:p w14:paraId="28216325" w14:textId="77777777" w:rsidR="006F2BE4" w:rsidRPr="000D4834" w:rsidRDefault="006F2BE4" w:rsidP="006F2BE4">
      <w:pPr>
        <w:numPr>
          <w:ilvl w:val="0"/>
          <w:numId w:val="4"/>
        </w:numPr>
        <w:adjustRightInd w:val="0"/>
        <w:snapToGrid w:val="0"/>
        <w:spacing w:line="360" w:lineRule="auto"/>
        <w:jc w:val="both"/>
        <w:rPr>
          <w:rFonts w:ascii="Times New Roman" w:hAnsi="Times New Roman"/>
          <w:szCs w:val="24"/>
        </w:rPr>
      </w:pPr>
      <w:r w:rsidRPr="000D4834">
        <w:rPr>
          <w:rFonts w:ascii="Times New Roman" w:hAnsi="Times New Roman"/>
          <w:szCs w:val="24"/>
        </w:rPr>
        <w:t>Annual Percentage Change in Hong Kong Retail Sales (APCHKVRS): Measures the year-on-year growth rate of retail sales in Hong Kong.</w:t>
      </w:r>
    </w:p>
    <w:p w14:paraId="23E5408F" w14:textId="77777777" w:rsidR="006F2BE4" w:rsidRPr="000D4834" w:rsidRDefault="006F2BE4" w:rsidP="006F2BE4">
      <w:pPr>
        <w:numPr>
          <w:ilvl w:val="0"/>
          <w:numId w:val="4"/>
        </w:numPr>
        <w:adjustRightInd w:val="0"/>
        <w:snapToGrid w:val="0"/>
        <w:spacing w:line="360" w:lineRule="auto"/>
        <w:jc w:val="both"/>
        <w:rPr>
          <w:rFonts w:ascii="Times New Roman" w:hAnsi="Times New Roman"/>
          <w:szCs w:val="24"/>
        </w:rPr>
      </w:pPr>
      <w:r w:rsidRPr="000D4834">
        <w:rPr>
          <w:rFonts w:ascii="Times New Roman" w:hAnsi="Times New Roman"/>
          <w:szCs w:val="24"/>
        </w:rPr>
        <w:t>Annual Percentage Change in Hong Kong Consumer Price Index (APCHKCCPI): Reflects the year-on-year inflation rate in Hong Kong, based on changes in the CPI.</w:t>
      </w:r>
    </w:p>
    <w:p w14:paraId="2CEA77AE" w14:textId="77777777" w:rsidR="006F2BE4" w:rsidRPr="000D4834" w:rsidRDefault="006F2BE4" w:rsidP="006F2BE4">
      <w:pPr>
        <w:numPr>
          <w:ilvl w:val="0"/>
          <w:numId w:val="4"/>
        </w:numPr>
        <w:adjustRightInd w:val="0"/>
        <w:snapToGrid w:val="0"/>
        <w:spacing w:line="360" w:lineRule="auto"/>
        <w:jc w:val="both"/>
        <w:rPr>
          <w:rFonts w:ascii="Times New Roman" w:hAnsi="Times New Roman"/>
          <w:szCs w:val="24"/>
        </w:rPr>
      </w:pPr>
      <w:r w:rsidRPr="000D4834">
        <w:rPr>
          <w:rFonts w:ascii="Times New Roman" w:hAnsi="Times New Roman"/>
          <w:szCs w:val="24"/>
        </w:rPr>
        <w:t>Annual Percentage Change in Thailand Consumer Price Index (APCTHCCPI): Captures the year-on-year inflation rate in Thailand, based on changes in the CPI.</w:t>
      </w:r>
    </w:p>
    <w:p w14:paraId="39FE1DDC" w14:textId="77777777" w:rsidR="006F2BE4" w:rsidRPr="000D4834" w:rsidRDefault="006F2BE4" w:rsidP="006F2BE4">
      <w:pPr>
        <w:adjustRightInd w:val="0"/>
        <w:snapToGrid w:val="0"/>
        <w:spacing w:line="360" w:lineRule="auto"/>
        <w:jc w:val="both"/>
        <w:rPr>
          <w:rFonts w:ascii="Times New Roman" w:hAnsi="Times New Roman"/>
          <w:szCs w:val="24"/>
        </w:rPr>
      </w:pPr>
      <w:r w:rsidRPr="000D4834">
        <w:rPr>
          <w:rFonts w:ascii="Times New Roman" w:hAnsi="Times New Roman"/>
          <w:szCs w:val="24"/>
        </w:rPr>
        <w:t>The data for these variables were sourced from the following:</w:t>
      </w:r>
    </w:p>
    <w:p w14:paraId="64CC5DFB" w14:textId="77777777" w:rsidR="006F2BE4" w:rsidRPr="000D4834" w:rsidRDefault="006F2BE4" w:rsidP="006F2BE4">
      <w:pPr>
        <w:numPr>
          <w:ilvl w:val="0"/>
          <w:numId w:val="5"/>
        </w:numPr>
        <w:adjustRightInd w:val="0"/>
        <w:snapToGrid w:val="0"/>
        <w:spacing w:line="360" w:lineRule="auto"/>
        <w:jc w:val="both"/>
        <w:rPr>
          <w:rFonts w:ascii="Times New Roman" w:hAnsi="Times New Roman"/>
          <w:szCs w:val="24"/>
        </w:rPr>
      </w:pPr>
      <w:r w:rsidRPr="000D4834">
        <w:rPr>
          <w:rFonts w:ascii="Times New Roman" w:hAnsi="Times New Roman"/>
          <w:szCs w:val="24"/>
        </w:rPr>
        <w:t>Consumer Price Index (CPI): Data for Hong Kong and Thailand were obtained from the International Monetary Fund (IMF) via their Data Mapper tool (IMF, 2024).</w:t>
      </w:r>
    </w:p>
    <w:p w14:paraId="0F3E56F4" w14:textId="77777777" w:rsidR="006F2BE4" w:rsidRPr="000D4834" w:rsidRDefault="006F2BE4" w:rsidP="006F2BE4">
      <w:pPr>
        <w:numPr>
          <w:ilvl w:val="0"/>
          <w:numId w:val="5"/>
        </w:numPr>
        <w:adjustRightInd w:val="0"/>
        <w:snapToGrid w:val="0"/>
        <w:spacing w:line="360" w:lineRule="auto"/>
        <w:jc w:val="both"/>
        <w:rPr>
          <w:rFonts w:ascii="Times New Roman" w:hAnsi="Times New Roman"/>
          <w:szCs w:val="24"/>
        </w:rPr>
      </w:pPr>
      <w:r w:rsidRPr="000D4834">
        <w:rPr>
          <w:rFonts w:ascii="Times New Roman" w:hAnsi="Times New Roman"/>
          <w:szCs w:val="24"/>
        </w:rPr>
        <w:t>Retail Sales Values: Data for Hong Kong were sourced from the Census and Statistics Department of Hong Kong (CSD, 2024), while data for Thailand were obtained from Trading Economics (2024).</w:t>
      </w:r>
    </w:p>
    <w:p w14:paraId="091540D2" w14:textId="77777777" w:rsidR="006F2BE4" w:rsidRDefault="006F2BE4" w:rsidP="00AC0D94">
      <w:pPr>
        <w:adjustRightInd w:val="0"/>
        <w:snapToGrid w:val="0"/>
        <w:spacing w:line="360" w:lineRule="auto"/>
        <w:jc w:val="both"/>
        <w:rPr>
          <w:rFonts w:ascii="Times New Roman" w:hAnsi="Times New Roman"/>
          <w:b/>
          <w:bCs/>
          <w:szCs w:val="24"/>
        </w:rPr>
      </w:pPr>
    </w:p>
    <w:p w14:paraId="4B8B2960" w14:textId="5D93C5B9" w:rsidR="001B1D34" w:rsidRPr="001B1D34" w:rsidRDefault="001B1D34" w:rsidP="00AC0D94">
      <w:pPr>
        <w:adjustRightInd w:val="0"/>
        <w:snapToGrid w:val="0"/>
        <w:spacing w:line="360" w:lineRule="auto"/>
        <w:jc w:val="both"/>
        <w:rPr>
          <w:rFonts w:ascii="Times New Roman" w:hAnsi="Times New Roman"/>
          <w:b/>
          <w:bCs/>
          <w:szCs w:val="24"/>
        </w:rPr>
      </w:pPr>
      <w:r w:rsidRPr="001B1D34">
        <w:rPr>
          <w:rFonts w:ascii="Times New Roman" w:hAnsi="Times New Roman"/>
          <w:b/>
          <w:bCs/>
          <w:szCs w:val="24"/>
        </w:rPr>
        <w:t>Comparative Analysis of Retail Sales and Inflation Trends (2006–2013 vs. 2014–2023)</w:t>
      </w:r>
    </w:p>
    <w:p w14:paraId="3A17345A" w14:textId="40C9306F" w:rsidR="005B704A" w:rsidRDefault="008F6695" w:rsidP="00AC0D94">
      <w:pPr>
        <w:adjustRightInd w:val="0"/>
        <w:snapToGrid w:val="0"/>
        <w:spacing w:line="360" w:lineRule="auto"/>
        <w:jc w:val="both"/>
        <w:rPr>
          <w:rFonts w:ascii="Times New Roman" w:hAnsi="Times New Roman"/>
          <w:b/>
          <w:bCs/>
          <w:szCs w:val="24"/>
        </w:rPr>
      </w:pPr>
      <w:r w:rsidRPr="008F6695">
        <w:rPr>
          <w:rFonts w:ascii="Times New Roman" w:hAnsi="Times New Roman"/>
          <w:szCs w:val="24"/>
        </w:rPr>
        <w:t>To address the volatility and trends in retail sales and inflation, we calculated the average growth rates and standard deviations for the periods 2006–2013 and 2014–2023. The results are presented in Table 2 below.</w:t>
      </w:r>
    </w:p>
    <w:p w14:paraId="3FCA1250" w14:textId="00C4BC45" w:rsidR="00D82D19" w:rsidRDefault="00D82D19" w:rsidP="00AC0D94">
      <w:pPr>
        <w:adjustRightInd w:val="0"/>
        <w:snapToGrid w:val="0"/>
        <w:spacing w:line="360" w:lineRule="auto"/>
        <w:jc w:val="both"/>
        <w:rPr>
          <w:rFonts w:ascii="Times New Roman" w:hAnsi="Times New Roman"/>
          <w:b/>
          <w:bCs/>
          <w:szCs w:val="24"/>
        </w:rPr>
      </w:pPr>
      <w:r w:rsidRPr="00D82D19">
        <w:rPr>
          <w:rFonts w:ascii="Times New Roman" w:hAnsi="Times New Roman"/>
          <w:b/>
          <w:bCs/>
          <w:szCs w:val="24"/>
        </w:rPr>
        <w:t>Table 2: Comparative Analysis of Retail Sales and Inflation Trends</w:t>
      </w:r>
    </w:p>
    <w:p w14:paraId="05302EA0" w14:textId="154E6CBC" w:rsidR="00D82D19" w:rsidRDefault="002B571B" w:rsidP="00AC0D94">
      <w:pPr>
        <w:adjustRightInd w:val="0"/>
        <w:snapToGrid w:val="0"/>
        <w:spacing w:line="360" w:lineRule="auto"/>
        <w:jc w:val="both"/>
        <w:rPr>
          <w:rFonts w:ascii="Times New Roman" w:hAnsi="Times New Roman"/>
          <w:b/>
          <w:bCs/>
          <w:szCs w:val="24"/>
        </w:rPr>
      </w:pPr>
      <w:r w:rsidRPr="002B571B">
        <w:rPr>
          <w:noProof/>
        </w:rPr>
        <w:drawing>
          <wp:inline distT="0" distB="0" distL="0" distR="0" wp14:anchorId="33B4C9CD" wp14:editId="7BD0856D">
            <wp:extent cx="5619750" cy="1844873"/>
            <wp:effectExtent l="19050" t="19050" r="19050" b="22225"/>
            <wp:docPr id="10775406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24789" cy="1846527"/>
                    </a:xfrm>
                    <a:prstGeom prst="rect">
                      <a:avLst/>
                    </a:prstGeom>
                    <a:noFill/>
                    <a:ln>
                      <a:solidFill>
                        <a:schemeClr val="tx1"/>
                      </a:solidFill>
                    </a:ln>
                  </pic:spPr>
                </pic:pic>
              </a:graphicData>
            </a:graphic>
          </wp:inline>
        </w:drawing>
      </w:r>
    </w:p>
    <w:p w14:paraId="1BF863CD" w14:textId="77777777" w:rsidR="002E20C8" w:rsidRPr="002E20C8" w:rsidRDefault="002E20C8" w:rsidP="002E20C8">
      <w:pPr>
        <w:numPr>
          <w:ilvl w:val="0"/>
          <w:numId w:val="33"/>
        </w:numPr>
        <w:adjustRightInd w:val="0"/>
        <w:snapToGrid w:val="0"/>
        <w:spacing w:line="360" w:lineRule="auto"/>
        <w:jc w:val="both"/>
        <w:rPr>
          <w:rFonts w:ascii="Times New Roman" w:hAnsi="Times New Roman"/>
          <w:szCs w:val="24"/>
        </w:rPr>
      </w:pPr>
      <w:r w:rsidRPr="002E20C8">
        <w:rPr>
          <w:rFonts w:ascii="Times New Roman" w:hAnsi="Times New Roman"/>
          <w:b/>
          <w:bCs/>
          <w:szCs w:val="24"/>
        </w:rPr>
        <w:t>Hong Kong’s Retail Sales:</w:t>
      </w:r>
    </w:p>
    <w:p w14:paraId="2319650C" w14:textId="77777777" w:rsidR="002E20C8" w:rsidRPr="002E20C8" w:rsidRDefault="002E20C8" w:rsidP="002E20C8">
      <w:pPr>
        <w:pStyle w:val="ListParagraph"/>
        <w:numPr>
          <w:ilvl w:val="0"/>
          <w:numId w:val="35"/>
        </w:numPr>
        <w:adjustRightInd w:val="0"/>
        <w:snapToGrid w:val="0"/>
        <w:spacing w:line="360" w:lineRule="auto"/>
        <w:ind w:leftChars="0"/>
        <w:jc w:val="both"/>
        <w:rPr>
          <w:rFonts w:ascii="Times New Roman" w:hAnsi="Times New Roman"/>
          <w:szCs w:val="24"/>
        </w:rPr>
      </w:pPr>
      <w:r w:rsidRPr="002E20C8">
        <w:rPr>
          <w:rFonts w:ascii="Times New Roman" w:hAnsi="Times New Roman"/>
          <w:b/>
          <w:bCs/>
          <w:szCs w:val="24"/>
        </w:rPr>
        <w:t>2006–2013:</w:t>
      </w:r>
      <w:r w:rsidRPr="002E20C8">
        <w:rPr>
          <w:rFonts w:ascii="Times New Roman" w:hAnsi="Times New Roman"/>
          <w:szCs w:val="24"/>
        </w:rPr>
        <w:t xml:space="preserve"> Hong Kong’s retail sales experienced robust growth, with an average annual growth rate of 10.1% and a standard deviation of 6.2%, indicating relatively </w:t>
      </w:r>
      <w:r w:rsidRPr="002E20C8">
        <w:rPr>
          <w:rFonts w:ascii="Times New Roman" w:hAnsi="Times New Roman"/>
          <w:szCs w:val="24"/>
        </w:rPr>
        <w:lastRenderedPageBreak/>
        <w:t>stable growth during this period. This growth was driven by strong economic expansion, rising tourism, and favorable credit conditions.</w:t>
      </w:r>
    </w:p>
    <w:p w14:paraId="20465255" w14:textId="77777777" w:rsidR="002E20C8" w:rsidRPr="002E20C8" w:rsidRDefault="002E20C8" w:rsidP="002E20C8">
      <w:pPr>
        <w:pStyle w:val="ListParagraph"/>
        <w:numPr>
          <w:ilvl w:val="0"/>
          <w:numId w:val="35"/>
        </w:numPr>
        <w:adjustRightInd w:val="0"/>
        <w:snapToGrid w:val="0"/>
        <w:spacing w:line="360" w:lineRule="auto"/>
        <w:ind w:leftChars="0"/>
        <w:jc w:val="both"/>
        <w:rPr>
          <w:rFonts w:ascii="Times New Roman" w:hAnsi="Times New Roman"/>
          <w:szCs w:val="24"/>
        </w:rPr>
      </w:pPr>
      <w:r w:rsidRPr="002E20C8">
        <w:rPr>
          <w:rFonts w:ascii="Times New Roman" w:hAnsi="Times New Roman"/>
          <w:b/>
          <w:bCs/>
          <w:szCs w:val="24"/>
        </w:rPr>
        <w:t>2014–2023:</w:t>
      </w:r>
      <w:r w:rsidRPr="002E20C8">
        <w:rPr>
          <w:rFonts w:ascii="Times New Roman" w:hAnsi="Times New Roman"/>
          <w:szCs w:val="24"/>
        </w:rPr>
        <w:t> Post-2014, the sector became significantly more volatile, with an average annual growth rate of -1.2% and a standard deviation of 11.8%, reflecting sharp declines in 2015, 2016, 2019, and 2020. The -22.5% drop in 2020 underscores the severe impact of the COVID-19 pandemic on Hong Kong’s retail sector, exacerbated by global economic uncertainties and geopolitical tensions.</w:t>
      </w:r>
    </w:p>
    <w:p w14:paraId="44D1399B" w14:textId="77777777" w:rsidR="002E20C8" w:rsidRPr="002E20C8" w:rsidRDefault="002E20C8" w:rsidP="002E20C8">
      <w:pPr>
        <w:numPr>
          <w:ilvl w:val="0"/>
          <w:numId w:val="33"/>
        </w:numPr>
        <w:adjustRightInd w:val="0"/>
        <w:snapToGrid w:val="0"/>
        <w:spacing w:line="360" w:lineRule="auto"/>
        <w:jc w:val="both"/>
        <w:rPr>
          <w:rFonts w:ascii="Times New Roman" w:hAnsi="Times New Roman"/>
          <w:szCs w:val="24"/>
        </w:rPr>
      </w:pPr>
      <w:r w:rsidRPr="002E20C8">
        <w:rPr>
          <w:rFonts w:ascii="Times New Roman" w:hAnsi="Times New Roman"/>
          <w:b/>
          <w:bCs/>
          <w:szCs w:val="24"/>
        </w:rPr>
        <w:t>Thailand’s Consumer Inflation:</w:t>
      </w:r>
    </w:p>
    <w:p w14:paraId="299BC806" w14:textId="77777777" w:rsidR="002E20C8" w:rsidRPr="002E20C8" w:rsidRDefault="002E20C8" w:rsidP="002E20C8">
      <w:pPr>
        <w:pStyle w:val="ListParagraph"/>
        <w:numPr>
          <w:ilvl w:val="0"/>
          <w:numId w:val="34"/>
        </w:numPr>
        <w:adjustRightInd w:val="0"/>
        <w:snapToGrid w:val="0"/>
        <w:spacing w:line="360" w:lineRule="auto"/>
        <w:ind w:leftChars="0"/>
        <w:jc w:val="both"/>
        <w:rPr>
          <w:rFonts w:ascii="Times New Roman" w:hAnsi="Times New Roman"/>
          <w:szCs w:val="24"/>
        </w:rPr>
      </w:pPr>
      <w:r w:rsidRPr="002E20C8">
        <w:rPr>
          <w:rFonts w:ascii="Times New Roman" w:hAnsi="Times New Roman"/>
          <w:b/>
          <w:bCs/>
          <w:szCs w:val="24"/>
        </w:rPr>
        <w:t>2006–2013:</w:t>
      </w:r>
      <w:r w:rsidRPr="002E20C8">
        <w:rPr>
          <w:rFonts w:ascii="Times New Roman" w:hAnsi="Times New Roman"/>
          <w:szCs w:val="24"/>
        </w:rPr>
        <w:t> Thailand’s inflation remained relatively stable, with an average rate of 3.1% and a standard deviation of 1.6%, reflecting the country’s resilience to global economic fluctuations.</w:t>
      </w:r>
    </w:p>
    <w:p w14:paraId="58556A6A" w14:textId="77777777" w:rsidR="002E20C8" w:rsidRPr="002E20C8" w:rsidRDefault="002E20C8" w:rsidP="002E20C8">
      <w:pPr>
        <w:pStyle w:val="ListParagraph"/>
        <w:numPr>
          <w:ilvl w:val="0"/>
          <w:numId w:val="34"/>
        </w:numPr>
        <w:adjustRightInd w:val="0"/>
        <w:snapToGrid w:val="0"/>
        <w:spacing w:line="360" w:lineRule="auto"/>
        <w:ind w:leftChars="0"/>
        <w:jc w:val="both"/>
        <w:rPr>
          <w:rFonts w:ascii="Times New Roman" w:hAnsi="Times New Roman"/>
          <w:szCs w:val="24"/>
        </w:rPr>
      </w:pPr>
      <w:r w:rsidRPr="002E20C8">
        <w:rPr>
          <w:rFonts w:ascii="Times New Roman" w:hAnsi="Times New Roman"/>
          <w:b/>
          <w:bCs/>
          <w:szCs w:val="24"/>
        </w:rPr>
        <w:t>2014–2023:</w:t>
      </w:r>
      <w:r w:rsidRPr="002E20C8">
        <w:rPr>
          <w:rFonts w:ascii="Times New Roman" w:hAnsi="Times New Roman"/>
          <w:szCs w:val="24"/>
        </w:rPr>
        <w:t> The average inflation rate dropped to 1.3%, with a standard deviation of 1.9%, highlighting Thailand’s ability to maintain price stability even during periods of global economic uncertainty. This stability is attributed to effective economic policies and price control measures, as well as the country’s reliance on tourism and global commodity prices.</w:t>
      </w:r>
    </w:p>
    <w:p w14:paraId="5FE05559" w14:textId="77777777" w:rsidR="002E20C8" w:rsidRPr="002E20C8" w:rsidRDefault="002E20C8" w:rsidP="002E20C8">
      <w:pPr>
        <w:adjustRightInd w:val="0"/>
        <w:snapToGrid w:val="0"/>
        <w:spacing w:line="360" w:lineRule="auto"/>
        <w:jc w:val="both"/>
        <w:rPr>
          <w:rFonts w:ascii="Times New Roman" w:hAnsi="Times New Roman"/>
          <w:szCs w:val="24"/>
        </w:rPr>
      </w:pPr>
      <w:r w:rsidRPr="002E20C8">
        <w:rPr>
          <w:rFonts w:ascii="Times New Roman" w:hAnsi="Times New Roman"/>
          <w:b/>
          <w:bCs/>
          <w:szCs w:val="24"/>
        </w:rPr>
        <w:t>Diverging Trends:</w:t>
      </w:r>
    </w:p>
    <w:p w14:paraId="3C37264D" w14:textId="77777777" w:rsidR="002E20C8" w:rsidRPr="002E20C8" w:rsidRDefault="002E20C8" w:rsidP="002E20C8">
      <w:pPr>
        <w:adjustRightInd w:val="0"/>
        <w:snapToGrid w:val="0"/>
        <w:spacing w:line="360" w:lineRule="auto"/>
        <w:jc w:val="both"/>
        <w:rPr>
          <w:rFonts w:ascii="Times New Roman" w:hAnsi="Times New Roman"/>
          <w:szCs w:val="24"/>
        </w:rPr>
      </w:pPr>
      <w:r w:rsidRPr="002E20C8">
        <w:rPr>
          <w:rFonts w:ascii="Times New Roman" w:hAnsi="Times New Roman"/>
          <w:szCs w:val="24"/>
        </w:rPr>
        <w:t>The analysis reveals distinct economic structures and policy responses in Hong Kong and Thailand. Hong Kong’s retail sector, heavily reliant on tourism and external demand, experienced significant volatility post-2014 due to global economic shocks, such as the COVID-19 pandemic and geopolitical tensions. In contrast, Thailand’s economy demonstrated greater resilience to external shocks, maintaining stable inflation and retail performance despite global uncertainties.</w:t>
      </w:r>
    </w:p>
    <w:p w14:paraId="2AC53230" w14:textId="77777777" w:rsidR="002E20C8" w:rsidRPr="002E20C8" w:rsidRDefault="002E20C8" w:rsidP="002E20C8">
      <w:pPr>
        <w:adjustRightInd w:val="0"/>
        <w:snapToGrid w:val="0"/>
        <w:spacing w:line="360" w:lineRule="auto"/>
        <w:jc w:val="both"/>
        <w:rPr>
          <w:rFonts w:ascii="Times New Roman" w:hAnsi="Times New Roman"/>
          <w:szCs w:val="24"/>
        </w:rPr>
      </w:pPr>
      <w:r w:rsidRPr="002E20C8">
        <w:rPr>
          <w:rFonts w:ascii="Times New Roman" w:hAnsi="Times New Roman"/>
          <w:szCs w:val="24"/>
        </w:rPr>
        <w:t>These findings underscore the importance of understanding how </w:t>
      </w:r>
      <w:r w:rsidRPr="002E20C8">
        <w:rPr>
          <w:rFonts w:ascii="Times New Roman" w:hAnsi="Times New Roman"/>
          <w:b/>
          <w:bCs/>
          <w:szCs w:val="24"/>
        </w:rPr>
        <w:t>global changes</w:t>
      </w:r>
      <w:r w:rsidRPr="002E20C8">
        <w:rPr>
          <w:rFonts w:ascii="Times New Roman" w:hAnsi="Times New Roman"/>
          <w:szCs w:val="24"/>
        </w:rPr>
        <w:t> (e.g., COVID-19, geopolitical tensions, global commodity prices) impact domestic markets. For AAA, this analysis provides valuable insights into the contrasting economic landscapes of Hong Kong and Thailand, enabling the company to develop strategies that mitigate risks and capitalize on growth opportunities in both regions.</w:t>
      </w:r>
    </w:p>
    <w:p w14:paraId="4F4A4C1F" w14:textId="77777777" w:rsidR="00FB2505" w:rsidRDefault="00FB2505" w:rsidP="00AC0D94">
      <w:pPr>
        <w:adjustRightInd w:val="0"/>
        <w:snapToGrid w:val="0"/>
        <w:spacing w:line="360" w:lineRule="auto"/>
        <w:jc w:val="both"/>
        <w:rPr>
          <w:rFonts w:ascii="Times New Roman" w:hAnsi="Times New Roman"/>
          <w:b/>
          <w:bCs/>
          <w:szCs w:val="24"/>
        </w:rPr>
      </w:pPr>
    </w:p>
    <w:p w14:paraId="5921E155" w14:textId="77777777" w:rsidR="00FB2505" w:rsidRDefault="00FB2505" w:rsidP="00AC0D94">
      <w:pPr>
        <w:adjustRightInd w:val="0"/>
        <w:snapToGrid w:val="0"/>
        <w:spacing w:line="360" w:lineRule="auto"/>
        <w:jc w:val="both"/>
        <w:rPr>
          <w:rFonts w:ascii="Times New Roman" w:hAnsi="Times New Roman"/>
          <w:b/>
          <w:bCs/>
          <w:szCs w:val="24"/>
        </w:rPr>
      </w:pPr>
    </w:p>
    <w:p w14:paraId="1D858A7C" w14:textId="77777777" w:rsidR="00FB2505" w:rsidRDefault="00FB2505" w:rsidP="00AC0D94">
      <w:pPr>
        <w:adjustRightInd w:val="0"/>
        <w:snapToGrid w:val="0"/>
        <w:spacing w:line="360" w:lineRule="auto"/>
        <w:jc w:val="both"/>
        <w:rPr>
          <w:rFonts w:ascii="Times New Roman" w:hAnsi="Times New Roman"/>
          <w:b/>
          <w:bCs/>
          <w:szCs w:val="24"/>
        </w:rPr>
      </w:pPr>
    </w:p>
    <w:p w14:paraId="55A71FD1" w14:textId="77777777" w:rsidR="00FB2505" w:rsidRDefault="00FB2505" w:rsidP="00AC0D94">
      <w:pPr>
        <w:adjustRightInd w:val="0"/>
        <w:snapToGrid w:val="0"/>
        <w:spacing w:line="360" w:lineRule="auto"/>
        <w:jc w:val="both"/>
        <w:rPr>
          <w:rFonts w:ascii="Times New Roman" w:hAnsi="Times New Roman"/>
          <w:b/>
          <w:bCs/>
          <w:szCs w:val="24"/>
        </w:rPr>
      </w:pPr>
    </w:p>
    <w:p w14:paraId="2802856C" w14:textId="271E6F78" w:rsidR="00C57A42" w:rsidRPr="008E3F76" w:rsidRDefault="00C57A42"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lastRenderedPageBreak/>
        <w:t>3. Analysis and Discussion</w:t>
      </w:r>
    </w:p>
    <w:p w14:paraId="2E439DF1" w14:textId="53202296" w:rsidR="00D404A9" w:rsidRPr="008E3F76" w:rsidRDefault="00BB4B17" w:rsidP="00AC0D94">
      <w:pPr>
        <w:adjustRightInd w:val="0"/>
        <w:snapToGrid w:val="0"/>
        <w:spacing w:line="360" w:lineRule="auto"/>
        <w:jc w:val="both"/>
        <w:rPr>
          <w:rFonts w:ascii="Times New Roman" w:hAnsi="Times New Roman"/>
          <w:szCs w:val="24"/>
        </w:rPr>
      </w:pPr>
      <w:r w:rsidRPr="008E3F76">
        <w:rPr>
          <w:rFonts w:ascii="Times New Roman" w:hAnsi="Times New Roman"/>
          <w:szCs w:val="24"/>
        </w:rPr>
        <w:t xml:space="preserve">This section provides a statistical and graphical analysis of consumer inflation and retail sales in Hong Kong and Thailand, supported by empirical data from 2005 to 2023. The analysis </w:t>
      </w:r>
      <w:r>
        <w:rPr>
          <w:rFonts w:ascii="Times New Roman" w:hAnsi="Times New Roman"/>
          <w:szCs w:val="24"/>
        </w:rPr>
        <w:t>aims to capture</w:t>
      </w:r>
      <w:r w:rsidR="0070040C">
        <w:rPr>
          <w:rFonts w:ascii="Times New Roman" w:hAnsi="Times New Roman"/>
          <w:szCs w:val="24"/>
        </w:rPr>
        <w:t xml:space="preserve"> he similari</w:t>
      </w:r>
      <w:r w:rsidR="00B51F32">
        <w:rPr>
          <w:rFonts w:ascii="Times New Roman" w:hAnsi="Times New Roman"/>
          <w:szCs w:val="24"/>
        </w:rPr>
        <w:t>ti</w:t>
      </w:r>
      <w:r w:rsidR="0070040C">
        <w:rPr>
          <w:rFonts w:ascii="Times New Roman" w:hAnsi="Times New Roman"/>
          <w:szCs w:val="24"/>
        </w:rPr>
        <w:t>es</w:t>
      </w:r>
      <w:r w:rsidR="00B51F32">
        <w:rPr>
          <w:rFonts w:ascii="Times New Roman" w:hAnsi="Times New Roman"/>
          <w:szCs w:val="24"/>
        </w:rPr>
        <w:t xml:space="preserve"> and differences in their </w:t>
      </w:r>
      <w:r w:rsidR="00D404A9" w:rsidRPr="00AA3DCD">
        <w:rPr>
          <w:rFonts w:ascii="Times New Roman" w:hAnsi="Times New Roman"/>
          <w:szCs w:val="24"/>
        </w:rPr>
        <w:t>patterns</w:t>
      </w:r>
      <w:r w:rsidR="00B51F32">
        <w:rPr>
          <w:rFonts w:ascii="Times New Roman" w:hAnsi="Times New Roman"/>
          <w:szCs w:val="24"/>
        </w:rPr>
        <w:t xml:space="preserve"> the </w:t>
      </w:r>
      <w:r w:rsidR="00D404A9" w:rsidRPr="00AA3DCD">
        <w:rPr>
          <w:rFonts w:ascii="Times New Roman" w:hAnsi="Times New Roman"/>
          <w:szCs w:val="24"/>
        </w:rPr>
        <w:t>trends</w:t>
      </w:r>
      <w:r w:rsidR="00C14223" w:rsidRPr="00AA3DCD">
        <w:rPr>
          <w:rFonts w:ascii="Times New Roman" w:hAnsi="Times New Roman"/>
          <w:szCs w:val="24"/>
        </w:rPr>
        <w:t xml:space="preserve"> </w:t>
      </w:r>
      <w:r w:rsidR="00D404A9" w:rsidRPr="00AA3DCD">
        <w:rPr>
          <w:rFonts w:ascii="Times New Roman" w:hAnsi="Times New Roman"/>
          <w:szCs w:val="24"/>
        </w:rPr>
        <w:t>and correlations between the</w:t>
      </w:r>
      <w:r w:rsidR="00B51F32">
        <w:rPr>
          <w:rFonts w:ascii="Times New Roman" w:hAnsi="Times New Roman"/>
          <w:szCs w:val="24"/>
        </w:rPr>
        <w:t xml:space="preserve"> selected </w:t>
      </w:r>
      <w:r w:rsidR="00D404A9" w:rsidRPr="00AA3DCD">
        <w:rPr>
          <w:rFonts w:ascii="Times New Roman" w:hAnsi="Times New Roman"/>
          <w:szCs w:val="24"/>
        </w:rPr>
        <w:t>variables</w:t>
      </w:r>
      <w:r w:rsidR="00C14223" w:rsidRPr="00AA3DCD">
        <w:rPr>
          <w:rFonts w:ascii="Times New Roman" w:hAnsi="Times New Roman"/>
          <w:szCs w:val="24"/>
        </w:rPr>
        <w:t xml:space="preserve">. </w:t>
      </w:r>
      <w:r w:rsidR="00D404A9" w:rsidRPr="00AA3DCD">
        <w:rPr>
          <w:rFonts w:ascii="Times New Roman" w:hAnsi="Times New Roman"/>
          <w:szCs w:val="24"/>
        </w:rPr>
        <w:t>The findings</w:t>
      </w:r>
      <w:r w:rsidR="0024549E">
        <w:rPr>
          <w:rFonts w:ascii="Times New Roman" w:hAnsi="Times New Roman"/>
          <w:szCs w:val="24"/>
        </w:rPr>
        <w:t xml:space="preserve"> are used to formulate </w:t>
      </w:r>
      <w:r w:rsidR="00D404A9" w:rsidRPr="00AA3DCD">
        <w:rPr>
          <w:rFonts w:ascii="Times New Roman" w:hAnsi="Times New Roman"/>
          <w:szCs w:val="24"/>
        </w:rPr>
        <w:t>strategic recommendations</w:t>
      </w:r>
      <w:r w:rsidR="006B01F5">
        <w:rPr>
          <w:rFonts w:ascii="Times New Roman" w:hAnsi="Times New Roman"/>
          <w:szCs w:val="24"/>
        </w:rPr>
        <w:t xml:space="preserve"> to the company</w:t>
      </w:r>
      <w:r w:rsidR="00491E35">
        <w:rPr>
          <w:rFonts w:ascii="Times New Roman" w:hAnsi="Times New Roman"/>
          <w:szCs w:val="24"/>
        </w:rPr>
        <w:t xml:space="preserve"> on matter</w:t>
      </w:r>
      <w:r w:rsidR="00090CC0">
        <w:rPr>
          <w:rFonts w:ascii="Times New Roman" w:hAnsi="Times New Roman"/>
          <w:szCs w:val="24"/>
        </w:rPr>
        <w:t xml:space="preserve"> concerning</w:t>
      </w:r>
      <w:ins w:id="0" w:author="User Poon" w:date="2025-03-02T12:02:00Z" w16du:dateUtc="2025-03-02T04:02:00Z">
        <w:r w:rsidR="00D404A9" w:rsidRPr="00AA3DCD">
          <w:rPr>
            <w:rFonts w:ascii="Times New Roman" w:hAnsi="Times New Roman"/>
            <w:szCs w:val="24"/>
          </w:rPr>
          <w:t xml:space="preserve"> </w:t>
        </w:r>
      </w:ins>
      <w:r w:rsidR="00D404A9" w:rsidRPr="00AA3DCD">
        <w:rPr>
          <w:rFonts w:ascii="Times New Roman" w:hAnsi="Times New Roman"/>
          <w:szCs w:val="24"/>
        </w:rPr>
        <w:t>market expansion and operational adjustments.</w:t>
      </w:r>
    </w:p>
    <w:p w14:paraId="59E0129D" w14:textId="77777777" w:rsidR="000D7320" w:rsidRDefault="000D7320" w:rsidP="00AC0D94">
      <w:pPr>
        <w:adjustRightInd w:val="0"/>
        <w:snapToGrid w:val="0"/>
        <w:spacing w:line="360" w:lineRule="auto"/>
        <w:jc w:val="both"/>
        <w:rPr>
          <w:rFonts w:ascii="Times New Roman" w:hAnsi="Times New Roman"/>
          <w:b/>
          <w:bCs/>
          <w:szCs w:val="24"/>
          <w:lang w:val="en-HK"/>
        </w:rPr>
      </w:pPr>
    </w:p>
    <w:p w14:paraId="0BA1045A" w14:textId="6011F949" w:rsidR="000D7320" w:rsidRPr="008E3F76" w:rsidRDefault="000D7320"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t xml:space="preserve">3.1 Trends </w:t>
      </w:r>
      <w:r w:rsidR="005551B4">
        <w:rPr>
          <w:rFonts w:ascii="Times New Roman" w:hAnsi="Times New Roman"/>
          <w:b/>
          <w:bCs/>
          <w:szCs w:val="24"/>
        </w:rPr>
        <w:t xml:space="preserve">of consumer inflation in </w:t>
      </w:r>
      <w:r w:rsidRPr="008E3F76">
        <w:rPr>
          <w:rFonts w:ascii="Times New Roman" w:hAnsi="Times New Roman"/>
          <w:b/>
          <w:bCs/>
          <w:szCs w:val="24"/>
        </w:rPr>
        <w:t>Hong Kong and Thailand:</w:t>
      </w:r>
    </w:p>
    <w:p w14:paraId="3B30AD2A" w14:textId="77777777" w:rsidR="000D7320" w:rsidRPr="008E3F76" w:rsidRDefault="000D7320" w:rsidP="00AC0D94">
      <w:pPr>
        <w:adjustRightInd w:val="0"/>
        <w:snapToGrid w:val="0"/>
        <w:spacing w:line="360" w:lineRule="auto"/>
        <w:jc w:val="both"/>
        <w:rPr>
          <w:rFonts w:ascii="Times New Roman" w:hAnsi="Times New Roman"/>
          <w:szCs w:val="24"/>
        </w:rPr>
      </w:pPr>
      <w:r w:rsidRPr="008E3F76">
        <w:rPr>
          <w:rFonts w:ascii="Times New Roman" w:hAnsi="Times New Roman"/>
          <w:szCs w:val="24"/>
        </w:rPr>
        <w:t>Figure 1: Trends in Hong Kong Retail Sales (HKVRS), Hong Kong CPI, and Thailand CPI (2005–2023)</w:t>
      </w:r>
    </w:p>
    <w:p w14:paraId="4CFF60F7" w14:textId="77777777" w:rsidR="000D7320" w:rsidRPr="008E3F76" w:rsidRDefault="000D7320" w:rsidP="00AC0D94">
      <w:pPr>
        <w:adjustRightInd w:val="0"/>
        <w:snapToGrid w:val="0"/>
        <w:spacing w:line="360" w:lineRule="auto"/>
        <w:jc w:val="both"/>
        <w:rPr>
          <w:rFonts w:ascii="Times New Roman" w:hAnsi="Times New Roman"/>
          <w:b/>
          <w:bCs/>
          <w:szCs w:val="24"/>
          <w:lang w:val="en-HK"/>
        </w:rPr>
      </w:pPr>
    </w:p>
    <w:p w14:paraId="25477527" w14:textId="47FD7668" w:rsidR="001E46DB" w:rsidRPr="008E3F76" w:rsidRDefault="00F96824" w:rsidP="00AC0D94">
      <w:pPr>
        <w:adjustRightInd w:val="0"/>
        <w:snapToGrid w:val="0"/>
        <w:spacing w:line="360" w:lineRule="auto"/>
        <w:jc w:val="both"/>
        <w:rPr>
          <w:rFonts w:ascii="Times New Roman" w:hAnsi="Times New Roman"/>
          <w:b/>
          <w:bCs/>
          <w:szCs w:val="24"/>
          <w:lang w:val="en-HK"/>
        </w:rPr>
      </w:pPr>
      <w:r w:rsidRPr="008E3F76">
        <w:rPr>
          <w:rFonts w:ascii="Times New Roman" w:hAnsi="Times New Roman"/>
          <w:b/>
          <w:bCs/>
          <w:noProof/>
          <w:szCs w:val="24"/>
          <w:lang w:val="en-HK"/>
        </w:rPr>
        <w:drawing>
          <wp:inline distT="0" distB="0" distL="0" distR="0" wp14:anchorId="58184B30" wp14:editId="02CCB27F">
            <wp:extent cx="6120130" cy="4274185"/>
            <wp:effectExtent l="0" t="0" r="0" b="0"/>
            <wp:docPr id="1186618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6618994" name=""/>
                    <pic:cNvPicPr/>
                  </pic:nvPicPr>
                  <pic:blipFill>
                    <a:blip r:embed="rId11"/>
                    <a:stretch>
                      <a:fillRect/>
                    </a:stretch>
                  </pic:blipFill>
                  <pic:spPr>
                    <a:xfrm>
                      <a:off x="0" y="0"/>
                      <a:ext cx="6120130" cy="4274185"/>
                    </a:xfrm>
                    <a:prstGeom prst="rect">
                      <a:avLst/>
                    </a:prstGeom>
                  </pic:spPr>
                </pic:pic>
              </a:graphicData>
            </a:graphic>
          </wp:inline>
        </w:drawing>
      </w:r>
    </w:p>
    <w:p w14:paraId="6B4989DC" w14:textId="77777777" w:rsidR="00344EF3" w:rsidRDefault="00344EF3" w:rsidP="00AC0D94">
      <w:pPr>
        <w:adjustRightInd w:val="0"/>
        <w:snapToGrid w:val="0"/>
        <w:spacing w:line="360" w:lineRule="auto"/>
        <w:jc w:val="both"/>
        <w:rPr>
          <w:rFonts w:ascii="Times New Roman" w:hAnsi="Times New Roman"/>
          <w:szCs w:val="24"/>
        </w:rPr>
      </w:pPr>
    </w:p>
    <w:p w14:paraId="08824850" w14:textId="77777777" w:rsidR="00344EF3" w:rsidRDefault="00344EF3" w:rsidP="00AC0D94">
      <w:pPr>
        <w:adjustRightInd w:val="0"/>
        <w:snapToGrid w:val="0"/>
        <w:spacing w:line="360" w:lineRule="auto"/>
        <w:jc w:val="both"/>
        <w:rPr>
          <w:rFonts w:ascii="Times New Roman" w:hAnsi="Times New Roman"/>
          <w:szCs w:val="24"/>
        </w:rPr>
      </w:pPr>
    </w:p>
    <w:p w14:paraId="341067C5" w14:textId="77777777" w:rsidR="00344EF3" w:rsidRDefault="00344EF3" w:rsidP="00AC0D94">
      <w:pPr>
        <w:adjustRightInd w:val="0"/>
        <w:snapToGrid w:val="0"/>
        <w:spacing w:line="360" w:lineRule="auto"/>
        <w:jc w:val="both"/>
        <w:rPr>
          <w:rFonts w:ascii="Times New Roman" w:hAnsi="Times New Roman"/>
          <w:szCs w:val="24"/>
        </w:rPr>
      </w:pPr>
    </w:p>
    <w:p w14:paraId="179E1F71" w14:textId="77777777" w:rsidR="00344EF3" w:rsidRDefault="00344EF3" w:rsidP="00AC0D94">
      <w:pPr>
        <w:adjustRightInd w:val="0"/>
        <w:snapToGrid w:val="0"/>
        <w:spacing w:line="360" w:lineRule="auto"/>
        <w:jc w:val="both"/>
        <w:rPr>
          <w:rFonts w:ascii="Times New Roman" w:hAnsi="Times New Roman"/>
          <w:szCs w:val="24"/>
        </w:rPr>
      </w:pPr>
    </w:p>
    <w:p w14:paraId="68F0A510" w14:textId="7469BDAA" w:rsidR="00344EF3" w:rsidRPr="00860F2C" w:rsidRDefault="00344EF3" w:rsidP="00AC0D94">
      <w:pPr>
        <w:adjustRightInd w:val="0"/>
        <w:snapToGrid w:val="0"/>
        <w:spacing w:line="360" w:lineRule="auto"/>
        <w:jc w:val="both"/>
        <w:rPr>
          <w:rFonts w:ascii="Times New Roman" w:hAnsi="Times New Roman"/>
          <w:b/>
          <w:bCs/>
          <w:szCs w:val="24"/>
        </w:rPr>
      </w:pPr>
      <w:r w:rsidRPr="00860F2C">
        <w:rPr>
          <w:rFonts w:ascii="Times New Roman" w:hAnsi="Times New Roman"/>
          <w:b/>
          <w:bCs/>
          <w:szCs w:val="24"/>
        </w:rPr>
        <w:lastRenderedPageBreak/>
        <w:t>3.1.1 The Similarities</w:t>
      </w:r>
    </w:p>
    <w:p w14:paraId="72F95105" w14:textId="77777777" w:rsidR="00344EF3" w:rsidRPr="00344EF3" w:rsidRDefault="00344EF3" w:rsidP="003F53B9">
      <w:pPr>
        <w:numPr>
          <w:ilvl w:val="0"/>
          <w:numId w:val="6"/>
        </w:numPr>
        <w:adjustRightInd w:val="0"/>
        <w:snapToGrid w:val="0"/>
        <w:spacing w:line="360" w:lineRule="auto"/>
        <w:jc w:val="both"/>
        <w:rPr>
          <w:rFonts w:ascii="Times New Roman" w:hAnsi="Times New Roman"/>
          <w:b/>
          <w:bCs/>
          <w:szCs w:val="24"/>
        </w:rPr>
      </w:pPr>
      <w:r w:rsidRPr="00344EF3">
        <w:rPr>
          <w:rFonts w:ascii="Times New Roman" w:hAnsi="Times New Roman"/>
          <w:b/>
          <w:bCs/>
          <w:szCs w:val="24"/>
        </w:rPr>
        <w:t>Hong Kong Retail Sales (HKVRS):</w:t>
      </w:r>
    </w:p>
    <w:p w14:paraId="61A61078" w14:textId="77777777" w:rsidR="00344EF3" w:rsidRPr="00344EF3" w:rsidRDefault="00344EF3" w:rsidP="003F53B9">
      <w:pPr>
        <w:numPr>
          <w:ilvl w:val="1"/>
          <w:numId w:val="7"/>
        </w:numPr>
        <w:adjustRightInd w:val="0"/>
        <w:snapToGrid w:val="0"/>
        <w:spacing w:line="360" w:lineRule="auto"/>
        <w:jc w:val="both"/>
        <w:rPr>
          <w:rFonts w:ascii="Times New Roman" w:hAnsi="Times New Roman"/>
          <w:szCs w:val="24"/>
        </w:rPr>
      </w:pPr>
      <w:r w:rsidRPr="00344EF3">
        <w:rPr>
          <w:rFonts w:ascii="Times New Roman" w:hAnsi="Times New Roman"/>
          <w:b/>
          <w:bCs/>
          <w:szCs w:val="24"/>
        </w:rPr>
        <w:t>2005–2013: Growth Phase</w:t>
      </w:r>
      <w:r w:rsidRPr="00344EF3">
        <w:rPr>
          <w:rFonts w:ascii="Times New Roman" w:hAnsi="Times New Roman"/>
          <w:szCs w:val="24"/>
        </w:rPr>
        <w:br/>
        <w:t>Retail sales grew robustly during this period, driven by strong economic expansion, rising tourism (particularly from mainland China), and favorable credit conditions. The Individual Visit Scheme fueled a tourism boom, while low interest rates and a strengthening Renminbi (RMB) made Hong Kong an attractive shopping destination. Rising asset prices also contributed to a wealth effect, boosting consumer confidence and spending.</w:t>
      </w:r>
    </w:p>
    <w:p w14:paraId="3AD2BBE9" w14:textId="77777777" w:rsidR="00344EF3" w:rsidRPr="00344EF3" w:rsidRDefault="00344EF3" w:rsidP="003F53B9">
      <w:pPr>
        <w:numPr>
          <w:ilvl w:val="1"/>
          <w:numId w:val="8"/>
        </w:numPr>
        <w:adjustRightInd w:val="0"/>
        <w:snapToGrid w:val="0"/>
        <w:spacing w:line="360" w:lineRule="auto"/>
        <w:jc w:val="both"/>
        <w:rPr>
          <w:rFonts w:ascii="Times New Roman" w:hAnsi="Times New Roman"/>
          <w:szCs w:val="24"/>
        </w:rPr>
      </w:pPr>
      <w:r w:rsidRPr="00344EF3">
        <w:rPr>
          <w:rFonts w:ascii="Times New Roman" w:hAnsi="Times New Roman"/>
          <w:b/>
          <w:bCs/>
          <w:szCs w:val="24"/>
        </w:rPr>
        <w:t>2014–2023: Decline and Attempted Rebound</w:t>
      </w:r>
      <w:r w:rsidRPr="00344EF3">
        <w:rPr>
          <w:rFonts w:ascii="Times New Roman" w:hAnsi="Times New Roman"/>
          <w:szCs w:val="24"/>
        </w:rPr>
        <w:br/>
        <w:t>Retail sales became more volatile, with significant declines due to slowing economic growth in mainland China, political instability, and the COVID-19 pandemic. The 2019 protests and travel restrictions further disrupted retail activity, leading to a sharp drop in sales. However, a partial recovery was observed in 2023, with retail sales growing by 12.4%.</w:t>
      </w:r>
    </w:p>
    <w:p w14:paraId="417FBE33" w14:textId="77777777" w:rsidR="00344EF3" w:rsidRPr="00344EF3" w:rsidRDefault="00344EF3" w:rsidP="003F53B9">
      <w:pPr>
        <w:numPr>
          <w:ilvl w:val="0"/>
          <w:numId w:val="6"/>
        </w:numPr>
        <w:adjustRightInd w:val="0"/>
        <w:snapToGrid w:val="0"/>
        <w:spacing w:line="360" w:lineRule="auto"/>
        <w:jc w:val="both"/>
        <w:rPr>
          <w:rFonts w:ascii="Times New Roman" w:hAnsi="Times New Roman"/>
          <w:szCs w:val="24"/>
        </w:rPr>
      </w:pPr>
      <w:r w:rsidRPr="00344EF3">
        <w:rPr>
          <w:rFonts w:ascii="Times New Roman" w:hAnsi="Times New Roman"/>
          <w:b/>
          <w:bCs/>
          <w:szCs w:val="24"/>
        </w:rPr>
        <w:t>Hong Kong CPI:</w:t>
      </w:r>
      <w:r w:rsidRPr="00344EF3">
        <w:rPr>
          <w:rFonts w:ascii="Times New Roman" w:hAnsi="Times New Roman"/>
          <w:szCs w:val="24"/>
        </w:rPr>
        <w:br/>
        <w:t>Hong Kong’s CPI remained relatively stable, averaging around 2–3%, with occasional spikes (e.g., 5.7% in 2011) and dips (e.g., -0.9% in 2020). This stability contrasts with the volatility in retail sales, highlighting the resilience of consumer prices despite economic challenges.</w:t>
      </w:r>
    </w:p>
    <w:p w14:paraId="5CB07B39" w14:textId="77777777" w:rsidR="00344EF3" w:rsidRDefault="00344EF3" w:rsidP="003F53B9">
      <w:pPr>
        <w:numPr>
          <w:ilvl w:val="0"/>
          <w:numId w:val="6"/>
        </w:numPr>
        <w:adjustRightInd w:val="0"/>
        <w:snapToGrid w:val="0"/>
        <w:spacing w:line="360" w:lineRule="auto"/>
        <w:jc w:val="both"/>
        <w:rPr>
          <w:rFonts w:ascii="Times New Roman" w:hAnsi="Times New Roman"/>
          <w:szCs w:val="24"/>
        </w:rPr>
      </w:pPr>
      <w:r w:rsidRPr="00344EF3">
        <w:rPr>
          <w:rFonts w:ascii="Times New Roman" w:hAnsi="Times New Roman"/>
          <w:b/>
          <w:bCs/>
          <w:szCs w:val="24"/>
        </w:rPr>
        <w:t>Thailand CPI:</w:t>
      </w:r>
      <w:r w:rsidRPr="00344EF3">
        <w:rPr>
          <w:rFonts w:ascii="Times New Roman" w:hAnsi="Times New Roman"/>
          <w:b/>
          <w:bCs/>
          <w:szCs w:val="24"/>
        </w:rPr>
        <w:br/>
      </w:r>
      <w:r w:rsidRPr="00344EF3">
        <w:rPr>
          <w:rFonts w:ascii="Times New Roman" w:hAnsi="Times New Roman"/>
          <w:szCs w:val="24"/>
        </w:rPr>
        <w:t>Thailand’s CPI showed greater variability, with periods of deflation (e.g., -0.9% in 2015 and -0.8% in 2023) and inflation spikes (e.g., 5.9% in 2022). This reflects Thailand’s reliance on tourism and global commodity prices, making its inflation more susceptible to external shocks.</w:t>
      </w:r>
    </w:p>
    <w:p w14:paraId="74453686" w14:textId="77777777" w:rsidR="009F2F4E" w:rsidRPr="00344EF3" w:rsidRDefault="009F2F4E" w:rsidP="00AC0D94">
      <w:pPr>
        <w:adjustRightInd w:val="0"/>
        <w:snapToGrid w:val="0"/>
        <w:spacing w:line="360" w:lineRule="auto"/>
        <w:ind w:left="720"/>
        <w:jc w:val="both"/>
        <w:rPr>
          <w:rFonts w:ascii="Times New Roman" w:hAnsi="Times New Roman"/>
          <w:szCs w:val="24"/>
        </w:rPr>
      </w:pPr>
    </w:p>
    <w:p w14:paraId="2148B82C" w14:textId="77777777" w:rsidR="009F2F4E" w:rsidRPr="009F2F4E" w:rsidRDefault="009F2F4E" w:rsidP="00AC0D94">
      <w:pPr>
        <w:adjustRightInd w:val="0"/>
        <w:snapToGrid w:val="0"/>
        <w:spacing w:line="360" w:lineRule="auto"/>
        <w:jc w:val="both"/>
        <w:rPr>
          <w:rFonts w:ascii="Times New Roman" w:hAnsi="Times New Roman"/>
          <w:b/>
          <w:bCs/>
          <w:szCs w:val="24"/>
        </w:rPr>
      </w:pPr>
      <w:r w:rsidRPr="009F2F4E">
        <w:rPr>
          <w:rFonts w:ascii="Times New Roman" w:hAnsi="Times New Roman"/>
          <w:b/>
          <w:bCs/>
          <w:szCs w:val="24"/>
        </w:rPr>
        <w:t>3.1.2 The Differences</w:t>
      </w:r>
    </w:p>
    <w:p w14:paraId="7DCE360A" w14:textId="77777777" w:rsidR="009F2F4E" w:rsidRPr="009F2F4E" w:rsidRDefault="009F2F4E" w:rsidP="003F53B9">
      <w:pPr>
        <w:numPr>
          <w:ilvl w:val="0"/>
          <w:numId w:val="9"/>
        </w:numPr>
        <w:adjustRightInd w:val="0"/>
        <w:snapToGrid w:val="0"/>
        <w:spacing w:line="360" w:lineRule="auto"/>
        <w:jc w:val="both"/>
        <w:rPr>
          <w:rFonts w:ascii="Times New Roman" w:hAnsi="Times New Roman"/>
          <w:b/>
          <w:bCs/>
          <w:szCs w:val="24"/>
        </w:rPr>
      </w:pPr>
      <w:r w:rsidRPr="009F2F4E">
        <w:rPr>
          <w:rFonts w:ascii="Times New Roman" w:hAnsi="Times New Roman"/>
          <w:b/>
          <w:bCs/>
          <w:szCs w:val="24"/>
        </w:rPr>
        <w:t>Hong Kong Retail Sales (HKVRS):</w:t>
      </w:r>
    </w:p>
    <w:p w14:paraId="6AFC1777" w14:textId="77777777" w:rsidR="009F2F4E" w:rsidRPr="009F2F4E" w:rsidRDefault="009F2F4E" w:rsidP="003F53B9">
      <w:pPr>
        <w:numPr>
          <w:ilvl w:val="1"/>
          <w:numId w:val="10"/>
        </w:numPr>
        <w:adjustRightInd w:val="0"/>
        <w:snapToGrid w:val="0"/>
        <w:spacing w:line="360" w:lineRule="auto"/>
        <w:jc w:val="both"/>
        <w:rPr>
          <w:rFonts w:ascii="Times New Roman" w:hAnsi="Times New Roman"/>
          <w:szCs w:val="24"/>
        </w:rPr>
      </w:pPr>
      <w:r w:rsidRPr="009F2F4E">
        <w:rPr>
          <w:rFonts w:ascii="Times New Roman" w:hAnsi="Times New Roman"/>
          <w:szCs w:val="24"/>
        </w:rPr>
        <w:t>Hong Kong’s retail sales experienced significant volatility post-2014, with sharp declines in 2015, 2016, 2019, and 2020. The -22.5% drop in 2020 underscores the severe impact of the COVID-19 pandemic.</w:t>
      </w:r>
    </w:p>
    <w:p w14:paraId="641D178E" w14:textId="77777777" w:rsidR="009F2F4E" w:rsidRPr="009F2F4E" w:rsidRDefault="009F2F4E" w:rsidP="003F53B9">
      <w:pPr>
        <w:numPr>
          <w:ilvl w:val="1"/>
          <w:numId w:val="10"/>
        </w:numPr>
        <w:adjustRightInd w:val="0"/>
        <w:snapToGrid w:val="0"/>
        <w:spacing w:line="360" w:lineRule="auto"/>
        <w:jc w:val="both"/>
        <w:rPr>
          <w:rFonts w:ascii="Times New Roman" w:hAnsi="Times New Roman"/>
          <w:szCs w:val="24"/>
        </w:rPr>
      </w:pPr>
      <w:r w:rsidRPr="009F2F4E">
        <w:rPr>
          <w:rFonts w:ascii="Times New Roman" w:hAnsi="Times New Roman"/>
          <w:szCs w:val="24"/>
        </w:rPr>
        <w:t>In contrast, Thailand’s retail sector was less volatile, with inflation remaining relatively stable despite external shocks.</w:t>
      </w:r>
    </w:p>
    <w:p w14:paraId="4B1D8F02" w14:textId="77777777" w:rsidR="009F2F4E" w:rsidRPr="009F2F4E" w:rsidRDefault="009F2F4E" w:rsidP="003F53B9">
      <w:pPr>
        <w:numPr>
          <w:ilvl w:val="0"/>
          <w:numId w:val="9"/>
        </w:numPr>
        <w:adjustRightInd w:val="0"/>
        <w:snapToGrid w:val="0"/>
        <w:spacing w:line="360" w:lineRule="auto"/>
        <w:jc w:val="both"/>
        <w:rPr>
          <w:rFonts w:ascii="Times New Roman" w:hAnsi="Times New Roman"/>
          <w:b/>
          <w:bCs/>
          <w:szCs w:val="24"/>
        </w:rPr>
      </w:pPr>
      <w:r w:rsidRPr="009F2F4E">
        <w:rPr>
          <w:rFonts w:ascii="Times New Roman" w:hAnsi="Times New Roman"/>
          <w:b/>
          <w:bCs/>
          <w:szCs w:val="24"/>
        </w:rPr>
        <w:lastRenderedPageBreak/>
        <w:t>Hong Kong CPI vs. Thailand CPI:</w:t>
      </w:r>
    </w:p>
    <w:p w14:paraId="48041332" w14:textId="77777777" w:rsidR="009F2F4E" w:rsidRPr="009F2F4E" w:rsidRDefault="009F2F4E" w:rsidP="003F53B9">
      <w:pPr>
        <w:pStyle w:val="ListParagraph"/>
        <w:numPr>
          <w:ilvl w:val="1"/>
          <w:numId w:val="11"/>
        </w:numPr>
        <w:adjustRightInd w:val="0"/>
        <w:snapToGrid w:val="0"/>
        <w:spacing w:line="360" w:lineRule="auto"/>
        <w:ind w:leftChars="0"/>
        <w:jc w:val="both"/>
        <w:rPr>
          <w:rFonts w:ascii="Times New Roman" w:hAnsi="Times New Roman"/>
          <w:szCs w:val="24"/>
        </w:rPr>
      </w:pPr>
      <w:r w:rsidRPr="009F2F4E">
        <w:rPr>
          <w:rFonts w:ascii="Times New Roman" w:hAnsi="Times New Roman"/>
          <w:szCs w:val="24"/>
        </w:rPr>
        <w:t>Hong Kong’s CPI remained stable, averaging 2–3%, while Thailand’s CPI showed greater variability, with periods of deflation and inflation spikes.</w:t>
      </w:r>
    </w:p>
    <w:p w14:paraId="5F614C57" w14:textId="77777777" w:rsidR="009F2F4E" w:rsidRPr="009F2F4E" w:rsidRDefault="009F2F4E" w:rsidP="003F53B9">
      <w:pPr>
        <w:pStyle w:val="ListParagraph"/>
        <w:numPr>
          <w:ilvl w:val="1"/>
          <w:numId w:val="11"/>
        </w:numPr>
        <w:adjustRightInd w:val="0"/>
        <w:snapToGrid w:val="0"/>
        <w:spacing w:line="360" w:lineRule="auto"/>
        <w:ind w:leftChars="0"/>
        <w:jc w:val="both"/>
        <w:rPr>
          <w:rFonts w:ascii="Times New Roman" w:hAnsi="Times New Roman"/>
          <w:szCs w:val="24"/>
        </w:rPr>
      </w:pPr>
      <w:r w:rsidRPr="009F2F4E">
        <w:rPr>
          <w:rFonts w:ascii="Times New Roman" w:hAnsi="Times New Roman"/>
          <w:szCs w:val="24"/>
        </w:rPr>
        <w:t>Thailand’s inflation was more susceptible to external shocks due to its reliance on tourism and global commodity prices, whereas Hong Kong’s inflation was more resilient.</w:t>
      </w:r>
    </w:p>
    <w:p w14:paraId="4BC61593" w14:textId="77777777" w:rsidR="000851B7" w:rsidRPr="008E3F76" w:rsidRDefault="000851B7" w:rsidP="00AC0D94">
      <w:pPr>
        <w:adjustRightInd w:val="0"/>
        <w:snapToGrid w:val="0"/>
        <w:spacing w:line="360" w:lineRule="auto"/>
        <w:jc w:val="both"/>
        <w:rPr>
          <w:rFonts w:ascii="Times New Roman" w:hAnsi="Times New Roman"/>
          <w:b/>
          <w:bCs/>
          <w:szCs w:val="24"/>
        </w:rPr>
      </w:pPr>
    </w:p>
    <w:p w14:paraId="102845BC" w14:textId="5D4FD6B8" w:rsidR="005128B6" w:rsidRPr="008E3F76" w:rsidRDefault="005128B6" w:rsidP="00AC0D94">
      <w:pPr>
        <w:tabs>
          <w:tab w:val="left" w:pos="1940"/>
        </w:tabs>
        <w:adjustRightInd w:val="0"/>
        <w:snapToGrid w:val="0"/>
        <w:spacing w:line="360" w:lineRule="auto"/>
        <w:jc w:val="both"/>
        <w:rPr>
          <w:rFonts w:ascii="Times New Roman" w:hAnsi="Times New Roman"/>
          <w:b/>
          <w:bCs/>
          <w:szCs w:val="24"/>
        </w:rPr>
      </w:pPr>
      <w:bookmarkStart w:id="1" w:name="_Hlk187242621"/>
      <w:r w:rsidRPr="008E3F76">
        <w:rPr>
          <w:rFonts w:ascii="Times New Roman" w:hAnsi="Times New Roman"/>
          <w:b/>
          <w:bCs/>
          <w:szCs w:val="24"/>
        </w:rPr>
        <w:t xml:space="preserve">3.2 Analysis of </w:t>
      </w:r>
      <w:r w:rsidR="00F3000F">
        <w:rPr>
          <w:rFonts w:ascii="Times New Roman" w:hAnsi="Times New Roman"/>
          <w:b/>
          <w:bCs/>
          <w:szCs w:val="24"/>
        </w:rPr>
        <w:t>price changes in product category</w:t>
      </w:r>
    </w:p>
    <w:p w14:paraId="74080813" w14:textId="77777777" w:rsidR="005128B6" w:rsidRPr="008E3F76" w:rsidRDefault="005128B6" w:rsidP="00AC0D94">
      <w:pPr>
        <w:tabs>
          <w:tab w:val="left" w:pos="1940"/>
        </w:tabs>
        <w:adjustRightInd w:val="0"/>
        <w:snapToGrid w:val="0"/>
        <w:spacing w:line="360" w:lineRule="auto"/>
        <w:jc w:val="both"/>
        <w:rPr>
          <w:rFonts w:ascii="Times New Roman" w:hAnsi="Times New Roman"/>
          <w:szCs w:val="24"/>
        </w:rPr>
      </w:pPr>
      <w:r w:rsidRPr="008E3F76">
        <w:rPr>
          <w:rFonts w:ascii="Times New Roman" w:hAnsi="Times New Roman"/>
          <w:szCs w:val="24"/>
        </w:rPr>
        <w:t>This sub-section compares the inflation trends in Hong Kong and Thailand, focusing on key product categories such as food and clothing and footwear. By analyzing these trends, we can better understand the economic dynamics of both regions and identify opportunities for AAA to mitigate risks and capitalize on growth potential.</w:t>
      </w:r>
    </w:p>
    <w:p w14:paraId="24DEAAC8" w14:textId="77777777" w:rsidR="00E836ED" w:rsidRDefault="00E836ED" w:rsidP="00AC0D94">
      <w:pPr>
        <w:tabs>
          <w:tab w:val="left" w:pos="1940"/>
        </w:tabs>
        <w:adjustRightInd w:val="0"/>
        <w:snapToGrid w:val="0"/>
        <w:spacing w:line="360" w:lineRule="auto"/>
        <w:jc w:val="both"/>
        <w:rPr>
          <w:rFonts w:ascii="Times New Roman" w:hAnsi="Times New Roman"/>
          <w:szCs w:val="24"/>
        </w:rPr>
      </w:pPr>
    </w:p>
    <w:p w14:paraId="3769DAD6" w14:textId="77777777" w:rsidR="00C940E9" w:rsidRPr="00C940E9" w:rsidRDefault="00C940E9" w:rsidP="00AC0D94">
      <w:pPr>
        <w:tabs>
          <w:tab w:val="left" w:pos="1940"/>
        </w:tabs>
        <w:adjustRightInd w:val="0"/>
        <w:snapToGrid w:val="0"/>
        <w:spacing w:line="360" w:lineRule="auto"/>
        <w:jc w:val="both"/>
        <w:rPr>
          <w:rFonts w:ascii="Times New Roman" w:hAnsi="Times New Roman"/>
          <w:b/>
          <w:bCs/>
          <w:szCs w:val="24"/>
        </w:rPr>
      </w:pPr>
      <w:r w:rsidRPr="00C940E9">
        <w:rPr>
          <w:rFonts w:ascii="Times New Roman" w:hAnsi="Times New Roman"/>
          <w:b/>
          <w:bCs/>
          <w:szCs w:val="24"/>
        </w:rPr>
        <w:t>3.2.1 The Similarities</w:t>
      </w:r>
    </w:p>
    <w:p w14:paraId="72FD1124" w14:textId="77777777" w:rsidR="00C940E9" w:rsidRPr="00C940E9" w:rsidRDefault="00C940E9" w:rsidP="003F53B9">
      <w:pPr>
        <w:numPr>
          <w:ilvl w:val="0"/>
          <w:numId w:val="14"/>
        </w:numPr>
        <w:tabs>
          <w:tab w:val="left" w:pos="1940"/>
        </w:tabs>
        <w:adjustRightInd w:val="0"/>
        <w:snapToGrid w:val="0"/>
        <w:spacing w:line="360" w:lineRule="auto"/>
        <w:jc w:val="both"/>
        <w:rPr>
          <w:rFonts w:ascii="Times New Roman" w:hAnsi="Times New Roman"/>
          <w:szCs w:val="24"/>
        </w:rPr>
      </w:pPr>
      <w:r w:rsidRPr="00C940E9">
        <w:rPr>
          <w:rFonts w:ascii="Times New Roman" w:hAnsi="Times New Roman"/>
          <w:b/>
          <w:bCs/>
          <w:szCs w:val="24"/>
        </w:rPr>
        <w:t>Food Inflation:</w:t>
      </w:r>
    </w:p>
    <w:p w14:paraId="71878444" w14:textId="77777777" w:rsidR="00C940E9" w:rsidRPr="00C940E9" w:rsidRDefault="00C940E9" w:rsidP="003F53B9">
      <w:pPr>
        <w:numPr>
          <w:ilvl w:val="1"/>
          <w:numId w:val="14"/>
        </w:numPr>
        <w:tabs>
          <w:tab w:val="left" w:pos="1940"/>
        </w:tabs>
        <w:adjustRightInd w:val="0"/>
        <w:snapToGrid w:val="0"/>
        <w:spacing w:line="360" w:lineRule="auto"/>
        <w:jc w:val="both"/>
        <w:rPr>
          <w:rFonts w:ascii="Times New Roman" w:hAnsi="Times New Roman"/>
          <w:szCs w:val="24"/>
        </w:rPr>
      </w:pPr>
      <w:r w:rsidRPr="00C940E9">
        <w:rPr>
          <w:rFonts w:ascii="Times New Roman" w:hAnsi="Times New Roman"/>
          <w:szCs w:val="24"/>
        </w:rPr>
        <w:t>Both Hong Kong and Thailand experienced consistent increases in food prices, driven by global commodity price fluctuations and rising demand for food products.</w:t>
      </w:r>
    </w:p>
    <w:p w14:paraId="76EA1E02" w14:textId="77777777" w:rsidR="00C940E9" w:rsidRPr="00C940E9" w:rsidRDefault="00C940E9" w:rsidP="003F53B9">
      <w:pPr>
        <w:numPr>
          <w:ilvl w:val="1"/>
          <w:numId w:val="14"/>
        </w:numPr>
        <w:tabs>
          <w:tab w:val="left" w:pos="1940"/>
        </w:tabs>
        <w:adjustRightInd w:val="0"/>
        <w:snapToGrid w:val="0"/>
        <w:spacing w:line="360" w:lineRule="auto"/>
        <w:jc w:val="both"/>
        <w:rPr>
          <w:rFonts w:ascii="Times New Roman" w:hAnsi="Times New Roman"/>
          <w:szCs w:val="24"/>
        </w:rPr>
      </w:pPr>
      <w:r w:rsidRPr="00C940E9">
        <w:rPr>
          <w:rFonts w:ascii="Times New Roman" w:hAnsi="Times New Roman"/>
          <w:szCs w:val="24"/>
        </w:rPr>
        <w:t>In Hong Kong, food inflation peaked at +4.9% in 2019, while Thailand also saw significant food price increases during periods of global commodity price spikes.</w:t>
      </w:r>
    </w:p>
    <w:p w14:paraId="0E8E35EE" w14:textId="77777777" w:rsidR="00C940E9" w:rsidRPr="00C940E9" w:rsidRDefault="00C940E9" w:rsidP="003F53B9">
      <w:pPr>
        <w:numPr>
          <w:ilvl w:val="0"/>
          <w:numId w:val="14"/>
        </w:numPr>
        <w:tabs>
          <w:tab w:val="left" w:pos="1940"/>
        </w:tabs>
        <w:adjustRightInd w:val="0"/>
        <w:snapToGrid w:val="0"/>
        <w:spacing w:line="360" w:lineRule="auto"/>
        <w:jc w:val="both"/>
        <w:rPr>
          <w:rFonts w:ascii="Times New Roman" w:hAnsi="Times New Roman"/>
          <w:szCs w:val="24"/>
        </w:rPr>
      </w:pPr>
      <w:r w:rsidRPr="00C940E9">
        <w:rPr>
          <w:rFonts w:ascii="Times New Roman" w:hAnsi="Times New Roman"/>
          <w:b/>
          <w:bCs/>
          <w:szCs w:val="24"/>
        </w:rPr>
        <w:t>Clothing and Footwear Inflation:</w:t>
      </w:r>
    </w:p>
    <w:p w14:paraId="00B7A10A" w14:textId="77777777" w:rsidR="00C940E9" w:rsidRPr="00C940E9" w:rsidRDefault="00C940E9" w:rsidP="003F53B9">
      <w:pPr>
        <w:numPr>
          <w:ilvl w:val="1"/>
          <w:numId w:val="14"/>
        </w:numPr>
        <w:tabs>
          <w:tab w:val="left" w:pos="1940"/>
        </w:tabs>
        <w:adjustRightInd w:val="0"/>
        <w:snapToGrid w:val="0"/>
        <w:spacing w:line="360" w:lineRule="auto"/>
        <w:jc w:val="both"/>
        <w:rPr>
          <w:rFonts w:ascii="Times New Roman" w:hAnsi="Times New Roman"/>
          <w:szCs w:val="24"/>
        </w:rPr>
      </w:pPr>
      <w:r w:rsidRPr="00C940E9">
        <w:rPr>
          <w:rFonts w:ascii="Times New Roman" w:hAnsi="Times New Roman"/>
          <w:szCs w:val="24"/>
        </w:rPr>
        <w:t>Both regions experienced volatility in clothing and footwear prices, with periods of deflation followed by sharp increases.</w:t>
      </w:r>
    </w:p>
    <w:p w14:paraId="1FA9AB3E" w14:textId="77777777" w:rsidR="00C940E9" w:rsidRPr="00C940E9" w:rsidRDefault="00C940E9" w:rsidP="003F53B9">
      <w:pPr>
        <w:numPr>
          <w:ilvl w:val="1"/>
          <w:numId w:val="14"/>
        </w:numPr>
        <w:tabs>
          <w:tab w:val="left" w:pos="1940"/>
        </w:tabs>
        <w:adjustRightInd w:val="0"/>
        <w:snapToGrid w:val="0"/>
        <w:spacing w:line="360" w:lineRule="auto"/>
        <w:jc w:val="both"/>
        <w:rPr>
          <w:rFonts w:ascii="Times New Roman" w:hAnsi="Times New Roman"/>
          <w:szCs w:val="24"/>
        </w:rPr>
      </w:pPr>
      <w:r w:rsidRPr="00C940E9">
        <w:rPr>
          <w:rFonts w:ascii="Times New Roman" w:hAnsi="Times New Roman"/>
          <w:szCs w:val="24"/>
        </w:rPr>
        <w:t>For example, Hong Kong saw deflation in clothing and footwear prices in 2020 (-5.2%), followed by a sharp increase in 2023 (+5.8%). Thailand exhibited similar trends, reflecting the impact of global supply chain disruptions and changing consumer preferences.</w:t>
      </w:r>
    </w:p>
    <w:p w14:paraId="1A24CD70" w14:textId="77777777" w:rsidR="00C940E9" w:rsidRDefault="00C940E9" w:rsidP="00AC0D94">
      <w:pPr>
        <w:tabs>
          <w:tab w:val="left" w:pos="1940"/>
        </w:tabs>
        <w:adjustRightInd w:val="0"/>
        <w:snapToGrid w:val="0"/>
        <w:spacing w:line="360" w:lineRule="auto"/>
        <w:jc w:val="both"/>
        <w:rPr>
          <w:rFonts w:ascii="Times New Roman" w:hAnsi="Times New Roman"/>
          <w:szCs w:val="24"/>
        </w:rPr>
      </w:pPr>
    </w:p>
    <w:p w14:paraId="104CDCD5" w14:textId="77777777" w:rsidR="00076C37" w:rsidRDefault="00076C37" w:rsidP="00AC0D94">
      <w:pPr>
        <w:tabs>
          <w:tab w:val="left" w:pos="1940"/>
        </w:tabs>
        <w:adjustRightInd w:val="0"/>
        <w:snapToGrid w:val="0"/>
        <w:spacing w:line="360" w:lineRule="auto"/>
        <w:jc w:val="both"/>
        <w:rPr>
          <w:rFonts w:ascii="Times New Roman" w:hAnsi="Times New Roman"/>
          <w:szCs w:val="24"/>
        </w:rPr>
      </w:pPr>
    </w:p>
    <w:p w14:paraId="4842A93D" w14:textId="77777777" w:rsidR="00076C37" w:rsidRDefault="00076C37" w:rsidP="00AC0D94">
      <w:pPr>
        <w:tabs>
          <w:tab w:val="left" w:pos="1940"/>
        </w:tabs>
        <w:adjustRightInd w:val="0"/>
        <w:snapToGrid w:val="0"/>
        <w:spacing w:line="360" w:lineRule="auto"/>
        <w:jc w:val="both"/>
        <w:rPr>
          <w:rFonts w:ascii="Times New Roman" w:hAnsi="Times New Roman"/>
          <w:szCs w:val="24"/>
        </w:rPr>
      </w:pPr>
    </w:p>
    <w:p w14:paraId="41B13376" w14:textId="77777777" w:rsidR="00076C37" w:rsidRDefault="00076C37" w:rsidP="00AC0D94">
      <w:pPr>
        <w:tabs>
          <w:tab w:val="left" w:pos="1940"/>
        </w:tabs>
        <w:adjustRightInd w:val="0"/>
        <w:snapToGrid w:val="0"/>
        <w:spacing w:line="360" w:lineRule="auto"/>
        <w:jc w:val="both"/>
        <w:rPr>
          <w:rFonts w:ascii="Times New Roman" w:hAnsi="Times New Roman"/>
          <w:szCs w:val="24"/>
        </w:rPr>
      </w:pPr>
    </w:p>
    <w:p w14:paraId="73598BDA" w14:textId="77777777" w:rsidR="00076C37" w:rsidRDefault="00076C37" w:rsidP="00AC0D94">
      <w:pPr>
        <w:tabs>
          <w:tab w:val="left" w:pos="1940"/>
        </w:tabs>
        <w:adjustRightInd w:val="0"/>
        <w:snapToGrid w:val="0"/>
        <w:spacing w:line="360" w:lineRule="auto"/>
        <w:jc w:val="both"/>
        <w:rPr>
          <w:rFonts w:ascii="Times New Roman" w:hAnsi="Times New Roman"/>
          <w:szCs w:val="24"/>
        </w:rPr>
      </w:pPr>
    </w:p>
    <w:p w14:paraId="772C2959" w14:textId="77777777" w:rsidR="00D93997" w:rsidRPr="00D93997" w:rsidRDefault="00D93997" w:rsidP="00AC0D94">
      <w:pPr>
        <w:tabs>
          <w:tab w:val="left" w:pos="1940"/>
        </w:tabs>
        <w:adjustRightInd w:val="0"/>
        <w:snapToGrid w:val="0"/>
        <w:spacing w:line="360" w:lineRule="auto"/>
        <w:jc w:val="both"/>
        <w:rPr>
          <w:rFonts w:ascii="Times New Roman" w:hAnsi="Times New Roman"/>
          <w:b/>
          <w:bCs/>
          <w:szCs w:val="24"/>
        </w:rPr>
      </w:pPr>
      <w:r w:rsidRPr="00D93997">
        <w:rPr>
          <w:rFonts w:ascii="Times New Roman" w:hAnsi="Times New Roman"/>
          <w:b/>
          <w:bCs/>
          <w:szCs w:val="24"/>
        </w:rPr>
        <w:lastRenderedPageBreak/>
        <w:t>3.2.2 The Differences</w:t>
      </w:r>
    </w:p>
    <w:p w14:paraId="743B2953" w14:textId="77777777" w:rsidR="00D93997" w:rsidRPr="00D93997" w:rsidRDefault="00D93997" w:rsidP="003F53B9">
      <w:pPr>
        <w:numPr>
          <w:ilvl w:val="0"/>
          <w:numId w:val="15"/>
        </w:numPr>
        <w:tabs>
          <w:tab w:val="left" w:pos="1940"/>
        </w:tabs>
        <w:adjustRightInd w:val="0"/>
        <w:snapToGrid w:val="0"/>
        <w:spacing w:line="360" w:lineRule="auto"/>
        <w:jc w:val="both"/>
        <w:rPr>
          <w:rFonts w:ascii="Times New Roman" w:hAnsi="Times New Roman"/>
          <w:b/>
          <w:bCs/>
          <w:szCs w:val="24"/>
        </w:rPr>
      </w:pPr>
      <w:r w:rsidRPr="00D93997">
        <w:rPr>
          <w:rFonts w:ascii="Times New Roman" w:hAnsi="Times New Roman"/>
          <w:b/>
          <w:bCs/>
          <w:szCs w:val="24"/>
        </w:rPr>
        <w:t>Food Inflation:</w:t>
      </w:r>
    </w:p>
    <w:p w14:paraId="1CAD47DF" w14:textId="77777777" w:rsidR="00D93997" w:rsidRPr="00D93997" w:rsidRDefault="00D93997" w:rsidP="003F53B9">
      <w:pPr>
        <w:numPr>
          <w:ilvl w:val="1"/>
          <w:numId w:val="16"/>
        </w:numPr>
        <w:tabs>
          <w:tab w:val="left" w:pos="1940"/>
        </w:tabs>
        <w:adjustRightInd w:val="0"/>
        <w:snapToGrid w:val="0"/>
        <w:spacing w:line="360" w:lineRule="auto"/>
        <w:jc w:val="both"/>
        <w:rPr>
          <w:rFonts w:ascii="Times New Roman" w:hAnsi="Times New Roman"/>
          <w:szCs w:val="24"/>
        </w:rPr>
      </w:pPr>
      <w:r w:rsidRPr="00D93997">
        <w:rPr>
          <w:rFonts w:ascii="Times New Roman" w:hAnsi="Times New Roman"/>
          <w:szCs w:val="24"/>
        </w:rPr>
        <w:t>Hong Kong’s food inflation remained relatively high, with consistent increases over the years, while Thailand’s food inflation showed greater variability, with periods of deflation.</w:t>
      </w:r>
    </w:p>
    <w:p w14:paraId="3EAAED16" w14:textId="77777777" w:rsidR="00D93997" w:rsidRPr="00D93997" w:rsidRDefault="00D93997" w:rsidP="003F53B9">
      <w:pPr>
        <w:numPr>
          <w:ilvl w:val="1"/>
          <w:numId w:val="16"/>
        </w:numPr>
        <w:tabs>
          <w:tab w:val="left" w:pos="1940"/>
        </w:tabs>
        <w:adjustRightInd w:val="0"/>
        <w:snapToGrid w:val="0"/>
        <w:spacing w:line="360" w:lineRule="auto"/>
        <w:jc w:val="both"/>
        <w:rPr>
          <w:rFonts w:ascii="Times New Roman" w:hAnsi="Times New Roman"/>
          <w:szCs w:val="24"/>
        </w:rPr>
      </w:pPr>
      <w:r w:rsidRPr="00D93997">
        <w:rPr>
          <w:rFonts w:ascii="Times New Roman" w:hAnsi="Times New Roman"/>
          <w:szCs w:val="24"/>
        </w:rPr>
        <w:t>For example, Thailand experienced deflation in food prices in 2015 (-0.9%) and 2023 (-0.8%), while Hong Kong’s food prices consistently rose.</w:t>
      </w:r>
    </w:p>
    <w:p w14:paraId="3E562BE0" w14:textId="77777777" w:rsidR="00D93997" w:rsidRPr="00D93997" w:rsidRDefault="00D93997" w:rsidP="003F53B9">
      <w:pPr>
        <w:numPr>
          <w:ilvl w:val="0"/>
          <w:numId w:val="15"/>
        </w:numPr>
        <w:tabs>
          <w:tab w:val="left" w:pos="1940"/>
        </w:tabs>
        <w:adjustRightInd w:val="0"/>
        <w:snapToGrid w:val="0"/>
        <w:spacing w:line="360" w:lineRule="auto"/>
        <w:jc w:val="both"/>
        <w:rPr>
          <w:rFonts w:ascii="Times New Roman" w:hAnsi="Times New Roman"/>
          <w:b/>
          <w:bCs/>
          <w:szCs w:val="24"/>
        </w:rPr>
      </w:pPr>
      <w:r w:rsidRPr="00D93997">
        <w:rPr>
          <w:rFonts w:ascii="Times New Roman" w:hAnsi="Times New Roman"/>
          <w:b/>
          <w:bCs/>
          <w:szCs w:val="24"/>
        </w:rPr>
        <w:t>Clothing and Footwear Inflation:</w:t>
      </w:r>
    </w:p>
    <w:p w14:paraId="0ADE03C6" w14:textId="77777777" w:rsidR="00D93997" w:rsidRPr="00D93997" w:rsidRDefault="00D93997" w:rsidP="003F53B9">
      <w:pPr>
        <w:pStyle w:val="ListParagraph"/>
        <w:numPr>
          <w:ilvl w:val="1"/>
          <w:numId w:val="17"/>
        </w:numPr>
        <w:tabs>
          <w:tab w:val="left" w:pos="1940"/>
        </w:tabs>
        <w:adjustRightInd w:val="0"/>
        <w:snapToGrid w:val="0"/>
        <w:spacing w:line="360" w:lineRule="auto"/>
        <w:ind w:leftChars="0"/>
        <w:jc w:val="both"/>
        <w:rPr>
          <w:rFonts w:ascii="Times New Roman" w:hAnsi="Times New Roman"/>
          <w:szCs w:val="24"/>
        </w:rPr>
      </w:pPr>
      <w:r w:rsidRPr="00D93997">
        <w:rPr>
          <w:rFonts w:ascii="Times New Roman" w:hAnsi="Times New Roman"/>
          <w:szCs w:val="24"/>
        </w:rPr>
        <w:t>Hong Kong’s clothing and footwear prices experienced sharper fluctuations, with significant deflationary periods (e.g., -5.2% in 2020) followed by sharp increases (e.g., +5.8% in 2023).</w:t>
      </w:r>
    </w:p>
    <w:p w14:paraId="02437CC7" w14:textId="77777777" w:rsidR="00D93997" w:rsidRPr="00D93997" w:rsidRDefault="00D93997" w:rsidP="003F53B9">
      <w:pPr>
        <w:pStyle w:val="ListParagraph"/>
        <w:numPr>
          <w:ilvl w:val="1"/>
          <w:numId w:val="17"/>
        </w:numPr>
        <w:tabs>
          <w:tab w:val="left" w:pos="1940"/>
        </w:tabs>
        <w:adjustRightInd w:val="0"/>
        <w:snapToGrid w:val="0"/>
        <w:spacing w:line="360" w:lineRule="auto"/>
        <w:ind w:leftChars="0"/>
        <w:jc w:val="both"/>
        <w:rPr>
          <w:rFonts w:ascii="Times New Roman" w:hAnsi="Times New Roman"/>
          <w:szCs w:val="24"/>
        </w:rPr>
      </w:pPr>
      <w:r w:rsidRPr="00D93997">
        <w:rPr>
          <w:rFonts w:ascii="Times New Roman" w:hAnsi="Times New Roman"/>
          <w:szCs w:val="24"/>
        </w:rPr>
        <w:t>Thailand’s clothing and footwear prices were less volatile, with smaller fluctuations and more stable trends.</w:t>
      </w:r>
    </w:p>
    <w:p w14:paraId="0FC5013B" w14:textId="77777777" w:rsidR="00076C37" w:rsidRPr="008E3F76" w:rsidRDefault="00076C37" w:rsidP="00AC0D94">
      <w:pPr>
        <w:tabs>
          <w:tab w:val="left" w:pos="1940"/>
        </w:tabs>
        <w:adjustRightInd w:val="0"/>
        <w:snapToGrid w:val="0"/>
        <w:spacing w:line="360" w:lineRule="auto"/>
        <w:jc w:val="both"/>
        <w:rPr>
          <w:rFonts w:ascii="Times New Roman" w:hAnsi="Times New Roman"/>
          <w:szCs w:val="24"/>
        </w:rPr>
      </w:pPr>
    </w:p>
    <w:p w14:paraId="4D3B1975" w14:textId="77777777" w:rsidR="00E836ED" w:rsidRPr="008E3F76" w:rsidRDefault="00E836ED" w:rsidP="00AC0D94">
      <w:pPr>
        <w:tabs>
          <w:tab w:val="left" w:pos="1940"/>
        </w:tabs>
        <w:adjustRightInd w:val="0"/>
        <w:snapToGrid w:val="0"/>
        <w:spacing w:line="360" w:lineRule="auto"/>
        <w:jc w:val="both"/>
        <w:rPr>
          <w:rFonts w:ascii="Times New Roman" w:hAnsi="Times New Roman"/>
          <w:szCs w:val="24"/>
        </w:rPr>
      </w:pPr>
      <w:r w:rsidRPr="008E3F76">
        <w:rPr>
          <w:rFonts w:ascii="Times New Roman" w:hAnsi="Times New Roman"/>
          <w:b/>
          <w:bCs/>
          <w:szCs w:val="24"/>
        </w:rPr>
        <w:t>Table 2: Inflation Trends for Food and Clothing &amp; Footwear in Hong Kong (2015–2024)</w:t>
      </w:r>
    </w:p>
    <w:p w14:paraId="567904C0" w14:textId="70857D89" w:rsidR="000851B7" w:rsidRPr="008E3F76" w:rsidRDefault="00241B66" w:rsidP="00AC0D94">
      <w:pPr>
        <w:tabs>
          <w:tab w:val="left" w:pos="1940"/>
        </w:tabs>
        <w:adjustRightInd w:val="0"/>
        <w:snapToGrid w:val="0"/>
        <w:spacing w:line="360" w:lineRule="auto"/>
        <w:jc w:val="both"/>
        <w:rPr>
          <w:rFonts w:ascii="Times New Roman" w:hAnsi="Times New Roman"/>
          <w:b/>
          <w:bCs/>
          <w:szCs w:val="24"/>
        </w:rPr>
      </w:pPr>
      <w:r w:rsidRPr="00241B66">
        <w:rPr>
          <w:noProof/>
        </w:rPr>
        <w:drawing>
          <wp:inline distT="0" distB="0" distL="0" distR="0" wp14:anchorId="7C6F3BB2" wp14:editId="2E0E7A25">
            <wp:extent cx="5581650" cy="3127735"/>
            <wp:effectExtent l="0" t="0" r="0" b="0"/>
            <wp:docPr id="81711008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88006" cy="3131296"/>
                    </a:xfrm>
                    <a:prstGeom prst="rect">
                      <a:avLst/>
                    </a:prstGeom>
                    <a:noFill/>
                    <a:ln>
                      <a:noFill/>
                    </a:ln>
                  </pic:spPr>
                </pic:pic>
              </a:graphicData>
            </a:graphic>
          </wp:inline>
        </w:drawing>
      </w:r>
    </w:p>
    <w:p w14:paraId="15FA20D5" w14:textId="77777777" w:rsidR="00AC31CE" w:rsidRPr="00AC31CE" w:rsidRDefault="00AC31CE" w:rsidP="00AC0D94">
      <w:pPr>
        <w:tabs>
          <w:tab w:val="left" w:pos="1940"/>
        </w:tabs>
        <w:adjustRightInd w:val="0"/>
        <w:snapToGrid w:val="0"/>
        <w:spacing w:line="360" w:lineRule="auto"/>
        <w:jc w:val="both"/>
        <w:rPr>
          <w:rFonts w:ascii="Times New Roman" w:hAnsi="Times New Roman"/>
          <w:b/>
          <w:bCs/>
          <w:szCs w:val="24"/>
        </w:rPr>
      </w:pPr>
      <w:r w:rsidRPr="00AC31CE">
        <w:rPr>
          <w:rFonts w:ascii="Times New Roman" w:hAnsi="Times New Roman"/>
          <w:b/>
          <w:bCs/>
          <w:szCs w:val="24"/>
        </w:rPr>
        <w:t>Sources:</w:t>
      </w:r>
    </w:p>
    <w:p w14:paraId="37CA4287" w14:textId="77777777" w:rsidR="00AC31CE" w:rsidRPr="00AC31CE" w:rsidRDefault="00AC31CE" w:rsidP="003F53B9">
      <w:pPr>
        <w:numPr>
          <w:ilvl w:val="0"/>
          <w:numId w:val="18"/>
        </w:numPr>
        <w:tabs>
          <w:tab w:val="left" w:pos="1940"/>
        </w:tabs>
        <w:adjustRightInd w:val="0"/>
        <w:snapToGrid w:val="0"/>
        <w:spacing w:line="360" w:lineRule="auto"/>
        <w:jc w:val="both"/>
        <w:rPr>
          <w:rFonts w:ascii="Times New Roman" w:hAnsi="Times New Roman"/>
          <w:szCs w:val="24"/>
        </w:rPr>
      </w:pPr>
      <w:r w:rsidRPr="00AC31CE">
        <w:rPr>
          <w:rFonts w:ascii="Times New Roman" w:hAnsi="Times New Roman"/>
          <w:szCs w:val="24"/>
        </w:rPr>
        <w:t>Hong Kong: Census and Statistics Department of Hong Kong (CSD, 2024)</w:t>
      </w:r>
    </w:p>
    <w:p w14:paraId="656702E4" w14:textId="77777777" w:rsidR="00AC31CE" w:rsidRPr="00AC31CE" w:rsidRDefault="00AC31CE" w:rsidP="003F53B9">
      <w:pPr>
        <w:numPr>
          <w:ilvl w:val="0"/>
          <w:numId w:val="18"/>
        </w:numPr>
        <w:tabs>
          <w:tab w:val="left" w:pos="1940"/>
        </w:tabs>
        <w:adjustRightInd w:val="0"/>
        <w:snapToGrid w:val="0"/>
        <w:spacing w:line="360" w:lineRule="auto"/>
        <w:jc w:val="both"/>
        <w:rPr>
          <w:rFonts w:ascii="Times New Roman" w:hAnsi="Times New Roman"/>
          <w:szCs w:val="24"/>
        </w:rPr>
      </w:pPr>
      <w:r w:rsidRPr="00AC31CE">
        <w:rPr>
          <w:rFonts w:ascii="Times New Roman" w:hAnsi="Times New Roman"/>
          <w:szCs w:val="24"/>
        </w:rPr>
        <w:t>Thailand: Trading Economics (2024)</w:t>
      </w:r>
    </w:p>
    <w:p w14:paraId="437FA930" w14:textId="77777777" w:rsidR="00AC31CE" w:rsidRDefault="00AC31CE" w:rsidP="00AC0D94">
      <w:pPr>
        <w:tabs>
          <w:tab w:val="left" w:pos="1940"/>
        </w:tabs>
        <w:adjustRightInd w:val="0"/>
        <w:snapToGrid w:val="0"/>
        <w:spacing w:line="360" w:lineRule="auto"/>
        <w:jc w:val="both"/>
        <w:rPr>
          <w:rFonts w:ascii="Times New Roman" w:hAnsi="Times New Roman"/>
          <w:b/>
          <w:bCs/>
          <w:szCs w:val="24"/>
        </w:rPr>
      </w:pPr>
    </w:p>
    <w:p w14:paraId="1B8065C6" w14:textId="6C9B382F" w:rsidR="0051251D" w:rsidRDefault="0051251D" w:rsidP="00AC0D94">
      <w:pPr>
        <w:tabs>
          <w:tab w:val="left" w:pos="1940"/>
        </w:tabs>
        <w:adjustRightInd w:val="0"/>
        <w:snapToGrid w:val="0"/>
        <w:spacing w:line="360" w:lineRule="auto"/>
        <w:jc w:val="both"/>
        <w:rPr>
          <w:rFonts w:ascii="Times New Roman" w:hAnsi="Times New Roman"/>
          <w:szCs w:val="24"/>
        </w:rPr>
      </w:pPr>
      <w:r w:rsidRPr="008E3F76">
        <w:rPr>
          <w:rFonts w:ascii="Times New Roman" w:hAnsi="Times New Roman"/>
          <w:szCs w:val="24"/>
        </w:rPr>
        <w:lastRenderedPageBreak/>
        <w:t>The table highlights significant trends in Hong Kong’s inflation for food and clothing and footwear from 2015 to 2024.</w:t>
      </w:r>
    </w:p>
    <w:p w14:paraId="7D46B23E" w14:textId="77777777" w:rsidR="00FD6627" w:rsidRPr="008E3F76" w:rsidRDefault="00FD6627" w:rsidP="00AC0D94">
      <w:pPr>
        <w:tabs>
          <w:tab w:val="left" w:pos="1940"/>
        </w:tabs>
        <w:adjustRightInd w:val="0"/>
        <w:snapToGrid w:val="0"/>
        <w:spacing w:line="360" w:lineRule="auto"/>
        <w:jc w:val="both"/>
        <w:rPr>
          <w:rFonts w:ascii="Times New Roman" w:hAnsi="Times New Roman"/>
          <w:szCs w:val="24"/>
        </w:rPr>
      </w:pPr>
    </w:p>
    <w:p w14:paraId="27CD125B" w14:textId="77777777" w:rsidR="0051251D" w:rsidRPr="008E3F76" w:rsidRDefault="0051251D" w:rsidP="00AC0D94">
      <w:pPr>
        <w:numPr>
          <w:ilvl w:val="0"/>
          <w:numId w:val="3"/>
        </w:numPr>
        <w:tabs>
          <w:tab w:val="left" w:pos="1940"/>
        </w:tabs>
        <w:adjustRightInd w:val="0"/>
        <w:snapToGrid w:val="0"/>
        <w:spacing w:line="360" w:lineRule="auto"/>
        <w:jc w:val="both"/>
        <w:rPr>
          <w:rFonts w:ascii="Times New Roman" w:hAnsi="Times New Roman"/>
          <w:szCs w:val="24"/>
        </w:rPr>
      </w:pPr>
      <w:r w:rsidRPr="008E3F76">
        <w:rPr>
          <w:rFonts w:ascii="Times New Roman" w:hAnsi="Times New Roman"/>
          <w:b/>
          <w:bCs/>
          <w:szCs w:val="24"/>
        </w:rPr>
        <w:t>Food Inflation:</w:t>
      </w:r>
      <w:r w:rsidRPr="008E3F76">
        <w:rPr>
          <w:rFonts w:ascii="Times New Roman" w:hAnsi="Times New Roman"/>
          <w:szCs w:val="24"/>
        </w:rPr>
        <w:br/>
        <w:t>Food prices have consistently risen over the years, with the highest increase recorded in 2019 (+4.9%). This trend reflects the impact of global commodity price fluctuations and rising demand for food products. However, food inflation has moderated in recent years, dropping to +1.5% in 2024, indicating some stabilization in prices.</w:t>
      </w:r>
    </w:p>
    <w:p w14:paraId="0145F418" w14:textId="77777777" w:rsidR="0051251D" w:rsidRPr="008E3F76" w:rsidRDefault="0051251D" w:rsidP="00AC0D94">
      <w:pPr>
        <w:numPr>
          <w:ilvl w:val="0"/>
          <w:numId w:val="3"/>
        </w:numPr>
        <w:tabs>
          <w:tab w:val="left" w:pos="1940"/>
        </w:tabs>
        <w:adjustRightInd w:val="0"/>
        <w:snapToGrid w:val="0"/>
        <w:spacing w:line="360" w:lineRule="auto"/>
        <w:jc w:val="both"/>
        <w:rPr>
          <w:rFonts w:ascii="Times New Roman" w:hAnsi="Times New Roman"/>
          <w:szCs w:val="24"/>
        </w:rPr>
      </w:pPr>
      <w:r w:rsidRPr="008E3F76">
        <w:rPr>
          <w:rFonts w:ascii="Times New Roman" w:hAnsi="Times New Roman"/>
          <w:b/>
          <w:bCs/>
          <w:szCs w:val="24"/>
        </w:rPr>
        <w:t>Clothing and Footwear Inflation:</w:t>
      </w:r>
      <w:r w:rsidRPr="008E3F76">
        <w:rPr>
          <w:rFonts w:ascii="Times New Roman" w:hAnsi="Times New Roman"/>
          <w:szCs w:val="24"/>
        </w:rPr>
        <w:br/>
        <w:t>Clothing and footwear prices experienced significant volatility, with deflationary periods (e.g., -5.2% in 2020) followed by sharp increases (e.g., +5.8% in 2023). The post-pandemic recovery and changing consumer preferences contributed to this volatility. The decline in 2024 (-0.5%) suggests a potential slowdown in demand or increased competition in the retail sector.</w:t>
      </w:r>
    </w:p>
    <w:p w14:paraId="73B1F7AF" w14:textId="77777777" w:rsidR="0051251D" w:rsidRPr="008E3F76" w:rsidRDefault="0051251D" w:rsidP="00AC0D94">
      <w:pPr>
        <w:tabs>
          <w:tab w:val="left" w:pos="1940"/>
        </w:tabs>
        <w:adjustRightInd w:val="0"/>
        <w:snapToGrid w:val="0"/>
        <w:spacing w:line="360" w:lineRule="auto"/>
        <w:jc w:val="both"/>
        <w:rPr>
          <w:rFonts w:ascii="Times New Roman" w:hAnsi="Times New Roman"/>
          <w:szCs w:val="24"/>
        </w:rPr>
      </w:pPr>
      <w:r w:rsidRPr="008E3F76">
        <w:rPr>
          <w:rFonts w:ascii="Times New Roman" w:hAnsi="Times New Roman"/>
          <w:szCs w:val="24"/>
        </w:rPr>
        <w:t>These trends underscore the importance of monitoring inflation in key product categories, as they directly impact consumer spending and retail performance. For AAA, this data highlights the need to adapt sourcing strategies and product offerings to align with evolving market conditions.</w:t>
      </w:r>
    </w:p>
    <w:p w14:paraId="43A11E7C" w14:textId="77777777" w:rsidR="00C3326F" w:rsidRPr="008E3F76" w:rsidRDefault="00C3326F" w:rsidP="00AC0D94">
      <w:pPr>
        <w:tabs>
          <w:tab w:val="left" w:pos="1940"/>
        </w:tabs>
        <w:adjustRightInd w:val="0"/>
        <w:snapToGrid w:val="0"/>
        <w:spacing w:line="360" w:lineRule="auto"/>
        <w:jc w:val="both"/>
        <w:rPr>
          <w:rFonts w:ascii="Times New Roman" w:hAnsi="Times New Roman"/>
          <w:szCs w:val="24"/>
        </w:rPr>
      </w:pPr>
    </w:p>
    <w:p w14:paraId="57237775" w14:textId="55808F1E" w:rsidR="00C430BC" w:rsidRPr="008E3F76" w:rsidRDefault="00C430BC"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t>3.</w:t>
      </w:r>
      <w:r w:rsidR="006F0C44">
        <w:rPr>
          <w:rFonts w:ascii="Times New Roman" w:hAnsi="Times New Roman"/>
          <w:b/>
          <w:bCs/>
          <w:szCs w:val="24"/>
        </w:rPr>
        <w:t>2.3</w:t>
      </w:r>
      <w:r w:rsidRPr="008E3F76">
        <w:rPr>
          <w:rFonts w:ascii="Times New Roman" w:hAnsi="Times New Roman"/>
          <w:b/>
          <w:bCs/>
          <w:szCs w:val="24"/>
        </w:rPr>
        <w:t xml:space="preserve"> Hong Kong’s Inflation and Retail Sales</w:t>
      </w:r>
    </w:p>
    <w:p w14:paraId="06AAA584" w14:textId="77777777" w:rsidR="00C430BC" w:rsidRPr="008E3F76" w:rsidRDefault="00C430BC" w:rsidP="00AC0D94">
      <w:pPr>
        <w:adjustRightInd w:val="0"/>
        <w:snapToGrid w:val="0"/>
        <w:spacing w:line="360" w:lineRule="auto"/>
        <w:jc w:val="both"/>
        <w:rPr>
          <w:rFonts w:ascii="Times New Roman" w:hAnsi="Times New Roman"/>
          <w:szCs w:val="24"/>
        </w:rPr>
      </w:pPr>
      <w:r w:rsidRPr="008E3F76">
        <w:rPr>
          <w:rFonts w:ascii="Times New Roman" w:hAnsi="Times New Roman"/>
          <w:szCs w:val="24"/>
        </w:rPr>
        <w:t>Hong Kong’s CPI exhibited relative stability compared to Thailand, with fluctuations generally ranging between 1% and 5.7%. Two key peaks were observed:</w:t>
      </w:r>
    </w:p>
    <w:p w14:paraId="5B9C5C8B" w14:textId="77777777" w:rsidR="00C430BC" w:rsidRPr="008E3F76" w:rsidRDefault="00C430BC" w:rsidP="00AC0D94">
      <w:pPr>
        <w:numPr>
          <w:ilvl w:val="0"/>
          <w:numId w:val="2"/>
        </w:numPr>
        <w:adjustRightInd w:val="0"/>
        <w:snapToGrid w:val="0"/>
        <w:spacing w:line="360" w:lineRule="auto"/>
        <w:jc w:val="both"/>
        <w:rPr>
          <w:rFonts w:ascii="Times New Roman" w:hAnsi="Times New Roman"/>
          <w:szCs w:val="24"/>
        </w:rPr>
      </w:pPr>
      <w:r w:rsidRPr="008E3F76">
        <w:rPr>
          <w:rFonts w:ascii="Times New Roman" w:hAnsi="Times New Roman"/>
          <w:szCs w:val="24"/>
        </w:rPr>
        <w:t>Peak 1 (2007): CPI at 3.8%</w:t>
      </w:r>
      <w:r w:rsidRPr="008E3F76">
        <w:rPr>
          <w:rFonts w:ascii="Times New Roman" w:hAnsi="Times New Roman"/>
          <w:szCs w:val="24"/>
        </w:rPr>
        <w:br/>
        <w:t>This period reflected strong inflationary pressure, likely driven by higher global commodity prices and increased domestic demand. Despite rising prices, retail sales grew significantly, indicating robust consumer spending.</w:t>
      </w:r>
    </w:p>
    <w:p w14:paraId="1897250D" w14:textId="77777777" w:rsidR="00C430BC" w:rsidRPr="008E3F76" w:rsidRDefault="00C430BC" w:rsidP="00AC0D94">
      <w:pPr>
        <w:numPr>
          <w:ilvl w:val="0"/>
          <w:numId w:val="2"/>
        </w:numPr>
        <w:adjustRightInd w:val="0"/>
        <w:snapToGrid w:val="0"/>
        <w:spacing w:line="360" w:lineRule="auto"/>
        <w:jc w:val="both"/>
        <w:rPr>
          <w:rFonts w:ascii="Times New Roman" w:hAnsi="Times New Roman"/>
          <w:szCs w:val="24"/>
        </w:rPr>
      </w:pPr>
      <w:r w:rsidRPr="008E3F76">
        <w:rPr>
          <w:rFonts w:ascii="Times New Roman" w:hAnsi="Times New Roman"/>
          <w:szCs w:val="24"/>
        </w:rPr>
        <w:t>Peak 2 (2011): CPI at 5.7%</w:t>
      </w:r>
      <w:r w:rsidRPr="008E3F76">
        <w:rPr>
          <w:rFonts w:ascii="Times New Roman" w:hAnsi="Times New Roman"/>
          <w:szCs w:val="24"/>
        </w:rPr>
        <w:br/>
        <w:t>This represented a more significant inflationary peak, suggesting potential economic overheating. However, retail sales continued to grow, driven by strong economic confidence and rising disposable incomes.</w:t>
      </w:r>
    </w:p>
    <w:p w14:paraId="292BF4BD" w14:textId="77777777" w:rsidR="00E050AB" w:rsidRDefault="00E050AB" w:rsidP="00AC0D94">
      <w:pPr>
        <w:adjustRightInd w:val="0"/>
        <w:snapToGrid w:val="0"/>
        <w:spacing w:line="360" w:lineRule="auto"/>
        <w:ind w:left="720"/>
        <w:jc w:val="both"/>
        <w:rPr>
          <w:rFonts w:ascii="Times New Roman" w:hAnsi="Times New Roman"/>
          <w:szCs w:val="24"/>
        </w:rPr>
      </w:pPr>
    </w:p>
    <w:p w14:paraId="7F025FED" w14:textId="77777777" w:rsidR="00C46BD9" w:rsidRDefault="00C46BD9" w:rsidP="00AC0D94">
      <w:pPr>
        <w:adjustRightInd w:val="0"/>
        <w:snapToGrid w:val="0"/>
        <w:spacing w:line="360" w:lineRule="auto"/>
        <w:ind w:left="720"/>
        <w:jc w:val="both"/>
        <w:rPr>
          <w:rFonts w:ascii="Times New Roman" w:hAnsi="Times New Roman"/>
          <w:szCs w:val="24"/>
        </w:rPr>
      </w:pPr>
    </w:p>
    <w:p w14:paraId="07393EC7" w14:textId="77777777" w:rsidR="00C46BD9" w:rsidRPr="008E3F76" w:rsidRDefault="00C46BD9" w:rsidP="00AC0D94">
      <w:pPr>
        <w:adjustRightInd w:val="0"/>
        <w:snapToGrid w:val="0"/>
        <w:spacing w:line="360" w:lineRule="auto"/>
        <w:ind w:left="720"/>
        <w:jc w:val="both"/>
        <w:rPr>
          <w:rFonts w:ascii="Times New Roman" w:hAnsi="Times New Roman"/>
          <w:szCs w:val="24"/>
        </w:rPr>
      </w:pPr>
    </w:p>
    <w:p w14:paraId="49C037E1" w14:textId="02365436" w:rsidR="007F7AD6" w:rsidRPr="008E3F76" w:rsidRDefault="007F7AD6"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lastRenderedPageBreak/>
        <w:t>3.</w:t>
      </w:r>
      <w:r w:rsidR="006F0C44">
        <w:rPr>
          <w:rFonts w:ascii="Times New Roman" w:hAnsi="Times New Roman"/>
          <w:b/>
          <w:bCs/>
          <w:szCs w:val="24"/>
        </w:rPr>
        <w:t>2.4</w:t>
      </w:r>
      <w:r w:rsidRPr="008E3F76">
        <w:rPr>
          <w:rFonts w:ascii="Times New Roman" w:hAnsi="Times New Roman"/>
          <w:b/>
          <w:bCs/>
          <w:szCs w:val="24"/>
        </w:rPr>
        <w:t xml:space="preserve"> Thailand’s Inflation Trends</w:t>
      </w:r>
    </w:p>
    <w:p w14:paraId="2E8487E5" w14:textId="08C6CD8A" w:rsidR="00CC347A" w:rsidRPr="008E3F76" w:rsidRDefault="008945AA" w:rsidP="00AC0D94">
      <w:pPr>
        <w:adjustRightInd w:val="0"/>
        <w:snapToGrid w:val="0"/>
        <w:spacing w:line="360" w:lineRule="auto"/>
        <w:jc w:val="both"/>
        <w:rPr>
          <w:rFonts w:ascii="Times New Roman" w:hAnsi="Times New Roman"/>
          <w:szCs w:val="24"/>
        </w:rPr>
      </w:pPr>
      <w:r w:rsidRPr="008E3F76">
        <w:rPr>
          <w:rFonts w:ascii="Times New Roman" w:hAnsi="Times New Roman"/>
          <w:szCs w:val="24"/>
        </w:rPr>
        <w:t>Thailand’s CPI showed greater variability compared to Hong Kong, with periods of deflation (e.g., -0.9% in 2015) and inflation spikes (e.g., +59% in 2022). To better understand the drivers of inflation in Thailand, the following table provides a detailed breakdown of category-specific inflation trends for 2024.</w:t>
      </w:r>
    </w:p>
    <w:p w14:paraId="297DA162" w14:textId="77777777" w:rsidR="00C46BD9" w:rsidRDefault="00C46BD9" w:rsidP="00AC0D94">
      <w:pPr>
        <w:adjustRightInd w:val="0"/>
        <w:snapToGrid w:val="0"/>
        <w:spacing w:line="360" w:lineRule="auto"/>
        <w:jc w:val="both"/>
        <w:rPr>
          <w:rFonts w:ascii="Times New Roman" w:hAnsi="Times New Roman"/>
          <w:b/>
          <w:bCs/>
          <w:szCs w:val="24"/>
        </w:rPr>
      </w:pPr>
    </w:p>
    <w:p w14:paraId="21F2147B" w14:textId="28ADAAC9" w:rsidR="00CC347A" w:rsidRDefault="00CC347A"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t>Table 3: Category-Specific Inflation Trends in Thailand (2024)</w:t>
      </w:r>
    </w:p>
    <w:p w14:paraId="09CD416C" w14:textId="034008C6" w:rsidR="002A0A29" w:rsidRPr="008E3F76" w:rsidRDefault="008B3CC5" w:rsidP="00AC0D94">
      <w:pPr>
        <w:adjustRightInd w:val="0"/>
        <w:snapToGrid w:val="0"/>
        <w:spacing w:line="360" w:lineRule="auto"/>
        <w:jc w:val="both"/>
        <w:rPr>
          <w:rFonts w:ascii="Times New Roman" w:hAnsi="Times New Roman"/>
          <w:szCs w:val="24"/>
        </w:rPr>
      </w:pPr>
      <w:r w:rsidRPr="008B3CC5">
        <w:rPr>
          <w:noProof/>
        </w:rPr>
        <w:drawing>
          <wp:inline distT="0" distB="0" distL="0" distR="0" wp14:anchorId="0D88D287" wp14:editId="5F5C29E5">
            <wp:extent cx="6120130" cy="1536700"/>
            <wp:effectExtent l="0" t="0" r="0" b="6350"/>
            <wp:docPr id="44633470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120130" cy="1536700"/>
                    </a:xfrm>
                    <a:prstGeom prst="rect">
                      <a:avLst/>
                    </a:prstGeom>
                    <a:noFill/>
                    <a:ln>
                      <a:noFill/>
                    </a:ln>
                  </pic:spPr>
                </pic:pic>
              </a:graphicData>
            </a:graphic>
          </wp:inline>
        </w:drawing>
      </w:r>
    </w:p>
    <w:p w14:paraId="6CCE3D80" w14:textId="0A7C8060" w:rsidR="00BF3122" w:rsidRPr="008E3F76" w:rsidRDefault="00BF3122"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t>The table highlights significant trends in category-specific inflation in Thailand for 2024.</w:t>
      </w:r>
    </w:p>
    <w:p w14:paraId="19588B30" w14:textId="77777777" w:rsidR="000C50B1" w:rsidRPr="000C50B1" w:rsidRDefault="000C50B1" w:rsidP="003F53B9">
      <w:pPr>
        <w:pStyle w:val="ListParagraph"/>
        <w:numPr>
          <w:ilvl w:val="0"/>
          <w:numId w:val="19"/>
        </w:numPr>
        <w:adjustRightInd w:val="0"/>
        <w:snapToGrid w:val="0"/>
        <w:spacing w:line="360" w:lineRule="auto"/>
        <w:ind w:leftChars="0"/>
        <w:jc w:val="both"/>
        <w:rPr>
          <w:rFonts w:ascii="Times New Roman" w:hAnsi="Times New Roman"/>
          <w:szCs w:val="24"/>
        </w:rPr>
      </w:pPr>
      <w:r w:rsidRPr="000C50B1">
        <w:rPr>
          <w:rFonts w:ascii="Times New Roman" w:hAnsi="Times New Roman"/>
          <w:b/>
          <w:bCs/>
          <w:szCs w:val="24"/>
        </w:rPr>
        <w:t>Food and Non-Alcoholic Beverages</w:t>
      </w:r>
      <w:r w:rsidRPr="000C50B1">
        <w:rPr>
          <w:rFonts w:ascii="Times New Roman" w:hAnsi="Times New Roman"/>
          <w:szCs w:val="24"/>
        </w:rPr>
        <w:t>, which account for 30.5% of Thailand’s CPI, experienced a year-on-year inflation rate of +2.5%. This high weight and rising inflation indicate that food prices significantly impact overall inflation and consumer spending. As food prices rise, disposable income for non-essential items like clothing and footwear may decrease. To address this, AAA should consider offering affordable food options or promotions to attract price-sensitive consumers and mitigate the impact of rising food prices on discretionary spending.</w:t>
      </w:r>
    </w:p>
    <w:p w14:paraId="74E0713F" w14:textId="77777777" w:rsidR="000C50B1" w:rsidRPr="000C50B1" w:rsidRDefault="000C50B1" w:rsidP="003F53B9">
      <w:pPr>
        <w:pStyle w:val="ListParagraph"/>
        <w:numPr>
          <w:ilvl w:val="0"/>
          <w:numId w:val="19"/>
        </w:numPr>
        <w:adjustRightInd w:val="0"/>
        <w:snapToGrid w:val="0"/>
        <w:spacing w:line="360" w:lineRule="auto"/>
        <w:ind w:leftChars="0"/>
        <w:jc w:val="both"/>
        <w:rPr>
          <w:rFonts w:ascii="Times New Roman" w:hAnsi="Times New Roman"/>
          <w:szCs w:val="24"/>
        </w:rPr>
      </w:pPr>
      <w:r w:rsidRPr="000C50B1">
        <w:rPr>
          <w:rFonts w:ascii="Times New Roman" w:hAnsi="Times New Roman"/>
          <w:b/>
          <w:bCs/>
          <w:szCs w:val="24"/>
        </w:rPr>
        <w:t>Clothing and Footwear</w:t>
      </w:r>
      <w:r w:rsidRPr="000C50B1">
        <w:rPr>
          <w:rFonts w:ascii="Times New Roman" w:hAnsi="Times New Roman"/>
          <w:szCs w:val="24"/>
        </w:rPr>
        <w:t>, with a 6.2% weight in CPI and a +1.2% inflation rate, reflect moderate inflation driven by recovering consumer demand and higher raw material costs. This trend suggests that while demand is rebounding, cost pressures may affect profit margins. AAA should focus on cost-effective sourcing strategies and promote value-for-money clothing and footwear to maintain competitiveness in this category.</w:t>
      </w:r>
    </w:p>
    <w:p w14:paraId="3AC44C3F" w14:textId="29EEDD58" w:rsidR="00C430BC" w:rsidRDefault="00C430BC" w:rsidP="00AC0D94">
      <w:pPr>
        <w:adjustRightInd w:val="0"/>
        <w:snapToGrid w:val="0"/>
        <w:spacing w:line="360" w:lineRule="auto"/>
        <w:jc w:val="both"/>
        <w:rPr>
          <w:rFonts w:ascii="Times New Roman" w:hAnsi="Times New Roman"/>
          <w:b/>
          <w:bCs/>
          <w:szCs w:val="24"/>
        </w:rPr>
      </w:pPr>
    </w:p>
    <w:p w14:paraId="63F4A332" w14:textId="77777777" w:rsidR="00405182" w:rsidRDefault="00405182" w:rsidP="00AC0D94">
      <w:pPr>
        <w:adjustRightInd w:val="0"/>
        <w:snapToGrid w:val="0"/>
        <w:spacing w:line="360" w:lineRule="auto"/>
        <w:jc w:val="both"/>
        <w:rPr>
          <w:rFonts w:ascii="Times New Roman" w:hAnsi="Times New Roman"/>
          <w:b/>
          <w:bCs/>
          <w:szCs w:val="24"/>
        </w:rPr>
      </w:pPr>
    </w:p>
    <w:p w14:paraId="2AF48AA6" w14:textId="77777777" w:rsidR="00405182" w:rsidRDefault="00405182" w:rsidP="00AC0D94">
      <w:pPr>
        <w:adjustRightInd w:val="0"/>
        <w:snapToGrid w:val="0"/>
        <w:spacing w:line="360" w:lineRule="auto"/>
        <w:jc w:val="both"/>
        <w:rPr>
          <w:rFonts w:ascii="Times New Roman" w:hAnsi="Times New Roman"/>
          <w:b/>
          <w:bCs/>
          <w:szCs w:val="24"/>
        </w:rPr>
      </w:pPr>
    </w:p>
    <w:p w14:paraId="4959BF3A" w14:textId="77777777" w:rsidR="00405182" w:rsidRDefault="00405182" w:rsidP="00AC0D94">
      <w:pPr>
        <w:adjustRightInd w:val="0"/>
        <w:snapToGrid w:val="0"/>
        <w:spacing w:line="360" w:lineRule="auto"/>
        <w:jc w:val="both"/>
        <w:rPr>
          <w:rFonts w:ascii="Times New Roman" w:hAnsi="Times New Roman"/>
          <w:b/>
          <w:bCs/>
          <w:szCs w:val="24"/>
        </w:rPr>
      </w:pPr>
    </w:p>
    <w:p w14:paraId="0106F4A8" w14:textId="77777777" w:rsidR="00405182" w:rsidRDefault="00405182" w:rsidP="00AC0D94">
      <w:pPr>
        <w:adjustRightInd w:val="0"/>
        <w:snapToGrid w:val="0"/>
        <w:spacing w:line="360" w:lineRule="auto"/>
        <w:jc w:val="both"/>
        <w:rPr>
          <w:rFonts w:ascii="Times New Roman" w:hAnsi="Times New Roman"/>
          <w:b/>
          <w:bCs/>
          <w:szCs w:val="24"/>
        </w:rPr>
      </w:pPr>
    </w:p>
    <w:p w14:paraId="321AD392" w14:textId="0CEDB741" w:rsidR="00DB668C" w:rsidRPr="008E3F76" w:rsidRDefault="00DB668C"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lastRenderedPageBreak/>
        <w:t xml:space="preserve">3.3 Implications for </w:t>
      </w:r>
      <w:r w:rsidR="000C43CB">
        <w:rPr>
          <w:rFonts w:ascii="Times New Roman" w:hAnsi="Times New Roman"/>
          <w:b/>
          <w:bCs/>
          <w:szCs w:val="24"/>
        </w:rPr>
        <w:t>the company</w:t>
      </w:r>
    </w:p>
    <w:p w14:paraId="10780857" w14:textId="1F118CBD" w:rsidR="00EE2C03" w:rsidRDefault="007E011D" w:rsidP="00AC0D94">
      <w:pPr>
        <w:adjustRightInd w:val="0"/>
        <w:snapToGrid w:val="0"/>
        <w:spacing w:line="360" w:lineRule="auto"/>
        <w:jc w:val="both"/>
        <w:rPr>
          <w:rFonts w:ascii="Times New Roman" w:hAnsi="Times New Roman"/>
          <w:szCs w:val="24"/>
        </w:rPr>
      </w:pPr>
      <w:r w:rsidRPr="007E011D">
        <w:rPr>
          <w:rFonts w:ascii="Times New Roman" w:hAnsi="Times New Roman"/>
          <w:szCs w:val="24"/>
        </w:rPr>
        <w:t>The analysis of inflation and retail sales trends in Hong Kong and Thailand provides valuable insights for AAA’s strategic planning. Thailand’s lower inflation volatility and cost advantages, particularly in rent and operational expenses, make it an attractive market for expansion. By establishing franchise stores in Thailand, AAA</w:t>
      </w:r>
      <w:r>
        <w:rPr>
          <w:rFonts w:ascii="Times New Roman" w:hAnsi="Times New Roman"/>
          <w:szCs w:val="24"/>
        </w:rPr>
        <w:t xml:space="preserve"> company</w:t>
      </w:r>
      <w:r w:rsidRPr="007E011D">
        <w:rPr>
          <w:rFonts w:ascii="Times New Roman" w:hAnsi="Times New Roman"/>
          <w:szCs w:val="24"/>
        </w:rPr>
        <w:t xml:space="preserve"> can diversify its market presence, mitigate risks associated with Hong Kong’s retail volatility, and capitalize on Thailand’s growing consumer demand. These findings underscore the importance of adapting AAA</w:t>
      </w:r>
      <w:r>
        <w:rPr>
          <w:rFonts w:ascii="Times New Roman" w:hAnsi="Times New Roman"/>
          <w:szCs w:val="24"/>
        </w:rPr>
        <w:t xml:space="preserve"> company</w:t>
      </w:r>
      <w:r w:rsidRPr="007E011D">
        <w:rPr>
          <w:rFonts w:ascii="Times New Roman" w:hAnsi="Times New Roman"/>
          <w:szCs w:val="24"/>
        </w:rPr>
        <w:t>’s business model to align with regional economic dynamics and consumer behavior.</w:t>
      </w:r>
    </w:p>
    <w:p w14:paraId="0A451E07" w14:textId="77777777" w:rsidR="007E011D" w:rsidRPr="008E3F76" w:rsidRDefault="007E011D" w:rsidP="00AC0D94">
      <w:pPr>
        <w:adjustRightInd w:val="0"/>
        <w:snapToGrid w:val="0"/>
        <w:spacing w:line="360" w:lineRule="auto"/>
        <w:jc w:val="both"/>
        <w:rPr>
          <w:rFonts w:ascii="Times New Roman" w:hAnsi="Times New Roman"/>
          <w:szCs w:val="24"/>
        </w:rPr>
      </w:pPr>
    </w:p>
    <w:p w14:paraId="406E9512" w14:textId="77777777" w:rsidR="0084096B" w:rsidRDefault="0084096B" w:rsidP="00AC0D94">
      <w:pPr>
        <w:adjustRightInd w:val="0"/>
        <w:snapToGrid w:val="0"/>
        <w:spacing w:line="360" w:lineRule="auto"/>
        <w:jc w:val="both"/>
        <w:rPr>
          <w:rFonts w:ascii="Times New Roman" w:hAnsi="Times New Roman"/>
          <w:b/>
          <w:bCs/>
          <w:szCs w:val="24"/>
        </w:rPr>
      </w:pPr>
    </w:p>
    <w:p w14:paraId="380E4153" w14:textId="77777777" w:rsidR="00405182" w:rsidRDefault="00405182" w:rsidP="00AC0D94">
      <w:pPr>
        <w:adjustRightInd w:val="0"/>
        <w:snapToGrid w:val="0"/>
        <w:spacing w:line="360" w:lineRule="auto"/>
        <w:jc w:val="both"/>
        <w:rPr>
          <w:rFonts w:ascii="Times New Roman" w:hAnsi="Times New Roman"/>
          <w:b/>
          <w:bCs/>
          <w:szCs w:val="24"/>
        </w:rPr>
      </w:pPr>
    </w:p>
    <w:p w14:paraId="3C46D15E" w14:textId="77777777" w:rsidR="00405182" w:rsidRDefault="00405182" w:rsidP="00AC0D94">
      <w:pPr>
        <w:adjustRightInd w:val="0"/>
        <w:snapToGrid w:val="0"/>
        <w:spacing w:line="360" w:lineRule="auto"/>
        <w:jc w:val="both"/>
        <w:rPr>
          <w:rFonts w:ascii="Times New Roman" w:hAnsi="Times New Roman"/>
          <w:b/>
          <w:bCs/>
          <w:szCs w:val="24"/>
        </w:rPr>
      </w:pPr>
    </w:p>
    <w:p w14:paraId="7F56BC54" w14:textId="77777777" w:rsidR="00405182" w:rsidRDefault="00405182" w:rsidP="00AC0D94">
      <w:pPr>
        <w:adjustRightInd w:val="0"/>
        <w:snapToGrid w:val="0"/>
        <w:spacing w:line="360" w:lineRule="auto"/>
        <w:jc w:val="both"/>
        <w:rPr>
          <w:rFonts w:ascii="Times New Roman" w:hAnsi="Times New Roman"/>
          <w:b/>
          <w:bCs/>
          <w:szCs w:val="24"/>
        </w:rPr>
      </w:pPr>
    </w:p>
    <w:p w14:paraId="058F7630" w14:textId="77777777" w:rsidR="00405182" w:rsidRDefault="00405182" w:rsidP="00AC0D94">
      <w:pPr>
        <w:adjustRightInd w:val="0"/>
        <w:snapToGrid w:val="0"/>
        <w:spacing w:line="360" w:lineRule="auto"/>
        <w:jc w:val="both"/>
        <w:rPr>
          <w:rFonts w:ascii="Times New Roman" w:hAnsi="Times New Roman"/>
          <w:b/>
          <w:bCs/>
          <w:szCs w:val="24"/>
        </w:rPr>
      </w:pPr>
    </w:p>
    <w:p w14:paraId="34FB1417" w14:textId="77777777" w:rsidR="00405182" w:rsidRDefault="00405182" w:rsidP="00AC0D94">
      <w:pPr>
        <w:adjustRightInd w:val="0"/>
        <w:snapToGrid w:val="0"/>
        <w:spacing w:line="360" w:lineRule="auto"/>
        <w:jc w:val="both"/>
        <w:rPr>
          <w:rFonts w:ascii="Times New Roman" w:hAnsi="Times New Roman"/>
          <w:b/>
          <w:bCs/>
          <w:szCs w:val="24"/>
        </w:rPr>
      </w:pPr>
    </w:p>
    <w:p w14:paraId="3AED0557" w14:textId="77777777" w:rsidR="00405182" w:rsidRDefault="00405182" w:rsidP="00AC0D94">
      <w:pPr>
        <w:adjustRightInd w:val="0"/>
        <w:snapToGrid w:val="0"/>
        <w:spacing w:line="360" w:lineRule="auto"/>
        <w:jc w:val="both"/>
        <w:rPr>
          <w:rFonts w:ascii="Times New Roman" w:hAnsi="Times New Roman"/>
          <w:b/>
          <w:bCs/>
          <w:szCs w:val="24"/>
        </w:rPr>
      </w:pPr>
    </w:p>
    <w:p w14:paraId="47D041C6" w14:textId="77777777" w:rsidR="00405182" w:rsidRDefault="00405182" w:rsidP="00AC0D94">
      <w:pPr>
        <w:adjustRightInd w:val="0"/>
        <w:snapToGrid w:val="0"/>
        <w:spacing w:line="360" w:lineRule="auto"/>
        <w:jc w:val="both"/>
        <w:rPr>
          <w:rFonts w:ascii="Times New Roman" w:hAnsi="Times New Roman"/>
          <w:b/>
          <w:bCs/>
          <w:szCs w:val="24"/>
        </w:rPr>
      </w:pPr>
    </w:p>
    <w:p w14:paraId="6C50606C" w14:textId="77777777" w:rsidR="00405182" w:rsidRDefault="00405182" w:rsidP="00AC0D94">
      <w:pPr>
        <w:adjustRightInd w:val="0"/>
        <w:snapToGrid w:val="0"/>
        <w:spacing w:line="360" w:lineRule="auto"/>
        <w:jc w:val="both"/>
        <w:rPr>
          <w:rFonts w:ascii="Times New Roman" w:hAnsi="Times New Roman"/>
          <w:b/>
          <w:bCs/>
          <w:szCs w:val="24"/>
        </w:rPr>
      </w:pPr>
    </w:p>
    <w:p w14:paraId="4BCF8BE2" w14:textId="77777777" w:rsidR="00405182" w:rsidRDefault="00405182" w:rsidP="00AC0D94">
      <w:pPr>
        <w:adjustRightInd w:val="0"/>
        <w:snapToGrid w:val="0"/>
        <w:spacing w:line="360" w:lineRule="auto"/>
        <w:jc w:val="both"/>
        <w:rPr>
          <w:rFonts w:ascii="Times New Roman" w:hAnsi="Times New Roman"/>
          <w:b/>
          <w:bCs/>
          <w:szCs w:val="24"/>
        </w:rPr>
      </w:pPr>
    </w:p>
    <w:p w14:paraId="5E37351C" w14:textId="77777777" w:rsidR="00405182" w:rsidRDefault="00405182" w:rsidP="00AC0D94">
      <w:pPr>
        <w:adjustRightInd w:val="0"/>
        <w:snapToGrid w:val="0"/>
        <w:spacing w:line="360" w:lineRule="auto"/>
        <w:jc w:val="both"/>
        <w:rPr>
          <w:rFonts w:ascii="Times New Roman" w:hAnsi="Times New Roman"/>
          <w:b/>
          <w:bCs/>
          <w:szCs w:val="24"/>
        </w:rPr>
      </w:pPr>
    </w:p>
    <w:p w14:paraId="419F59CF" w14:textId="77777777" w:rsidR="00405182" w:rsidRDefault="00405182" w:rsidP="00AC0D94">
      <w:pPr>
        <w:adjustRightInd w:val="0"/>
        <w:snapToGrid w:val="0"/>
        <w:spacing w:line="360" w:lineRule="auto"/>
        <w:jc w:val="both"/>
        <w:rPr>
          <w:rFonts w:ascii="Times New Roman" w:hAnsi="Times New Roman"/>
          <w:b/>
          <w:bCs/>
          <w:szCs w:val="24"/>
        </w:rPr>
      </w:pPr>
    </w:p>
    <w:p w14:paraId="0FA22D08" w14:textId="77777777" w:rsidR="00405182" w:rsidRDefault="00405182" w:rsidP="00AC0D94">
      <w:pPr>
        <w:adjustRightInd w:val="0"/>
        <w:snapToGrid w:val="0"/>
        <w:spacing w:line="360" w:lineRule="auto"/>
        <w:jc w:val="both"/>
        <w:rPr>
          <w:rFonts w:ascii="Times New Roman" w:hAnsi="Times New Roman"/>
          <w:b/>
          <w:bCs/>
          <w:szCs w:val="24"/>
        </w:rPr>
      </w:pPr>
    </w:p>
    <w:p w14:paraId="14811CC7" w14:textId="77777777" w:rsidR="00405182" w:rsidRDefault="00405182" w:rsidP="00AC0D94">
      <w:pPr>
        <w:adjustRightInd w:val="0"/>
        <w:snapToGrid w:val="0"/>
        <w:spacing w:line="360" w:lineRule="auto"/>
        <w:jc w:val="both"/>
        <w:rPr>
          <w:rFonts w:ascii="Times New Roman" w:hAnsi="Times New Roman"/>
          <w:b/>
          <w:bCs/>
          <w:szCs w:val="24"/>
        </w:rPr>
      </w:pPr>
    </w:p>
    <w:p w14:paraId="17013447" w14:textId="77777777" w:rsidR="00405182" w:rsidRDefault="00405182" w:rsidP="00AC0D94">
      <w:pPr>
        <w:adjustRightInd w:val="0"/>
        <w:snapToGrid w:val="0"/>
        <w:spacing w:line="360" w:lineRule="auto"/>
        <w:jc w:val="both"/>
        <w:rPr>
          <w:rFonts w:ascii="Times New Roman" w:hAnsi="Times New Roman"/>
          <w:b/>
          <w:bCs/>
          <w:szCs w:val="24"/>
        </w:rPr>
      </w:pPr>
    </w:p>
    <w:p w14:paraId="2A97C34E" w14:textId="77777777" w:rsidR="00405182" w:rsidRDefault="00405182" w:rsidP="00AC0D94">
      <w:pPr>
        <w:adjustRightInd w:val="0"/>
        <w:snapToGrid w:val="0"/>
        <w:spacing w:line="360" w:lineRule="auto"/>
        <w:jc w:val="both"/>
        <w:rPr>
          <w:rFonts w:ascii="Times New Roman" w:hAnsi="Times New Roman"/>
          <w:b/>
          <w:bCs/>
          <w:szCs w:val="24"/>
        </w:rPr>
      </w:pPr>
    </w:p>
    <w:p w14:paraId="10AFCBFD" w14:textId="77777777" w:rsidR="00405182" w:rsidRDefault="00405182" w:rsidP="00AC0D94">
      <w:pPr>
        <w:adjustRightInd w:val="0"/>
        <w:snapToGrid w:val="0"/>
        <w:spacing w:line="360" w:lineRule="auto"/>
        <w:jc w:val="both"/>
        <w:rPr>
          <w:rFonts w:ascii="Times New Roman" w:hAnsi="Times New Roman"/>
          <w:b/>
          <w:bCs/>
          <w:szCs w:val="24"/>
        </w:rPr>
      </w:pPr>
    </w:p>
    <w:p w14:paraId="586FCB1A" w14:textId="77777777" w:rsidR="00405182" w:rsidRDefault="00405182" w:rsidP="00AC0D94">
      <w:pPr>
        <w:adjustRightInd w:val="0"/>
        <w:snapToGrid w:val="0"/>
        <w:spacing w:line="360" w:lineRule="auto"/>
        <w:jc w:val="both"/>
        <w:rPr>
          <w:rFonts w:ascii="Times New Roman" w:hAnsi="Times New Roman"/>
          <w:b/>
          <w:bCs/>
          <w:szCs w:val="24"/>
        </w:rPr>
      </w:pPr>
    </w:p>
    <w:p w14:paraId="59970EEA" w14:textId="77777777" w:rsidR="00405182" w:rsidRDefault="00405182" w:rsidP="00AC0D94">
      <w:pPr>
        <w:adjustRightInd w:val="0"/>
        <w:snapToGrid w:val="0"/>
        <w:spacing w:line="360" w:lineRule="auto"/>
        <w:jc w:val="both"/>
        <w:rPr>
          <w:rFonts w:ascii="Times New Roman" w:hAnsi="Times New Roman"/>
          <w:b/>
          <w:bCs/>
          <w:szCs w:val="24"/>
        </w:rPr>
      </w:pPr>
    </w:p>
    <w:p w14:paraId="6A8E707B" w14:textId="77777777" w:rsidR="00405182" w:rsidRDefault="00405182" w:rsidP="00AC0D94">
      <w:pPr>
        <w:adjustRightInd w:val="0"/>
        <w:snapToGrid w:val="0"/>
        <w:spacing w:line="360" w:lineRule="auto"/>
        <w:jc w:val="both"/>
        <w:rPr>
          <w:rFonts w:ascii="Times New Roman" w:hAnsi="Times New Roman"/>
          <w:b/>
          <w:bCs/>
          <w:szCs w:val="24"/>
        </w:rPr>
      </w:pPr>
    </w:p>
    <w:p w14:paraId="5844B035" w14:textId="77777777" w:rsidR="00405182" w:rsidRDefault="00405182" w:rsidP="00AC0D94">
      <w:pPr>
        <w:adjustRightInd w:val="0"/>
        <w:snapToGrid w:val="0"/>
        <w:spacing w:line="360" w:lineRule="auto"/>
        <w:jc w:val="both"/>
        <w:rPr>
          <w:rFonts w:ascii="Times New Roman" w:hAnsi="Times New Roman"/>
          <w:b/>
          <w:bCs/>
          <w:szCs w:val="24"/>
        </w:rPr>
      </w:pPr>
    </w:p>
    <w:p w14:paraId="225D8AEF" w14:textId="77777777" w:rsidR="0084096B" w:rsidRDefault="0084096B" w:rsidP="00AC0D94">
      <w:pPr>
        <w:adjustRightInd w:val="0"/>
        <w:snapToGrid w:val="0"/>
        <w:spacing w:line="360" w:lineRule="auto"/>
        <w:jc w:val="both"/>
        <w:rPr>
          <w:rFonts w:ascii="Times New Roman" w:hAnsi="Times New Roman"/>
          <w:b/>
          <w:bCs/>
          <w:szCs w:val="24"/>
        </w:rPr>
      </w:pPr>
    </w:p>
    <w:p w14:paraId="5B18606E" w14:textId="494C1E4A" w:rsidR="00EE2C03" w:rsidRDefault="00EE2C03"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lastRenderedPageBreak/>
        <w:t>3.3.1 Rent Trends in Hong Kong and Thailand</w:t>
      </w:r>
    </w:p>
    <w:p w14:paraId="513841F0" w14:textId="1FC399B2" w:rsidR="00EE2C03" w:rsidRPr="008E3F76" w:rsidRDefault="00E67E7D" w:rsidP="00AC0D94">
      <w:pPr>
        <w:adjustRightInd w:val="0"/>
        <w:snapToGrid w:val="0"/>
        <w:spacing w:line="360" w:lineRule="auto"/>
        <w:jc w:val="both"/>
        <w:rPr>
          <w:rFonts w:ascii="Times New Roman" w:hAnsi="Times New Roman"/>
          <w:b/>
          <w:bCs/>
          <w:szCs w:val="24"/>
        </w:rPr>
      </w:pPr>
      <w:r>
        <w:rPr>
          <w:rFonts w:ascii="Times New Roman" w:hAnsi="Times New Roman"/>
          <w:b/>
          <w:bCs/>
          <w:szCs w:val="24"/>
        </w:rPr>
        <w:t>Table</w:t>
      </w:r>
      <w:r w:rsidR="00EE2C03" w:rsidRPr="008E3F76">
        <w:rPr>
          <w:rFonts w:ascii="Times New Roman" w:hAnsi="Times New Roman"/>
          <w:b/>
          <w:bCs/>
          <w:szCs w:val="24"/>
        </w:rPr>
        <w:t xml:space="preserve"> 4: Rent Trends in Hong Kong (2009–2024)</w:t>
      </w:r>
    </w:p>
    <w:p w14:paraId="4958EB68" w14:textId="2C38A38F" w:rsidR="00EE2C03" w:rsidRPr="008E3F76" w:rsidRDefault="00112CD9" w:rsidP="00AC0D94">
      <w:pPr>
        <w:adjustRightInd w:val="0"/>
        <w:snapToGrid w:val="0"/>
        <w:spacing w:line="360" w:lineRule="auto"/>
        <w:jc w:val="both"/>
        <w:rPr>
          <w:rFonts w:ascii="Times New Roman" w:hAnsi="Times New Roman"/>
          <w:szCs w:val="24"/>
        </w:rPr>
      </w:pPr>
      <w:r w:rsidRPr="00112CD9">
        <w:rPr>
          <w:noProof/>
        </w:rPr>
        <w:drawing>
          <wp:inline distT="0" distB="0" distL="0" distR="0" wp14:anchorId="618DE9E9" wp14:editId="73D7C76B">
            <wp:extent cx="3838575" cy="5512021"/>
            <wp:effectExtent l="0" t="0" r="0" b="0"/>
            <wp:docPr id="162196047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845343" cy="5521739"/>
                    </a:xfrm>
                    <a:prstGeom prst="rect">
                      <a:avLst/>
                    </a:prstGeom>
                    <a:noFill/>
                    <a:ln>
                      <a:noFill/>
                    </a:ln>
                  </pic:spPr>
                </pic:pic>
              </a:graphicData>
            </a:graphic>
          </wp:inline>
        </w:drawing>
      </w:r>
    </w:p>
    <w:p w14:paraId="1468094D" w14:textId="77777777" w:rsidR="00CE7ABB" w:rsidRPr="00CE7ABB" w:rsidRDefault="00CE7ABB" w:rsidP="00AC0D94">
      <w:pPr>
        <w:adjustRightInd w:val="0"/>
        <w:snapToGrid w:val="0"/>
        <w:spacing w:line="360" w:lineRule="auto"/>
        <w:jc w:val="both"/>
        <w:rPr>
          <w:rFonts w:ascii="Times New Roman" w:hAnsi="Times New Roman"/>
          <w:szCs w:val="24"/>
        </w:rPr>
      </w:pPr>
      <w:r w:rsidRPr="00CE7ABB">
        <w:rPr>
          <w:rFonts w:ascii="Times New Roman" w:hAnsi="Times New Roman"/>
          <w:b/>
          <w:bCs/>
          <w:szCs w:val="24"/>
        </w:rPr>
        <w:t>Sources:</w:t>
      </w:r>
    </w:p>
    <w:p w14:paraId="76398106" w14:textId="77777777" w:rsidR="00CE7ABB" w:rsidRPr="00CE7ABB" w:rsidRDefault="00CE7ABB" w:rsidP="003F53B9">
      <w:pPr>
        <w:numPr>
          <w:ilvl w:val="0"/>
          <w:numId w:val="20"/>
        </w:numPr>
        <w:adjustRightInd w:val="0"/>
        <w:snapToGrid w:val="0"/>
        <w:spacing w:line="360" w:lineRule="auto"/>
        <w:jc w:val="both"/>
        <w:rPr>
          <w:rFonts w:ascii="Times New Roman" w:hAnsi="Times New Roman"/>
          <w:szCs w:val="24"/>
        </w:rPr>
      </w:pPr>
      <w:r w:rsidRPr="00CE7ABB">
        <w:rPr>
          <w:rFonts w:ascii="Times New Roman" w:hAnsi="Times New Roman"/>
          <w:szCs w:val="24"/>
        </w:rPr>
        <w:t>Hong Kong Rating and Valuation Department (RVD, 2024)</w:t>
      </w:r>
    </w:p>
    <w:p w14:paraId="1717A9E9" w14:textId="77777777" w:rsidR="00CE7ABB" w:rsidRPr="00CE7ABB" w:rsidRDefault="00CE7ABB" w:rsidP="003F53B9">
      <w:pPr>
        <w:numPr>
          <w:ilvl w:val="0"/>
          <w:numId w:val="20"/>
        </w:numPr>
        <w:adjustRightInd w:val="0"/>
        <w:snapToGrid w:val="0"/>
        <w:spacing w:line="360" w:lineRule="auto"/>
        <w:jc w:val="both"/>
        <w:rPr>
          <w:rFonts w:ascii="Times New Roman" w:hAnsi="Times New Roman"/>
          <w:szCs w:val="24"/>
        </w:rPr>
      </w:pPr>
      <w:r w:rsidRPr="00CE7ABB">
        <w:rPr>
          <w:rFonts w:ascii="Times New Roman" w:hAnsi="Times New Roman"/>
          <w:szCs w:val="24"/>
        </w:rPr>
        <w:t>CBRE Hong Kong Market Reports (2024)</w:t>
      </w:r>
    </w:p>
    <w:p w14:paraId="319E7455" w14:textId="77777777" w:rsidR="005E5B12" w:rsidRDefault="005E5B12" w:rsidP="00AC0D94">
      <w:pPr>
        <w:adjustRightInd w:val="0"/>
        <w:snapToGrid w:val="0"/>
        <w:spacing w:line="360" w:lineRule="auto"/>
        <w:jc w:val="both"/>
        <w:rPr>
          <w:rFonts w:ascii="Times New Roman" w:hAnsi="Times New Roman"/>
          <w:szCs w:val="24"/>
        </w:rPr>
      </w:pPr>
    </w:p>
    <w:p w14:paraId="348CDDC9" w14:textId="77777777" w:rsidR="002648A5" w:rsidRDefault="002648A5" w:rsidP="00AC0D94">
      <w:pPr>
        <w:adjustRightInd w:val="0"/>
        <w:snapToGrid w:val="0"/>
        <w:spacing w:line="360" w:lineRule="auto"/>
        <w:jc w:val="both"/>
        <w:rPr>
          <w:rFonts w:ascii="Times New Roman" w:hAnsi="Times New Roman"/>
          <w:szCs w:val="24"/>
        </w:rPr>
      </w:pPr>
    </w:p>
    <w:p w14:paraId="7C88072E" w14:textId="77777777" w:rsidR="002648A5" w:rsidRDefault="002648A5" w:rsidP="00AC0D94">
      <w:pPr>
        <w:adjustRightInd w:val="0"/>
        <w:snapToGrid w:val="0"/>
        <w:spacing w:line="360" w:lineRule="auto"/>
        <w:jc w:val="both"/>
        <w:rPr>
          <w:rFonts w:ascii="Times New Roman" w:hAnsi="Times New Roman"/>
          <w:szCs w:val="24"/>
        </w:rPr>
      </w:pPr>
    </w:p>
    <w:p w14:paraId="529071E0" w14:textId="77777777" w:rsidR="002648A5" w:rsidRDefault="002648A5" w:rsidP="00AC0D94">
      <w:pPr>
        <w:adjustRightInd w:val="0"/>
        <w:snapToGrid w:val="0"/>
        <w:spacing w:line="360" w:lineRule="auto"/>
        <w:jc w:val="both"/>
        <w:rPr>
          <w:rFonts w:ascii="Times New Roman" w:hAnsi="Times New Roman"/>
          <w:szCs w:val="24"/>
        </w:rPr>
      </w:pPr>
    </w:p>
    <w:p w14:paraId="245C0B25" w14:textId="77777777" w:rsidR="002648A5" w:rsidRPr="008E3F76" w:rsidRDefault="002648A5" w:rsidP="00AC0D94">
      <w:pPr>
        <w:adjustRightInd w:val="0"/>
        <w:snapToGrid w:val="0"/>
        <w:spacing w:line="360" w:lineRule="auto"/>
        <w:jc w:val="both"/>
        <w:rPr>
          <w:rFonts w:ascii="Times New Roman" w:hAnsi="Times New Roman"/>
          <w:szCs w:val="24"/>
        </w:rPr>
      </w:pPr>
    </w:p>
    <w:p w14:paraId="3C40BC77" w14:textId="5AADF1B5" w:rsidR="005E5B12" w:rsidRPr="008E3F76" w:rsidRDefault="00CE7ABB" w:rsidP="00AC0D94">
      <w:pPr>
        <w:adjustRightInd w:val="0"/>
        <w:snapToGrid w:val="0"/>
        <w:spacing w:line="360" w:lineRule="auto"/>
        <w:jc w:val="both"/>
        <w:rPr>
          <w:rFonts w:ascii="Times New Roman" w:hAnsi="Times New Roman"/>
          <w:b/>
          <w:bCs/>
          <w:szCs w:val="24"/>
        </w:rPr>
      </w:pPr>
      <w:r>
        <w:rPr>
          <w:rFonts w:ascii="Times New Roman" w:hAnsi="Times New Roman"/>
          <w:b/>
          <w:bCs/>
          <w:szCs w:val="24"/>
        </w:rPr>
        <w:lastRenderedPageBreak/>
        <w:t>Table</w:t>
      </w:r>
      <w:r w:rsidR="005E5B12" w:rsidRPr="008E3F76">
        <w:rPr>
          <w:rFonts w:ascii="Times New Roman" w:hAnsi="Times New Roman"/>
          <w:b/>
          <w:bCs/>
          <w:szCs w:val="24"/>
        </w:rPr>
        <w:t xml:space="preserve"> 5: Rent Trends in Thailand (Q1 2013 – Q4 2019)</w:t>
      </w:r>
    </w:p>
    <w:p w14:paraId="682C9134" w14:textId="41D78E3E" w:rsidR="00E050AB" w:rsidRPr="008E3F76" w:rsidRDefault="00215192" w:rsidP="00AC0D94">
      <w:pPr>
        <w:adjustRightInd w:val="0"/>
        <w:snapToGrid w:val="0"/>
        <w:spacing w:line="360" w:lineRule="auto"/>
        <w:jc w:val="both"/>
        <w:rPr>
          <w:rFonts w:ascii="Times New Roman" w:hAnsi="Times New Roman"/>
          <w:b/>
          <w:bCs/>
          <w:szCs w:val="24"/>
        </w:rPr>
      </w:pPr>
      <w:r w:rsidRPr="00215192">
        <w:rPr>
          <w:noProof/>
        </w:rPr>
        <w:drawing>
          <wp:inline distT="0" distB="0" distL="0" distR="0" wp14:anchorId="2A58E729" wp14:editId="0E2F2628">
            <wp:extent cx="3448050" cy="5172075"/>
            <wp:effectExtent l="0" t="0" r="0" b="9525"/>
            <wp:docPr id="1111349861"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48050" cy="5172075"/>
                    </a:xfrm>
                    <a:prstGeom prst="rect">
                      <a:avLst/>
                    </a:prstGeom>
                    <a:noFill/>
                    <a:ln>
                      <a:noFill/>
                    </a:ln>
                  </pic:spPr>
                </pic:pic>
              </a:graphicData>
            </a:graphic>
          </wp:inline>
        </w:drawing>
      </w:r>
    </w:p>
    <w:p w14:paraId="435FF935" w14:textId="77777777" w:rsidR="00D553FB" w:rsidRPr="00BA71ED" w:rsidRDefault="00D553FB" w:rsidP="00AC0D94">
      <w:pPr>
        <w:adjustRightInd w:val="0"/>
        <w:snapToGrid w:val="0"/>
        <w:spacing w:line="360" w:lineRule="auto"/>
        <w:jc w:val="both"/>
        <w:rPr>
          <w:rFonts w:ascii="Times New Roman" w:hAnsi="Times New Roman"/>
          <w:b/>
          <w:bCs/>
          <w:szCs w:val="24"/>
        </w:rPr>
      </w:pPr>
      <w:r w:rsidRPr="00BA71ED">
        <w:rPr>
          <w:rFonts w:ascii="Times New Roman" w:hAnsi="Times New Roman"/>
          <w:b/>
          <w:bCs/>
          <w:szCs w:val="24"/>
        </w:rPr>
        <w:t>The rent trends in Hong Kong and Thailand highlight significant differences in the two markets:</w:t>
      </w:r>
    </w:p>
    <w:p w14:paraId="3671BD36" w14:textId="77777777" w:rsidR="00A277CF" w:rsidRDefault="00D553FB" w:rsidP="003F53B9">
      <w:pPr>
        <w:numPr>
          <w:ilvl w:val="0"/>
          <w:numId w:val="21"/>
        </w:numPr>
        <w:adjustRightInd w:val="0"/>
        <w:snapToGrid w:val="0"/>
        <w:spacing w:line="360" w:lineRule="auto"/>
        <w:jc w:val="both"/>
        <w:rPr>
          <w:rFonts w:ascii="Times New Roman" w:hAnsi="Times New Roman"/>
          <w:szCs w:val="24"/>
        </w:rPr>
      </w:pPr>
      <w:r w:rsidRPr="00A277CF">
        <w:rPr>
          <w:rFonts w:ascii="Times New Roman" w:hAnsi="Times New Roman"/>
          <w:b/>
          <w:bCs/>
          <w:szCs w:val="24"/>
        </w:rPr>
        <w:t>Hong Kong’s Rental Market:</w:t>
      </w:r>
      <w:r w:rsidRPr="00A277CF">
        <w:rPr>
          <w:rFonts w:ascii="Times New Roman" w:hAnsi="Times New Roman"/>
          <w:szCs w:val="24"/>
        </w:rPr>
        <w:br/>
      </w:r>
      <w:r w:rsidR="007F3EA6" w:rsidRPr="00A277CF">
        <w:rPr>
          <w:rFonts w:ascii="Times New Roman" w:hAnsi="Times New Roman"/>
          <w:szCs w:val="24"/>
        </w:rPr>
        <w:t>Hong Kong’s rental market is characterized by high costs and volatility. Rents peaked in 2015 (182.5) and remained high until 2019 (187.2). However, the COVID-19 pandemic caused a sharp decline in 2020 (169.9), reflecting reduced demand and economic uncertainty. Despite a slight recovery in 2021 (172.0), rents have remained below pre-pandemic levels, with a further decline projected for 2024 (165.3). This volatility poses challenges for retailers like AAA, as high rental costs can erode profit margins and increase operational risks.</w:t>
      </w:r>
    </w:p>
    <w:p w14:paraId="01C9C622" w14:textId="77777777" w:rsidR="00A831BA" w:rsidRDefault="00A831BA" w:rsidP="00AC0D94">
      <w:pPr>
        <w:adjustRightInd w:val="0"/>
        <w:snapToGrid w:val="0"/>
        <w:spacing w:line="360" w:lineRule="auto"/>
        <w:ind w:left="720"/>
        <w:jc w:val="both"/>
        <w:rPr>
          <w:rFonts w:ascii="Times New Roman" w:hAnsi="Times New Roman"/>
          <w:szCs w:val="24"/>
        </w:rPr>
      </w:pPr>
    </w:p>
    <w:p w14:paraId="48A3E8AF" w14:textId="77777777" w:rsidR="00A277CF" w:rsidRPr="00A277CF" w:rsidRDefault="00A277CF" w:rsidP="00AC0D94">
      <w:pPr>
        <w:adjustRightInd w:val="0"/>
        <w:snapToGrid w:val="0"/>
        <w:spacing w:line="360" w:lineRule="auto"/>
        <w:ind w:left="720"/>
        <w:jc w:val="both"/>
        <w:rPr>
          <w:rFonts w:ascii="Times New Roman" w:hAnsi="Times New Roman"/>
          <w:szCs w:val="24"/>
        </w:rPr>
      </w:pPr>
    </w:p>
    <w:p w14:paraId="0DF5C128" w14:textId="21C2322F" w:rsidR="00D553FB" w:rsidRPr="00E57497" w:rsidRDefault="00D553FB" w:rsidP="003F53B9">
      <w:pPr>
        <w:pStyle w:val="ListParagraph"/>
        <w:numPr>
          <w:ilvl w:val="0"/>
          <w:numId w:val="21"/>
        </w:numPr>
        <w:adjustRightInd w:val="0"/>
        <w:snapToGrid w:val="0"/>
        <w:spacing w:line="360" w:lineRule="auto"/>
        <w:ind w:leftChars="0"/>
        <w:jc w:val="both"/>
        <w:rPr>
          <w:rFonts w:ascii="Times New Roman" w:hAnsi="Times New Roman"/>
          <w:szCs w:val="24"/>
        </w:rPr>
      </w:pPr>
      <w:r w:rsidRPr="00E57497">
        <w:rPr>
          <w:rFonts w:ascii="Times New Roman" w:hAnsi="Times New Roman"/>
          <w:b/>
          <w:bCs/>
          <w:szCs w:val="24"/>
        </w:rPr>
        <w:lastRenderedPageBreak/>
        <w:t>Thailand’s Rental Market:</w:t>
      </w:r>
      <w:r w:rsidRPr="00E57497">
        <w:rPr>
          <w:rFonts w:ascii="Times New Roman" w:hAnsi="Times New Roman"/>
          <w:szCs w:val="24"/>
        </w:rPr>
        <w:br/>
      </w:r>
      <w:r w:rsidR="002F6054" w:rsidRPr="00E57497">
        <w:rPr>
          <w:rFonts w:ascii="Times New Roman" w:hAnsi="Times New Roman"/>
          <w:szCs w:val="24"/>
        </w:rPr>
        <w:t>In contrast, Thailand’s rental market is more stable and cost-effective. Rents have shown moderate fluctuations, with no significant spikes or declines. This stability, combined with lower rental costs compared to Hong Kong, makes Thailand an attractive market for AAA’s expansion.</w:t>
      </w:r>
    </w:p>
    <w:p w14:paraId="27FFCAF6" w14:textId="42AD6C9A" w:rsidR="00D553FB" w:rsidRPr="008E3F76" w:rsidRDefault="00D553FB" w:rsidP="00AC0D94">
      <w:pPr>
        <w:adjustRightInd w:val="0"/>
        <w:snapToGrid w:val="0"/>
        <w:spacing w:line="360" w:lineRule="auto"/>
        <w:jc w:val="both"/>
        <w:rPr>
          <w:rFonts w:ascii="Times New Roman" w:hAnsi="Times New Roman"/>
          <w:b/>
          <w:bCs/>
          <w:szCs w:val="24"/>
        </w:rPr>
      </w:pPr>
    </w:p>
    <w:p w14:paraId="760D4654" w14:textId="637ABF29" w:rsidR="008D7042" w:rsidRPr="008D7042" w:rsidRDefault="008D7042" w:rsidP="00AC0D94">
      <w:pPr>
        <w:adjustRightInd w:val="0"/>
        <w:snapToGrid w:val="0"/>
        <w:spacing w:line="360" w:lineRule="auto"/>
        <w:jc w:val="both"/>
        <w:rPr>
          <w:rFonts w:ascii="Times New Roman" w:hAnsi="Times New Roman"/>
          <w:b/>
          <w:bCs/>
          <w:szCs w:val="24"/>
        </w:rPr>
      </w:pPr>
      <w:r w:rsidRPr="008D7042">
        <w:rPr>
          <w:rFonts w:ascii="Times New Roman" w:hAnsi="Times New Roman"/>
          <w:b/>
          <w:bCs/>
          <w:szCs w:val="24"/>
        </w:rPr>
        <w:t>3.</w:t>
      </w:r>
      <w:r w:rsidR="00BA71ED">
        <w:rPr>
          <w:rFonts w:ascii="Times New Roman" w:hAnsi="Times New Roman"/>
          <w:b/>
          <w:bCs/>
          <w:szCs w:val="24"/>
        </w:rPr>
        <w:t>4</w:t>
      </w:r>
      <w:r w:rsidRPr="008D7042">
        <w:rPr>
          <w:rFonts w:ascii="Times New Roman" w:hAnsi="Times New Roman"/>
          <w:b/>
          <w:bCs/>
          <w:szCs w:val="24"/>
        </w:rPr>
        <w:t xml:space="preserve"> Correlation Analysis</w:t>
      </w:r>
    </w:p>
    <w:p w14:paraId="764FF521" w14:textId="02E62445" w:rsidR="008D7042" w:rsidRPr="008D7042" w:rsidRDefault="008D7042" w:rsidP="00AC0D94">
      <w:pPr>
        <w:adjustRightInd w:val="0"/>
        <w:snapToGrid w:val="0"/>
        <w:spacing w:line="360" w:lineRule="auto"/>
        <w:jc w:val="both"/>
        <w:rPr>
          <w:rFonts w:ascii="Times New Roman" w:hAnsi="Times New Roman"/>
          <w:b/>
          <w:bCs/>
          <w:szCs w:val="24"/>
        </w:rPr>
      </w:pPr>
      <w:r w:rsidRPr="008D7042">
        <w:rPr>
          <w:rFonts w:ascii="Times New Roman" w:hAnsi="Times New Roman"/>
          <w:b/>
          <w:bCs/>
          <w:szCs w:val="24"/>
        </w:rPr>
        <w:t>3.</w:t>
      </w:r>
      <w:r w:rsidR="00BA71ED">
        <w:rPr>
          <w:rFonts w:ascii="Times New Roman" w:hAnsi="Times New Roman"/>
          <w:b/>
          <w:bCs/>
          <w:szCs w:val="24"/>
        </w:rPr>
        <w:t>4</w:t>
      </w:r>
      <w:r w:rsidRPr="008D7042">
        <w:rPr>
          <w:rFonts w:ascii="Times New Roman" w:hAnsi="Times New Roman"/>
          <w:b/>
          <w:bCs/>
          <w:szCs w:val="24"/>
        </w:rPr>
        <w:t>.1 Similarities in Correlation Patterns</w:t>
      </w:r>
    </w:p>
    <w:p w14:paraId="747BF37D" w14:textId="77777777" w:rsidR="008D7042" w:rsidRPr="008D7042" w:rsidRDefault="008D7042" w:rsidP="00AC0D94">
      <w:pPr>
        <w:adjustRightInd w:val="0"/>
        <w:snapToGrid w:val="0"/>
        <w:spacing w:line="360" w:lineRule="auto"/>
        <w:jc w:val="both"/>
        <w:rPr>
          <w:rFonts w:ascii="Times New Roman" w:hAnsi="Times New Roman"/>
          <w:szCs w:val="24"/>
        </w:rPr>
      </w:pPr>
      <w:r w:rsidRPr="008D7042">
        <w:rPr>
          <w:rFonts w:ascii="Times New Roman" w:hAnsi="Times New Roman"/>
          <w:szCs w:val="24"/>
        </w:rPr>
        <w:t>The correlation analysis of annual percent changes in retail sales and consumer inflation rates in Hong Kong and Thailand from 2006 to 2023 reveals several shared trends. Both economies were significantly influenced by major global events, such as the 2008 financial crisis and the COVID-19 pandemic. During these periods, both Hong Kong and Thailand experienced sharp declines in retail sales and inflation rates due to reduced consumer spending and economic uncertainty. For instance, the 2008 financial crisis led to a contraction in retail sales and inflation in both regions, while the COVID-19 pandemic caused Hong Kong’s retail sales to plummet by -22.5% in 2020 and Thailand’s inflation to dip into deflationary territory (-0.3% in 2020).</w:t>
      </w:r>
    </w:p>
    <w:p w14:paraId="5238F008" w14:textId="77777777" w:rsidR="008D7042" w:rsidRDefault="008D7042" w:rsidP="00AC0D94">
      <w:pPr>
        <w:adjustRightInd w:val="0"/>
        <w:snapToGrid w:val="0"/>
        <w:spacing w:line="360" w:lineRule="auto"/>
        <w:jc w:val="both"/>
        <w:rPr>
          <w:rFonts w:ascii="Times New Roman" w:hAnsi="Times New Roman"/>
          <w:szCs w:val="24"/>
        </w:rPr>
      </w:pPr>
      <w:r w:rsidRPr="008D7042">
        <w:rPr>
          <w:rFonts w:ascii="Times New Roman" w:hAnsi="Times New Roman"/>
          <w:szCs w:val="24"/>
        </w:rPr>
        <w:t>The long-term correlation matrix (2006–2023) highlights a strong positive correlation (0.69) between Hong Kong’s and Thailand’s inflation rates, indicating that their inflation trends are moderately synchronized. This synchronization is likely driven by their shared exposure to global economic conditions, such as fluctuations in commodity prices and international trade dynamics. Additionally, the moderate positive correlation (0.51) between Thailand’s inflation and Hong Kong’s retail sales underscores the interconnectedness of the two economies, particularly through tourism and trade. This relationship is evident during periods of economic recovery, such as 2021–2023, when both economies began to rebound from the pandemic.</w:t>
      </w:r>
    </w:p>
    <w:p w14:paraId="6C1D7CEA" w14:textId="77777777" w:rsidR="000C2EFD" w:rsidRPr="008D7042" w:rsidRDefault="000C2EFD" w:rsidP="00AC0D94">
      <w:pPr>
        <w:adjustRightInd w:val="0"/>
        <w:snapToGrid w:val="0"/>
        <w:spacing w:line="360" w:lineRule="auto"/>
        <w:jc w:val="both"/>
        <w:rPr>
          <w:rFonts w:ascii="Times New Roman" w:hAnsi="Times New Roman"/>
          <w:szCs w:val="24"/>
        </w:rPr>
      </w:pPr>
    </w:p>
    <w:p w14:paraId="6D5D32DA" w14:textId="66AD69EA" w:rsidR="008D7042" w:rsidRPr="008D7042" w:rsidRDefault="008D7042" w:rsidP="00AC0D94">
      <w:pPr>
        <w:adjustRightInd w:val="0"/>
        <w:snapToGrid w:val="0"/>
        <w:spacing w:line="360" w:lineRule="auto"/>
        <w:jc w:val="both"/>
        <w:rPr>
          <w:rFonts w:ascii="Times New Roman" w:hAnsi="Times New Roman"/>
          <w:b/>
          <w:bCs/>
          <w:szCs w:val="24"/>
        </w:rPr>
      </w:pPr>
      <w:r w:rsidRPr="008D7042">
        <w:rPr>
          <w:rFonts w:ascii="Times New Roman" w:hAnsi="Times New Roman"/>
          <w:b/>
          <w:bCs/>
          <w:szCs w:val="24"/>
        </w:rPr>
        <w:t>3.</w:t>
      </w:r>
      <w:r w:rsidR="00BA71ED">
        <w:rPr>
          <w:rFonts w:ascii="Times New Roman" w:hAnsi="Times New Roman"/>
          <w:b/>
          <w:bCs/>
          <w:szCs w:val="24"/>
        </w:rPr>
        <w:t>4</w:t>
      </w:r>
      <w:r w:rsidRPr="008D7042">
        <w:rPr>
          <w:rFonts w:ascii="Times New Roman" w:hAnsi="Times New Roman"/>
          <w:b/>
          <w:bCs/>
          <w:szCs w:val="24"/>
        </w:rPr>
        <w:t>.2 Differences in Correlation Patterns</w:t>
      </w:r>
    </w:p>
    <w:p w14:paraId="2B74CE22" w14:textId="77777777" w:rsidR="008D7042" w:rsidRPr="008D7042" w:rsidRDefault="008D7042" w:rsidP="00AC0D94">
      <w:pPr>
        <w:adjustRightInd w:val="0"/>
        <w:snapToGrid w:val="0"/>
        <w:spacing w:line="360" w:lineRule="auto"/>
        <w:jc w:val="both"/>
        <w:rPr>
          <w:rFonts w:ascii="Times New Roman" w:hAnsi="Times New Roman"/>
          <w:szCs w:val="24"/>
        </w:rPr>
      </w:pPr>
      <w:r w:rsidRPr="008D7042">
        <w:rPr>
          <w:rFonts w:ascii="Times New Roman" w:hAnsi="Times New Roman"/>
          <w:szCs w:val="24"/>
        </w:rPr>
        <w:t xml:space="preserve">Despite these similarities, there are notable differences in how Hong Kong and Thailand responded to global and local economic shocks. Hong Kong’s retail sales growth exhibited significant volatility, with peaks in 2011 (21.6%) and 2013 (17.7%) driven by strong consumer spending and tourism. However, the 2019 protests and the COVID-19 pandemic led to sharp declines, with retail sales dropping by -13.0% in 2019 and -22.5% in 2020. In contrast, Hong Kong’s inflation remained </w:t>
      </w:r>
      <w:r w:rsidRPr="008D7042">
        <w:rPr>
          <w:rFonts w:ascii="Times New Roman" w:hAnsi="Times New Roman"/>
          <w:szCs w:val="24"/>
        </w:rPr>
        <w:lastRenderedPageBreak/>
        <w:t>relatively stable, averaging around 2–3%, and only dipped into negative territory in 2020 (-0.9%) due to weak demand during the pandemic.</w:t>
      </w:r>
    </w:p>
    <w:p w14:paraId="3B14A86C" w14:textId="77777777" w:rsidR="008D7042" w:rsidRPr="008D7042" w:rsidRDefault="008D7042" w:rsidP="00AC0D94">
      <w:pPr>
        <w:adjustRightInd w:val="0"/>
        <w:snapToGrid w:val="0"/>
        <w:spacing w:line="360" w:lineRule="auto"/>
        <w:jc w:val="both"/>
        <w:rPr>
          <w:rFonts w:ascii="Times New Roman" w:hAnsi="Times New Roman"/>
          <w:szCs w:val="24"/>
        </w:rPr>
      </w:pPr>
      <w:r w:rsidRPr="008D7042">
        <w:rPr>
          <w:rFonts w:ascii="Times New Roman" w:hAnsi="Times New Roman"/>
          <w:szCs w:val="24"/>
        </w:rPr>
        <w:t>Thailand’s inflation, on the other hand, showed greater variability, with periods of deflation (e.g., -0.9% in 2015 and -0.8% in 2023) due to falling global commodity prices and weak domestic demand. However, inflation spiked in 2022 (5.9%) due to post-pandemic recovery and rising energy prices. Thailand’s economic performance is closely tied to tourism, which explains the strong correlation (0.51) between its inflation and Hong Kong’s retail sales, as Hong Kong is a key source of tourists for Thailand.</w:t>
      </w:r>
    </w:p>
    <w:p w14:paraId="228E084F" w14:textId="77777777" w:rsidR="008D7042" w:rsidRDefault="008D7042" w:rsidP="00AC0D94">
      <w:pPr>
        <w:adjustRightInd w:val="0"/>
        <w:snapToGrid w:val="0"/>
        <w:spacing w:line="360" w:lineRule="auto"/>
        <w:jc w:val="both"/>
        <w:rPr>
          <w:rFonts w:ascii="Times New Roman" w:hAnsi="Times New Roman"/>
          <w:szCs w:val="24"/>
        </w:rPr>
      </w:pPr>
      <w:r w:rsidRPr="008D7042">
        <w:rPr>
          <w:rFonts w:ascii="Times New Roman" w:hAnsi="Times New Roman"/>
          <w:szCs w:val="24"/>
        </w:rPr>
        <w:t>The short-term correlation matrix (2019–2023) further highlights these differences. During this period, the correlation between Hong Kong’s inflation and retail sales turned weakly negative (-0.37), suggesting that higher inflation may have suppressed retail sales due to economic uncertainty. In contrast, the correlation between Thailand’s inflation and Hong Kong’s retail sales remained moderately positive (0.51), indicating that Thailand’s economic conditions continued to influence Hong Kong’s retail sector, particularly through tourism.</w:t>
      </w:r>
    </w:p>
    <w:p w14:paraId="0018E1DF" w14:textId="77777777" w:rsidR="00975470" w:rsidRPr="008D7042" w:rsidRDefault="00975470" w:rsidP="00AC0D94">
      <w:pPr>
        <w:adjustRightInd w:val="0"/>
        <w:snapToGrid w:val="0"/>
        <w:spacing w:line="360" w:lineRule="auto"/>
        <w:jc w:val="both"/>
        <w:rPr>
          <w:rFonts w:ascii="Times New Roman" w:hAnsi="Times New Roman"/>
          <w:szCs w:val="24"/>
        </w:rPr>
      </w:pPr>
    </w:p>
    <w:bookmarkEnd w:id="1"/>
    <w:p w14:paraId="49E8685D" w14:textId="15AFD5FB" w:rsidR="00D87D1F" w:rsidRPr="00D87D1F" w:rsidRDefault="00D87D1F" w:rsidP="00AC0D94">
      <w:pPr>
        <w:adjustRightInd w:val="0"/>
        <w:snapToGrid w:val="0"/>
        <w:spacing w:line="360" w:lineRule="auto"/>
        <w:jc w:val="both"/>
        <w:rPr>
          <w:rFonts w:ascii="Times New Roman" w:hAnsi="Times New Roman"/>
          <w:b/>
          <w:bCs/>
          <w:szCs w:val="24"/>
        </w:rPr>
      </w:pPr>
      <w:r w:rsidRPr="00D87D1F">
        <w:rPr>
          <w:rFonts w:ascii="Times New Roman" w:hAnsi="Times New Roman"/>
          <w:b/>
          <w:bCs/>
          <w:szCs w:val="24"/>
        </w:rPr>
        <w:t>3.</w:t>
      </w:r>
      <w:r w:rsidR="00BA71ED">
        <w:rPr>
          <w:rFonts w:ascii="Times New Roman" w:hAnsi="Times New Roman"/>
          <w:b/>
          <w:bCs/>
          <w:szCs w:val="24"/>
        </w:rPr>
        <w:t>4</w:t>
      </w:r>
      <w:r w:rsidRPr="00D87D1F">
        <w:rPr>
          <w:rFonts w:ascii="Times New Roman" w:hAnsi="Times New Roman"/>
          <w:b/>
          <w:bCs/>
          <w:szCs w:val="24"/>
        </w:rPr>
        <w:t>.3 Interpretation of Correlation Matrices</w:t>
      </w:r>
    </w:p>
    <w:p w14:paraId="73F894FE" w14:textId="77777777" w:rsidR="00D87D1F" w:rsidRPr="00D87D1F" w:rsidRDefault="00D87D1F" w:rsidP="00AC0D94">
      <w:pPr>
        <w:adjustRightInd w:val="0"/>
        <w:snapToGrid w:val="0"/>
        <w:spacing w:line="360" w:lineRule="auto"/>
        <w:jc w:val="both"/>
        <w:rPr>
          <w:rFonts w:ascii="Times New Roman" w:hAnsi="Times New Roman"/>
          <w:szCs w:val="24"/>
        </w:rPr>
      </w:pPr>
      <w:r w:rsidRPr="00D87D1F">
        <w:rPr>
          <w:rFonts w:ascii="Times New Roman" w:hAnsi="Times New Roman"/>
          <w:szCs w:val="24"/>
        </w:rPr>
        <w:t>The decision to analyze correlation matrices for the periods 2006–2018 and 2019–2023 was driven by the need to distinguish between pre- and post-2019 economic conditions. The 2006–2018 matrix provides a long-term perspective on the relationship between inflation and retail sales in Hong Kong and Thailand, capturing trends during a period of relative stability and growth, as well as the impact of the 2008 financial crisis. This period allows for an understanding of how inflation and retail sales interacted before the significant disruptions caused by the 2019 social unrest and the COVID-19 pandemic.</w:t>
      </w:r>
    </w:p>
    <w:p w14:paraId="2278D2FB" w14:textId="77777777" w:rsidR="00D87D1F" w:rsidRPr="00D87D1F" w:rsidRDefault="00D87D1F" w:rsidP="00AC0D94">
      <w:pPr>
        <w:adjustRightInd w:val="0"/>
        <w:snapToGrid w:val="0"/>
        <w:spacing w:line="360" w:lineRule="auto"/>
        <w:jc w:val="both"/>
        <w:rPr>
          <w:rFonts w:ascii="Times New Roman" w:hAnsi="Times New Roman"/>
          <w:szCs w:val="24"/>
        </w:rPr>
      </w:pPr>
      <w:r w:rsidRPr="00D87D1F">
        <w:rPr>
          <w:rFonts w:ascii="Times New Roman" w:hAnsi="Times New Roman"/>
          <w:szCs w:val="24"/>
        </w:rPr>
        <w:t>In contrast, the 2019–2023 matrix focuses on the post-2019 period, which was marked by unprecedented global and local shocks, including social unrest in Hong Kong, the COVID-19 pandemic, and subsequent recovery efforts. This short-term perspective highlights how these disruptions influenced the correlation patterns between the two economies. By comparing these two periods, the analysis provides a nuanced understanding of how economic relationships have evolved in response to both long-term trends and recent shocks.</w:t>
      </w:r>
    </w:p>
    <w:p w14:paraId="754DE5D7" w14:textId="77777777" w:rsidR="00D87D1F" w:rsidRDefault="00D87D1F" w:rsidP="00AC0D94">
      <w:pPr>
        <w:adjustRightInd w:val="0"/>
        <w:snapToGrid w:val="0"/>
        <w:spacing w:line="360" w:lineRule="auto"/>
        <w:jc w:val="both"/>
        <w:rPr>
          <w:rFonts w:ascii="Times New Roman" w:hAnsi="Times New Roman"/>
          <w:b/>
          <w:bCs/>
          <w:szCs w:val="24"/>
        </w:rPr>
      </w:pPr>
    </w:p>
    <w:p w14:paraId="35466175" w14:textId="77777777" w:rsidR="00BA71ED" w:rsidRDefault="00BA71ED" w:rsidP="00AC0D94">
      <w:pPr>
        <w:adjustRightInd w:val="0"/>
        <w:snapToGrid w:val="0"/>
        <w:spacing w:line="360" w:lineRule="auto"/>
        <w:jc w:val="both"/>
        <w:rPr>
          <w:rFonts w:ascii="Times New Roman" w:hAnsi="Times New Roman"/>
          <w:b/>
          <w:bCs/>
          <w:szCs w:val="24"/>
        </w:rPr>
      </w:pPr>
    </w:p>
    <w:p w14:paraId="74F6187F" w14:textId="4927F725" w:rsidR="00A14006" w:rsidRPr="008E3F76" w:rsidRDefault="00A14006"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lastRenderedPageBreak/>
        <w:t>Table 2: Pearson Correlation Matrix (2006–20</w:t>
      </w:r>
      <w:r w:rsidR="00D87D1F">
        <w:rPr>
          <w:rFonts w:ascii="Times New Roman" w:hAnsi="Times New Roman"/>
          <w:b/>
          <w:bCs/>
          <w:szCs w:val="24"/>
        </w:rPr>
        <w:t>18</w:t>
      </w:r>
      <w:r w:rsidRPr="008E3F76">
        <w:rPr>
          <w:rFonts w:ascii="Times New Roman" w:hAnsi="Times New Roman"/>
          <w:b/>
          <w:bCs/>
          <w:szCs w:val="24"/>
        </w:rPr>
        <w:t>)</w:t>
      </w:r>
    </w:p>
    <w:tbl>
      <w:tblPr>
        <w:tblW w:w="6600" w:type="dxa"/>
        <w:tblLook w:val="04A0" w:firstRow="1" w:lastRow="0" w:firstColumn="1" w:lastColumn="0" w:noHBand="0" w:noVBand="1"/>
      </w:tblPr>
      <w:tblGrid>
        <w:gridCol w:w="1977"/>
        <w:gridCol w:w="1560"/>
        <w:gridCol w:w="1500"/>
        <w:gridCol w:w="1563"/>
      </w:tblGrid>
      <w:tr w:rsidR="002C60EF" w:rsidRPr="008E3F76" w14:paraId="3042ACB6" w14:textId="77777777" w:rsidTr="00BA71ED">
        <w:trPr>
          <w:trHeight w:val="720"/>
        </w:trPr>
        <w:tc>
          <w:tcPr>
            <w:tcW w:w="1977"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63E79388" w14:textId="77777777" w:rsidR="002C60EF" w:rsidRPr="008E3F76" w:rsidRDefault="002C60EF" w:rsidP="00AC0D94">
            <w:pPr>
              <w:widowControl/>
              <w:spacing w:line="360" w:lineRule="auto"/>
              <w:rPr>
                <w:rFonts w:ascii="Times New Roman" w:eastAsia="Times New Roman" w:hAnsi="Times New Roman"/>
                <w:color w:val="000000"/>
                <w:kern w:val="0"/>
                <w:szCs w:val="24"/>
              </w:rPr>
            </w:pPr>
            <w:r w:rsidRPr="008E3F76">
              <w:rPr>
                <w:rFonts w:ascii="Times New Roman" w:eastAsia="Times New Roman" w:hAnsi="Times New Roman"/>
                <w:color w:val="000000"/>
                <w:kern w:val="0"/>
                <w:szCs w:val="24"/>
              </w:rPr>
              <w:t> </w:t>
            </w:r>
          </w:p>
        </w:tc>
        <w:tc>
          <w:tcPr>
            <w:tcW w:w="1560" w:type="dxa"/>
            <w:tcBorders>
              <w:top w:val="single" w:sz="4" w:space="0" w:color="auto"/>
              <w:left w:val="nil"/>
              <w:bottom w:val="single" w:sz="4" w:space="0" w:color="auto"/>
              <w:right w:val="single" w:sz="4" w:space="0" w:color="auto"/>
            </w:tcBorders>
            <w:shd w:val="clear" w:color="auto" w:fill="auto"/>
            <w:vAlign w:val="center"/>
            <w:hideMark/>
          </w:tcPr>
          <w:p w14:paraId="4613C4F0" w14:textId="77777777" w:rsidR="002C60EF" w:rsidRPr="008E3F76" w:rsidRDefault="002C60EF" w:rsidP="00AC0D94">
            <w:pPr>
              <w:widowControl/>
              <w:spacing w:line="360" w:lineRule="auto"/>
              <w:jc w:val="both"/>
              <w:rPr>
                <w:rFonts w:ascii="Times New Roman" w:eastAsia="Times New Roman" w:hAnsi="Times New Roman"/>
                <w:b/>
                <w:bCs/>
                <w:color w:val="000000"/>
                <w:kern w:val="0"/>
                <w:szCs w:val="24"/>
              </w:rPr>
            </w:pPr>
            <w:r w:rsidRPr="008E3F76">
              <w:rPr>
                <w:rFonts w:ascii="Times New Roman" w:eastAsia="Times New Roman" w:hAnsi="Times New Roman"/>
                <w:b/>
                <w:bCs/>
                <w:color w:val="000000"/>
                <w:kern w:val="0"/>
                <w:szCs w:val="24"/>
              </w:rPr>
              <w:t>APCHKCPI</w:t>
            </w:r>
          </w:p>
        </w:tc>
        <w:tc>
          <w:tcPr>
            <w:tcW w:w="1500" w:type="dxa"/>
            <w:tcBorders>
              <w:top w:val="single" w:sz="4" w:space="0" w:color="auto"/>
              <w:left w:val="nil"/>
              <w:bottom w:val="single" w:sz="4" w:space="0" w:color="auto"/>
              <w:right w:val="single" w:sz="4" w:space="0" w:color="auto"/>
            </w:tcBorders>
            <w:shd w:val="clear" w:color="auto" w:fill="auto"/>
            <w:vAlign w:val="center"/>
            <w:hideMark/>
          </w:tcPr>
          <w:p w14:paraId="7F7700AD" w14:textId="77777777" w:rsidR="002C60EF" w:rsidRPr="008E3F76" w:rsidRDefault="002C60EF" w:rsidP="00AC0D94">
            <w:pPr>
              <w:widowControl/>
              <w:spacing w:line="360" w:lineRule="auto"/>
              <w:jc w:val="both"/>
              <w:rPr>
                <w:rFonts w:ascii="Times New Roman" w:eastAsia="Times New Roman" w:hAnsi="Times New Roman"/>
                <w:b/>
                <w:bCs/>
                <w:color w:val="000000"/>
                <w:kern w:val="0"/>
                <w:szCs w:val="24"/>
              </w:rPr>
            </w:pPr>
            <w:r w:rsidRPr="008E3F76">
              <w:rPr>
                <w:rFonts w:ascii="Times New Roman" w:eastAsia="Times New Roman" w:hAnsi="Times New Roman"/>
                <w:b/>
                <w:bCs/>
                <w:color w:val="000000"/>
                <w:kern w:val="0"/>
                <w:szCs w:val="24"/>
              </w:rPr>
              <w:t>APCTHCPI</w:t>
            </w:r>
          </w:p>
        </w:tc>
        <w:tc>
          <w:tcPr>
            <w:tcW w:w="1563" w:type="dxa"/>
            <w:tcBorders>
              <w:top w:val="single" w:sz="4" w:space="0" w:color="auto"/>
              <w:left w:val="nil"/>
              <w:bottom w:val="single" w:sz="4" w:space="0" w:color="auto"/>
              <w:right w:val="single" w:sz="4" w:space="0" w:color="auto"/>
            </w:tcBorders>
            <w:shd w:val="clear" w:color="auto" w:fill="auto"/>
            <w:vAlign w:val="center"/>
            <w:hideMark/>
          </w:tcPr>
          <w:p w14:paraId="1361F6B8" w14:textId="77777777" w:rsidR="002C60EF" w:rsidRPr="008E3F76" w:rsidRDefault="002C60EF" w:rsidP="00AC0D94">
            <w:pPr>
              <w:widowControl/>
              <w:spacing w:line="360" w:lineRule="auto"/>
              <w:jc w:val="both"/>
              <w:rPr>
                <w:rFonts w:ascii="Times New Roman" w:eastAsia="Times New Roman" w:hAnsi="Times New Roman"/>
                <w:b/>
                <w:bCs/>
                <w:color w:val="000000"/>
                <w:kern w:val="0"/>
                <w:szCs w:val="24"/>
              </w:rPr>
            </w:pPr>
            <w:r w:rsidRPr="008E3F76">
              <w:rPr>
                <w:rFonts w:ascii="Times New Roman" w:eastAsia="Times New Roman" w:hAnsi="Times New Roman"/>
                <w:b/>
                <w:bCs/>
                <w:color w:val="000000"/>
                <w:kern w:val="0"/>
                <w:szCs w:val="24"/>
              </w:rPr>
              <w:t>APCHKVRS</w:t>
            </w:r>
          </w:p>
        </w:tc>
      </w:tr>
      <w:tr w:rsidR="002C60EF" w:rsidRPr="008E3F76" w14:paraId="2A339271" w14:textId="77777777" w:rsidTr="00BA71ED">
        <w:trPr>
          <w:trHeight w:val="310"/>
        </w:trPr>
        <w:tc>
          <w:tcPr>
            <w:tcW w:w="1977" w:type="dxa"/>
            <w:tcBorders>
              <w:top w:val="nil"/>
              <w:left w:val="single" w:sz="4" w:space="0" w:color="auto"/>
              <w:bottom w:val="single" w:sz="4" w:space="0" w:color="auto"/>
              <w:right w:val="single" w:sz="4" w:space="0" w:color="auto"/>
            </w:tcBorders>
            <w:shd w:val="clear" w:color="auto" w:fill="auto"/>
            <w:vAlign w:val="center"/>
            <w:hideMark/>
          </w:tcPr>
          <w:p w14:paraId="08E8A0FB" w14:textId="77777777" w:rsidR="002C60EF" w:rsidRPr="008E3F76" w:rsidRDefault="002C60EF" w:rsidP="00AC0D94">
            <w:pPr>
              <w:widowControl/>
              <w:spacing w:line="360" w:lineRule="auto"/>
              <w:jc w:val="both"/>
              <w:rPr>
                <w:rFonts w:ascii="Times New Roman" w:eastAsia="Times New Roman" w:hAnsi="Times New Roman"/>
                <w:b/>
                <w:bCs/>
                <w:color w:val="000000"/>
                <w:kern w:val="0"/>
                <w:szCs w:val="24"/>
              </w:rPr>
            </w:pPr>
            <w:r w:rsidRPr="008E3F76">
              <w:rPr>
                <w:rFonts w:ascii="Times New Roman" w:eastAsia="Times New Roman" w:hAnsi="Times New Roman"/>
                <w:b/>
                <w:bCs/>
                <w:color w:val="000000"/>
                <w:kern w:val="0"/>
                <w:szCs w:val="24"/>
              </w:rPr>
              <w:t>APCHKCPI</w:t>
            </w:r>
          </w:p>
        </w:tc>
        <w:tc>
          <w:tcPr>
            <w:tcW w:w="1560" w:type="dxa"/>
            <w:tcBorders>
              <w:top w:val="nil"/>
              <w:left w:val="nil"/>
              <w:bottom w:val="single" w:sz="4" w:space="0" w:color="auto"/>
              <w:right w:val="single" w:sz="4" w:space="0" w:color="auto"/>
            </w:tcBorders>
            <w:shd w:val="clear" w:color="auto" w:fill="auto"/>
            <w:vAlign w:val="center"/>
            <w:hideMark/>
          </w:tcPr>
          <w:p w14:paraId="5F746F02" w14:textId="77777777" w:rsidR="002C60EF" w:rsidRPr="008E3F76" w:rsidRDefault="002C60EF"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1</w:t>
            </w:r>
          </w:p>
        </w:tc>
        <w:tc>
          <w:tcPr>
            <w:tcW w:w="1500" w:type="dxa"/>
            <w:tcBorders>
              <w:top w:val="nil"/>
              <w:left w:val="nil"/>
              <w:bottom w:val="single" w:sz="4" w:space="0" w:color="auto"/>
              <w:right w:val="single" w:sz="4" w:space="0" w:color="auto"/>
            </w:tcBorders>
            <w:shd w:val="clear" w:color="auto" w:fill="auto"/>
            <w:vAlign w:val="center"/>
            <w:hideMark/>
          </w:tcPr>
          <w:p w14:paraId="10D397EA" w14:textId="77777777" w:rsidR="002C60EF" w:rsidRPr="008E3F76" w:rsidRDefault="002C60EF"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0.69</w:t>
            </w:r>
          </w:p>
        </w:tc>
        <w:tc>
          <w:tcPr>
            <w:tcW w:w="1563" w:type="dxa"/>
            <w:tcBorders>
              <w:top w:val="nil"/>
              <w:left w:val="nil"/>
              <w:bottom w:val="single" w:sz="4" w:space="0" w:color="auto"/>
              <w:right w:val="single" w:sz="4" w:space="0" w:color="auto"/>
            </w:tcBorders>
            <w:shd w:val="clear" w:color="auto" w:fill="auto"/>
            <w:vAlign w:val="center"/>
            <w:hideMark/>
          </w:tcPr>
          <w:p w14:paraId="2077ACF9" w14:textId="77777777" w:rsidR="002C60EF" w:rsidRPr="008E3F76" w:rsidRDefault="002C60EF"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0.36</w:t>
            </w:r>
          </w:p>
        </w:tc>
      </w:tr>
      <w:tr w:rsidR="002C60EF" w:rsidRPr="008E3F76" w14:paraId="3F198E29" w14:textId="77777777" w:rsidTr="00BA71ED">
        <w:trPr>
          <w:trHeight w:val="310"/>
        </w:trPr>
        <w:tc>
          <w:tcPr>
            <w:tcW w:w="1977" w:type="dxa"/>
            <w:tcBorders>
              <w:top w:val="nil"/>
              <w:left w:val="single" w:sz="4" w:space="0" w:color="auto"/>
              <w:bottom w:val="single" w:sz="4" w:space="0" w:color="auto"/>
              <w:right w:val="single" w:sz="4" w:space="0" w:color="auto"/>
            </w:tcBorders>
            <w:shd w:val="clear" w:color="auto" w:fill="auto"/>
            <w:vAlign w:val="center"/>
            <w:hideMark/>
          </w:tcPr>
          <w:p w14:paraId="1785C58E" w14:textId="77777777" w:rsidR="002C60EF" w:rsidRPr="008E3F76" w:rsidRDefault="002C60EF" w:rsidP="00AC0D94">
            <w:pPr>
              <w:widowControl/>
              <w:spacing w:line="360" w:lineRule="auto"/>
              <w:jc w:val="both"/>
              <w:rPr>
                <w:rFonts w:ascii="Times New Roman" w:eastAsia="Times New Roman" w:hAnsi="Times New Roman"/>
                <w:b/>
                <w:bCs/>
                <w:color w:val="000000"/>
                <w:kern w:val="0"/>
                <w:szCs w:val="24"/>
              </w:rPr>
            </w:pPr>
            <w:r w:rsidRPr="008E3F76">
              <w:rPr>
                <w:rFonts w:ascii="Times New Roman" w:eastAsia="Times New Roman" w:hAnsi="Times New Roman"/>
                <w:b/>
                <w:bCs/>
                <w:color w:val="000000"/>
                <w:kern w:val="0"/>
                <w:szCs w:val="24"/>
              </w:rPr>
              <w:t>APCTHCPI</w:t>
            </w:r>
          </w:p>
        </w:tc>
        <w:tc>
          <w:tcPr>
            <w:tcW w:w="1560" w:type="dxa"/>
            <w:tcBorders>
              <w:top w:val="nil"/>
              <w:left w:val="nil"/>
              <w:bottom w:val="single" w:sz="4" w:space="0" w:color="auto"/>
              <w:right w:val="single" w:sz="4" w:space="0" w:color="auto"/>
            </w:tcBorders>
            <w:shd w:val="clear" w:color="auto" w:fill="auto"/>
            <w:vAlign w:val="center"/>
            <w:hideMark/>
          </w:tcPr>
          <w:p w14:paraId="01F89D86" w14:textId="77777777" w:rsidR="002C60EF" w:rsidRPr="008E3F76" w:rsidRDefault="002C60EF"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0.69</w:t>
            </w:r>
          </w:p>
        </w:tc>
        <w:tc>
          <w:tcPr>
            <w:tcW w:w="1500" w:type="dxa"/>
            <w:tcBorders>
              <w:top w:val="nil"/>
              <w:left w:val="nil"/>
              <w:bottom w:val="single" w:sz="4" w:space="0" w:color="auto"/>
              <w:right w:val="single" w:sz="4" w:space="0" w:color="auto"/>
            </w:tcBorders>
            <w:shd w:val="clear" w:color="auto" w:fill="auto"/>
            <w:vAlign w:val="center"/>
            <w:hideMark/>
          </w:tcPr>
          <w:p w14:paraId="39BFD55A" w14:textId="77777777" w:rsidR="002C60EF" w:rsidRPr="008E3F76" w:rsidRDefault="002C60EF"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1</w:t>
            </w:r>
          </w:p>
        </w:tc>
        <w:tc>
          <w:tcPr>
            <w:tcW w:w="1563" w:type="dxa"/>
            <w:tcBorders>
              <w:top w:val="nil"/>
              <w:left w:val="nil"/>
              <w:bottom w:val="single" w:sz="4" w:space="0" w:color="auto"/>
              <w:right w:val="single" w:sz="4" w:space="0" w:color="auto"/>
            </w:tcBorders>
            <w:shd w:val="clear" w:color="auto" w:fill="auto"/>
            <w:vAlign w:val="center"/>
            <w:hideMark/>
          </w:tcPr>
          <w:p w14:paraId="0F68B5F7" w14:textId="77777777" w:rsidR="002C60EF" w:rsidRPr="008E3F76" w:rsidRDefault="002C60EF"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0.51</w:t>
            </w:r>
          </w:p>
        </w:tc>
      </w:tr>
      <w:tr w:rsidR="002C60EF" w:rsidRPr="008E3F76" w14:paraId="0247BDAA" w14:textId="77777777" w:rsidTr="00BA71ED">
        <w:trPr>
          <w:trHeight w:val="310"/>
        </w:trPr>
        <w:tc>
          <w:tcPr>
            <w:tcW w:w="1977" w:type="dxa"/>
            <w:tcBorders>
              <w:top w:val="nil"/>
              <w:left w:val="single" w:sz="4" w:space="0" w:color="auto"/>
              <w:bottom w:val="single" w:sz="4" w:space="0" w:color="auto"/>
              <w:right w:val="single" w:sz="4" w:space="0" w:color="auto"/>
            </w:tcBorders>
            <w:shd w:val="clear" w:color="auto" w:fill="auto"/>
            <w:vAlign w:val="center"/>
            <w:hideMark/>
          </w:tcPr>
          <w:p w14:paraId="526F9508" w14:textId="77777777" w:rsidR="002C60EF" w:rsidRPr="008E3F76" w:rsidRDefault="002C60EF" w:rsidP="00AC0D94">
            <w:pPr>
              <w:widowControl/>
              <w:spacing w:line="360" w:lineRule="auto"/>
              <w:jc w:val="both"/>
              <w:rPr>
                <w:rFonts w:ascii="Times New Roman" w:eastAsia="Times New Roman" w:hAnsi="Times New Roman"/>
                <w:b/>
                <w:bCs/>
                <w:color w:val="000000"/>
                <w:kern w:val="0"/>
                <w:szCs w:val="24"/>
              </w:rPr>
            </w:pPr>
            <w:r w:rsidRPr="008E3F76">
              <w:rPr>
                <w:rFonts w:ascii="Times New Roman" w:eastAsia="Times New Roman" w:hAnsi="Times New Roman"/>
                <w:b/>
                <w:bCs/>
                <w:color w:val="000000"/>
                <w:kern w:val="0"/>
                <w:szCs w:val="24"/>
              </w:rPr>
              <w:t>APCHKVRS</w:t>
            </w:r>
          </w:p>
        </w:tc>
        <w:tc>
          <w:tcPr>
            <w:tcW w:w="1560" w:type="dxa"/>
            <w:tcBorders>
              <w:top w:val="nil"/>
              <w:left w:val="nil"/>
              <w:bottom w:val="single" w:sz="4" w:space="0" w:color="auto"/>
              <w:right w:val="single" w:sz="4" w:space="0" w:color="auto"/>
            </w:tcBorders>
            <w:shd w:val="clear" w:color="auto" w:fill="auto"/>
            <w:vAlign w:val="center"/>
            <w:hideMark/>
          </w:tcPr>
          <w:p w14:paraId="1DB54174" w14:textId="77777777" w:rsidR="002C60EF" w:rsidRPr="008E3F76" w:rsidRDefault="002C60EF"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0.36</w:t>
            </w:r>
          </w:p>
        </w:tc>
        <w:tc>
          <w:tcPr>
            <w:tcW w:w="1500" w:type="dxa"/>
            <w:tcBorders>
              <w:top w:val="nil"/>
              <w:left w:val="nil"/>
              <w:bottom w:val="single" w:sz="4" w:space="0" w:color="auto"/>
              <w:right w:val="single" w:sz="4" w:space="0" w:color="auto"/>
            </w:tcBorders>
            <w:shd w:val="clear" w:color="auto" w:fill="auto"/>
            <w:vAlign w:val="center"/>
            <w:hideMark/>
          </w:tcPr>
          <w:p w14:paraId="4D9CC80C" w14:textId="77777777" w:rsidR="002C60EF" w:rsidRPr="008E3F76" w:rsidRDefault="002C60EF"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0.51</w:t>
            </w:r>
          </w:p>
        </w:tc>
        <w:tc>
          <w:tcPr>
            <w:tcW w:w="1563" w:type="dxa"/>
            <w:tcBorders>
              <w:top w:val="nil"/>
              <w:left w:val="nil"/>
              <w:bottom w:val="single" w:sz="4" w:space="0" w:color="auto"/>
              <w:right w:val="single" w:sz="4" w:space="0" w:color="auto"/>
            </w:tcBorders>
            <w:shd w:val="clear" w:color="auto" w:fill="auto"/>
            <w:vAlign w:val="center"/>
            <w:hideMark/>
          </w:tcPr>
          <w:p w14:paraId="12B34416" w14:textId="77777777" w:rsidR="002C60EF" w:rsidRPr="008E3F76" w:rsidRDefault="002C60EF"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1</w:t>
            </w:r>
          </w:p>
        </w:tc>
      </w:tr>
    </w:tbl>
    <w:p w14:paraId="5DF29856" w14:textId="77777777" w:rsidR="00407073" w:rsidRPr="008E3F76" w:rsidRDefault="00407073" w:rsidP="00AC0D94">
      <w:pPr>
        <w:adjustRightInd w:val="0"/>
        <w:snapToGrid w:val="0"/>
        <w:spacing w:line="360" w:lineRule="auto"/>
        <w:jc w:val="both"/>
        <w:rPr>
          <w:rFonts w:ascii="Times New Roman" w:hAnsi="Times New Roman"/>
          <w:b/>
          <w:bCs/>
          <w:szCs w:val="24"/>
        </w:rPr>
      </w:pPr>
    </w:p>
    <w:p w14:paraId="27851A99" w14:textId="77777777" w:rsidR="00331C03" w:rsidRPr="008E3F76" w:rsidRDefault="00331C03"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t>Key Insights:</w:t>
      </w:r>
    </w:p>
    <w:p w14:paraId="5C01CE96" w14:textId="77777777" w:rsidR="00773076" w:rsidRPr="00773076" w:rsidRDefault="00773076" w:rsidP="003F53B9">
      <w:pPr>
        <w:numPr>
          <w:ilvl w:val="0"/>
          <w:numId w:val="22"/>
        </w:numPr>
        <w:adjustRightInd w:val="0"/>
        <w:snapToGrid w:val="0"/>
        <w:spacing w:line="360" w:lineRule="auto"/>
        <w:jc w:val="both"/>
        <w:rPr>
          <w:rFonts w:ascii="Times New Roman" w:hAnsi="Times New Roman"/>
          <w:szCs w:val="24"/>
        </w:rPr>
      </w:pPr>
      <w:r w:rsidRPr="00773076">
        <w:rPr>
          <w:rFonts w:ascii="Times New Roman" w:hAnsi="Times New Roman"/>
          <w:szCs w:val="24"/>
        </w:rPr>
        <w:t>The strong positive correlation (0.69) between Hong Kong’s and Thailand’s inflation rates suggests that their inflation trends were moderately synchronized during this period. This synchronization is likely due to their shared exposure to global economic conditions, such as fluctuations in commodity prices and international trade dynamics.</w:t>
      </w:r>
    </w:p>
    <w:p w14:paraId="4C5F3126" w14:textId="77777777" w:rsidR="00773076" w:rsidRPr="00773076" w:rsidRDefault="00773076" w:rsidP="003F53B9">
      <w:pPr>
        <w:numPr>
          <w:ilvl w:val="0"/>
          <w:numId w:val="22"/>
        </w:numPr>
        <w:adjustRightInd w:val="0"/>
        <w:snapToGrid w:val="0"/>
        <w:spacing w:line="360" w:lineRule="auto"/>
        <w:jc w:val="both"/>
        <w:rPr>
          <w:rFonts w:ascii="Times New Roman" w:hAnsi="Times New Roman"/>
          <w:szCs w:val="24"/>
        </w:rPr>
      </w:pPr>
      <w:r w:rsidRPr="00773076">
        <w:rPr>
          <w:rFonts w:ascii="Times New Roman" w:hAnsi="Times New Roman"/>
          <w:szCs w:val="24"/>
        </w:rPr>
        <w:t>The moderate positive correlation (0.36) between Hong Kong’s inflation and retail sales indicates that higher inflation may have slightly boosted retail sales, possibly due to increased consumer spending during inflationary periods.</w:t>
      </w:r>
    </w:p>
    <w:p w14:paraId="7AED64C7" w14:textId="77777777" w:rsidR="00773076" w:rsidRPr="00773076" w:rsidRDefault="00773076" w:rsidP="003F53B9">
      <w:pPr>
        <w:numPr>
          <w:ilvl w:val="0"/>
          <w:numId w:val="22"/>
        </w:numPr>
        <w:adjustRightInd w:val="0"/>
        <w:snapToGrid w:val="0"/>
        <w:spacing w:line="360" w:lineRule="auto"/>
        <w:jc w:val="both"/>
        <w:rPr>
          <w:rFonts w:ascii="Times New Roman" w:hAnsi="Times New Roman"/>
          <w:szCs w:val="24"/>
        </w:rPr>
      </w:pPr>
      <w:r w:rsidRPr="00773076">
        <w:rPr>
          <w:rFonts w:ascii="Times New Roman" w:hAnsi="Times New Roman"/>
          <w:szCs w:val="24"/>
        </w:rPr>
        <w:t>The moderate positive correlation (0.51) between Thailand’s inflation and Hong Kong’s retail sales highlights the interconnectedness of the two economies, particularly through tourism and trade. This relationship was particularly evident during periods of economic stability and growth.</w:t>
      </w:r>
    </w:p>
    <w:p w14:paraId="15C7D890" w14:textId="77777777" w:rsidR="00331C03" w:rsidRPr="008E3F76" w:rsidRDefault="00331C03" w:rsidP="00AC0D94">
      <w:pPr>
        <w:adjustRightInd w:val="0"/>
        <w:snapToGrid w:val="0"/>
        <w:spacing w:line="360" w:lineRule="auto"/>
        <w:ind w:left="720"/>
        <w:jc w:val="both"/>
        <w:rPr>
          <w:rFonts w:ascii="Times New Roman" w:hAnsi="Times New Roman"/>
          <w:szCs w:val="24"/>
        </w:rPr>
      </w:pPr>
    </w:p>
    <w:p w14:paraId="67316317" w14:textId="77777777" w:rsidR="00E01E96" w:rsidRPr="008E3F76" w:rsidRDefault="00E01E96" w:rsidP="00AC0D94">
      <w:pPr>
        <w:adjustRightInd w:val="0"/>
        <w:snapToGrid w:val="0"/>
        <w:spacing w:line="360" w:lineRule="auto"/>
        <w:ind w:left="720"/>
        <w:jc w:val="both"/>
        <w:rPr>
          <w:rFonts w:ascii="Times New Roman" w:hAnsi="Times New Roman"/>
          <w:b/>
          <w:bCs/>
          <w:szCs w:val="24"/>
        </w:rPr>
      </w:pPr>
    </w:p>
    <w:p w14:paraId="067A169E" w14:textId="77777777" w:rsidR="00A14006" w:rsidRPr="008E3F76" w:rsidRDefault="00A14006"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t>Table 3: Pearson Correlation Matrix (2019–2023)</w:t>
      </w:r>
    </w:p>
    <w:tbl>
      <w:tblPr>
        <w:tblW w:w="7440" w:type="dxa"/>
        <w:tblLook w:val="04A0" w:firstRow="1" w:lastRow="0" w:firstColumn="1" w:lastColumn="0" w:noHBand="0" w:noVBand="1"/>
      </w:tblPr>
      <w:tblGrid>
        <w:gridCol w:w="1980"/>
        <w:gridCol w:w="1820"/>
        <w:gridCol w:w="1820"/>
        <w:gridCol w:w="1820"/>
      </w:tblGrid>
      <w:tr w:rsidR="0002418D" w:rsidRPr="008E3F76" w14:paraId="6C3D95E1" w14:textId="77777777" w:rsidTr="0002418D">
        <w:trPr>
          <w:trHeight w:val="770"/>
        </w:trPr>
        <w:tc>
          <w:tcPr>
            <w:tcW w:w="1980"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8DEF9BB" w14:textId="77777777" w:rsidR="0002418D" w:rsidRPr="008E3F76" w:rsidRDefault="0002418D"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color w:val="000000"/>
                <w:kern w:val="0"/>
                <w:szCs w:val="24"/>
              </w:rPr>
              <w:t> </w:t>
            </w:r>
          </w:p>
        </w:tc>
        <w:tc>
          <w:tcPr>
            <w:tcW w:w="1820" w:type="dxa"/>
            <w:tcBorders>
              <w:top w:val="single" w:sz="4" w:space="0" w:color="auto"/>
              <w:left w:val="nil"/>
              <w:bottom w:val="single" w:sz="4" w:space="0" w:color="auto"/>
              <w:right w:val="single" w:sz="4" w:space="0" w:color="auto"/>
            </w:tcBorders>
            <w:shd w:val="clear" w:color="auto" w:fill="auto"/>
            <w:vAlign w:val="center"/>
            <w:hideMark/>
          </w:tcPr>
          <w:p w14:paraId="5D1F4FC0" w14:textId="77777777" w:rsidR="0002418D" w:rsidRPr="008E3F76" w:rsidRDefault="0002418D" w:rsidP="00AC0D94">
            <w:pPr>
              <w:widowControl/>
              <w:spacing w:line="360" w:lineRule="auto"/>
              <w:jc w:val="center"/>
              <w:rPr>
                <w:rFonts w:ascii="Times New Roman" w:eastAsia="Times New Roman" w:hAnsi="Times New Roman"/>
                <w:b/>
                <w:bCs/>
                <w:color w:val="000000"/>
                <w:kern w:val="0"/>
                <w:szCs w:val="24"/>
              </w:rPr>
            </w:pPr>
            <w:r w:rsidRPr="008E3F76">
              <w:rPr>
                <w:rFonts w:ascii="Times New Roman" w:eastAsia="Times New Roman" w:hAnsi="Times New Roman"/>
                <w:b/>
                <w:bCs/>
                <w:color w:val="000000"/>
                <w:kern w:val="0"/>
                <w:szCs w:val="24"/>
              </w:rPr>
              <w:t>APCHKCPI</w:t>
            </w:r>
          </w:p>
        </w:tc>
        <w:tc>
          <w:tcPr>
            <w:tcW w:w="1820" w:type="dxa"/>
            <w:tcBorders>
              <w:top w:val="single" w:sz="4" w:space="0" w:color="auto"/>
              <w:left w:val="nil"/>
              <w:bottom w:val="single" w:sz="4" w:space="0" w:color="auto"/>
              <w:right w:val="single" w:sz="4" w:space="0" w:color="auto"/>
            </w:tcBorders>
            <w:shd w:val="clear" w:color="auto" w:fill="auto"/>
            <w:vAlign w:val="center"/>
            <w:hideMark/>
          </w:tcPr>
          <w:p w14:paraId="15436A45" w14:textId="77777777" w:rsidR="0002418D" w:rsidRPr="008E3F76" w:rsidRDefault="0002418D" w:rsidP="00AC0D94">
            <w:pPr>
              <w:widowControl/>
              <w:spacing w:line="360" w:lineRule="auto"/>
              <w:jc w:val="center"/>
              <w:rPr>
                <w:rFonts w:ascii="Times New Roman" w:eastAsia="Times New Roman" w:hAnsi="Times New Roman"/>
                <w:b/>
                <w:bCs/>
                <w:color w:val="000000"/>
                <w:kern w:val="0"/>
                <w:szCs w:val="24"/>
              </w:rPr>
            </w:pPr>
            <w:r w:rsidRPr="008E3F76">
              <w:rPr>
                <w:rFonts w:ascii="Times New Roman" w:eastAsia="Times New Roman" w:hAnsi="Times New Roman"/>
                <w:b/>
                <w:bCs/>
                <w:color w:val="000000"/>
                <w:kern w:val="0"/>
                <w:szCs w:val="24"/>
              </w:rPr>
              <w:t>APCTHCPI</w:t>
            </w:r>
          </w:p>
        </w:tc>
        <w:tc>
          <w:tcPr>
            <w:tcW w:w="1820" w:type="dxa"/>
            <w:tcBorders>
              <w:top w:val="single" w:sz="4" w:space="0" w:color="auto"/>
              <w:left w:val="nil"/>
              <w:bottom w:val="single" w:sz="4" w:space="0" w:color="auto"/>
              <w:right w:val="single" w:sz="4" w:space="0" w:color="auto"/>
            </w:tcBorders>
            <w:shd w:val="clear" w:color="auto" w:fill="auto"/>
            <w:vAlign w:val="center"/>
            <w:hideMark/>
          </w:tcPr>
          <w:p w14:paraId="565093A9" w14:textId="77777777" w:rsidR="0002418D" w:rsidRPr="008E3F76" w:rsidRDefault="0002418D" w:rsidP="00AC0D94">
            <w:pPr>
              <w:widowControl/>
              <w:spacing w:line="360" w:lineRule="auto"/>
              <w:jc w:val="center"/>
              <w:rPr>
                <w:rFonts w:ascii="Times New Roman" w:eastAsia="Times New Roman" w:hAnsi="Times New Roman"/>
                <w:b/>
                <w:bCs/>
                <w:color w:val="000000"/>
                <w:kern w:val="0"/>
                <w:szCs w:val="24"/>
              </w:rPr>
            </w:pPr>
            <w:r w:rsidRPr="008E3F76">
              <w:rPr>
                <w:rFonts w:ascii="Times New Roman" w:eastAsia="Times New Roman" w:hAnsi="Times New Roman"/>
                <w:b/>
                <w:bCs/>
                <w:color w:val="000000"/>
                <w:kern w:val="0"/>
                <w:szCs w:val="24"/>
              </w:rPr>
              <w:t>APCHKVRS</w:t>
            </w:r>
          </w:p>
        </w:tc>
      </w:tr>
      <w:tr w:rsidR="0002418D" w:rsidRPr="008E3F76" w14:paraId="00CC007F" w14:textId="77777777" w:rsidTr="0002418D">
        <w:trPr>
          <w:trHeight w:val="310"/>
        </w:trPr>
        <w:tc>
          <w:tcPr>
            <w:tcW w:w="1980" w:type="dxa"/>
            <w:tcBorders>
              <w:top w:val="nil"/>
              <w:left w:val="single" w:sz="4" w:space="0" w:color="auto"/>
              <w:bottom w:val="single" w:sz="4" w:space="0" w:color="auto"/>
              <w:right w:val="single" w:sz="4" w:space="0" w:color="auto"/>
            </w:tcBorders>
            <w:shd w:val="clear" w:color="auto" w:fill="auto"/>
            <w:vAlign w:val="center"/>
            <w:hideMark/>
          </w:tcPr>
          <w:p w14:paraId="11ABD0A0" w14:textId="77777777" w:rsidR="0002418D" w:rsidRPr="008E3F76" w:rsidRDefault="0002418D" w:rsidP="00AC0D94">
            <w:pPr>
              <w:widowControl/>
              <w:spacing w:line="360" w:lineRule="auto"/>
              <w:jc w:val="center"/>
              <w:rPr>
                <w:rFonts w:ascii="Times New Roman" w:eastAsia="Times New Roman" w:hAnsi="Times New Roman"/>
                <w:b/>
                <w:bCs/>
                <w:color w:val="000000"/>
                <w:kern w:val="0"/>
                <w:szCs w:val="24"/>
              </w:rPr>
            </w:pPr>
            <w:r w:rsidRPr="008E3F76">
              <w:rPr>
                <w:rFonts w:ascii="Times New Roman" w:eastAsia="Times New Roman" w:hAnsi="Times New Roman"/>
                <w:b/>
                <w:bCs/>
                <w:color w:val="000000"/>
                <w:kern w:val="0"/>
                <w:szCs w:val="24"/>
              </w:rPr>
              <w:t>APCHKCPI</w:t>
            </w:r>
          </w:p>
        </w:tc>
        <w:tc>
          <w:tcPr>
            <w:tcW w:w="1820" w:type="dxa"/>
            <w:tcBorders>
              <w:top w:val="nil"/>
              <w:left w:val="nil"/>
              <w:bottom w:val="single" w:sz="4" w:space="0" w:color="auto"/>
              <w:right w:val="single" w:sz="4" w:space="0" w:color="auto"/>
            </w:tcBorders>
            <w:shd w:val="clear" w:color="auto" w:fill="auto"/>
            <w:vAlign w:val="center"/>
            <w:hideMark/>
          </w:tcPr>
          <w:p w14:paraId="076F5595" w14:textId="77777777" w:rsidR="0002418D" w:rsidRPr="008E3F76" w:rsidRDefault="0002418D"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1</w:t>
            </w:r>
          </w:p>
        </w:tc>
        <w:tc>
          <w:tcPr>
            <w:tcW w:w="1820" w:type="dxa"/>
            <w:tcBorders>
              <w:top w:val="nil"/>
              <w:left w:val="nil"/>
              <w:bottom w:val="single" w:sz="4" w:space="0" w:color="auto"/>
              <w:right w:val="single" w:sz="4" w:space="0" w:color="auto"/>
            </w:tcBorders>
            <w:shd w:val="clear" w:color="auto" w:fill="auto"/>
            <w:vAlign w:val="center"/>
            <w:hideMark/>
          </w:tcPr>
          <w:p w14:paraId="5532E53B" w14:textId="77777777" w:rsidR="0002418D" w:rsidRPr="008E3F76" w:rsidRDefault="0002418D"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0.59</w:t>
            </w:r>
          </w:p>
        </w:tc>
        <w:tc>
          <w:tcPr>
            <w:tcW w:w="1820" w:type="dxa"/>
            <w:tcBorders>
              <w:top w:val="nil"/>
              <w:left w:val="nil"/>
              <w:bottom w:val="single" w:sz="4" w:space="0" w:color="auto"/>
              <w:right w:val="single" w:sz="4" w:space="0" w:color="auto"/>
            </w:tcBorders>
            <w:shd w:val="clear" w:color="auto" w:fill="auto"/>
            <w:vAlign w:val="center"/>
            <w:hideMark/>
          </w:tcPr>
          <w:p w14:paraId="1C90F9CD" w14:textId="77777777" w:rsidR="0002418D" w:rsidRPr="008E3F76" w:rsidRDefault="0002418D"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-0.37</w:t>
            </w:r>
          </w:p>
        </w:tc>
      </w:tr>
      <w:tr w:rsidR="0002418D" w:rsidRPr="008E3F76" w14:paraId="1ADD9FBC" w14:textId="77777777" w:rsidTr="0002418D">
        <w:trPr>
          <w:trHeight w:val="310"/>
        </w:trPr>
        <w:tc>
          <w:tcPr>
            <w:tcW w:w="1980" w:type="dxa"/>
            <w:tcBorders>
              <w:top w:val="nil"/>
              <w:left w:val="single" w:sz="4" w:space="0" w:color="auto"/>
              <w:bottom w:val="single" w:sz="4" w:space="0" w:color="auto"/>
              <w:right w:val="single" w:sz="4" w:space="0" w:color="auto"/>
            </w:tcBorders>
            <w:shd w:val="clear" w:color="auto" w:fill="auto"/>
            <w:vAlign w:val="center"/>
            <w:hideMark/>
          </w:tcPr>
          <w:p w14:paraId="2D3BC581" w14:textId="77777777" w:rsidR="0002418D" w:rsidRPr="008E3F76" w:rsidRDefault="0002418D" w:rsidP="00AC0D94">
            <w:pPr>
              <w:widowControl/>
              <w:spacing w:line="360" w:lineRule="auto"/>
              <w:jc w:val="center"/>
              <w:rPr>
                <w:rFonts w:ascii="Times New Roman" w:eastAsia="Times New Roman" w:hAnsi="Times New Roman"/>
                <w:b/>
                <w:bCs/>
                <w:color w:val="000000"/>
                <w:kern w:val="0"/>
                <w:szCs w:val="24"/>
              </w:rPr>
            </w:pPr>
            <w:r w:rsidRPr="008E3F76">
              <w:rPr>
                <w:rFonts w:ascii="Times New Roman" w:eastAsia="Times New Roman" w:hAnsi="Times New Roman"/>
                <w:b/>
                <w:bCs/>
                <w:color w:val="000000"/>
                <w:kern w:val="0"/>
                <w:szCs w:val="24"/>
              </w:rPr>
              <w:t>APCTHCPI</w:t>
            </w:r>
          </w:p>
        </w:tc>
        <w:tc>
          <w:tcPr>
            <w:tcW w:w="1820" w:type="dxa"/>
            <w:tcBorders>
              <w:top w:val="nil"/>
              <w:left w:val="nil"/>
              <w:bottom w:val="single" w:sz="4" w:space="0" w:color="auto"/>
              <w:right w:val="single" w:sz="4" w:space="0" w:color="auto"/>
            </w:tcBorders>
            <w:shd w:val="clear" w:color="auto" w:fill="auto"/>
            <w:vAlign w:val="center"/>
            <w:hideMark/>
          </w:tcPr>
          <w:p w14:paraId="6914B6A3" w14:textId="77777777" w:rsidR="0002418D" w:rsidRPr="008E3F76" w:rsidRDefault="0002418D"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0.59</w:t>
            </w:r>
          </w:p>
        </w:tc>
        <w:tc>
          <w:tcPr>
            <w:tcW w:w="1820" w:type="dxa"/>
            <w:tcBorders>
              <w:top w:val="nil"/>
              <w:left w:val="nil"/>
              <w:bottom w:val="single" w:sz="4" w:space="0" w:color="auto"/>
              <w:right w:val="single" w:sz="4" w:space="0" w:color="auto"/>
            </w:tcBorders>
            <w:shd w:val="clear" w:color="auto" w:fill="auto"/>
            <w:vAlign w:val="center"/>
            <w:hideMark/>
          </w:tcPr>
          <w:p w14:paraId="5AAF6936" w14:textId="77777777" w:rsidR="0002418D" w:rsidRPr="008E3F76" w:rsidRDefault="0002418D"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1</w:t>
            </w:r>
          </w:p>
        </w:tc>
        <w:tc>
          <w:tcPr>
            <w:tcW w:w="1820" w:type="dxa"/>
            <w:tcBorders>
              <w:top w:val="nil"/>
              <w:left w:val="nil"/>
              <w:bottom w:val="single" w:sz="4" w:space="0" w:color="auto"/>
              <w:right w:val="single" w:sz="4" w:space="0" w:color="auto"/>
            </w:tcBorders>
            <w:shd w:val="clear" w:color="auto" w:fill="auto"/>
            <w:vAlign w:val="center"/>
            <w:hideMark/>
          </w:tcPr>
          <w:p w14:paraId="1664249F" w14:textId="77777777" w:rsidR="0002418D" w:rsidRPr="008E3F76" w:rsidRDefault="0002418D"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0.51</w:t>
            </w:r>
          </w:p>
        </w:tc>
      </w:tr>
      <w:tr w:rsidR="0002418D" w:rsidRPr="008E3F76" w14:paraId="72F326DC" w14:textId="77777777" w:rsidTr="0002418D">
        <w:trPr>
          <w:trHeight w:val="310"/>
        </w:trPr>
        <w:tc>
          <w:tcPr>
            <w:tcW w:w="1980" w:type="dxa"/>
            <w:tcBorders>
              <w:top w:val="nil"/>
              <w:left w:val="single" w:sz="4" w:space="0" w:color="auto"/>
              <w:bottom w:val="single" w:sz="4" w:space="0" w:color="auto"/>
              <w:right w:val="single" w:sz="4" w:space="0" w:color="auto"/>
            </w:tcBorders>
            <w:shd w:val="clear" w:color="auto" w:fill="auto"/>
            <w:vAlign w:val="center"/>
            <w:hideMark/>
          </w:tcPr>
          <w:p w14:paraId="4345BD13" w14:textId="77777777" w:rsidR="0002418D" w:rsidRPr="008E3F76" w:rsidRDefault="0002418D" w:rsidP="00AC0D94">
            <w:pPr>
              <w:widowControl/>
              <w:spacing w:line="360" w:lineRule="auto"/>
              <w:jc w:val="center"/>
              <w:rPr>
                <w:rFonts w:ascii="Times New Roman" w:eastAsia="Times New Roman" w:hAnsi="Times New Roman"/>
                <w:b/>
                <w:bCs/>
                <w:color w:val="000000"/>
                <w:kern w:val="0"/>
                <w:szCs w:val="24"/>
              </w:rPr>
            </w:pPr>
            <w:r w:rsidRPr="008E3F76">
              <w:rPr>
                <w:rFonts w:ascii="Times New Roman" w:eastAsia="Times New Roman" w:hAnsi="Times New Roman"/>
                <w:b/>
                <w:bCs/>
                <w:color w:val="000000"/>
                <w:kern w:val="0"/>
                <w:szCs w:val="24"/>
              </w:rPr>
              <w:t>APCHKVRS</w:t>
            </w:r>
          </w:p>
        </w:tc>
        <w:tc>
          <w:tcPr>
            <w:tcW w:w="1820" w:type="dxa"/>
            <w:tcBorders>
              <w:top w:val="nil"/>
              <w:left w:val="nil"/>
              <w:bottom w:val="single" w:sz="4" w:space="0" w:color="auto"/>
              <w:right w:val="single" w:sz="4" w:space="0" w:color="auto"/>
            </w:tcBorders>
            <w:shd w:val="clear" w:color="auto" w:fill="auto"/>
            <w:vAlign w:val="center"/>
            <w:hideMark/>
          </w:tcPr>
          <w:p w14:paraId="65734A35" w14:textId="77777777" w:rsidR="0002418D" w:rsidRPr="008E3F76" w:rsidRDefault="0002418D"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-0.37</w:t>
            </w:r>
          </w:p>
        </w:tc>
        <w:tc>
          <w:tcPr>
            <w:tcW w:w="1820" w:type="dxa"/>
            <w:tcBorders>
              <w:top w:val="nil"/>
              <w:left w:val="nil"/>
              <w:bottom w:val="single" w:sz="4" w:space="0" w:color="auto"/>
              <w:right w:val="single" w:sz="4" w:space="0" w:color="auto"/>
            </w:tcBorders>
            <w:shd w:val="clear" w:color="auto" w:fill="auto"/>
            <w:vAlign w:val="center"/>
            <w:hideMark/>
          </w:tcPr>
          <w:p w14:paraId="12F2B7F6" w14:textId="77777777" w:rsidR="0002418D" w:rsidRPr="008E3F76" w:rsidRDefault="0002418D"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0.51</w:t>
            </w:r>
          </w:p>
        </w:tc>
        <w:tc>
          <w:tcPr>
            <w:tcW w:w="1820" w:type="dxa"/>
            <w:tcBorders>
              <w:top w:val="nil"/>
              <w:left w:val="nil"/>
              <w:bottom w:val="single" w:sz="4" w:space="0" w:color="auto"/>
              <w:right w:val="single" w:sz="4" w:space="0" w:color="auto"/>
            </w:tcBorders>
            <w:shd w:val="clear" w:color="auto" w:fill="auto"/>
            <w:vAlign w:val="center"/>
            <w:hideMark/>
          </w:tcPr>
          <w:p w14:paraId="048810A4" w14:textId="77777777" w:rsidR="0002418D" w:rsidRPr="008E3F76" w:rsidRDefault="0002418D" w:rsidP="00AC0D94">
            <w:pPr>
              <w:widowControl/>
              <w:spacing w:line="360" w:lineRule="auto"/>
              <w:jc w:val="center"/>
              <w:rPr>
                <w:rFonts w:ascii="Times New Roman" w:eastAsia="Times New Roman" w:hAnsi="Times New Roman"/>
                <w:color w:val="000000"/>
                <w:kern w:val="0"/>
                <w:szCs w:val="24"/>
              </w:rPr>
            </w:pPr>
            <w:r w:rsidRPr="008E3F76">
              <w:rPr>
                <w:rFonts w:ascii="Times New Roman" w:eastAsia="Times New Roman" w:hAnsi="Times New Roman"/>
                <w:bCs/>
                <w:color w:val="000000"/>
                <w:kern w:val="0"/>
                <w:szCs w:val="24"/>
              </w:rPr>
              <w:t>1</w:t>
            </w:r>
          </w:p>
        </w:tc>
      </w:tr>
    </w:tbl>
    <w:p w14:paraId="54A8539C" w14:textId="77777777" w:rsidR="0002418D" w:rsidRPr="008E3F76" w:rsidRDefault="0002418D" w:rsidP="00AC0D94">
      <w:pPr>
        <w:adjustRightInd w:val="0"/>
        <w:snapToGrid w:val="0"/>
        <w:spacing w:line="360" w:lineRule="auto"/>
        <w:jc w:val="both"/>
        <w:rPr>
          <w:rFonts w:ascii="Times New Roman" w:hAnsi="Times New Roman"/>
          <w:b/>
          <w:bCs/>
          <w:szCs w:val="24"/>
        </w:rPr>
      </w:pPr>
    </w:p>
    <w:p w14:paraId="2978856C" w14:textId="77777777" w:rsidR="00BA71ED" w:rsidRDefault="00BA71ED" w:rsidP="00AC0D94">
      <w:pPr>
        <w:adjustRightInd w:val="0"/>
        <w:snapToGrid w:val="0"/>
        <w:spacing w:line="360" w:lineRule="auto"/>
        <w:jc w:val="both"/>
        <w:rPr>
          <w:rFonts w:ascii="Times New Roman" w:hAnsi="Times New Roman"/>
          <w:b/>
          <w:bCs/>
          <w:szCs w:val="24"/>
        </w:rPr>
      </w:pPr>
    </w:p>
    <w:p w14:paraId="05B85FA0" w14:textId="77777777" w:rsidR="00BA71ED" w:rsidRDefault="00BA71ED" w:rsidP="00AC0D94">
      <w:pPr>
        <w:adjustRightInd w:val="0"/>
        <w:snapToGrid w:val="0"/>
        <w:spacing w:line="360" w:lineRule="auto"/>
        <w:jc w:val="both"/>
        <w:rPr>
          <w:rFonts w:ascii="Times New Roman" w:hAnsi="Times New Roman"/>
          <w:b/>
          <w:bCs/>
          <w:szCs w:val="24"/>
        </w:rPr>
      </w:pPr>
    </w:p>
    <w:p w14:paraId="2DD9B603" w14:textId="0FA345C5" w:rsidR="00E01E96" w:rsidRPr="008E3F76" w:rsidRDefault="00E01E96"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lastRenderedPageBreak/>
        <w:t>Key Insights:</w:t>
      </w:r>
    </w:p>
    <w:p w14:paraId="297C0AF3" w14:textId="77777777" w:rsidR="00C04205" w:rsidRPr="00C04205" w:rsidRDefault="00C04205" w:rsidP="003F53B9">
      <w:pPr>
        <w:numPr>
          <w:ilvl w:val="0"/>
          <w:numId w:val="23"/>
        </w:numPr>
        <w:adjustRightInd w:val="0"/>
        <w:snapToGrid w:val="0"/>
        <w:spacing w:line="360" w:lineRule="auto"/>
        <w:jc w:val="both"/>
        <w:rPr>
          <w:rFonts w:ascii="Times New Roman" w:hAnsi="Times New Roman"/>
          <w:szCs w:val="24"/>
        </w:rPr>
      </w:pPr>
      <w:r w:rsidRPr="00C04205">
        <w:rPr>
          <w:rFonts w:ascii="Times New Roman" w:hAnsi="Times New Roman"/>
          <w:szCs w:val="24"/>
        </w:rPr>
        <w:t>The positive correlation (0.59) between Hong Kong’s and Thailand’s inflation rates during this period reflects their shared exposure to global economic shocks, such as the COVID-19 pandemic. However, the slightly lower correlation compared to the 2006–2018 period suggests that the pandemic may have introduced some divergence in their inflation trends.</w:t>
      </w:r>
    </w:p>
    <w:p w14:paraId="16BCDCE7" w14:textId="77777777" w:rsidR="00C04205" w:rsidRPr="00C04205" w:rsidRDefault="00C04205" w:rsidP="003F53B9">
      <w:pPr>
        <w:numPr>
          <w:ilvl w:val="0"/>
          <w:numId w:val="23"/>
        </w:numPr>
        <w:adjustRightInd w:val="0"/>
        <w:snapToGrid w:val="0"/>
        <w:spacing w:line="360" w:lineRule="auto"/>
        <w:jc w:val="both"/>
        <w:rPr>
          <w:rFonts w:ascii="Times New Roman" w:hAnsi="Times New Roman"/>
          <w:szCs w:val="24"/>
        </w:rPr>
      </w:pPr>
      <w:r w:rsidRPr="00C04205">
        <w:rPr>
          <w:rFonts w:ascii="Times New Roman" w:hAnsi="Times New Roman"/>
          <w:szCs w:val="24"/>
        </w:rPr>
        <w:t>The weak negative correlation (-0.37) between Hong Kong’s inflation and retail sales suggests that higher inflation may have suppressed retail sales during this period, likely due to economic uncertainty and reduced consumer confidence caused by the pandemic and social unrest.</w:t>
      </w:r>
    </w:p>
    <w:p w14:paraId="66734E7A" w14:textId="77777777" w:rsidR="00C04205" w:rsidRPr="00C04205" w:rsidRDefault="00C04205" w:rsidP="003F53B9">
      <w:pPr>
        <w:numPr>
          <w:ilvl w:val="0"/>
          <w:numId w:val="23"/>
        </w:numPr>
        <w:adjustRightInd w:val="0"/>
        <w:snapToGrid w:val="0"/>
        <w:spacing w:line="360" w:lineRule="auto"/>
        <w:jc w:val="both"/>
        <w:rPr>
          <w:rFonts w:ascii="Times New Roman" w:hAnsi="Times New Roman"/>
          <w:szCs w:val="24"/>
        </w:rPr>
      </w:pPr>
      <w:r w:rsidRPr="00C04205">
        <w:rPr>
          <w:rFonts w:ascii="Times New Roman" w:hAnsi="Times New Roman"/>
          <w:szCs w:val="24"/>
        </w:rPr>
        <w:t>The moderate positive correlation (0.51) between Thailand’s inflation and Hong Kong’s retail sales indicates that Thailand’s economic conditions continued to influence Hong Kong’s retail sector, particularly through tourism. This relationship underscores the importance of tourism as a key driver of economic interconnectedness between the two regions, even during periods of global disruption.</w:t>
      </w:r>
    </w:p>
    <w:p w14:paraId="063A7BBD" w14:textId="77777777" w:rsidR="00A941F6" w:rsidRPr="008E3F76" w:rsidRDefault="00A941F6" w:rsidP="00AC0D94">
      <w:pPr>
        <w:adjustRightInd w:val="0"/>
        <w:snapToGrid w:val="0"/>
        <w:spacing w:line="360" w:lineRule="auto"/>
        <w:ind w:left="360"/>
        <w:jc w:val="both"/>
        <w:rPr>
          <w:rFonts w:ascii="Times New Roman" w:hAnsi="Times New Roman"/>
          <w:szCs w:val="24"/>
        </w:rPr>
      </w:pPr>
    </w:p>
    <w:p w14:paraId="0DEEFBFD" w14:textId="669CEF05" w:rsidR="00D3080E" w:rsidRPr="008E3F76" w:rsidRDefault="00D3080E" w:rsidP="00AC0D94">
      <w:pPr>
        <w:adjustRightInd w:val="0"/>
        <w:snapToGrid w:val="0"/>
        <w:spacing w:line="360" w:lineRule="auto"/>
        <w:jc w:val="both"/>
        <w:rPr>
          <w:rFonts w:ascii="Times New Roman" w:hAnsi="Times New Roman"/>
          <w:b/>
          <w:bCs/>
          <w:szCs w:val="24"/>
        </w:rPr>
      </w:pPr>
      <w:r w:rsidRPr="008E3F76">
        <w:rPr>
          <w:rFonts w:ascii="Times New Roman" w:hAnsi="Times New Roman"/>
          <w:b/>
          <w:bCs/>
          <w:szCs w:val="24"/>
        </w:rPr>
        <w:t>3.</w:t>
      </w:r>
      <w:r w:rsidR="00BA71ED">
        <w:rPr>
          <w:rFonts w:ascii="Times New Roman" w:hAnsi="Times New Roman"/>
          <w:b/>
          <w:bCs/>
          <w:szCs w:val="24"/>
        </w:rPr>
        <w:t>4</w:t>
      </w:r>
      <w:r w:rsidR="00DC103F">
        <w:rPr>
          <w:rFonts w:ascii="Times New Roman" w:hAnsi="Times New Roman"/>
          <w:b/>
          <w:bCs/>
          <w:szCs w:val="24"/>
        </w:rPr>
        <w:t>.</w:t>
      </w:r>
      <w:r w:rsidR="0077040C">
        <w:rPr>
          <w:rFonts w:ascii="Times New Roman" w:hAnsi="Times New Roman"/>
          <w:b/>
          <w:bCs/>
          <w:szCs w:val="24"/>
        </w:rPr>
        <w:t>4</w:t>
      </w:r>
      <w:r w:rsidRPr="008E3F76">
        <w:rPr>
          <w:rFonts w:ascii="Times New Roman" w:hAnsi="Times New Roman"/>
          <w:b/>
          <w:bCs/>
          <w:szCs w:val="24"/>
        </w:rPr>
        <w:t xml:space="preserve"> Similarities and Differences in Patterns and Trends</w:t>
      </w:r>
    </w:p>
    <w:p w14:paraId="46F5EE3A" w14:textId="77777777" w:rsidR="00AC797E" w:rsidRDefault="00AC797E" w:rsidP="00AC0D94">
      <w:pPr>
        <w:adjustRightInd w:val="0"/>
        <w:snapToGrid w:val="0"/>
        <w:spacing w:line="360" w:lineRule="auto"/>
        <w:jc w:val="both"/>
        <w:rPr>
          <w:rFonts w:ascii="Times New Roman" w:hAnsi="Times New Roman"/>
          <w:b/>
          <w:bCs/>
          <w:szCs w:val="24"/>
        </w:rPr>
      </w:pPr>
    </w:p>
    <w:p w14:paraId="12FDC0F3" w14:textId="50376BC6" w:rsidR="0045634D" w:rsidRDefault="0045634D" w:rsidP="00AC0D94">
      <w:pPr>
        <w:adjustRightInd w:val="0"/>
        <w:snapToGrid w:val="0"/>
        <w:spacing w:line="360" w:lineRule="auto"/>
        <w:jc w:val="both"/>
        <w:rPr>
          <w:rFonts w:ascii="Times New Roman" w:hAnsi="Times New Roman"/>
          <w:szCs w:val="24"/>
        </w:rPr>
      </w:pPr>
      <w:r w:rsidRPr="0045634D">
        <w:rPr>
          <w:rFonts w:ascii="Times New Roman" w:hAnsi="Times New Roman"/>
          <w:szCs w:val="24"/>
        </w:rPr>
        <w:t>The analysis of summary statistics (Table 4: 2006–2023 and Table 5: 2019–2023) reveals both similarities and differences in the economic patterns and trends of Hong Kong and Thailand.</w:t>
      </w:r>
    </w:p>
    <w:p w14:paraId="3C3CA624" w14:textId="77777777" w:rsidR="00EB733B" w:rsidRDefault="00EB733B" w:rsidP="00AC0D94">
      <w:pPr>
        <w:adjustRightInd w:val="0"/>
        <w:snapToGrid w:val="0"/>
        <w:spacing w:line="360" w:lineRule="auto"/>
        <w:jc w:val="both"/>
        <w:rPr>
          <w:rFonts w:ascii="Times New Roman" w:hAnsi="Times New Roman"/>
          <w:b/>
          <w:bCs/>
          <w:szCs w:val="24"/>
        </w:rPr>
      </w:pPr>
    </w:p>
    <w:p w14:paraId="677C189E" w14:textId="77777777" w:rsidR="00A33374" w:rsidRPr="00A33374" w:rsidRDefault="00A33374" w:rsidP="00AC0D94">
      <w:pPr>
        <w:adjustRightInd w:val="0"/>
        <w:snapToGrid w:val="0"/>
        <w:spacing w:line="360" w:lineRule="auto"/>
        <w:jc w:val="both"/>
        <w:rPr>
          <w:rFonts w:ascii="Times New Roman" w:hAnsi="Times New Roman"/>
          <w:b/>
          <w:bCs/>
          <w:szCs w:val="24"/>
        </w:rPr>
      </w:pPr>
      <w:r w:rsidRPr="00A33374">
        <w:rPr>
          <w:rFonts w:ascii="Times New Roman" w:hAnsi="Times New Roman"/>
          <w:b/>
          <w:bCs/>
          <w:szCs w:val="24"/>
        </w:rPr>
        <w:t>Similarities:</w:t>
      </w:r>
    </w:p>
    <w:p w14:paraId="1EC9533F" w14:textId="77777777" w:rsidR="00A33374" w:rsidRPr="00A33374" w:rsidRDefault="00A33374" w:rsidP="003F53B9">
      <w:pPr>
        <w:numPr>
          <w:ilvl w:val="0"/>
          <w:numId w:val="24"/>
        </w:numPr>
        <w:adjustRightInd w:val="0"/>
        <w:snapToGrid w:val="0"/>
        <w:spacing w:line="360" w:lineRule="auto"/>
        <w:jc w:val="both"/>
        <w:rPr>
          <w:rFonts w:ascii="Times New Roman" w:hAnsi="Times New Roman"/>
          <w:b/>
          <w:bCs/>
          <w:szCs w:val="24"/>
        </w:rPr>
      </w:pPr>
      <w:r w:rsidRPr="00A33374">
        <w:rPr>
          <w:rFonts w:ascii="Times New Roman" w:hAnsi="Times New Roman"/>
          <w:b/>
          <w:bCs/>
          <w:szCs w:val="24"/>
        </w:rPr>
        <w:t>Impact of Global Events:</w:t>
      </w:r>
    </w:p>
    <w:p w14:paraId="2C8B564E" w14:textId="77777777" w:rsidR="00A33374" w:rsidRPr="00A33374" w:rsidRDefault="00A33374" w:rsidP="003F53B9">
      <w:pPr>
        <w:pStyle w:val="ListParagraph"/>
        <w:numPr>
          <w:ilvl w:val="0"/>
          <w:numId w:val="26"/>
        </w:numPr>
        <w:adjustRightInd w:val="0"/>
        <w:snapToGrid w:val="0"/>
        <w:spacing w:line="360" w:lineRule="auto"/>
        <w:ind w:leftChars="0"/>
        <w:jc w:val="both"/>
        <w:rPr>
          <w:rFonts w:ascii="Times New Roman" w:hAnsi="Times New Roman"/>
          <w:szCs w:val="24"/>
        </w:rPr>
      </w:pPr>
      <w:r w:rsidRPr="00A33374">
        <w:rPr>
          <w:rFonts w:ascii="Times New Roman" w:hAnsi="Times New Roman"/>
          <w:szCs w:val="24"/>
        </w:rPr>
        <w:t>Both economies were significantly impacted by global events such as the 2008 financial crisis and the COVID-19 pandemic, with sharp declines in retail sales and inflation during these periods.</w:t>
      </w:r>
    </w:p>
    <w:p w14:paraId="787AAD93" w14:textId="77777777" w:rsidR="00A33374" w:rsidRPr="00A33374" w:rsidRDefault="00A33374" w:rsidP="003F53B9">
      <w:pPr>
        <w:pStyle w:val="ListParagraph"/>
        <w:numPr>
          <w:ilvl w:val="0"/>
          <w:numId w:val="26"/>
        </w:numPr>
        <w:adjustRightInd w:val="0"/>
        <w:snapToGrid w:val="0"/>
        <w:spacing w:line="360" w:lineRule="auto"/>
        <w:ind w:leftChars="0"/>
        <w:jc w:val="both"/>
        <w:rPr>
          <w:rFonts w:ascii="Times New Roman" w:hAnsi="Times New Roman"/>
          <w:szCs w:val="24"/>
        </w:rPr>
      </w:pPr>
      <w:r w:rsidRPr="00A33374">
        <w:rPr>
          <w:rFonts w:ascii="Times New Roman" w:hAnsi="Times New Roman"/>
          <w:szCs w:val="24"/>
        </w:rPr>
        <w:t>Both regions demonstrated resilience in certain areas: Hong Kong’s inflation remained stable, while Thailand’s inflation recovered post-pandemic.</w:t>
      </w:r>
    </w:p>
    <w:p w14:paraId="1561C5EF" w14:textId="77777777" w:rsidR="00A33374" w:rsidRPr="00A33374" w:rsidRDefault="00A33374" w:rsidP="003F53B9">
      <w:pPr>
        <w:numPr>
          <w:ilvl w:val="0"/>
          <w:numId w:val="24"/>
        </w:numPr>
        <w:adjustRightInd w:val="0"/>
        <w:snapToGrid w:val="0"/>
        <w:spacing w:line="360" w:lineRule="auto"/>
        <w:jc w:val="both"/>
        <w:rPr>
          <w:rFonts w:ascii="Times New Roman" w:hAnsi="Times New Roman"/>
          <w:b/>
          <w:bCs/>
          <w:szCs w:val="24"/>
        </w:rPr>
      </w:pPr>
      <w:r w:rsidRPr="00A33374">
        <w:rPr>
          <w:rFonts w:ascii="Times New Roman" w:hAnsi="Times New Roman"/>
          <w:b/>
          <w:bCs/>
          <w:szCs w:val="24"/>
        </w:rPr>
        <w:t>Interconnectedness:</w:t>
      </w:r>
    </w:p>
    <w:p w14:paraId="62F31A18" w14:textId="77777777" w:rsidR="00A33374" w:rsidRPr="00A33374" w:rsidRDefault="00A33374" w:rsidP="003F53B9">
      <w:pPr>
        <w:pStyle w:val="ListParagraph"/>
        <w:numPr>
          <w:ilvl w:val="0"/>
          <w:numId w:val="27"/>
        </w:numPr>
        <w:adjustRightInd w:val="0"/>
        <w:snapToGrid w:val="0"/>
        <w:spacing w:line="360" w:lineRule="auto"/>
        <w:ind w:leftChars="0"/>
        <w:jc w:val="both"/>
        <w:rPr>
          <w:rFonts w:ascii="Times New Roman" w:hAnsi="Times New Roman"/>
          <w:szCs w:val="24"/>
        </w:rPr>
      </w:pPr>
      <w:r w:rsidRPr="00A33374">
        <w:rPr>
          <w:rFonts w:ascii="Times New Roman" w:hAnsi="Times New Roman"/>
          <w:szCs w:val="24"/>
        </w:rPr>
        <w:t>The strong correlation (0.69) between Hong Kong’s and Thailand’s inflation rates (Table 2: 2006–2018) indicates moderate synchronization due to shared exposure to global economic conditions.</w:t>
      </w:r>
    </w:p>
    <w:p w14:paraId="233CF45F" w14:textId="77777777" w:rsidR="00A33374" w:rsidRPr="00A33374" w:rsidRDefault="00A33374" w:rsidP="003F53B9">
      <w:pPr>
        <w:pStyle w:val="ListParagraph"/>
        <w:numPr>
          <w:ilvl w:val="0"/>
          <w:numId w:val="27"/>
        </w:numPr>
        <w:adjustRightInd w:val="0"/>
        <w:snapToGrid w:val="0"/>
        <w:spacing w:line="360" w:lineRule="auto"/>
        <w:ind w:leftChars="0"/>
        <w:jc w:val="both"/>
        <w:rPr>
          <w:rFonts w:ascii="Times New Roman" w:hAnsi="Times New Roman"/>
          <w:szCs w:val="24"/>
        </w:rPr>
      </w:pPr>
      <w:r w:rsidRPr="00A33374">
        <w:rPr>
          <w:rFonts w:ascii="Times New Roman" w:hAnsi="Times New Roman"/>
          <w:szCs w:val="24"/>
        </w:rPr>
        <w:lastRenderedPageBreak/>
        <w:t>The moderate correlation (0.51) between Thailand’s inflation and Hong Kong’s retail sales highlights the interconnectedness of the two economies, particularly through tourism and trade.</w:t>
      </w:r>
    </w:p>
    <w:p w14:paraId="55347931" w14:textId="77777777" w:rsidR="00A33374" w:rsidRDefault="00A33374" w:rsidP="00AC0D94">
      <w:pPr>
        <w:adjustRightInd w:val="0"/>
        <w:snapToGrid w:val="0"/>
        <w:spacing w:line="360" w:lineRule="auto"/>
        <w:jc w:val="both"/>
        <w:rPr>
          <w:rFonts w:ascii="Times New Roman" w:hAnsi="Times New Roman"/>
          <w:b/>
          <w:bCs/>
          <w:szCs w:val="24"/>
        </w:rPr>
      </w:pPr>
    </w:p>
    <w:p w14:paraId="5BADCEB9" w14:textId="77777777" w:rsidR="00A33374" w:rsidRDefault="00A33374" w:rsidP="00AC0D94">
      <w:pPr>
        <w:adjustRightInd w:val="0"/>
        <w:snapToGrid w:val="0"/>
        <w:spacing w:line="360" w:lineRule="auto"/>
        <w:jc w:val="both"/>
        <w:rPr>
          <w:rFonts w:ascii="Times New Roman" w:hAnsi="Times New Roman"/>
          <w:b/>
          <w:bCs/>
          <w:szCs w:val="24"/>
        </w:rPr>
      </w:pPr>
    </w:p>
    <w:p w14:paraId="7E7B13E6" w14:textId="77777777" w:rsidR="00A33374" w:rsidRDefault="00A33374" w:rsidP="00AC0D94">
      <w:pPr>
        <w:adjustRightInd w:val="0"/>
        <w:snapToGrid w:val="0"/>
        <w:spacing w:line="360" w:lineRule="auto"/>
        <w:jc w:val="both"/>
        <w:rPr>
          <w:rFonts w:ascii="Times New Roman" w:hAnsi="Times New Roman"/>
          <w:b/>
          <w:bCs/>
          <w:szCs w:val="24"/>
        </w:rPr>
      </w:pPr>
    </w:p>
    <w:p w14:paraId="5C6550B5" w14:textId="77777777" w:rsidR="00A33374" w:rsidRDefault="00A33374" w:rsidP="00AC0D94">
      <w:pPr>
        <w:adjustRightInd w:val="0"/>
        <w:snapToGrid w:val="0"/>
        <w:spacing w:line="360" w:lineRule="auto"/>
        <w:jc w:val="both"/>
        <w:rPr>
          <w:rFonts w:ascii="Times New Roman" w:hAnsi="Times New Roman"/>
          <w:b/>
          <w:bCs/>
          <w:szCs w:val="24"/>
        </w:rPr>
      </w:pPr>
    </w:p>
    <w:p w14:paraId="74779855" w14:textId="52B74881" w:rsidR="00A33374" w:rsidRPr="00A33374" w:rsidRDefault="00A33374" w:rsidP="00AC0D94">
      <w:pPr>
        <w:adjustRightInd w:val="0"/>
        <w:snapToGrid w:val="0"/>
        <w:spacing w:line="360" w:lineRule="auto"/>
        <w:jc w:val="both"/>
        <w:rPr>
          <w:rFonts w:ascii="Times New Roman" w:hAnsi="Times New Roman"/>
          <w:b/>
          <w:bCs/>
          <w:szCs w:val="24"/>
        </w:rPr>
      </w:pPr>
      <w:r w:rsidRPr="00A33374">
        <w:rPr>
          <w:rFonts w:ascii="Times New Roman" w:hAnsi="Times New Roman"/>
          <w:b/>
          <w:bCs/>
          <w:szCs w:val="24"/>
        </w:rPr>
        <w:t>Differences:</w:t>
      </w:r>
    </w:p>
    <w:p w14:paraId="2B1BDB15" w14:textId="77777777" w:rsidR="00A33374" w:rsidRPr="00A33374" w:rsidRDefault="00A33374" w:rsidP="003F53B9">
      <w:pPr>
        <w:numPr>
          <w:ilvl w:val="0"/>
          <w:numId w:val="25"/>
        </w:numPr>
        <w:adjustRightInd w:val="0"/>
        <w:snapToGrid w:val="0"/>
        <w:spacing w:line="360" w:lineRule="auto"/>
        <w:jc w:val="both"/>
        <w:rPr>
          <w:rFonts w:ascii="Times New Roman" w:hAnsi="Times New Roman"/>
          <w:b/>
          <w:bCs/>
          <w:szCs w:val="24"/>
        </w:rPr>
      </w:pPr>
      <w:r w:rsidRPr="00A33374">
        <w:rPr>
          <w:rFonts w:ascii="Times New Roman" w:hAnsi="Times New Roman"/>
          <w:b/>
          <w:bCs/>
          <w:szCs w:val="24"/>
        </w:rPr>
        <w:t>Volatility in Retail Sales:</w:t>
      </w:r>
    </w:p>
    <w:p w14:paraId="66B0852D" w14:textId="77777777" w:rsidR="00A33374" w:rsidRPr="00A33374" w:rsidRDefault="00A33374" w:rsidP="003F53B9">
      <w:pPr>
        <w:pStyle w:val="ListParagraph"/>
        <w:numPr>
          <w:ilvl w:val="0"/>
          <w:numId w:val="29"/>
        </w:numPr>
        <w:adjustRightInd w:val="0"/>
        <w:snapToGrid w:val="0"/>
        <w:spacing w:line="360" w:lineRule="auto"/>
        <w:ind w:leftChars="0"/>
        <w:jc w:val="both"/>
        <w:rPr>
          <w:rFonts w:ascii="Times New Roman" w:hAnsi="Times New Roman"/>
          <w:szCs w:val="24"/>
        </w:rPr>
      </w:pPr>
      <w:r w:rsidRPr="00A33374">
        <w:rPr>
          <w:rFonts w:ascii="Times New Roman" w:hAnsi="Times New Roman"/>
          <w:szCs w:val="24"/>
        </w:rPr>
        <w:t>Hong Kong’s retail sales exhibited extreme volatility, with a range of 44.1% (2006–2023) and 34.9% (2019–2023), driven by social unrest and structural challenges.</w:t>
      </w:r>
    </w:p>
    <w:p w14:paraId="1CF1F34E" w14:textId="77777777" w:rsidR="00A33374" w:rsidRPr="00A33374" w:rsidRDefault="00A33374" w:rsidP="003F53B9">
      <w:pPr>
        <w:pStyle w:val="ListParagraph"/>
        <w:numPr>
          <w:ilvl w:val="0"/>
          <w:numId w:val="29"/>
        </w:numPr>
        <w:adjustRightInd w:val="0"/>
        <w:snapToGrid w:val="0"/>
        <w:spacing w:line="360" w:lineRule="auto"/>
        <w:ind w:leftChars="0"/>
        <w:jc w:val="both"/>
        <w:rPr>
          <w:rFonts w:ascii="Times New Roman" w:hAnsi="Times New Roman"/>
          <w:szCs w:val="24"/>
        </w:rPr>
      </w:pPr>
      <w:r w:rsidRPr="00A33374">
        <w:rPr>
          <w:rFonts w:ascii="Times New Roman" w:hAnsi="Times New Roman"/>
          <w:szCs w:val="24"/>
        </w:rPr>
        <w:t>In contrast, Thailand’s retail environment was more stable, with less extreme fluctuations.</w:t>
      </w:r>
    </w:p>
    <w:p w14:paraId="090FB6A7" w14:textId="77777777" w:rsidR="00A33374" w:rsidRPr="00A33374" w:rsidRDefault="00A33374" w:rsidP="003F53B9">
      <w:pPr>
        <w:numPr>
          <w:ilvl w:val="0"/>
          <w:numId w:val="25"/>
        </w:numPr>
        <w:adjustRightInd w:val="0"/>
        <w:snapToGrid w:val="0"/>
        <w:spacing w:line="360" w:lineRule="auto"/>
        <w:jc w:val="both"/>
        <w:rPr>
          <w:rFonts w:ascii="Times New Roman" w:hAnsi="Times New Roman"/>
          <w:b/>
          <w:bCs/>
          <w:szCs w:val="24"/>
        </w:rPr>
      </w:pPr>
      <w:r w:rsidRPr="00A33374">
        <w:rPr>
          <w:rFonts w:ascii="Times New Roman" w:hAnsi="Times New Roman"/>
          <w:b/>
          <w:bCs/>
          <w:szCs w:val="24"/>
        </w:rPr>
        <w:t>Sensitivity to External Shocks:</w:t>
      </w:r>
    </w:p>
    <w:p w14:paraId="3ADEEACD" w14:textId="77777777" w:rsidR="00A33374" w:rsidRPr="00A33374" w:rsidRDefault="00A33374" w:rsidP="003F53B9">
      <w:pPr>
        <w:pStyle w:val="ListParagraph"/>
        <w:numPr>
          <w:ilvl w:val="0"/>
          <w:numId w:val="28"/>
        </w:numPr>
        <w:adjustRightInd w:val="0"/>
        <w:snapToGrid w:val="0"/>
        <w:spacing w:line="360" w:lineRule="auto"/>
        <w:ind w:leftChars="0"/>
        <w:jc w:val="both"/>
        <w:rPr>
          <w:rFonts w:ascii="Times New Roman" w:hAnsi="Times New Roman"/>
          <w:szCs w:val="24"/>
        </w:rPr>
      </w:pPr>
      <w:r w:rsidRPr="00A33374">
        <w:rPr>
          <w:rFonts w:ascii="Times New Roman" w:hAnsi="Times New Roman"/>
          <w:szCs w:val="24"/>
        </w:rPr>
        <w:t>Thailand’s inflation showed greater sensitivity to external shocks, such as global commodity prices and tourism trends, leading to periods of deflation (e.g., -0.9% in 2015) and inflation spikes (e.g., 5.9% in 2022).</w:t>
      </w:r>
    </w:p>
    <w:p w14:paraId="14E294EA" w14:textId="77777777" w:rsidR="00A33374" w:rsidRPr="00A33374" w:rsidRDefault="00A33374" w:rsidP="003F53B9">
      <w:pPr>
        <w:pStyle w:val="ListParagraph"/>
        <w:numPr>
          <w:ilvl w:val="0"/>
          <w:numId w:val="28"/>
        </w:numPr>
        <w:adjustRightInd w:val="0"/>
        <w:snapToGrid w:val="0"/>
        <w:spacing w:line="360" w:lineRule="auto"/>
        <w:ind w:leftChars="0"/>
        <w:jc w:val="both"/>
        <w:rPr>
          <w:rFonts w:ascii="Times New Roman" w:hAnsi="Times New Roman"/>
          <w:szCs w:val="24"/>
        </w:rPr>
      </w:pPr>
      <w:r w:rsidRPr="00A33374">
        <w:rPr>
          <w:rFonts w:ascii="Times New Roman" w:hAnsi="Times New Roman"/>
          <w:szCs w:val="24"/>
        </w:rPr>
        <w:t>Hong Kong’s inflation, on the other hand, remained relatively stable, with a mean growth rate of 3.5% (2006–2023) and 1.7% (2019–2023), indicating resilience despite economic challenges.</w:t>
      </w:r>
    </w:p>
    <w:p w14:paraId="537791B3" w14:textId="77777777" w:rsidR="00A33374" w:rsidRPr="00A33374" w:rsidRDefault="00A33374" w:rsidP="003F53B9">
      <w:pPr>
        <w:numPr>
          <w:ilvl w:val="0"/>
          <w:numId w:val="25"/>
        </w:numPr>
        <w:adjustRightInd w:val="0"/>
        <w:snapToGrid w:val="0"/>
        <w:spacing w:line="360" w:lineRule="auto"/>
        <w:jc w:val="both"/>
        <w:rPr>
          <w:rFonts w:ascii="Times New Roman" w:hAnsi="Times New Roman"/>
          <w:b/>
          <w:bCs/>
          <w:szCs w:val="24"/>
        </w:rPr>
      </w:pPr>
      <w:r w:rsidRPr="00A33374">
        <w:rPr>
          <w:rFonts w:ascii="Times New Roman" w:hAnsi="Times New Roman"/>
          <w:b/>
          <w:bCs/>
          <w:szCs w:val="24"/>
        </w:rPr>
        <w:t>Post-2019 Trends:</w:t>
      </w:r>
    </w:p>
    <w:p w14:paraId="2D1D5ED0" w14:textId="77777777" w:rsidR="00A33374" w:rsidRPr="00A33374" w:rsidRDefault="00A33374" w:rsidP="003F53B9">
      <w:pPr>
        <w:pStyle w:val="ListParagraph"/>
        <w:numPr>
          <w:ilvl w:val="0"/>
          <w:numId w:val="30"/>
        </w:numPr>
        <w:adjustRightInd w:val="0"/>
        <w:snapToGrid w:val="0"/>
        <w:spacing w:line="360" w:lineRule="auto"/>
        <w:ind w:leftChars="0"/>
        <w:jc w:val="both"/>
        <w:rPr>
          <w:rFonts w:ascii="Times New Roman" w:hAnsi="Times New Roman"/>
          <w:szCs w:val="24"/>
        </w:rPr>
      </w:pPr>
      <w:r w:rsidRPr="00A33374">
        <w:rPr>
          <w:rFonts w:ascii="Times New Roman" w:hAnsi="Times New Roman"/>
          <w:szCs w:val="24"/>
        </w:rPr>
        <w:t>Hong Kong’s retail sales experienced a sharp decline post-2019, with a mean growth rate of -7.3% (2019–2023), reflecting the combined impact of social unrest and the pandemic.</w:t>
      </w:r>
    </w:p>
    <w:p w14:paraId="5ACB22C9" w14:textId="77777777" w:rsidR="00A33374" w:rsidRPr="00A33374" w:rsidRDefault="00A33374" w:rsidP="003F53B9">
      <w:pPr>
        <w:pStyle w:val="ListParagraph"/>
        <w:numPr>
          <w:ilvl w:val="0"/>
          <w:numId w:val="30"/>
        </w:numPr>
        <w:adjustRightInd w:val="0"/>
        <w:snapToGrid w:val="0"/>
        <w:spacing w:line="360" w:lineRule="auto"/>
        <w:ind w:leftChars="0"/>
        <w:jc w:val="both"/>
        <w:rPr>
          <w:rFonts w:ascii="Times New Roman" w:hAnsi="Times New Roman"/>
          <w:szCs w:val="24"/>
        </w:rPr>
      </w:pPr>
      <w:r w:rsidRPr="00A33374">
        <w:rPr>
          <w:rFonts w:ascii="Times New Roman" w:hAnsi="Times New Roman"/>
          <w:szCs w:val="24"/>
        </w:rPr>
        <w:t>Thailand’s inflation, while also affected by the pandemic, showed signs of recovery, with a mean growth rate of 1.58% (2019–2023) and a spike in 2022 (5.9%) due to post-pandemic recovery.</w:t>
      </w:r>
    </w:p>
    <w:p w14:paraId="511FDFB0" w14:textId="77777777" w:rsidR="00A33374" w:rsidRPr="008E3F76" w:rsidRDefault="00A33374" w:rsidP="00AC0D94">
      <w:pPr>
        <w:adjustRightInd w:val="0"/>
        <w:snapToGrid w:val="0"/>
        <w:spacing w:line="360" w:lineRule="auto"/>
        <w:jc w:val="both"/>
        <w:rPr>
          <w:rFonts w:ascii="Times New Roman" w:hAnsi="Times New Roman"/>
          <w:b/>
          <w:bCs/>
          <w:szCs w:val="24"/>
        </w:rPr>
      </w:pPr>
    </w:p>
    <w:p w14:paraId="02557FE6" w14:textId="77777777" w:rsidR="00551718" w:rsidRDefault="00551718" w:rsidP="00AC0D94">
      <w:pPr>
        <w:adjustRightInd w:val="0"/>
        <w:snapToGrid w:val="0"/>
        <w:spacing w:line="360" w:lineRule="auto"/>
        <w:ind w:left="720"/>
        <w:jc w:val="both"/>
        <w:rPr>
          <w:rFonts w:ascii="Times New Roman" w:hAnsi="Times New Roman"/>
          <w:szCs w:val="24"/>
        </w:rPr>
      </w:pPr>
    </w:p>
    <w:p w14:paraId="1057CC29" w14:textId="77777777" w:rsidR="00953EE7" w:rsidRDefault="00953EE7" w:rsidP="00AC0D94">
      <w:pPr>
        <w:adjustRightInd w:val="0"/>
        <w:snapToGrid w:val="0"/>
        <w:spacing w:line="360" w:lineRule="auto"/>
        <w:ind w:left="720"/>
        <w:jc w:val="both"/>
        <w:rPr>
          <w:rFonts w:ascii="Times New Roman" w:hAnsi="Times New Roman"/>
          <w:szCs w:val="24"/>
        </w:rPr>
      </w:pPr>
    </w:p>
    <w:p w14:paraId="6BA28BA5" w14:textId="77777777" w:rsidR="001B445C" w:rsidRPr="001B445C" w:rsidRDefault="001B445C" w:rsidP="00AC0D94">
      <w:pPr>
        <w:adjustRightInd w:val="0"/>
        <w:snapToGrid w:val="0"/>
        <w:spacing w:line="360" w:lineRule="auto"/>
        <w:jc w:val="both"/>
        <w:rPr>
          <w:rFonts w:ascii="Times New Roman" w:hAnsi="Times New Roman"/>
          <w:b/>
          <w:bCs/>
          <w:szCs w:val="24"/>
        </w:rPr>
      </w:pPr>
      <w:r w:rsidRPr="001B445C">
        <w:rPr>
          <w:rFonts w:ascii="Times New Roman" w:hAnsi="Times New Roman"/>
          <w:b/>
          <w:bCs/>
          <w:szCs w:val="24"/>
        </w:rPr>
        <w:lastRenderedPageBreak/>
        <w:t>4. Conclusion and Recommendations</w:t>
      </w:r>
    </w:p>
    <w:p w14:paraId="55D434DF" w14:textId="77777777" w:rsidR="001B445C" w:rsidRPr="001B445C" w:rsidRDefault="001B445C" w:rsidP="00AC0D94">
      <w:pPr>
        <w:adjustRightInd w:val="0"/>
        <w:snapToGrid w:val="0"/>
        <w:spacing w:line="360" w:lineRule="auto"/>
        <w:jc w:val="both"/>
        <w:rPr>
          <w:rFonts w:ascii="Times New Roman" w:hAnsi="Times New Roman"/>
          <w:b/>
          <w:bCs/>
          <w:szCs w:val="24"/>
        </w:rPr>
      </w:pPr>
      <w:r w:rsidRPr="001B445C">
        <w:rPr>
          <w:rFonts w:ascii="Times New Roman" w:hAnsi="Times New Roman"/>
          <w:b/>
          <w:bCs/>
          <w:szCs w:val="24"/>
        </w:rPr>
        <w:t>4.1 Conclusion</w:t>
      </w:r>
    </w:p>
    <w:p w14:paraId="48FD39A2" w14:textId="5E7F399B" w:rsidR="001B445C" w:rsidRPr="001B445C" w:rsidRDefault="001B445C" w:rsidP="00AC0D94">
      <w:pPr>
        <w:adjustRightInd w:val="0"/>
        <w:snapToGrid w:val="0"/>
        <w:spacing w:line="360" w:lineRule="auto"/>
        <w:jc w:val="both"/>
        <w:rPr>
          <w:rFonts w:ascii="Times New Roman" w:hAnsi="Times New Roman"/>
          <w:szCs w:val="24"/>
        </w:rPr>
      </w:pPr>
      <w:r w:rsidRPr="001B445C">
        <w:rPr>
          <w:rFonts w:ascii="Times New Roman" w:hAnsi="Times New Roman"/>
          <w:szCs w:val="24"/>
        </w:rPr>
        <w:t>This research analyzed consumer inflation and retail sales trends in Hong Kong and Thailand from 2005 to 2023, achieving its objectives and providing actionable insights for AAA Department Store’s investment strategy. The findings reveal contrasting economic dynamics in both regions, supporting the rationale for strategic diversification.</w:t>
      </w:r>
    </w:p>
    <w:p w14:paraId="3598E7E6" w14:textId="77777777" w:rsidR="001B445C" w:rsidRDefault="001B445C" w:rsidP="00AC0D94">
      <w:pPr>
        <w:adjustRightInd w:val="0"/>
        <w:snapToGrid w:val="0"/>
        <w:spacing w:line="360" w:lineRule="auto"/>
        <w:jc w:val="both"/>
        <w:rPr>
          <w:rFonts w:ascii="Times New Roman" w:hAnsi="Times New Roman"/>
          <w:szCs w:val="24"/>
        </w:rPr>
      </w:pPr>
      <w:r w:rsidRPr="001B445C">
        <w:rPr>
          <w:rFonts w:ascii="Times New Roman" w:hAnsi="Times New Roman"/>
          <w:szCs w:val="24"/>
        </w:rPr>
        <w:t>Hong Kong’s retail sector experienced strong growth from 2005 to 2013, fueled by economic expansion, rising tourism, and favorable credit conditions. However, from 2014 to 2023, it faced significant volatility due to slowing growth in mainland China, political instability, and the COVID-19 pandemic. Retail sales plummeted by 22.5% in 2020, with only a partial recovery noted in 2023. Despite this volatility, Hong Kong’s CPI remained stable, averaging 2–3%, indicating resilience in consumer prices.</w:t>
      </w:r>
    </w:p>
    <w:p w14:paraId="0C672539" w14:textId="77777777" w:rsidR="001B445C" w:rsidRPr="001B445C" w:rsidRDefault="001B445C" w:rsidP="00AC0D94">
      <w:pPr>
        <w:adjustRightInd w:val="0"/>
        <w:snapToGrid w:val="0"/>
        <w:spacing w:line="360" w:lineRule="auto"/>
        <w:jc w:val="both"/>
        <w:rPr>
          <w:rFonts w:ascii="Times New Roman" w:hAnsi="Times New Roman"/>
          <w:szCs w:val="24"/>
        </w:rPr>
      </w:pPr>
    </w:p>
    <w:p w14:paraId="4605398C" w14:textId="77777777" w:rsidR="001B445C" w:rsidRDefault="001B445C" w:rsidP="00AC0D94">
      <w:pPr>
        <w:adjustRightInd w:val="0"/>
        <w:snapToGrid w:val="0"/>
        <w:spacing w:line="360" w:lineRule="auto"/>
        <w:jc w:val="both"/>
        <w:rPr>
          <w:rFonts w:ascii="Times New Roman" w:hAnsi="Times New Roman"/>
          <w:szCs w:val="24"/>
        </w:rPr>
      </w:pPr>
      <w:r w:rsidRPr="001B445C">
        <w:rPr>
          <w:rFonts w:ascii="Times New Roman" w:hAnsi="Times New Roman"/>
          <w:szCs w:val="24"/>
        </w:rPr>
        <w:t>In contrast, Thailand’s retail environment displayed greater variability in inflation, with deflationary periods such as -0.9% in 2015 and inflation spikes like 5.9% in 2022, reflecting its dependence on tourism and global commodity prices. Thailand demonstrated a more stable retail environment, characterized by lower inflation and competitive production costs, especially in clothing and footwear. The country also benefited from a booming tourism sector and a favorable real estate market, making it an attractive destination for market expansion.</w:t>
      </w:r>
    </w:p>
    <w:p w14:paraId="18606355" w14:textId="77777777" w:rsidR="001B445C" w:rsidRPr="001B445C" w:rsidRDefault="001B445C" w:rsidP="00AC0D94">
      <w:pPr>
        <w:adjustRightInd w:val="0"/>
        <w:snapToGrid w:val="0"/>
        <w:spacing w:line="360" w:lineRule="auto"/>
        <w:jc w:val="both"/>
        <w:rPr>
          <w:rFonts w:ascii="Times New Roman" w:hAnsi="Times New Roman"/>
          <w:szCs w:val="24"/>
        </w:rPr>
      </w:pPr>
    </w:p>
    <w:p w14:paraId="517D8547" w14:textId="72346122" w:rsidR="001B445C" w:rsidRPr="001B445C" w:rsidRDefault="001B445C" w:rsidP="00AC0D94">
      <w:pPr>
        <w:adjustRightInd w:val="0"/>
        <w:snapToGrid w:val="0"/>
        <w:spacing w:line="360" w:lineRule="auto"/>
        <w:jc w:val="both"/>
        <w:rPr>
          <w:rFonts w:ascii="Times New Roman" w:hAnsi="Times New Roman"/>
          <w:szCs w:val="24"/>
        </w:rPr>
      </w:pPr>
      <w:r w:rsidRPr="001B445C">
        <w:rPr>
          <w:rFonts w:ascii="Times New Roman" w:hAnsi="Times New Roman"/>
          <w:szCs w:val="24"/>
        </w:rPr>
        <w:t>The correlation analysis revealed a strong positive correlation (0.69) between Hong Kong and Thailand’s inflation rates and a moderate correlation (0.51) between Thailand’s inflation and Hong Kong’s retail sales. These findings confirm that diversifying into Thailand offers AAA a strategic opportunity to mitigate risks associated with Hong Kong’s volatile retail market while capitalizing on Thailand’s stable inflation, growing tourism, and cost-effective production.</w:t>
      </w:r>
    </w:p>
    <w:p w14:paraId="576ED154" w14:textId="014615F9" w:rsidR="001B445C" w:rsidRPr="001B445C" w:rsidRDefault="001B445C" w:rsidP="00AC0D94">
      <w:pPr>
        <w:adjustRightInd w:val="0"/>
        <w:snapToGrid w:val="0"/>
        <w:spacing w:line="360" w:lineRule="auto"/>
        <w:jc w:val="both"/>
        <w:rPr>
          <w:rFonts w:ascii="Times New Roman" w:hAnsi="Times New Roman"/>
          <w:szCs w:val="24"/>
        </w:rPr>
      </w:pPr>
      <w:r w:rsidRPr="001B445C">
        <w:rPr>
          <w:rFonts w:ascii="Times New Roman" w:hAnsi="Times New Roman"/>
          <w:szCs w:val="24"/>
        </w:rPr>
        <w:t>In summary, the research highlights the importance of diversification and strategic adaptation to navigate the contrasting economic landscapes of Hong Kong and Thailand. By leveraging these insights, AAA can enhance its resilience and capitalize on emerging opportunities in both regions.</w:t>
      </w:r>
    </w:p>
    <w:p w14:paraId="0055675D" w14:textId="572F77F0" w:rsidR="00551718" w:rsidRDefault="00551718" w:rsidP="00AC0D94">
      <w:pPr>
        <w:adjustRightInd w:val="0"/>
        <w:snapToGrid w:val="0"/>
        <w:spacing w:line="360" w:lineRule="auto"/>
        <w:jc w:val="both"/>
        <w:rPr>
          <w:rFonts w:ascii="Times New Roman" w:hAnsi="Times New Roman"/>
          <w:b/>
          <w:bCs/>
          <w:szCs w:val="24"/>
        </w:rPr>
      </w:pPr>
    </w:p>
    <w:p w14:paraId="532CA149" w14:textId="77777777" w:rsidR="00502B88" w:rsidRDefault="00502B88" w:rsidP="00AC0D94">
      <w:pPr>
        <w:adjustRightInd w:val="0"/>
        <w:snapToGrid w:val="0"/>
        <w:spacing w:line="360" w:lineRule="auto"/>
        <w:jc w:val="both"/>
        <w:rPr>
          <w:rFonts w:ascii="Times New Roman" w:hAnsi="Times New Roman"/>
          <w:b/>
          <w:bCs/>
          <w:szCs w:val="24"/>
        </w:rPr>
      </w:pPr>
    </w:p>
    <w:p w14:paraId="67A532B9" w14:textId="77777777" w:rsidR="001B445C" w:rsidRPr="00551718" w:rsidRDefault="001B445C" w:rsidP="00AC0D94">
      <w:pPr>
        <w:adjustRightInd w:val="0"/>
        <w:snapToGrid w:val="0"/>
        <w:spacing w:line="360" w:lineRule="auto"/>
        <w:jc w:val="both"/>
        <w:rPr>
          <w:rFonts w:ascii="Times New Roman" w:hAnsi="Times New Roman"/>
          <w:b/>
          <w:bCs/>
          <w:szCs w:val="24"/>
        </w:rPr>
      </w:pPr>
    </w:p>
    <w:p w14:paraId="676B0471" w14:textId="77777777" w:rsidR="00551718" w:rsidRPr="00551718" w:rsidRDefault="00551718" w:rsidP="00AC0D94">
      <w:pPr>
        <w:adjustRightInd w:val="0"/>
        <w:snapToGrid w:val="0"/>
        <w:spacing w:line="360" w:lineRule="auto"/>
        <w:jc w:val="both"/>
        <w:rPr>
          <w:rFonts w:ascii="Times New Roman" w:hAnsi="Times New Roman"/>
          <w:b/>
          <w:bCs/>
          <w:szCs w:val="24"/>
        </w:rPr>
      </w:pPr>
      <w:r w:rsidRPr="00551718">
        <w:rPr>
          <w:rFonts w:ascii="Times New Roman" w:hAnsi="Times New Roman"/>
          <w:b/>
          <w:bCs/>
          <w:szCs w:val="24"/>
        </w:rPr>
        <w:lastRenderedPageBreak/>
        <w:t>4.2 Recommendations</w:t>
      </w:r>
    </w:p>
    <w:p w14:paraId="132B0E2F" w14:textId="4969F76E" w:rsidR="007C0D68" w:rsidRPr="007C0D68" w:rsidRDefault="007C0D68" w:rsidP="00AC0D94">
      <w:pPr>
        <w:adjustRightInd w:val="0"/>
        <w:snapToGrid w:val="0"/>
        <w:spacing w:line="360" w:lineRule="auto"/>
        <w:jc w:val="both"/>
        <w:rPr>
          <w:rFonts w:ascii="Times New Roman" w:hAnsi="Times New Roman"/>
          <w:szCs w:val="24"/>
        </w:rPr>
      </w:pPr>
      <w:r w:rsidRPr="007C0D68">
        <w:rPr>
          <w:rFonts w:ascii="Times New Roman" w:hAnsi="Times New Roman"/>
          <w:szCs w:val="24"/>
        </w:rPr>
        <w:t>Based on the findings, the following recommendations are proposed to support AAA’s investment strategy. First, the company should expand into Thailand to reduce reliance on Hong Kong’s volatile market. Targeting high-traffic tourist locations and leveraging Thailand’s stable retail environment will be key to this expansion. Additionally, exploring other Southeast Asian markets could provide further diversification opportunities.</w:t>
      </w:r>
    </w:p>
    <w:p w14:paraId="75CBE63B" w14:textId="09C959C8" w:rsidR="007C0D68" w:rsidRPr="007C0D68" w:rsidRDefault="007C0D68" w:rsidP="00AC0D94">
      <w:pPr>
        <w:adjustRightInd w:val="0"/>
        <w:snapToGrid w:val="0"/>
        <w:spacing w:line="360" w:lineRule="auto"/>
        <w:jc w:val="both"/>
        <w:rPr>
          <w:rFonts w:ascii="Times New Roman" w:hAnsi="Times New Roman"/>
          <w:szCs w:val="24"/>
        </w:rPr>
      </w:pPr>
      <w:r w:rsidRPr="007C0D68">
        <w:rPr>
          <w:rFonts w:ascii="Times New Roman" w:hAnsi="Times New Roman"/>
          <w:szCs w:val="24"/>
        </w:rPr>
        <w:t>Second, AAA should align its marketing strategies with tourism trends by targeting high-spending tourists in both regions. Collaborating with travel agencies to promote the brand as a preferred shopping destination and enhancing the tourist experience through multilingual staff, tax refund services, and exclusive discounts will help attract and retain customers.</w:t>
      </w:r>
    </w:p>
    <w:p w14:paraId="2A4C5860" w14:textId="77777777" w:rsidR="007C0D68" w:rsidRPr="007C0D68" w:rsidRDefault="007C0D68" w:rsidP="00AC0D94">
      <w:pPr>
        <w:adjustRightInd w:val="0"/>
        <w:snapToGrid w:val="0"/>
        <w:spacing w:line="360" w:lineRule="auto"/>
        <w:jc w:val="both"/>
        <w:rPr>
          <w:rFonts w:ascii="Times New Roman" w:hAnsi="Times New Roman"/>
          <w:szCs w:val="24"/>
        </w:rPr>
      </w:pPr>
      <w:r w:rsidRPr="007C0D68">
        <w:rPr>
          <w:rFonts w:ascii="Times New Roman" w:hAnsi="Times New Roman"/>
          <w:szCs w:val="24"/>
        </w:rPr>
        <w:t>Third, the company should take advantage of Thailand’s lower production costs by importing clothing and footwear from the country. Partnering with Thai suppliers who prioritize sustainable and high-quality production will not only enhance profit margins but also meet evolving consumer preferences.</w:t>
      </w:r>
    </w:p>
    <w:p w14:paraId="4DE726ED" w14:textId="0C85FA64" w:rsidR="007C0D68" w:rsidRPr="007C0D68" w:rsidRDefault="007C0D68" w:rsidP="00AC0D94">
      <w:pPr>
        <w:adjustRightInd w:val="0"/>
        <w:snapToGrid w:val="0"/>
        <w:spacing w:line="360" w:lineRule="auto"/>
        <w:jc w:val="both"/>
        <w:rPr>
          <w:rFonts w:ascii="Times New Roman" w:hAnsi="Times New Roman"/>
          <w:szCs w:val="24"/>
        </w:rPr>
      </w:pPr>
      <w:r w:rsidRPr="007C0D68">
        <w:rPr>
          <w:rFonts w:ascii="Times New Roman" w:hAnsi="Times New Roman"/>
          <w:szCs w:val="24"/>
        </w:rPr>
        <w:t>Fourth, AAA should develop e-commerce platforms to compete with digital retailers and cater to the growing demand for online shopping. Adopting an omnichannel approach that combines online and offline retail channels will provide a seamless customer experience.</w:t>
      </w:r>
    </w:p>
    <w:p w14:paraId="37CD39F3" w14:textId="77777777" w:rsidR="007C0D68" w:rsidRPr="007C0D68" w:rsidRDefault="007C0D68" w:rsidP="00AC0D94">
      <w:pPr>
        <w:adjustRightInd w:val="0"/>
        <w:snapToGrid w:val="0"/>
        <w:spacing w:line="360" w:lineRule="auto"/>
        <w:jc w:val="both"/>
        <w:rPr>
          <w:rFonts w:ascii="Times New Roman" w:hAnsi="Times New Roman"/>
          <w:szCs w:val="24"/>
        </w:rPr>
      </w:pPr>
      <w:r w:rsidRPr="007C0D68">
        <w:rPr>
          <w:rFonts w:ascii="Times New Roman" w:hAnsi="Times New Roman"/>
          <w:szCs w:val="24"/>
        </w:rPr>
        <w:t>Fifth, optimizing rental costs in Hong Kong by negotiating favorable terms or downsizing underperforming stores will help reduce operational expenses. In Thailand, focusing on cost-effective locations such as outer Bangkok, where rental costs are lower (e.g., THB 300/sq.m/month), will further enhance profitability.</w:t>
      </w:r>
    </w:p>
    <w:p w14:paraId="5734EFAD" w14:textId="0AE392AB" w:rsidR="007C0D68" w:rsidRPr="007C0D68" w:rsidRDefault="007C0D68" w:rsidP="00AC0D94">
      <w:pPr>
        <w:adjustRightInd w:val="0"/>
        <w:snapToGrid w:val="0"/>
        <w:spacing w:line="360" w:lineRule="auto"/>
        <w:jc w:val="both"/>
        <w:rPr>
          <w:rFonts w:ascii="Times New Roman" w:hAnsi="Times New Roman"/>
          <w:szCs w:val="24"/>
        </w:rPr>
      </w:pPr>
      <w:r w:rsidRPr="007C0D68">
        <w:rPr>
          <w:rFonts w:ascii="Times New Roman" w:hAnsi="Times New Roman"/>
          <w:szCs w:val="24"/>
        </w:rPr>
        <w:t>Finally, AAA should regularly review inflation, retail sales, and tourism trends in both regions to adapt its strategies accordingly. Developing contingency plans to address potential economic shocks, such as global pandemics or geopolitical tensions, will ensure long-term sustainability.</w:t>
      </w:r>
    </w:p>
    <w:p w14:paraId="77EDEAD3" w14:textId="6A9D22A5" w:rsidR="00551718" w:rsidRDefault="00551718" w:rsidP="00AC0D94">
      <w:pPr>
        <w:adjustRightInd w:val="0"/>
        <w:snapToGrid w:val="0"/>
        <w:spacing w:line="360" w:lineRule="auto"/>
        <w:jc w:val="both"/>
        <w:rPr>
          <w:rFonts w:ascii="Times New Roman" w:hAnsi="Times New Roman"/>
          <w:b/>
          <w:bCs/>
          <w:szCs w:val="24"/>
        </w:rPr>
      </w:pPr>
    </w:p>
    <w:p w14:paraId="539374CE" w14:textId="77777777" w:rsidR="00787682" w:rsidRDefault="00787682" w:rsidP="00AC0D94">
      <w:pPr>
        <w:adjustRightInd w:val="0"/>
        <w:snapToGrid w:val="0"/>
        <w:spacing w:line="360" w:lineRule="auto"/>
        <w:jc w:val="both"/>
        <w:rPr>
          <w:rFonts w:ascii="Times New Roman" w:hAnsi="Times New Roman"/>
          <w:b/>
          <w:bCs/>
          <w:szCs w:val="24"/>
        </w:rPr>
      </w:pPr>
    </w:p>
    <w:p w14:paraId="013B0E12" w14:textId="77777777" w:rsidR="00787682" w:rsidRDefault="00787682" w:rsidP="00AC0D94">
      <w:pPr>
        <w:adjustRightInd w:val="0"/>
        <w:snapToGrid w:val="0"/>
        <w:spacing w:line="360" w:lineRule="auto"/>
        <w:jc w:val="both"/>
        <w:rPr>
          <w:rFonts w:ascii="Times New Roman" w:hAnsi="Times New Roman"/>
          <w:b/>
          <w:bCs/>
          <w:szCs w:val="24"/>
        </w:rPr>
      </w:pPr>
    </w:p>
    <w:p w14:paraId="3D889F97" w14:textId="77777777" w:rsidR="00787682" w:rsidRDefault="00787682" w:rsidP="00AC0D94">
      <w:pPr>
        <w:adjustRightInd w:val="0"/>
        <w:snapToGrid w:val="0"/>
        <w:spacing w:line="360" w:lineRule="auto"/>
        <w:jc w:val="both"/>
        <w:rPr>
          <w:rFonts w:ascii="Times New Roman" w:hAnsi="Times New Roman"/>
          <w:b/>
          <w:bCs/>
          <w:szCs w:val="24"/>
        </w:rPr>
      </w:pPr>
    </w:p>
    <w:p w14:paraId="084A98CC" w14:textId="77777777" w:rsidR="00787682" w:rsidRDefault="00787682" w:rsidP="00AC0D94">
      <w:pPr>
        <w:adjustRightInd w:val="0"/>
        <w:snapToGrid w:val="0"/>
        <w:spacing w:line="360" w:lineRule="auto"/>
        <w:jc w:val="both"/>
        <w:rPr>
          <w:rFonts w:ascii="Times New Roman" w:hAnsi="Times New Roman"/>
          <w:b/>
          <w:bCs/>
          <w:szCs w:val="24"/>
        </w:rPr>
      </w:pPr>
    </w:p>
    <w:p w14:paraId="65B434B4" w14:textId="77777777" w:rsidR="00787682" w:rsidRDefault="00787682" w:rsidP="00AC0D94">
      <w:pPr>
        <w:adjustRightInd w:val="0"/>
        <w:snapToGrid w:val="0"/>
        <w:spacing w:line="360" w:lineRule="auto"/>
        <w:jc w:val="both"/>
        <w:rPr>
          <w:rFonts w:ascii="Times New Roman" w:hAnsi="Times New Roman"/>
          <w:b/>
          <w:bCs/>
          <w:szCs w:val="24"/>
        </w:rPr>
      </w:pPr>
    </w:p>
    <w:p w14:paraId="539C27A5" w14:textId="77777777" w:rsidR="00174BFB" w:rsidRDefault="00174BFB" w:rsidP="00AC0D94">
      <w:pPr>
        <w:adjustRightInd w:val="0"/>
        <w:snapToGrid w:val="0"/>
        <w:spacing w:line="360" w:lineRule="auto"/>
        <w:jc w:val="both"/>
        <w:rPr>
          <w:rFonts w:ascii="Times New Roman" w:hAnsi="Times New Roman"/>
          <w:b/>
          <w:bCs/>
          <w:szCs w:val="24"/>
        </w:rPr>
      </w:pPr>
    </w:p>
    <w:p w14:paraId="12E5826D" w14:textId="77777777" w:rsidR="00787682" w:rsidRPr="00551718" w:rsidRDefault="00787682" w:rsidP="00AC0D94">
      <w:pPr>
        <w:adjustRightInd w:val="0"/>
        <w:snapToGrid w:val="0"/>
        <w:spacing w:line="360" w:lineRule="auto"/>
        <w:jc w:val="both"/>
        <w:rPr>
          <w:rFonts w:ascii="Times New Roman" w:hAnsi="Times New Roman"/>
          <w:b/>
          <w:bCs/>
          <w:szCs w:val="24"/>
        </w:rPr>
      </w:pPr>
    </w:p>
    <w:p w14:paraId="7D56A38C" w14:textId="77777777" w:rsidR="00551718" w:rsidRPr="00551718" w:rsidRDefault="00551718" w:rsidP="00AC0D94">
      <w:pPr>
        <w:adjustRightInd w:val="0"/>
        <w:snapToGrid w:val="0"/>
        <w:spacing w:line="360" w:lineRule="auto"/>
        <w:jc w:val="both"/>
        <w:rPr>
          <w:rFonts w:ascii="Times New Roman" w:hAnsi="Times New Roman"/>
          <w:b/>
          <w:bCs/>
          <w:szCs w:val="24"/>
        </w:rPr>
      </w:pPr>
      <w:r w:rsidRPr="00551718">
        <w:rPr>
          <w:rFonts w:ascii="Times New Roman" w:hAnsi="Times New Roman"/>
          <w:b/>
          <w:bCs/>
          <w:szCs w:val="24"/>
        </w:rPr>
        <w:lastRenderedPageBreak/>
        <w:t>4.3 Limitations and Future Research</w:t>
      </w:r>
    </w:p>
    <w:p w14:paraId="0106280A" w14:textId="77777777" w:rsidR="00787682" w:rsidRDefault="00787682" w:rsidP="00AC0D94">
      <w:pPr>
        <w:widowControl/>
        <w:adjustRightInd w:val="0"/>
        <w:snapToGrid w:val="0"/>
        <w:spacing w:line="360" w:lineRule="auto"/>
        <w:rPr>
          <w:rFonts w:ascii="Times New Roman" w:hAnsi="Times New Roman"/>
          <w:szCs w:val="24"/>
        </w:rPr>
      </w:pPr>
      <w:r w:rsidRPr="00787682">
        <w:rPr>
          <w:rFonts w:ascii="Times New Roman" w:hAnsi="Times New Roman"/>
          <w:szCs w:val="24"/>
        </w:rPr>
        <w:t>This study has certain limitations that should be acknowledged. The analysis relies on historical data (2005–2023), which may not fully capture future economic shifts or emerging trends. Additionally, the scope is limited to Hong Kong and Thailand, excluding other Southeast Asian markets that could provide additional insights into regional dynamics.</w:t>
      </w:r>
    </w:p>
    <w:p w14:paraId="620F3DFF" w14:textId="77777777" w:rsidR="009E288D" w:rsidRPr="00787682" w:rsidRDefault="009E288D" w:rsidP="00AC0D94">
      <w:pPr>
        <w:widowControl/>
        <w:adjustRightInd w:val="0"/>
        <w:snapToGrid w:val="0"/>
        <w:spacing w:line="360" w:lineRule="auto"/>
        <w:rPr>
          <w:rFonts w:ascii="Times New Roman" w:hAnsi="Times New Roman"/>
          <w:szCs w:val="24"/>
        </w:rPr>
      </w:pPr>
    </w:p>
    <w:p w14:paraId="643AC3CC" w14:textId="77777777" w:rsidR="00787682" w:rsidRPr="00787682" w:rsidRDefault="00787682" w:rsidP="00AC0D94">
      <w:pPr>
        <w:widowControl/>
        <w:adjustRightInd w:val="0"/>
        <w:snapToGrid w:val="0"/>
        <w:spacing w:line="360" w:lineRule="auto"/>
        <w:rPr>
          <w:rFonts w:ascii="Times New Roman" w:hAnsi="Times New Roman"/>
          <w:szCs w:val="24"/>
        </w:rPr>
      </w:pPr>
      <w:r w:rsidRPr="00787682">
        <w:rPr>
          <w:rFonts w:ascii="Times New Roman" w:hAnsi="Times New Roman"/>
          <w:szCs w:val="24"/>
        </w:rPr>
        <w:t>Future research should incorporate real-time data and predictive analytics to enhance the accuracy of forecasts and provide more timely insights. Expanding the analysis to include other Southeast Asian markets, such as Singapore, Malaysia, and Vietnam, would offer a broader perspective on regional retail and inflation trends. Furthermore, conducting qualitative research, such as consumer surveys and focus groups, could deepen the understanding of shopping behaviors, preferences, and the impact of cultural factors on retail performance.</w:t>
      </w:r>
    </w:p>
    <w:p w14:paraId="3D7663D8" w14:textId="4B8C0DD7" w:rsidR="00787682" w:rsidRPr="00787682" w:rsidRDefault="00787682" w:rsidP="00AC0D94">
      <w:pPr>
        <w:widowControl/>
        <w:adjustRightInd w:val="0"/>
        <w:snapToGrid w:val="0"/>
        <w:spacing w:line="360" w:lineRule="auto"/>
        <w:rPr>
          <w:rFonts w:ascii="Times New Roman" w:hAnsi="Times New Roman"/>
          <w:szCs w:val="24"/>
        </w:rPr>
      </w:pPr>
      <w:r w:rsidRPr="00787682">
        <w:rPr>
          <w:rFonts w:ascii="Times New Roman" w:hAnsi="Times New Roman"/>
          <w:szCs w:val="24"/>
        </w:rPr>
        <w:t>By addressing these limitations and pursuing future research opportunities, AAA can further refine its strategies and maintain a competitive edge in the evolving retail landscape.</w:t>
      </w:r>
    </w:p>
    <w:p w14:paraId="14EE957B" w14:textId="77777777" w:rsidR="00010307" w:rsidRDefault="00010307" w:rsidP="00AC0D94">
      <w:pPr>
        <w:widowControl/>
        <w:adjustRightInd w:val="0"/>
        <w:snapToGrid w:val="0"/>
        <w:spacing w:line="360" w:lineRule="auto"/>
        <w:rPr>
          <w:sz w:val="26"/>
        </w:rPr>
      </w:pPr>
    </w:p>
    <w:p w14:paraId="0FA712C9" w14:textId="77777777" w:rsidR="00170579" w:rsidRDefault="00170579" w:rsidP="00AC0D94">
      <w:pPr>
        <w:widowControl/>
        <w:adjustRightInd w:val="0"/>
        <w:snapToGrid w:val="0"/>
        <w:spacing w:line="360" w:lineRule="auto"/>
        <w:rPr>
          <w:sz w:val="26"/>
        </w:rPr>
      </w:pPr>
    </w:p>
    <w:p w14:paraId="6728B099" w14:textId="77777777" w:rsidR="00170579" w:rsidRDefault="00170579" w:rsidP="00AC0D94">
      <w:pPr>
        <w:widowControl/>
        <w:adjustRightInd w:val="0"/>
        <w:snapToGrid w:val="0"/>
        <w:spacing w:line="360" w:lineRule="auto"/>
        <w:rPr>
          <w:sz w:val="26"/>
        </w:rPr>
      </w:pPr>
    </w:p>
    <w:p w14:paraId="21AAA356" w14:textId="77777777" w:rsidR="00170579" w:rsidRDefault="00170579" w:rsidP="00AC0D94">
      <w:pPr>
        <w:widowControl/>
        <w:adjustRightInd w:val="0"/>
        <w:snapToGrid w:val="0"/>
        <w:spacing w:line="360" w:lineRule="auto"/>
        <w:rPr>
          <w:sz w:val="26"/>
        </w:rPr>
      </w:pPr>
    </w:p>
    <w:p w14:paraId="495BB73C" w14:textId="77777777" w:rsidR="00170579" w:rsidRDefault="00170579" w:rsidP="00AC0D94">
      <w:pPr>
        <w:widowControl/>
        <w:adjustRightInd w:val="0"/>
        <w:snapToGrid w:val="0"/>
        <w:spacing w:line="360" w:lineRule="auto"/>
        <w:rPr>
          <w:sz w:val="26"/>
        </w:rPr>
      </w:pPr>
    </w:p>
    <w:p w14:paraId="0935BC37" w14:textId="77777777" w:rsidR="00170579" w:rsidRDefault="00170579" w:rsidP="00AC0D94">
      <w:pPr>
        <w:widowControl/>
        <w:adjustRightInd w:val="0"/>
        <w:snapToGrid w:val="0"/>
        <w:spacing w:line="360" w:lineRule="auto"/>
        <w:rPr>
          <w:sz w:val="26"/>
        </w:rPr>
      </w:pPr>
    </w:p>
    <w:p w14:paraId="3B22E4A8" w14:textId="77777777" w:rsidR="00170579" w:rsidRDefault="00170579" w:rsidP="00AC0D94">
      <w:pPr>
        <w:widowControl/>
        <w:adjustRightInd w:val="0"/>
        <w:snapToGrid w:val="0"/>
        <w:spacing w:line="360" w:lineRule="auto"/>
        <w:rPr>
          <w:sz w:val="26"/>
        </w:rPr>
      </w:pPr>
    </w:p>
    <w:p w14:paraId="678A867A" w14:textId="77777777" w:rsidR="00170579" w:rsidRDefault="00170579" w:rsidP="00AC0D94">
      <w:pPr>
        <w:widowControl/>
        <w:adjustRightInd w:val="0"/>
        <w:snapToGrid w:val="0"/>
        <w:spacing w:line="360" w:lineRule="auto"/>
        <w:rPr>
          <w:sz w:val="26"/>
        </w:rPr>
      </w:pPr>
    </w:p>
    <w:p w14:paraId="15A3B254" w14:textId="77777777" w:rsidR="00174BFB" w:rsidRDefault="00174BFB" w:rsidP="00AC0D94">
      <w:pPr>
        <w:widowControl/>
        <w:adjustRightInd w:val="0"/>
        <w:snapToGrid w:val="0"/>
        <w:spacing w:line="360" w:lineRule="auto"/>
        <w:rPr>
          <w:sz w:val="26"/>
        </w:rPr>
      </w:pPr>
    </w:p>
    <w:p w14:paraId="5A8AE48C" w14:textId="77777777" w:rsidR="00174BFB" w:rsidRDefault="00174BFB" w:rsidP="00AC0D94">
      <w:pPr>
        <w:widowControl/>
        <w:adjustRightInd w:val="0"/>
        <w:snapToGrid w:val="0"/>
        <w:spacing w:line="360" w:lineRule="auto"/>
        <w:rPr>
          <w:sz w:val="26"/>
        </w:rPr>
      </w:pPr>
    </w:p>
    <w:p w14:paraId="3B391675" w14:textId="77777777" w:rsidR="00174BFB" w:rsidRDefault="00174BFB" w:rsidP="00AC0D94">
      <w:pPr>
        <w:widowControl/>
        <w:adjustRightInd w:val="0"/>
        <w:snapToGrid w:val="0"/>
        <w:spacing w:line="360" w:lineRule="auto"/>
        <w:rPr>
          <w:sz w:val="26"/>
        </w:rPr>
      </w:pPr>
    </w:p>
    <w:p w14:paraId="03F141FA" w14:textId="77777777" w:rsidR="00174BFB" w:rsidRDefault="00174BFB" w:rsidP="00AC0D94">
      <w:pPr>
        <w:widowControl/>
        <w:adjustRightInd w:val="0"/>
        <w:snapToGrid w:val="0"/>
        <w:spacing w:line="360" w:lineRule="auto"/>
        <w:rPr>
          <w:sz w:val="26"/>
        </w:rPr>
      </w:pPr>
    </w:p>
    <w:p w14:paraId="22108AA1" w14:textId="77777777" w:rsidR="00174BFB" w:rsidRDefault="00174BFB" w:rsidP="00AC0D94">
      <w:pPr>
        <w:widowControl/>
        <w:adjustRightInd w:val="0"/>
        <w:snapToGrid w:val="0"/>
        <w:spacing w:line="360" w:lineRule="auto"/>
        <w:rPr>
          <w:sz w:val="26"/>
        </w:rPr>
      </w:pPr>
    </w:p>
    <w:p w14:paraId="237514A6" w14:textId="77777777" w:rsidR="00170579" w:rsidRDefault="00170579" w:rsidP="00AC0D94">
      <w:pPr>
        <w:widowControl/>
        <w:adjustRightInd w:val="0"/>
        <w:snapToGrid w:val="0"/>
        <w:spacing w:line="360" w:lineRule="auto"/>
        <w:rPr>
          <w:sz w:val="26"/>
        </w:rPr>
      </w:pPr>
    </w:p>
    <w:p w14:paraId="415642AB" w14:textId="77777777" w:rsidR="00170579" w:rsidRDefault="00170579" w:rsidP="00AC0D94">
      <w:pPr>
        <w:widowControl/>
        <w:adjustRightInd w:val="0"/>
        <w:snapToGrid w:val="0"/>
        <w:spacing w:line="360" w:lineRule="auto"/>
        <w:rPr>
          <w:sz w:val="26"/>
        </w:rPr>
      </w:pPr>
    </w:p>
    <w:p w14:paraId="4C734944" w14:textId="77777777" w:rsidR="000F1124" w:rsidRPr="000F1124" w:rsidRDefault="000F1124" w:rsidP="000F1124">
      <w:pPr>
        <w:tabs>
          <w:tab w:val="num" w:pos="720"/>
        </w:tabs>
        <w:adjustRightInd w:val="0"/>
        <w:snapToGrid w:val="0"/>
        <w:ind w:left="521" w:hangingChars="200" w:hanging="521"/>
        <w:rPr>
          <w:rFonts w:ascii="Times New Roman" w:hAnsi="Times New Roman"/>
          <w:b/>
          <w:bCs/>
          <w:sz w:val="26"/>
        </w:rPr>
      </w:pPr>
      <w:r w:rsidRPr="000F1124">
        <w:rPr>
          <w:rFonts w:ascii="Times New Roman" w:hAnsi="Times New Roman"/>
          <w:b/>
          <w:bCs/>
          <w:sz w:val="26"/>
        </w:rPr>
        <w:lastRenderedPageBreak/>
        <w:t>References</w:t>
      </w:r>
    </w:p>
    <w:p w14:paraId="7DCEA20C" w14:textId="5ED197FF" w:rsidR="000F1124" w:rsidRDefault="000F1124" w:rsidP="003F53B9">
      <w:pPr>
        <w:numPr>
          <w:ilvl w:val="0"/>
          <w:numId w:val="31"/>
        </w:numPr>
        <w:adjustRightInd w:val="0"/>
        <w:snapToGrid w:val="0"/>
        <w:rPr>
          <w:rFonts w:ascii="Times New Roman" w:hAnsi="Times New Roman"/>
          <w:sz w:val="26"/>
        </w:rPr>
      </w:pPr>
      <w:r w:rsidRPr="000F1124">
        <w:rPr>
          <w:rFonts w:ascii="Times New Roman" w:hAnsi="Times New Roman"/>
          <w:sz w:val="26"/>
        </w:rPr>
        <w:t>AAA Company International Limited. (2022). </w:t>
      </w:r>
      <w:r w:rsidRPr="000F1124">
        <w:rPr>
          <w:rFonts w:ascii="Times New Roman" w:hAnsi="Times New Roman"/>
          <w:i/>
          <w:iCs/>
          <w:sz w:val="26"/>
        </w:rPr>
        <w:t>Interim Report 2022</w:t>
      </w:r>
      <w:r w:rsidRPr="000F1124">
        <w:rPr>
          <w:rFonts w:ascii="Times New Roman" w:hAnsi="Times New Roman"/>
          <w:sz w:val="26"/>
        </w:rPr>
        <w:t>. Retrieved from [</w:t>
      </w:r>
      <w:r w:rsidR="00572D40" w:rsidRPr="00572D40">
        <w:rPr>
          <w:rFonts w:ascii="Times New Roman" w:hAnsi="Times New Roman"/>
          <w:sz w:val="26"/>
        </w:rPr>
        <w:t>https://www.hkexnews.hk/listedco/listconews/sehk/2023/0428/2023042800719.pdf</w:t>
      </w:r>
      <w:r w:rsidRPr="000F1124">
        <w:rPr>
          <w:rFonts w:ascii="Times New Roman" w:hAnsi="Times New Roman"/>
          <w:sz w:val="26"/>
        </w:rPr>
        <w:t>].</w:t>
      </w:r>
    </w:p>
    <w:p w14:paraId="1032F03F" w14:textId="77777777" w:rsidR="00A0731C" w:rsidRDefault="00A0731C" w:rsidP="00A0731C">
      <w:pPr>
        <w:adjustRightInd w:val="0"/>
        <w:snapToGrid w:val="0"/>
        <w:ind w:left="720"/>
        <w:rPr>
          <w:rFonts w:ascii="Times New Roman" w:hAnsi="Times New Roman"/>
          <w:sz w:val="26"/>
        </w:rPr>
      </w:pPr>
    </w:p>
    <w:p w14:paraId="7B2B9939" w14:textId="1E40B566" w:rsidR="000F1124" w:rsidRDefault="000F1124" w:rsidP="003F53B9">
      <w:pPr>
        <w:numPr>
          <w:ilvl w:val="0"/>
          <w:numId w:val="31"/>
        </w:numPr>
        <w:adjustRightInd w:val="0"/>
        <w:snapToGrid w:val="0"/>
        <w:rPr>
          <w:rFonts w:ascii="Times New Roman" w:hAnsi="Times New Roman"/>
          <w:sz w:val="26"/>
        </w:rPr>
      </w:pPr>
      <w:r w:rsidRPr="000F1124">
        <w:rPr>
          <w:rFonts w:ascii="Times New Roman" w:hAnsi="Times New Roman"/>
          <w:sz w:val="26"/>
        </w:rPr>
        <w:t>AAA Company International Limited. (2024). </w:t>
      </w:r>
      <w:r w:rsidRPr="000F1124">
        <w:rPr>
          <w:rFonts w:ascii="Times New Roman" w:hAnsi="Times New Roman"/>
          <w:i/>
          <w:iCs/>
          <w:sz w:val="26"/>
        </w:rPr>
        <w:t>Interim Report 2024</w:t>
      </w:r>
      <w:r w:rsidRPr="000F1124">
        <w:rPr>
          <w:rFonts w:ascii="Times New Roman" w:hAnsi="Times New Roman"/>
          <w:sz w:val="26"/>
        </w:rPr>
        <w:t>. Retrieved from [</w:t>
      </w:r>
      <w:r w:rsidR="00B044A5" w:rsidRPr="00B044A5">
        <w:rPr>
          <w:rFonts w:ascii="Times New Roman" w:hAnsi="Times New Roman"/>
          <w:sz w:val="26"/>
        </w:rPr>
        <w:t>https://www.tricor.com.hk/webservice/000289/file/financial_report/eng/E_00289_IR_2024.pdf</w:t>
      </w:r>
      <w:r w:rsidRPr="000F1124">
        <w:rPr>
          <w:rFonts w:ascii="Times New Roman" w:hAnsi="Times New Roman"/>
          <w:sz w:val="26"/>
        </w:rPr>
        <w:t>].</w:t>
      </w:r>
    </w:p>
    <w:p w14:paraId="431548F6" w14:textId="77777777" w:rsidR="00A0731C" w:rsidRPr="000F1124" w:rsidRDefault="00A0731C" w:rsidP="00A0731C">
      <w:pPr>
        <w:adjustRightInd w:val="0"/>
        <w:snapToGrid w:val="0"/>
        <w:ind w:left="720"/>
        <w:rPr>
          <w:rFonts w:ascii="Times New Roman" w:hAnsi="Times New Roman"/>
          <w:sz w:val="26"/>
        </w:rPr>
      </w:pPr>
    </w:p>
    <w:p w14:paraId="52A20B14" w14:textId="77777777" w:rsidR="000F1124" w:rsidRDefault="000F1124" w:rsidP="003F53B9">
      <w:pPr>
        <w:numPr>
          <w:ilvl w:val="0"/>
          <w:numId w:val="31"/>
        </w:numPr>
        <w:adjustRightInd w:val="0"/>
        <w:snapToGrid w:val="0"/>
        <w:rPr>
          <w:rFonts w:ascii="Times New Roman" w:hAnsi="Times New Roman"/>
          <w:sz w:val="26"/>
        </w:rPr>
      </w:pPr>
      <w:r w:rsidRPr="000F1124">
        <w:rPr>
          <w:rFonts w:ascii="Times New Roman" w:hAnsi="Times New Roman"/>
          <w:sz w:val="26"/>
        </w:rPr>
        <w:t>Census and Statistics Department of Hong Kong (CSD). (2024). </w:t>
      </w:r>
      <w:r w:rsidRPr="000F1124">
        <w:rPr>
          <w:rFonts w:ascii="Times New Roman" w:hAnsi="Times New Roman"/>
          <w:i/>
          <w:iCs/>
          <w:sz w:val="26"/>
        </w:rPr>
        <w:t>Hong Kong Retail Sales Data</w:t>
      </w:r>
      <w:r w:rsidRPr="000F1124">
        <w:rPr>
          <w:rFonts w:ascii="Times New Roman" w:hAnsi="Times New Roman"/>
          <w:sz w:val="26"/>
        </w:rPr>
        <w:t>. Retrieved from </w:t>
      </w:r>
      <w:hyperlink r:id="rId16" w:tgtFrame="_blank" w:history="1">
        <w:r w:rsidRPr="000F1124">
          <w:rPr>
            <w:rStyle w:val="Hyperlink"/>
            <w:rFonts w:ascii="Times New Roman" w:hAnsi="Times New Roman"/>
            <w:sz w:val="26"/>
          </w:rPr>
          <w:t>https://www.censtatd.gov.hk/en/web_table.html?id=620-67012</w:t>
        </w:r>
      </w:hyperlink>
      <w:r w:rsidRPr="000F1124">
        <w:rPr>
          <w:rFonts w:ascii="Times New Roman" w:hAnsi="Times New Roman"/>
          <w:sz w:val="26"/>
        </w:rPr>
        <w:t>.</w:t>
      </w:r>
    </w:p>
    <w:p w14:paraId="264724E3" w14:textId="77777777" w:rsidR="00A0731C" w:rsidRDefault="00A0731C" w:rsidP="00A0731C">
      <w:pPr>
        <w:pStyle w:val="ListParagraph"/>
        <w:rPr>
          <w:rFonts w:ascii="Times New Roman" w:hAnsi="Times New Roman"/>
          <w:sz w:val="26"/>
        </w:rPr>
      </w:pPr>
    </w:p>
    <w:p w14:paraId="20BA4DCB" w14:textId="77777777" w:rsidR="00A0731C" w:rsidRPr="000F1124" w:rsidRDefault="00A0731C" w:rsidP="00A0731C">
      <w:pPr>
        <w:adjustRightInd w:val="0"/>
        <w:snapToGrid w:val="0"/>
        <w:ind w:left="720"/>
        <w:rPr>
          <w:rFonts w:ascii="Times New Roman" w:hAnsi="Times New Roman"/>
          <w:sz w:val="26"/>
        </w:rPr>
      </w:pPr>
    </w:p>
    <w:p w14:paraId="2D8FE358" w14:textId="697388CB" w:rsidR="000F1124" w:rsidRDefault="000F1124" w:rsidP="003F53B9">
      <w:pPr>
        <w:numPr>
          <w:ilvl w:val="0"/>
          <w:numId w:val="31"/>
        </w:numPr>
        <w:adjustRightInd w:val="0"/>
        <w:snapToGrid w:val="0"/>
        <w:rPr>
          <w:rFonts w:ascii="Times New Roman" w:hAnsi="Times New Roman"/>
          <w:sz w:val="26"/>
        </w:rPr>
      </w:pPr>
      <w:r w:rsidRPr="000F1124">
        <w:rPr>
          <w:rFonts w:ascii="Times New Roman" w:hAnsi="Times New Roman"/>
          <w:sz w:val="26"/>
        </w:rPr>
        <w:t>FocusEconomics. (2024). </w:t>
      </w:r>
      <w:r w:rsidRPr="000F1124">
        <w:rPr>
          <w:rFonts w:ascii="Times New Roman" w:hAnsi="Times New Roman"/>
          <w:i/>
          <w:iCs/>
          <w:sz w:val="26"/>
        </w:rPr>
        <w:t>Thailand Inflation Data</w:t>
      </w:r>
      <w:r w:rsidRPr="000F1124">
        <w:rPr>
          <w:rFonts w:ascii="Times New Roman" w:hAnsi="Times New Roman"/>
          <w:sz w:val="26"/>
        </w:rPr>
        <w:t>. Retrieved from [</w:t>
      </w:r>
      <w:r w:rsidR="00396CE6" w:rsidRPr="00396CE6">
        <w:rPr>
          <w:rFonts w:ascii="Times New Roman" w:hAnsi="Times New Roman"/>
          <w:sz w:val="26"/>
        </w:rPr>
        <w:t>https://www.focus-economics.com/countries/thailand/</w:t>
      </w:r>
      <w:r w:rsidRPr="000F1124">
        <w:rPr>
          <w:rFonts w:ascii="Times New Roman" w:hAnsi="Times New Roman"/>
          <w:sz w:val="26"/>
        </w:rPr>
        <w:t>].</w:t>
      </w:r>
    </w:p>
    <w:p w14:paraId="5C8B8E26" w14:textId="77777777" w:rsidR="00A0731C" w:rsidRPr="000F1124" w:rsidRDefault="00A0731C" w:rsidP="00B872ED">
      <w:pPr>
        <w:adjustRightInd w:val="0"/>
        <w:snapToGrid w:val="0"/>
        <w:ind w:left="720"/>
        <w:rPr>
          <w:rFonts w:ascii="Times New Roman" w:hAnsi="Times New Roman"/>
          <w:sz w:val="26"/>
        </w:rPr>
      </w:pPr>
    </w:p>
    <w:p w14:paraId="04118216" w14:textId="5E7244D8" w:rsidR="000F1124" w:rsidRDefault="000F1124" w:rsidP="003F53B9">
      <w:pPr>
        <w:numPr>
          <w:ilvl w:val="0"/>
          <w:numId w:val="31"/>
        </w:numPr>
        <w:adjustRightInd w:val="0"/>
        <w:snapToGrid w:val="0"/>
        <w:rPr>
          <w:rFonts w:ascii="Times New Roman" w:hAnsi="Times New Roman"/>
          <w:sz w:val="26"/>
        </w:rPr>
      </w:pPr>
      <w:r w:rsidRPr="000F1124">
        <w:rPr>
          <w:rFonts w:ascii="Times New Roman" w:hAnsi="Times New Roman"/>
          <w:sz w:val="26"/>
        </w:rPr>
        <w:t>Hong Kong General Chamber of Commerce. (2024). </w:t>
      </w:r>
      <w:r w:rsidRPr="000F1124">
        <w:rPr>
          <w:rFonts w:ascii="Times New Roman" w:hAnsi="Times New Roman"/>
          <w:i/>
          <w:iCs/>
          <w:sz w:val="26"/>
        </w:rPr>
        <w:t>Retail Sector Report</w:t>
      </w:r>
      <w:r w:rsidRPr="000F1124">
        <w:rPr>
          <w:rFonts w:ascii="Times New Roman" w:hAnsi="Times New Roman"/>
          <w:sz w:val="26"/>
        </w:rPr>
        <w:t>. Retrieved from [</w:t>
      </w:r>
      <w:r w:rsidR="006B4544" w:rsidRPr="006B4544">
        <w:rPr>
          <w:rFonts w:ascii="Times New Roman" w:hAnsi="Times New Roman"/>
          <w:sz w:val="26"/>
        </w:rPr>
        <w:t>https://www.chamber.org.hk/en/information/the-bulletin_detail.aspx?id=1383</w:t>
      </w:r>
      <w:r w:rsidRPr="000F1124">
        <w:rPr>
          <w:rFonts w:ascii="Times New Roman" w:hAnsi="Times New Roman"/>
          <w:sz w:val="26"/>
        </w:rPr>
        <w:t>].</w:t>
      </w:r>
    </w:p>
    <w:p w14:paraId="6D50709E" w14:textId="77777777" w:rsidR="00B872ED" w:rsidRDefault="00B872ED" w:rsidP="00B872ED">
      <w:pPr>
        <w:pStyle w:val="ListParagraph"/>
        <w:rPr>
          <w:rFonts w:ascii="Times New Roman" w:hAnsi="Times New Roman"/>
          <w:sz w:val="26"/>
        </w:rPr>
      </w:pPr>
    </w:p>
    <w:p w14:paraId="66553147" w14:textId="77777777" w:rsidR="00B872ED" w:rsidRPr="000F1124" w:rsidRDefault="00B872ED" w:rsidP="00B872ED">
      <w:pPr>
        <w:adjustRightInd w:val="0"/>
        <w:snapToGrid w:val="0"/>
        <w:ind w:left="720"/>
        <w:rPr>
          <w:rFonts w:ascii="Times New Roman" w:hAnsi="Times New Roman"/>
          <w:sz w:val="26"/>
        </w:rPr>
      </w:pPr>
    </w:p>
    <w:p w14:paraId="2EB834AD" w14:textId="6BEBBB8B" w:rsidR="000F1124" w:rsidRDefault="000F1124" w:rsidP="003F53B9">
      <w:pPr>
        <w:numPr>
          <w:ilvl w:val="0"/>
          <w:numId w:val="31"/>
        </w:numPr>
        <w:adjustRightInd w:val="0"/>
        <w:snapToGrid w:val="0"/>
        <w:rPr>
          <w:rFonts w:ascii="Times New Roman" w:hAnsi="Times New Roman"/>
          <w:sz w:val="26"/>
        </w:rPr>
      </w:pPr>
      <w:r w:rsidRPr="000F1124">
        <w:rPr>
          <w:rFonts w:ascii="Times New Roman" w:hAnsi="Times New Roman"/>
          <w:sz w:val="26"/>
        </w:rPr>
        <w:t>Hong Kong Rating and Valuation Department (RVD). (2024). </w:t>
      </w:r>
      <w:r w:rsidRPr="000F1124">
        <w:rPr>
          <w:rFonts w:ascii="Times New Roman" w:hAnsi="Times New Roman"/>
          <w:i/>
          <w:iCs/>
          <w:sz w:val="26"/>
        </w:rPr>
        <w:t>Rent Trends in Hong Kong</w:t>
      </w:r>
      <w:r w:rsidRPr="000F1124">
        <w:rPr>
          <w:rFonts w:ascii="Times New Roman" w:hAnsi="Times New Roman"/>
          <w:sz w:val="26"/>
        </w:rPr>
        <w:t>. Retrieved from [</w:t>
      </w:r>
      <w:r w:rsidR="00091E84" w:rsidRPr="00091E84">
        <w:rPr>
          <w:rFonts w:ascii="Times New Roman" w:hAnsi="Times New Roman"/>
          <w:sz w:val="26"/>
        </w:rPr>
        <w:t>https://www.rvd.gov.hk/en/publications/property_market_statistics.html</w:t>
      </w:r>
      <w:r w:rsidRPr="000F1124">
        <w:rPr>
          <w:rFonts w:ascii="Times New Roman" w:hAnsi="Times New Roman"/>
          <w:sz w:val="26"/>
        </w:rPr>
        <w:t>].</w:t>
      </w:r>
    </w:p>
    <w:p w14:paraId="2F4A76B6" w14:textId="77777777" w:rsidR="00B872ED" w:rsidRPr="000F1124" w:rsidRDefault="00B872ED" w:rsidP="00B872ED">
      <w:pPr>
        <w:adjustRightInd w:val="0"/>
        <w:snapToGrid w:val="0"/>
        <w:ind w:left="720"/>
        <w:rPr>
          <w:rFonts w:ascii="Times New Roman" w:hAnsi="Times New Roman"/>
          <w:sz w:val="26"/>
        </w:rPr>
      </w:pPr>
    </w:p>
    <w:p w14:paraId="6BC98A8A" w14:textId="77777777" w:rsidR="000F1124" w:rsidRDefault="000F1124" w:rsidP="003F53B9">
      <w:pPr>
        <w:numPr>
          <w:ilvl w:val="0"/>
          <w:numId w:val="31"/>
        </w:numPr>
        <w:adjustRightInd w:val="0"/>
        <w:snapToGrid w:val="0"/>
        <w:rPr>
          <w:rFonts w:ascii="Times New Roman" w:hAnsi="Times New Roman"/>
          <w:sz w:val="26"/>
        </w:rPr>
      </w:pPr>
      <w:r w:rsidRPr="000F1124">
        <w:rPr>
          <w:rFonts w:ascii="Times New Roman" w:hAnsi="Times New Roman"/>
          <w:sz w:val="26"/>
        </w:rPr>
        <w:t>International Monetary Fund (IMF). (2024). </w:t>
      </w:r>
      <w:r w:rsidRPr="000F1124">
        <w:rPr>
          <w:rFonts w:ascii="Times New Roman" w:hAnsi="Times New Roman"/>
          <w:i/>
          <w:iCs/>
          <w:sz w:val="26"/>
        </w:rPr>
        <w:t>Consumer Price Index (CPI) Data</w:t>
      </w:r>
      <w:r w:rsidRPr="000F1124">
        <w:rPr>
          <w:rFonts w:ascii="Times New Roman" w:hAnsi="Times New Roman"/>
          <w:sz w:val="26"/>
        </w:rPr>
        <w:t>. Retrieved from </w:t>
      </w:r>
      <w:hyperlink r:id="rId17" w:tgtFrame="_blank" w:history="1">
        <w:r w:rsidRPr="000F1124">
          <w:rPr>
            <w:rStyle w:val="Hyperlink"/>
            <w:rFonts w:ascii="Times New Roman" w:hAnsi="Times New Roman"/>
            <w:sz w:val="26"/>
          </w:rPr>
          <w:t>https://www.imf.org/external/datamapper/PCPIEPCH@WEO/HKG/THA</w:t>
        </w:r>
      </w:hyperlink>
      <w:r w:rsidRPr="000F1124">
        <w:rPr>
          <w:rFonts w:ascii="Times New Roman" w:hAnsi="Times New Roman"/>
          <w:sz w:val="26"/>
        </w:rPr>
        <w:t>.</w:t>
      </w:r>
    </w:p>
    <w:p w14:paraId="479218BD" w14:textId="77777777" w:rsidR="00E41641" w:rsidRDefault="00E41641" w:rsidP="00E41641">
      <w:pPr>
        <w:pStyle w:val="ListParagraph"/>
        <w:rPr>
          <w:rFonts w:ascii="Times New Roman" w:hAnsi="Times New Roman"/>
          <w:sz w:val="26"/>
        </w:rPr>
      </w:pPr>
    </w:p>
    <w:p w14:paraId="72EEA08C" w14:textId="77777777" w:rsidR="00E41641" w:rsidRPr="000F1124" w:rsidRDefault="00E41641" w:rsidP="00E41641">
      <w:pPr>
        <w:adjustRightInd w:val="0"/>
        <w:snapToGrid w:val="0"/>
        <w:ind w:left="720"/>
        <w:rPr>
          <w:rFonts w:ascii="Times New Roman" w:hAnsi="Times New Roman"/>
          <w:sz w:val="26"/>
        </w:rPr>
      </w:pPr>
    </w:p>
    <w:p w14:paraId="2DD4CB17" w14:textId="77777777" w:rsidR="000F1124" w:rsidRDefault="000F1124" w:rsidP="003F53B9">
      <w:pPr>
        <w:numPr>
          <w:ilvl w:val="0"/>
          <w:numId w:val="31"/>
        </w:numPr>
        <w:adjustRightInd w:val="0"/>
        <w:snapToGrid w:val="0"/>
        <w:rPr>
          <w:rFonts w:ascii="Times New Roman" w:hAnsi="Times New Roman"/>
          <w:sz w:val="26"/>
        </w:rPr>
      </w:pPr>
      <w:r w:rsidRPr="000F1124">
        <w:rPr>
          <w:rFonts w:ascii="Times New Roman" w:hAnsi="Times New Roman"/>
          <w:sz w:val="26"/>
        </w:rPr>
        <w:t>Mankiw, N. G. (2021). </w:t>
      </w:r>
      <w:r w:rsidRPr="000F1124">
        <w:rPr>
          <w:rFonts w:ascii="Times New Roman" w:hAnsi="Times New Roman"/>
          <w:i/>
          <w:iCs/>
          <w:sz w:val="26"/>
        </w:rPr>
        <w:t>Principles of Economics</w:t>
      </w:r>
      <w:r w:rsidRPr="000F1124">
        <w:rPr>
          <w:rFonts w:ascii="Times New Roman" w:hAnsi="Times New Roman"/>
          <w:sz w:val="26"/>
        </w:rPr>
        <w:t>. 9th Edition. Cengage Learning.</w:t>
      </w:r>
    </w:p>
    <w:p w14:paraId="0BEFC9D4" w14:textId="77777777" w:rsidR="00E41641" w:rsidRPr="000F1124" w:rsidRDefault="00E41641" w:rsidP="00E41641">
      <w:pPr>
        <w:adjustRightInd w:val="0"/>
        <w:snapToGrid w:val="0"/>
        <w:ind w:left="720"/>
        <w:rPr>
          <w:rFonts w:ascii="Times New Roman" w:hAnsi="Times New Roman"/>
          <w:sz w:val="26"/>
        </w:rPr>
      </w:pPr>
    </w:p>
    <w:p w14:paraId="57800E0A" w14:textId="77777777" w:rsidR="000F1124" w:rsidRDefault="000F1124" w:rsidP="003F53B9">
      <w:pPr>
        <w:numPr>
          <w:ilvl w:val="0"/>
          <w:numId w:val="31"/>
        </w:numPr>
        <w:adjustRightInd w:val="0"/>
        <w:snapToGrid w:val="0"/>
        <w:rPr>
          <w:rFonts w:ascii="Times New Roman" w:hAnsi="Times New Roman"/>
          <w:sz w:val="26"/>
        </w:rPr>
      </w:pPr>
      <w:r w:rsidRPr="000F1124">
        <w:rPr>
          <w:rFonts w:ascii="Times New Roman" w:hAnsi="Times New Roman"/>
          <w:sz w:val="26"/>
        </w:rPr>
        <w:t>Marshall, A. (1890). </w:t>
      </w:r>
      <w:r w:rsidRPr="000F1124">
        <w:rPr>
          <w:rFonts w:ascii="Times New Roman" w:hAnsi="Times New Roman"/>
          <w:i/>
          <w:iCs/>
          <w:sz w:val="26"/>
        </w:rPr>
        <w:t>Principles of Economics</w:t>
      </w:r>
      <w:r w:rsidRPr="000F1124">
        <w:rPr>
          <w:rFonts w:ascii="Times New Roman" w:hAnsi="Times New Roman"/>
          <w:sz w:val="26"/>
        </w:rPr>
        <w:t>. Macmillan and Co.</w:t>
      </w:r>
    </w:p>
    <w:p w14:paraId="1BFCA8B8" w14:textId="77777777" w:rsidR="00E41641" w:rsidRDefault="00E41641" w:rsidP="00E41641">
      <w:pPr>
        <w:pStyle w:val="ListParagraph"/>
        <w:rPr>
          <w:rFonts w:ascii="Times New Roman" w:hAnsi="Times New Roman"/>
          <w:sz w:val="26"/>
        </w:rPr>
      </w:pPr>
    </w:p>
    <w:p w14:paraId="7405C252" w14:textId="77777777" w:rsidR="00E41641" w:rsidRPr="000F1124" w:rsidRDefault="00E41641" w:rsidP="00E41641">
      <w:pPr>
        <w:adjustRightInd w:val="0"/>
        <w:snapToGrid w:val="0"/>
        <w:ind w:left="720"/>
        <w:rPr>
          <w:rFonts w:ascii="Times New Roman" w:hAnsi="Times New Roman"/>
          <w:sz w:val="26"/>
        </w:rPr>
      </w:pPr>
    </w:p>
    <w:p w14:paraId="66A789EB" w14:textId="78643B39" w:rsidR="000F1124" w:rsidRDefault="000F1124" w:rsidP="003F53B9">
      <w:pPr>
        <w:numPr>
          <w:ilvl w:val="0"/>
          <w:numId w:val="31"/>
        </w:numPr>
        <w:adjustRightInd w:val="0"/>
        <w:snapToGrid w:val="0"/>
        <w:rPr>
          <w:rFonts w:ascii="Times New Roman" w:hAnsi="Times New Roman"/>
          <w:sz w:val="26"/>
        </w:rPr>
      </w:pPr>
      <w:r w:rsidRPr="000F1124">
        <w:rPr>
          <w:rFonts w:ascii="Times New Roman" w:hAnsi="Times New Roman"/>
          <w:sz w:val="26"/>
        </w:rPr>
        <w:t>Trading Economics. (2024). </w:t>
      </w:r>
      <w:r w:rsidRPr="000F1124">
        <w:rPr>
          <w:rFonts w:ascii="Times New Roman" w:hAnsi="Times New Roman"/>
          <w:i/>
          <w:iCs/>
          <w:sz w:val="26"/>
        </w:rPr>
        <w:t>Thailand Retail Sales Data</w:t>
      </w:r>
      <w:r w:rsidRPr="000F1124">
        <w:rPr>
          <w:rFonts w:ascii="Times New Roman" w:hAnsi="Times New Roman"/>
          <w:sz w:val="26"/>
        </w:rPr>
        <w:t>. Retrieved from [</w:t>
      </w:r>
      <w:r w:rsidR="00A218C1" w:rsidRPr="00A218C1">
        <w:rPr>
          <w:rFonts w:ascii="Times New Roman" w:hAnsi="Times New Roman"/>
          <w:sz w:val="26"/>
        </w:rPr>
        <w:t>https://tradingeconomics.com/thailand/retail-sales-annual</w:t>
      </w:r>
      <w:r w:rsidRPr="000F1124">
        <w:rPr>
          <w:rFonts w:ascii="Times New Roman" w:hAnsi="Times New Roman"/>
          <w:sz w:val="26"/>
        </w:rPr>
        <w:t>].</w:t>
      </w:r>
    </w:p>
    <w:p w14:paraId="506344F9" w14:textId="77777777" w:rsidR="00E41641" w:rsidRPr="000F1124" w:rsidRDefault="00E41641" w:rsidP="00E41641">
      <w:pPr>
        <w:adjustRightInd w:val="0"/>
        <w:snapToGrid w:val="0"/>
        <w:ind w:left="720"/>
        <w:rPr>
          <w:rFonts w:ascii="Times New Roman" w:hAnsi="Times New Roman"/>
          <w:sz w:val="26"/>
        </w:rPr>
      </w:pPr>
    </w:p>
    <w:p w14:paraId="4462F8FA" w14:textId="1E73EBE4" w:rsidR="000F1124" w:rsidRPr="000F1124" w:rsidRDefault="000F1124" w:rsidP="003F53B9">
      <w:pPr>
        <w:numPr>
          <w:ilvl w:val="0"/>
          <w:numId w:val="31"/>
        </w:numPr>
        <w:adjustRightInd w:val="0"/>
        <w:snapToGrid w:val="0"/>
        <w:rPr>
          <w:rFonts w:ascii="Times New Roman" w:hAnsi="Times New Roman"/>
          <w:sz w:val="26"/>
        </w:rPr>
      </w:pPr>
      <w:r w:rsidRPr="000F1124">
        <w:rPr>
          <w:rFonts w:ascii="Times New Roman" w:hAnsi="Times New Roman"/>
          <w:sz w:val="26"/>
        </w:rPr>
        <w:t>Trading Economics. (2024). </w:t>
      </w:r>
      <w:r w:rsidRPr="000F1124">
        <w:rPr>
          <w:rFonts w:ascii="Times New Roman" w:hAnsi="Times New Roman"/>
          <w:i/>
          <w:iCs/>
          <w:sz w:val="26"/>
        </w:rPr>
        <w:t>Hong Kong Inflation Data</w:t>
      </w:r>
      <w:r w:rsidRPr="000F1124">
        <w:rPr>
          <w:rFonts w:ascii="Times New Roman" w:hAnsi="Times New Roman"/>
          <w:sz w:val="26"/>
        </w:rPr>
        <w:t>. Retrieved from [</w:t>
      </w:r>
      <w:r w:rsidR="003F53B9" w:rsidRPr="003F53B9">
        <w:rPr>
          <w:rFonts w:ascii="Times New Roman" w:hAnsi="Times New Roman"/>
          <w:sz w:val="26"/>
        </w:rPr>
        <w:t>https://tradingeconomics.com/hong-kong/inflation-cpi</w:t>
      </w:r>
      <w:r w:rsidRPr="000F1124">
        <w:rPr>
          <w:rFonts w:ascii="Times New Roman" w:hAnsi="Times New Roman"/>
          <w:sz w:val="26"/>
        </w:rPr>
        <w:t>].</w:t>
      </w:r>
    </w:p>
    <w:p w14:paraId="23F66B49" w14:textId="1A2E9708" w:rsidR="000F1124" w:rsidRPr="000F1124" w:rsidRDefault="000F1124" w:rsidP="000F1124">
      <w:pPr>
        <w:tabs>
          <w:tab w:val="num" w:pos="720"/>
        </w:tabs>
        <w:adjustRightInd w:val="0"/>
        <w:snapToGrid w:val="0"/>
        <w:ind w:left="521" w:hangingChars="200" w:hanging="521"/>
        <w:rPr>
          <w:rFonts w:ascii="Times New Roman" w:hAnsi="Times New Roman"/>
          <w:b/>
          <w:bCs/>
          <w:sz w:val="26"/>
        </w:rPr>
      </w:pPr>
    </w:p>
    <w:p w14:paraId="3F4B5223" w14:textId="4F602F30" w:rsidR="001E1C86" w:rsidRPr="00A71F0C" w:rsidRDefault="001E1C86" w:rsidP="00AC0D94">
      <w:pPr>
        <w:tabs>
          <w:tab w:val="num" w:pos="720"/>
        </w:tabs>
        <w:adjustRightInd w:val="0"/>
        <w:snapToGrid w:val="0"/>
        <w:ind w:left="480" w:hangingChars="200" w:hanging="480"/>
        <w:rPr>
          <w:rFonts w:ascii="Times New Roman" w:hAnsi="Times New Roman"/>
          <w:color w:val="0000CC"/>
          <w:szCs w:val="24"/>
        </w:rPr>
      </w:pPr>
    </w:p>
    <w:sectPr w:rsidR="001E1C86" w:rsidRPr="00A71F0C" w:rsidSect="005E0786">
      <w:pgSz w:w="11906" w:h="16838"/>
      <w:pgMar w:top="1134" w:right="1134" w:bottom="1134" w:left="1134" w:header="851" w:footer="992" w:gutter="0"/>
      <w:pgNumType w:start="1"/>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EB2FA3" w14:textId="77777777" w:rsidR="001961DB" w:rsidRDefault="001961DB">
      <w:r>
        <w:separator/>
      </w:r>
    </w:p>
  </w:endnote>
  <w:endnote w:type="continuationSeparator" w:id="0">
    <w:p w14:paraId="4F2860A3" w14:textId="77777777" w:rsidR="001961DB" w:rsidRDefault="001961DB">
      <w:r>
        <w:continuationSeparator/>
      </w:r>
    </w:p>
  </w:endnote>
  <w:endnote w:type="continuationNotice" w:id="1">
    <w:p w14:paraId="16ED87CB" w14:textId="77777777" w:rsidR="001961DB" w:rsidRDefault="001961D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imesNewRoman,Bold">
    <w:altName w:val="Times New Roman"/>
    <w:panose1 w:val="00000000000000000000"/>
    <w:charset w:val="00"/>
    <w:family w:val="roman"/>
    <w:notTrueType/>
    <w:pitch w:val="default"/>
    <w:sig w:usb0="00000003" w:usb1="00000000" w:usb2="00000000" w:usb3="00000000" w:csb0="00000001" w:csb1="00000000"/>
  </w:font>
  <w:font w:name="DFKai-SB">
    <w:altName w:val="Microsoft YaHei"/>
    <w:charset w:val="88"/>
    <w:family w:val="script"/>
    <w:pitch w:val="fixed"/>
    <w:sig w:usb0="00000003" w:usb1="080E0000"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3A3E25" w14:textId="13A4303A" w:rsidR="00767A43" w:rsidRDefault="00767A43">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9E6700">
      <w:rPr>
        <w:rStyle w:val="PageNumber"/>
        <w:noProof/>
      </w:rPr>
      <w:t>i</w:t>
    </w:r>
    <w:r>
      <w:rPr>
        <w:rStyle w:val="PageNumber"/>
      </w:rPr>
      <w:fldChar w:fldCharType="end"/>
    </w:r>
  </w:p>
  <w:p w14:paraId="436EE74F" w14:textId="77777777" w:rsidR="00767A43" w:rsidRDefault="00767A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C38433" w14:textId="77777777" w:rsidR="00767A43" w:rsidRDefault="00767A43">
    <w:pPr>
      <w:pStyle w:val="Footer"/>
      <w:framePr w:wrap="around" w:vAnchor="text" w:hAnchor="margin" w:xAlign="center" w:y="1"/>
      <w:rPr>
        <w:rStyle w:val="PageNumber"/>
      </w:rPr>
    </w:pPr>
  </w:p>
  <w:p w14:paraId="6CB37942" w14:textId="77777777" w:rsidR="00767A43" w:rsidRDefault="00767A43">
    <w:pPr>
      <w:pStyle w:val="Footer"/>
      <w:framePr w:wrap="around" w:vAnchor="text" w:hAnchor="margin" w:xAlign="center" w:y="1"/>
      <w:rPr>
        <w:rStyle w:val="PageNumber"/>
      </w:rPr>
    </w:pPr>
  </w:p>
  <w:p w14:paraId="3C3FC5EC" w14:textId="77777777" w:rsidR="00767A43" w:rsidRDefault="00767A43">
    <w:pPr>
      <w:pStyle w:val="Footer"/>
      <w:framePr w:wrap="around" w:vAnchor="text" w:hAnchor="margin" w:xAlign="center" w:y="1"/>
      <w:rPr>
        <w:rStyle w:val="PageNumber"/>
      </w:rPr>
    </w:pPr>
  </w:p>
  <w:p w14:paraId="7598CCC4" w14:textId="77777777" w:rsidR="00767A43" w:rsidRDefault="00767A43">
    <w:pPr>
      <w:pStyle w:val="Footer"/>
      <w:framePr w:wrap="around" w:vAnchor="text" w:hAnchor="margin" w:xAlign="center" w:y="1"/>
      <w:rPr>
        <w:rStyle w:val="PageNumber"/>
      </w:rPr>
    </w:pPr>
  </w:p>
  <w:p w14:paraId="01F479D6" w14:textId="77777777" w:rsidR="00767A43" w:rsidRDefault="00767A43">
    <w:pPr>
      <w:pStyle w:val="Footer"/>
      <w:framePr w:wrap="around" w:vAnchor="text" w:hAnchor="margin" w:xAlign="center" w:y="1"/>
      <w:rPr>
        <w:rStyle w:val="PageNumber"/>
      </w:rPr>
    </w:pPr>
  </w:p>
  <w:p w14:paraId="1AF2B952" w14:textId="77777777" w:rsidR="00767A43" w:rsidRDefault="00767A43">
    <w:pPr>
      <w:pStyle w:val="Footer"/>
      <w:jc w:val="center"/>
    </w:pPr>
    <w:r>
      <w:rPr>
        <w:rStyle w:val="PageNumber"/>
      </w:rPr>
      <w:fldChar w:fldCharType="begin"/>
    </w:r>
    <w:r>
      <w:rPr>
        <w:rStyle w:val="PageNumber"/>
      </w:rPr>
      <w:instrText xml:space="preserve"> PAGE </w:instrText>
    </w:r>
    <w:r>
      <w:rPr>
        <w:rStyle w:val="PageNumber"/>
      </w:rPr>
      <w:fldChar w:fldCharType="separate"/>
    </w:r>
    <w:r w:rsidR="0024164F">
      <w:rPr>
        <w:rStyle w:val="PageNumber"/>
        <w:noProof/>
      </w:rPr>
      <w:t>5</w:t>
    </w:r>
    <w:r>
      <w:rPr>
        <w:rStyle w:val="PageNumber"/>
      </w:rPr>
      <w:fldChar w:fldCharType="end"/>
    </w:r>
  </w:p>
  <w:p w14:paraId="6CBC4991" w14:textId="77777777" w:rsidR="00767A43" w:rsidRDefault="00767A43">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5393A8" w14:textId="77777777" w:rsidR="001961DB" w:rsidRDefault="001961DB">
      <w:r>
        <w:separator/>
      </w:r>
    </w:p>
  </w:footnote>
  <w:footnote w:type="continuationSeparator" w:id="0">
    <w:p w14:paraId="20D3C0FE" w14:textId="77777777" w:rsidR="001961DB" w:rsidRDefault="001961DB">
      <w:r>
        <w:continuationSeparator/>
      </w:r>
    </w:p>
  </w:footnote>
  <w:footnote w:type="continuationNotice" w:id="1">
    <w:p w14:paraId="6528C4E6" w14:textId="77777777" w:rsidR="001961DB" w:rsidRDefault="001961DB"/>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57813"/>
    <w:multiLevelType w:val="multilevel"/>
    <w:tmpl w:val="6CA69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4240A7"/>
    <w:multiLevelType w:val="hybridMultilevel"/>
    <w:tmpl w:val="EF4E0E74"/>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 w15:restartNumberingAfterBreak="0">
    <w:nsid w:val="059601BE"/>
    <w:multiLevelType w:val="hybridMultilevel"/>
    <w:tmpl w:val="13561F1A"/>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3" w15:restartNumberingAfterBreak="0">
    <w:nsid w:val="06372838"/>
    <w:multiLevelType w:val="hybridMultilevel"/>
    <w:tmpl w:val="58CE3E28"/>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4" w15:restartNumberingAfterBreak="0">
    <w:nsid w:val="0EF61DE2"/>
    <w:multiLevelType w:val="multilevel"/>
    <w:tmpl w:val="3F7E39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FAB361E"/>
    <w:multiLevelType w:val="multilevel"/>
    <w:tmpl w:val="90F6A25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0140366"/>
    <w:multiLevelType w:val="multilevel"/>
    <w:tmpl w:val="2ECC8F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7E15A1"/>
    <w:multiLevelType w:val="multilevel"/>
    <w:tmpl w:val="F266F2B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92422B6"/>
    <w:multiLevelType w:val="multilevel"/>
    <w:tmpl w:val="59D4A048"/>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9C30E54"/>
    <w:multiLevelType w:val="multilevel"/>
    <w:tmpl w:val="B0100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B56674F"/>
    <w:multiLevelType w:val="hybridMultilevel"/>
    <w:tmpl w:val="FEE400EC"/>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11" w15:restartNumberingAfterBreak="0">
    <w:nsid w:val="27DD7516"/>
    <w:multiLevelType w:val="multilevel"/>
    <w:tmpl w:val="27B80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E12B7B"/>
    <w:multiLevelType w:val="multilevel"/>
    <w:tmpl w:val="5A0C034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AF83070"/>
    <w:multiLevelType w:val="multilevel"/>
    <w:tmpl w:val="06A2C5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EC44FF0"/>
    <w:multiLevelType w:val="multilevel"/>
    <w:tmpl w:val="5A0C034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6744EFF"/>
    <w:multiLevelType w:val="multilevel"/>
    <w:tmpl w:val="7CFA0252"/>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AD13230"/>
    <w:multiLevelType w:val="multilevel"/>
    <w:tmpl w:val="2C82C1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D0826D4"/>
    <w:multiLevelType w:val="multilevel"/>
    <w:tmpl w:val="9A567F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0EF5C99"/>
    <w:multiLevelType w:val="multilevel"/>
    <w:tmpl w:val="59D4A048"/>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10C3AA1"/>
    <w:multiLevelType w:val="hybridMultilevel"/>
    <w:tmpl w:val="0F2AFB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9EF2B1F"/>
    <w:multiLevelType w:val="hybridMultilevel"/>
    <w:tmpl w:val="1E9A4432"/>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1" w15:restartNumberingAfterBreak="0">
    <w:nsid w:val="4AA7289D"/>
    <w:multiLevelType w:val="multilevel"/>
    <w:tmpl w:val="808C047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F495878"/>
    <w:multiLevelType w:val="multilevel"/>
    <w:tmpl w:val="5E6A8F1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22B0377"/>
    <w:multiLevelType w:val="hybridMultilevel"/>
    <w:tmpl w:val="2482FF4E"/>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24" w15:restartNumberingAfterBreak="0">
    <w:nsid w:val="550F75BB"/>
    <w:multiLevelType w:val="multilevel"/>
    <w:tmpl w:val="A6382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7285CD5"/>
    <w:multiLevelType w:val="multilevel"/>
    <w:tmpl w:val="2C4260F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73839DC"/>
    <w:multiLevelType w:val="multilevel"/>
    <w:tmpl w:val="5740A98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C091120"/>
    <w:multiLevelType w:val="multilevel"/>
    <w:tmpl w:val="6D68C1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56D5CF2"/>
    <w:multiLevelType w:val="multilevel"/>
    <w:tmpl w:val="EC3651A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C147A5F"/>
    <w:multiLevelType w:val="multilevel"/>
    <w:tmpl w:val="C16A7E2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DE066F1"/>
    <w:multiLevelType w:val="multilevel"/>
    <w:tmpl w:val="897A820E"/>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0750870"/>
    <w:multiLevelType w:val="hybridMultilevel"/>
    <w:tmpl w:val="C56A2A86"/>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abstractNum w:abstractNumId="32" w15:restartNumberingAfterBreak="0">
    <w:nsid w:val="7B565CEC"/>
    <w:multiLevelType w:val="multilevel"/>
    <w:tmpl w:val="3A064C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C175446"/>
    <w:multiLevelType w:val="multilevel"/>
    <w:tmpl w:val="70248E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DD478DC"/>
    <w:multiLevelType w:val="multilevel"/>
    <w:tmpl w:val="59D4A048"/>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0395728">
    <w:abstractNumId w:val="4"/>
  </w:num>
  <w:num w:numId="2" w16cid:durableId="68894802">
    <w:abstractNumId w:val="0"/>
  </w:num>
  <w:num w:numId="3" w16cid:durableId="2063865783">
    <w:abstractNumId w:val="17"/>
  </w:num>
  <w:num w:numId="4" w16cid:durableId="83570932">
    <w:abstractNumId w:val="33"/>
  </w:num>
  <w:num w:numId="5" w16cid:durableId="483620177">
    <w:abstractNumId w:val="16"/>
  </w:num>
  <w:num w:numId="6" w16cid:durableId="197545770">
    <w:abstractNumId w:val="22"/>
  </w:num>
  <w:num w:numId="7" w16cid:durableId="1294755477">
    <w:abstractNumId w:val="15"/>
  </w:num>
  <w:num w:numId="8" w16cid:durableId="56907192">
    <w:abstractNumId w:val="30"/>
  </w:num>
  <w:num w:numId="9" w16cid:durableId="882524935">
    <w:abstractNumId w:val="5"/>
  </w:num>
  <w:num w:numId="10" w16cid:durableId="1206943703">
    <w:abstractNumId w:val="12"/>
  </w:num>
  <w:num w:numId="11" w16cid:durableId="1441604083">
    <w:abstractNumId w:val="14"/>
  </w:num>
  <w:num w:numId="12" w16cid:durableId="59988518">
    <w:abstractNumId w:val="32"/>
  </w:num>
  <w:num w:numId="13" w16cid:durableId="481627468">
    <w:abstractNumId w:val="11"/>
  </w:num>
  <w:num w:numId="14" w16cid:durableId="400561215">
    <w:abstractNumId w:val="29"/>
  </w:num>
  <w:num w:numId="15" w16cid:durableId="1776830711">
    <w:abstractNumId w:val="7"/>
  </w:num>
  <w:num w:numId="16" w16cid:durableId="1780292250">
    <w:abstractNumId w:val="8"/>
  </w:num>
  <w:num w:numId="17" w16cid:durableId="859321126">
    <w:abstractNumId w:val="34"/>
  </w:num>
  <w:num w:numId="18" w16cid:durableId="852455263">
    <w:abstractNumId w:val="27"/>
  </w:num>
  <w:num w:numId="19" w16cid:durableId="1020543688">
    <w:abstractNumId w:val="18"/>
  </w:num>
  <w:num w:numId="20" w16cid:durableId="1797601032">
    <w:abstractNumId w:val="9"/>
  </w:num>
  <w:num w:numId="21" w16cid:durableId="92364547">
    <w:abstractNumId w:val="19"/>
  </w:num>
  <w:num w:numId="22" w16cid:durableId="2078937065">
    <w:abstractNumId w:val="24"/>
  </w:num>
  <w:num w:numId="23" w16cid:durableId="936444921">
    <w:abstractNumId w:val="6"/>
  </w:num>
  <w:num w:numId="24" w16cid:durableId="1274676699">
    <w:abstractNumId w:val="25"/>
  </w:num>
  <w:num w:numId="25" w16cid:durableId="1594818762">
    <w:abstractNumId w:val="28"/>
  </w:num>
  <w:num w:numId="26" w16cid:durableId="71590488">
    <w:abstractNumId w:val="2"/>
  </w:num>
  <w:num w:numId="27" w16cid:durableId="2080054086">
    <w:abstractNumId w:val="1"/>
  </w:num>
  <w:num w:numId="28" w16cid:durableId="1557005858">
    <w:abstractNumId w:val="3"/>
  </w:num>
  <w:num w:numId="29" w16cid:durableId="2004040859">
    <w:abstractNumId w:val="23"/>
  </w:num>
  <w:num w:numId="30" w16cid:durableId="680670238">
    <w:abstractNumId w:val="10"/>
  </w:num>
  <w:num w:numId="31" w16cid:durableId="1631472675">
    <w:abstractNumId w:val="26"/>
  </w:num>
  <w:num w:numId="32" w16cid:durableId="24185085">
    <w:abstractNumId w:val="13"/>
  </w:num>
  <w:num w:numId="33" w16cid:durableId="1305504860">
    <w:abstractNumId w:val="21"/>
  </w:num>
  <w:num w:numId="34" w16cid:durableId="1614046684">
    <w:abstractNumId w:val="31"/>
  </w:num>
  <w:num w:numId="35" w16cid:durableId="35938502">
    <w:abstractNumId w:val="20"/>
  </w:num>
  <w:numIdMacAtCleanup w:val="31"/>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User Poon">
    <w15:presenceInfo w15:providerId="Windows Live" w15:userId="2fdc3d3f77cbee0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defaultTabStop w:val="397"/>
  <w:displayHorizontalDrawingGridEvery w:val="0"/>
  <w:displayVerticalDrawingGridEvery w:val="2"/>
  <w:characterSpacingControl w:val="compressPunctuation"/>
  <w:hdrShapeDefaults>
    <o:shapedefaults v:ext="edit" spidmax="2050" fillcolor="white">
      <v:fill color="white"/>
    </o:shapedefaults>
  </w:hdrShapeDefaults>
  <w:footnotePr>
    <w:footnote w:id="-1"/>
    <w:footnote w:id="0"/>
    <w:footnote w:id="1"/>
  </w:footnotePr>
  <w:endnotePr>
    <w:endnote w:id="-1"/>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6BDA"/>
    <w:rsid w:val="00000B30"/>
    <w:rsid w:val="00006A55"/>
    <w:rsid w:val="00007AA5"/>
    <w:rsid w:val="00010307"/>
    <w:rsid w:val="000122C2"/>
    <w:rsid w:val="00014578"/>
    <w:rsid w:val="00015359"/>
    <w:rsid w:val="00020EC7"/>
    <w:rsid w:val="0002315F"/>
    <w:rsid w:val="0002418D"/>
    <w:rsid w:val="0002460B"/>
    <w:rsid w:val="00030DDC"/>
    <w:rsid w:val="0003119F"/>
    <w:rsid w:val="00032C95"/>
    <w:rsid w:val="00036DE9"/>
    <w:rsid w:val="000462DC"/>
    <w:rsid w:val="00051BCE"/>
    <w:rsid w:val="000617B8"/>
    <w:rsid w:val="000669F2"/>
    <w:rsid w:val="00071F4A"/>
    <w:rsid w:val="000734C8"/>
    <w:rsid w:val="00073C3C"/>
    <w:rsid w:val="00074310"/>
    <w:rsid w:val="00074B88"/>
    <w:rsid w:val="00076C37"/>
    <w:rsid w:val="000851B7"/>
    <w:rsid w:val="000864BE"/>
    <w:rsid w:val="00090CC0"/>
    <w:rsid w:val="00091E84"/>
    <w:rsid w:val="0009242B"/>
    <w:rsid w:val="00092C42"/>
    <w:rsid w:val="000930BE"/>
    <w:rsid w:val="00093362"/>
    <w:rsid w:val="00093ECA"/>
    <w:rsid w:val="00094180"/>
    <w:rsid w:val="00095CED"/>
    <w:rsid w:val="000A0ED9"/>
    <w:rsid w:val="000A45B2"/>
    <w:rsid w:val="000A61AC"/>
    <w:rsid w:val="000A6642"/>
    <w:rsid w:val="000B2F69"/>
    <w:rsid w:val="000B39AA"/>
    <w:rsid w:val="000B3E47"/>
    <w:rsid w:val="000B5F4C"/>
    <w:rsid w:val="000B6600"/>
    <w:rsid w:val="000B7D44"/>
    <w:rsid w:val="000C2EFD"/>
    <w:rsid w:val="000C43CB"/>
    <w:rsid w:val="000C50B1"/>
    <w:rsid w:val="000C61E4"/>
    <w:rsid w:val="000D00F3"/>
    <w:rsid w:val="000D21B6"/>
    <w:rsid w:val="000D3340"/>
    <w:rsid w:val="000D4113"/>
    <w:rsid w:val="000D4834"/>
    <w:rsid w:val="000D5BB6"/>
    <w:rsid w:val="000D67D2"/>
    <w:rsid w:val="000D7320"/>
    <w:rsid w:val="000E38AA"/>
    <w:rsid w:val="000E410F"/>
    <w:rsid w:val="000E6A1A"/>
    <w:rsid w:val="000F1124"/>
    <w:rsid w:val="000F73BB"/>
    <w:rsid w:val="00100962"/>
    <w:rsid w:val="00102DE8"/>
    <w:rsid w:val="00103B7F"/>
    <w:rsid w:val="00105959"/>
    <w:rsid w:val="001070B0"/>
    <w:rsid w:val="001104A8"/>
    <w:rsid w:val="00111969"/>
    <w:rsid w:val="00112CD9"/>
    <w:rsid w:val="00115487"/>
    <w:rsid w:val="00115D8C"/>
    <w:rsid w:val="001169BA"/>
    <w:rsid w:val="001174CD"/>
    <w:rsid w:val="00121B24"/>
    <w:rsid w:val="00122236"/>
    <w:rsid w:val="001222BD"/>
    <w:rsid w:val="0012643D"/>
    <w:rsid w:val="00127E5F"/>
    <w:rsid w:val="001305AC"/>
    <w:rsid w:val="001320BA"/>
    <w:rsid w:val="00133300"/>
    <w:rsid w:val="00133640"/>
    <w:rsid w:val="00136AF2"/>
    <w:rsid w:val="00141D43"/>
    <w:rsid w:val="00142C22"/>
    <w:rsid w:val="001456A2"/>
    <w:rsid w:val="00147247"/>
    <w:rsid w:val="001529C3"/>
    <w:rsid w:val="0015361A"/>
    <w:rsid w:val="001543FF"/>
    <w:rsid w:val="00154CFC"/>
    <w:rsid w:val="00155454"/>
    <w:rsid w:val="0016233F"/>
    <w:rsid w:val="00165DC3"/>
    <w:rsid w:val="00170579"/>
    <w:rsid w:val="00170B6A"/>
    <w:rsid w:val="00171878"/>
    <w:rsid w:val="00173F08"/>
    <w:rsid w:val="00174BFB"/>
    <w:rsid w:val="001765FC"/>
    <w:rsid w:val="00176DCB"/>
    <w:rsid w:val="001772B0"/>
    <w:rsid w:val="001817CC"/>
    <w:rsid w:val="001835B8"/>
    <w:rsid w:val="001870C1"/>
    <w:rsid w:val="001926DE"/>
    <w:rsid w:val="00193611"/>
    <w:rsid w:val="001961DB"/>
    <w:rsid w:val="001A5C97"/>
    <w:rsid w:val="001A771E"/>
    <w:rsid w:val="001B0195"/>
    <w:rsid w:val="001B1D34"/>
    <w:rsid w:val="001B1DF5"/>
    <w:rsid w:val="001B34C7"/>
    <w:rsid w:val="001B3E8B"/>
    <w:rsid w:val="001B445C"/>
    <w:rsid w:val="001B79AC"/>
    <w:rsid w:val="001C0483"/>
    <w:rsid w:val="001C2EAE"/>
    <w:rsid w:val="001C4B23"/>
    <w:rsid w:val="001C6DC2"/>
    <w:rsid w:val="001D4213"/>
    <w:rsid w:val="001D43BB"/>
    <w:rsid w:val="001D66ED"/>
    <w:rsid w:val="001D7408"/>
    <w:rsid w:val="001E1C86"/>
    <w:rsid w:val="001E2AE8"/>
    <w:rsid w:val="001E4456"/>
    <w:rsid w:val="001E46DB"/>
    <w:rsid w:val="001E5D2C"/>
    <w:rsid w:val="001E6BC3"/>
    <w:rsid w:val="001E74AF"/>
    <w:rsid w:val="001F27A0"/>
    <w:rsid w:val="001F3715"/>
    <w:rsid w:val="001F42FE"/>
    <w:rsid w:val="001F4B40"/>
    <w:rsid w:val="001F65FD"/>
    <w:rsid w:val="001F7E31"/>
    <w:rsid w:val="0020154A"/>
    <w:rsid w:val="00202E67"/>
    <w:rsid w:val="00203FF5"/>
    <w:rsid w:val="002041CF"/>
    <w:rsid w:val="002046EC"/>
    <w:rsid w:val="002076ED"/>
    <w:rsid w:val="002077CB"/>
    <w:rsid w:val="002106EC"/>
    <w:rsid w:val="002128CD"/>
    <w:rsid w:val="00215192"/>
    <w:rsid w:val="00217F36"/>
    <w:rsid w:val="0022187C"/>
    <w:rsid w:val="00222688"/>
    <w:rsid w:val="00225A6A"/>
    <w:rsid w:val="00225FC1"/>
    <w:rsid w:val="0022794E"/>
    <w:rsid w:val="00236CD2"/>
    <w:rsid w:val="0024164F"/>
    <w:rsid w:val="00241B66"/>
    <w:rsid w:val="002433E4"/>
    <w:rsid w:val="00243A85"/>
    <w:rsid w:val="0024533A"/>
    <w:rsid w:val="0024549E"/>
    <w:rsid w:val="00246080"/>
    <w:rsid w:val="00246DD2"/>
    <w:rsid w:val="0024756E"/>
    <w:rsid w:val="00253C2D"/>
    <w:rsid w:val="00257C04"/>
    <w:rsid w:val="002648A5"/>
    <w:rsid w:val="00267D06"/>
    <w:rsid w:val="00271053"/>
    <w:rsid w:val="00271492"/>
    <w:rsid w:val="00271DC6"/>
    <w:rsid w:val="00271EAD"/>
    <w:rsid w:val="002730EA"/>
    <w:rsid w:val="0027453D"/>
    <w:rsid w:val="002747B8"/>
    <w:rsid w:val="00277CD1"/>
    <w:rsid w:val="00280E7A"/>
    <w:rsid w:val="00281B5F"/>
    <w:rsid w:val="00281E3D"/>
    <w:rsid w:val="00281F6E"/>
    <w:rsid w:val="00287636"/>
    <w:rsid w:val="002904D7"/>
    <w:rsid w:val="0029381B"/>
    <w:rsid w:val="00293F31"/>
    <w:rsid w:val="00294774"/>
    <w:rsid w:val="002949CB"/>
    <w:rsid w:val="002978EF"/>
    <w:rsid w:val="002A0A29"/>
    <w:rsid w:val="002A0C6E"/>
    <w:rsid w:val="002A2DC8"/>
    <w:rsid w:val="002B082C"/>
    <w:rsid w:val="002B2A22"/>
    <w:rsid w:val="002B571B"/>
    <w:rsid w:val="002B69A7"/>
    <w:rsid w:val="002B6A2C"/>
    <w:rsid w:val="002B6D4F"/>
    <w:rsid w:val="002C00FA"/>
    <w:rsid w:val="002C2200"/>
    <w:rsid w:val="002C4C8A"/>
    <w:rsid w:val="002C5008"/>
    <w:rsid w:val="002C60EF"/>
    <w:rsid w:val="002C6D36"/>
    <w:rsid w:val="002C7259"/>
    <w:rsid w:val="002D2A6A"/>
    <w:rsid w:val="002D33B3"/>
    <w:rsid w:val="002D7695"/>
    <w:rsid w:val="002E106E"/>
    <w:rsid w:val="002E20C8"/>
    <w:rsid w:val="002E43EB"/>
    <w:rsid w:val="002E510C"/>
    <w:rsid w:val="002E752B"/>
    <w:rsid w:val="002F0AB7"/>
    <w:rsid w:val="002F0D20"/>
    <w:rsid w:val="002F1756"/>
    <w:rsid w:val="002F1ED7"/>
    <w:rsid w:val="002F56C9"/>
    <w:rsid w:val="002F5A28"/>
    <w:rsid w:val="002F6054"/>
    <w:rsid w:val="002F60EE"/>
    <w:rsid w:val="002F6FB5"/>
    <w:rsid w:val="003047B3"/>
    <w:rsid w:val="00306563"/>
    <w:rsid w:val="00311ADA"/>
    <w:rsid w:val="00313CFB"/>
    <w:rsid w:val="00313DE8"/>
    <w:rsid w:val="00315E00"/>
    <w:rsid w:val="003200B2"/>
    <w:rsid w:val="00320E26"/>
    <w:rsid w:val="0032410B"/>
    <w:rsid w:val="00324A12"/>
    <w:rsid w:val="003254CB"/>
    <w:rsid w:val="00327933"/>
    <w:rsid w:val="00331C03"/>
    <w:rsid w:val="003322E0"/>
    <w:rsid w:val="003335B9"/>
    <w:rsid w:val="00335FE0"/>
    <w:rsid w:val="0033662B"/>
    <w:rsid w:val="00340A26"/>
    <w:rsid w:val="00341747"/>
    <w:rsid w:val="0034358B"/>
    <w:rsid w:val="003448E2"/>
    <w:rsid w:val="00344EF3"/>
    <w:rsid w:val="00344FA1"/>
    <w:rsid w:val="00345729"/>
    <w:rsid w:val="00347E67"/>
    <w:rsid w:val="00351ED5"/>
    <w:rsid w:val="00352B90"/>
    <w:rsid w:val="003531DD"/>
    <w:rsid w:val="00353909"/>
    <w:rsid w:val="00360139"/>
    <w:rsid w:val="003625AC"/>
    <w:rsid w:val="00362C77"/>
    <w:rsid w:val="003632B8"/>
    <w:rsid w:val="00366724"/>
    <w:rsid w:val="00367475"/>
    <w:rsid w:val="00372343"/>
    <w:rsid w:val="0037238F"/>
    <w:rsid w:val="00372DB8"/>
    <w:rsid w:val="00373A97"/>
    <w:rsid w:val="00374E46"/>
    <w:rsid w:val="00381C0B"/>
    <w:rsid w:val="00390575"/>
    <w:rsid w:val="003920A7"/>
    <w:rsid w:val="00393D1C"/>
    <w:rsid w:val="00394615"/>
    <w:rsid w:val="00396AF3"/>
    <w:rsid w:val="00396BAD"/>
    <w:rsid w:val="00396CE6"/>
    <w:rsid w:val="003A0D8D"/>
    <w:rsid w:val="003A1A7C"/>
    <w:rsid w:val="003A326C"/>
    <w:rsid w:val="003B1AA3"/>
    <w:rsid w:val="003B2FB3"/>
    <w:rsid w:val="003B3DC2"/>
    <w:rsid w:val="003B6109"/>
    <w:rsid w:val="003B70ED"/>
    <w:rsid w:val="003C1399"/>
    <w:rsid w:val="003D50F6"/>
    <w:rsid w:val="003D5704"/>
    <w:rsid w:val="003D5BBF"/>
    <w:rsid w:val="003D607E"/>
    <w:rsid w:val="003D70E6"/>
    <w:rsid w:val="003E0399"/>
    <w:rsid w:val="003E5BFC"/>
    <w:rsid w:val="003F442C"/>
    <w:rsid w:val="003F53B9"/>
    <w:rsid w:val="003F7BD3"/>
    <w:rsid w:val="003F7FC0"/>
    <w:rsid w:val="00400416"/>
    <w:rsid w:val="0040156A"/>
    <w:rsid w:val="00405182"/>
    <w:rsid w:val="00407073"/>
    <w:rsid w:val="00407DD6"/>
    <w:rsid w:val="00410E35"/>
    <w:rsid w:val="00415B44"/>
    <w:rsid w:val="00415BDC"/>
    <w:rsid w:val="004212D7"/>
    <w:rsid w:val="004221A0"/>
    <w:rsid w:val="004227B2"/>
    <w:rsid w:val="00422A1D"/>
    <w:rsid w:val="004238D8"/>
    <w:rsid w:val="00423F59"/>
    <w:rsid w:val="0042641C"/>
    <w:rsid w:val="004268B6"/>
    <w:rsid w:val="00430340"/>
    <w:rsid w:val="00431D86"/>
    <w:rsid w:val="00433146"/>
    <w:rsid w:val="00435197"/>
    <w:rsid w:val="0043548C"/>
    <w:rsid w:val="00435FBA"/>
    <w:rsid w:val="0043666E"/>
    <w:rsid w:val="00441768"/>
    <w:rsid w:val="00444DDA"/>
    <w:rsid w:val="004461AA"/>
    <w:rsid w:val="004465ED"/>
    <w:rsid w:val="00452372"/>
    <w:rsid w:val="0045395A"/>
    <w:rsid w:val="00454780"/>
    <w:rsid w:val="0045634D"/>
    <w:rsid w:val="00457419"/>
    <w:rsid w:val="00464445"/>
    <w:rsid w:val="00464744"/>
    <w:rsid w:val="00465B4B"/>
    <w:rsid w:val="00473214"/>
    <w:rsid w:val="004737E6"/>
    <w:rsid w:val="00473FC8"/>
    <w:rsid w:val="00476518"/>
    <w:rsid w:val="004819D0"/>
    <w:rsid w:val="004857C6"/>
    <w:rsid w:val="00486184"/>
    <w:rsid w:val="00490413"/>
    <w:rsid w:val="00490CE9"/>
    <w:rsid w:val="00491E35"/>
    <w:rsid w:val="00492397"/>
    <w:rsid w:val="004971AB"/>
    <w:rsid w:val="004A16A5"/>
    <w:rsid w:val="004A2B65"/>
    <w:rsid w:val="004B1D19"/>
    <w:rsid w:val="004B2CC2"/>
    <w:rsid w:val="004C4D38"/>
    <w:rsid w:val="004C7B6B"/>
    <w:rsid w:val="004D04ED"/>
    <w:rsid w:val="004D1502"/>
    <w:rsid w:val="004D36C1"/>
    <w:rsid w:val="004D6E44"/>
    <w:rsid w:val="004E4F42"/>
    <w:rsid w:val="004E5F5E"/>
    <w:rsid w:val="004F2917"/>
    <w:rsid w:val="004F53AD"/>
    <w:rsid w:val="004F6A54"/>
    <w:rsid w:val="004F75CD"/>
    <w:rsid w:val="004F7F82"/>
    <w:rsid w:val="00500AA3"/>
    <w:rsid w:val="0050188F"/>
    <w:rsid w:val="00501F00"/>
    <w:rsid w:val="00501F33"/>
    <w:rsid w:val="00502B88"/>
    <w:rsid w:val="005031C5"/>
    <w:rsid w:val="00504C19"/>
    <w:rsid w:val="0050557D"/>
    <w:rsid w:val="005068C7"/>
    <w:rsid w:val="00510CB3"/>
    <w:rsid w:val="00511351"/>
    <w:rsid w:val="00511D68"/>
    <w:rsid w:val="00512365"/>
    <w:rsid w:val="0051251D"/>
    <w:rsid w:val="005128B6"/>
    <w:rsid w:val="00516634"/>
    <w:rsid w:val="00516A51"/>
    <w:rsid w:val="00517C02"/>
    <w:rsid w:val="0052173A"/>
    <w:rsid w:val="00524D6F"/>
    <w:rsid w:val="005267E5"/>
    <w:rsid w:val="00526851"/>
    <w:rsid w:val="00526EF0"/>
    <w:rsid w:val="0052784E"/>
    <w:rsid w:val="00532BC2"/>
    <w:rsid w:val="00537D94"/>
    <w:rsid w:val="00540F11"/>
    <w:rsid w:val="005425E0"/>
    <w:rsid w:val="005439C6"/>
    <w:rsid w:val="0054412F"/>
    <w:rsid w:val="0054548B"/>
    <w:rsid w:val="00545FB1"/>
    <w:rsid w:val="0054639B"/>
    <w:rsid w:val="00551718"/>
    <w:rsid w:val="00553A41"/>
    <w:rsid w:val="005551B4"/>
    <w:rsid w:val="00566A2F"/>
    <w:rsid w:val="00567282"/>
    <w:rsid w:val="00572047"/>
    <w:rsid w:val="005720E9"/>
    <w:rsid w:val="00572C3F"/>
    <w:rsid w:val="00572D40"/>
    <w:rsid w:val="0057719E"/>
    <w:rsid w:val="005800B6"/>
    <w:rsid w:val="00581964"/>
    <w:rsid w:val="005827E1"/>
    <w:rsid w:val="00582BF0"/>
    <w:rsid w:val="0058630D"/>
    <w:rsid w:val="00592946"/>
    <w:rsid w:val="00593173"/>
    <w:rsid w:val="00594F7D"/>
    <w:rsid w:val="00597207"/>
    <w:rsid w:val="005A0D1A"/>
    <w:rsid w:val="005A1E3A"/>
    <w:rsid w:val="005A5DA4"/>
    <w:rsid w:val="005A735B"/>
    <w:rsid w:val="005A7877"/>
    <w:rsid w:val="005B1967"/>
    <w:rsid w:val="005B40FD"/>
    <w:rsid w:val="005B4E77"/>
    <w:rsid w:val="005B51E2"/>
    <w:rsid w:val="005B5679"/>
    <w:rsid w:val="005B704A"/>
    <w:rsid w:val="005B7498"/>
    <w:rsid w:val="005C4ED3"/>
    <w:rsid w:val="005D12B4"/>
    <w:rsid w:val="005D2A07"/>
    <w:rsid w:val="005D3924"/>
    <w:rsid w:val="005D570E"/>
    <w:rsid w:val="005D5EF0"/>
    <w:rsid w:val="005D61EC"/>
    <w:rsid w:val="005D645D"/>
    <w:rsid w:val="005E0786"/>
    <w:rsid w:val="005E2C59"/>
    <w:rsid w:val="005E4AA8"/>
    <w:rsid w:val="005E5B12"/>
    <w:rsid w:val="005E731B"/>
    <w:rsid w:val="005E7E3D"/>
    <w:rsid w:val="005F478E"/>
    <w:rsid w:val="005F4C88"/>
    <w:rsid w:val="005F5BA8"/>
    <w:rsid w:val="005F6E6F"/>
    <w:rsid w:val="005F6F3B"/>
    <w:rsid w:val="0060178C"/>
    <w:rsid w:val="00602ACE"/>
    <w:rsid w:val="00603E07"/>
    <w:rsid w:val="0060563E"/>
    <w:rsid w:val="006067C2"/>
    <w:rsid w:val="00611BE5"/>
    <w:rsid w:val="00615002"/>
    <w:rsid w:val="00617F7E"/>
    <w:rsid w:val="0062280C"/>
    <w:rsid w:val="00623415"/>
    <w:rsid w:val="00627B86"/>
    <w:rsid w:val="00631303"/>
    <w:rsid w:val="00633990"/>
    <w:rsid w:val="006343CA"/>
    <w:rsid w:val="00634788"/>
    <w:rsid w:val="00635D3C"/>
    <w:rsid w:val="006363AA"/>
    <w:rsid w:val="00640797"/>
    <w:rsid w:val="00641F6D"/>
    <w:rsid w:val="006425E0"/>
    <w:rsid w:val="006508F5"/>
    <w:rsid w:val="006523C5"/>
    <w:rsid w:val="00652A6C"/>
    <w:rsid w:val="00652AFD"/>
    <w:rsid w:val="00660A7E"/>
    <w:rsid w:val="00660EF0"/>
    <w:rsid w:val="006657B3"/>
    <w:rsid w:val="006667BB"/>
    <w:rsid w:val="00672128"/>
    <w:rsid w:val="0067404A"/>
    <w:rsid w:val="006768F7"/>
    <w:rsid w:val="00676C77"/>
    <w:rsid w:val="00677188"/>
    <w:rsid w:val="00677ADC"/>
    <w:rsid w:val="006841F6"/>
    <w:rsid w:val="00684616"/>
    <w:rsid w:val="00685E33"/>
    <w:rsid w:val="00691AE0"/>
    <w:rsid w:val="006927F5"/>
    <w:rsid w:val="00694D29"/>
    <w:rsid w:val="006A0855"/>
    <w:rsid w:val="006A0BDA"/>
    <w:rsid w:val="006A0C91"/>
    <w:rsid w:val="006A1A92"/>
    <w:rsid w:val="006A22B7"/>
    <w:rsid w:val="006A2EA1"/>
    <w:rsid w:val="006A3E24"/>
    <w:rsid w:val="006B01F5"/>
    <w:rsid w:val="006B4544"/>
    <w:rsid w:val="006B5B67"/>
    <w:rsid w:val="006B5E6D"/>
    <w:rsid w:val="006B606F"/>
    <w:rsid w:val="006B7269"/>
    <w:rsid w:val="006B7F22"/>
    <w:rsid w:val="006C12DB"/>
    <w:rsid w:val="006C3494"/>
    <w:rsid w:val="006C64AE"/>
    <w:rsid w:val="006C7A04"/>
    <w:rsid w:val="006D1D96"/>
    <w:rsid w:val="006D7E73"/>
    <w:rsid w:val="006E2ECA"/>
    <w:rsid w:val="006E2EE7"/>
    <w:rsid w:val="006E4A7D"/>
    <w:rsid w:val="006E508D"/>
    <w:rsid w:val="006E5EC3"/>
    <w:rsid w:val="006E6814"/>
    <w:rsid w:val="006F0C44"/>
    <w:rsid w:val="006F122E"/>
    <w:rsid w:val="006F186A"/>
    <w:rsid w:val="006F2BE4"/>
    <w:rsid w:val="006F346A"/>
    <w:rsid w:val="006F373D"/>
    <w:rsid w:val="006F5A45"/>
    <w:rsid w:val="006F6EF7"/>
    <w:rsid w:val="006F7050"/>
    <w:rsid w:val="0070040C"/>
    <w:rsid w:val="00701BC3"/>
    <w:rsid w:val="0070326B"/>
    <w:rsid w:val="00704247"/>
    <w:rsid w:val="00711ACD"/>
    <w:rsid w:val="00712857"/>
    <w:rsid w:val="007132C6"/>
    <w:rsid w:val="007172FD"/>
    <w:rsid w:val="00717738"/>
    <w:rsid w:val="007262A4"/>
    <w:rsid w:val="00730255"/>
    <w:rsid w:val="00732ED0"/>
    <w:rsid w:val="00733A00"/>
    <w:rsid w:val="0074232F"/>
    <w:rsid w:val="007437F7"/>
    <w:rsid w:val="00744DAE"/>
    <w:rsid w:val="00745245"/>
    <w:rsid w:val="00747E09"/>
    <w:rsid w:val="007520B9"/>
    <w:rsid w:val="00753C4B"/>
    <w:rsid w:val="00754E9A"/>
    <w:rsid w:val="00755540"/>
    <w:rsid w:val="007612B9"/>
    <w:rsid w:val="00762099"/>
    <w:rsid w:val="00762426"/>
    <w:rsid w:val="00762607"/>
    <w:rsid w:val="00765CB5"/>
    <w:rsid w:val="00767A43"/>
    <w:rsid w:val="0077040C"/>
    <w:rsid w:val="0077084A"/>
    <w:rsid w:val="00771126"/>
    <w:rsid w:val="00773076"/>
    <w:rsid w:val="00774BFB"/>
    <w:rsid w:val="0077605D"/>
    <w:rsid w:val="007802A3"/>
    <w:rsid w:val="007824BA"/>
    <w:rsid w:val="00783714"/>
    <w:rsid w:val="007839F3"/>
    <w:rsid w:val="007853FA"/>
    <w:rsid w:val="00785B24"/>
    <w:rsid w:val="00787682"/>
    <w:rsid w:val="00790E4E"/>
    <w:rsid w:val="007935E5"/>
    <w:rsid w:val="00793757"/>
    <w:rsid w:val="00794FDF"/>
    <w:rsid w:val="007970B7"/>
    <w:rsid w:val="007971E5"/>
    <w:rsid w:val="007A59B0"/>
    <w:rsid w:val="007A5C66"/>
    <w:rsid w:val="007A74C0"/>
    <w:rsid w:val="007A75E9"/>
    <w:rsid w:val="007B5369"/>
    <w:rsid w:val="007B6446"/>
    <w:rsid w:val="007B6C56"/>
    <w:rsid w:val="007C0D68"/>
    <w:rsid w:val="007C3F4C"/>
    <w:rsid w:val="007C5988"/>
    <w:rsid w:val="007C672A"/>
    <w:rsid w:val="007C6862"/>
    <w:rsid w:val="007D21C7"/>
    <w:rsid w:val="007D3754"/>
    <w:rsid w:val="007E0097"/>
    <w:rsid w:val="007E011D"/>
    <w:rsid w:val="007E3261"/>
    <w:rsid w:val="007E3D26"/>
    <w:rsid w:val="007E5997"/>
    <w:rsid w:val="007F0744"/>
    <w:rsid w:val="007F0822"/>
    <w:rsid w:val="007F1E7D"/>
    <w:rsid w:val="007F3EA6"/>
    <w:rsid w:val="007F4EC3"/>
    <w:rsid w:val="007F6448"/>
    <w:rsid w:val="007F7AD6"/>
    <w:rsid w:val="0080050E"/>
    <w:rsid w:val="00802306"/>
    <w:rsid w:val="00802856"/>
    <w:rsid w:val="00806C45"/>
    <w:rsid w:val="008107B1"/>
    <w:rsid w:val="0081088B"/>
    <w:rsid w:val="00810FB0"/>
    <w:rsid w:val="00812138"/>
    <w:rsid w:val="00812A3C"/>
    <w:rsid w:val="00816E31"/>
    <w:rsid w:val="008173BC"/>
    <w:rsid w:val="008174B4"/>
    <w:rsid w:val="00817919"/>
    <w:rsid w:val="00817C46"/>
    <w:rsid w:val="00821FBB"/>
    <w:rsid w:val="00822A52"/>
    <w:rsid w:val="0083316F"/>
    <w:rsid w:val="008349B4"/>
    <w:rsid w:val="008402A6"/>
    <w:rsid w:val="0084096B"/>
    <w:rsid w:val="00840A81"/>
    <w:rsid w:val="008423E0"/>
    <w:rsid w:val="0084679D"/>
    <w:rsid w:val="00850120"/>
    <w:rsid w:val="00850AF7"/>
    <w:rsid w:val="008527D9"/>
    <w:rsid w:val="00853106"/>
    <w:rsid w:val="00854698"/>
    <w:rsid w:val="008547EF"/>
    <w:rsid w:val="008554FD"/>
    <w:rsid w:val="008565BA"/>
    <w:rsid w:val="008601A3"/>
    <w:rsid w:val="00860F2C"/>
    <w:rsid w:val="00860F95"/>
    <w:rsid w:val="008666C7"/>
    <w:rsid w:val="008676F4"/>
    <w:rsid w:val="00873B63"/>
    <w:rsid w:val="00876D08"/>
    <w:rsid w:val="008777A7"/>
    <w:rsid w:val="0088141B"/>
    <w:rsid w:val="008832F1"/>
    <w:rsid w:val="008837E1"/>
    <w:rsid w:val="008844BB"/>
    <w:rsid w:val="00885DD8"/>
    <w:rsid w:val="00890AB2"/>
    <w:rsid w:val="00890ABC"/>
    <w:rsid w:val="008917CB"/>
    <w:rsid w:val="008945AA"/>
    <w:rsid w:val="00894DAD"/>
    <w:rsid w:val="008A1E92"/>
    <w:rsid w:val="008A4B3D"/>
    <w:rsid w:val="008B0DA2"/>
    <w:rsid w:val="008B389D"/>
    <w:rsid w:val="008B3CC5"/>
    <w:rsid w:val="008B6705"/>
    <w:rsid w:val="008B6B7B"/>
    <w:rsid w:val="008C1F39"/>
    <w:rsid w:val="008C30CE"/>
    <w:rsid w:val="008C478F"/>
    <w:rsid w:val="008C61AF"/>
    <w:rsid w:val="008C66E3"/>
    <w:rsid w:val="008C7EC7"/>
    <w:rsid w:val="008D24B7"/>
    <w:rsid w:val="008D585C"/>
    <w:rsid w:val="008D6AE0"/>
    <w:rsid w:val="008D7042"/>
    <w:rsid w:val="008E17A3"/>
    <w:rsid w:val="008E19F0"/>
    <w:rsid w:val="008E3F76"/>
    <w:rsid w:val="008E6BB5"/>
    <w:rsid w:val="008F075C"/>
    <w:rsid w:val="008F6695"/>
    <w:rsid w:val="008F73A5"/>
    <w:rsid w:val="00904F96"/>
    <w:rsid w:val="00910037"/>
    <w:rsid w:val="009112F3"/>
    <w:rsid w:val="009222A2"/>
    <w:rsid w:val="00924D4A"/>
    <w:rsid w:val="00925DC6"/>
    <w:rsid w:val="009268D4"/>
    <w:rsid w:val="00932FE7"/>
    <w:rsid w:val="00933664"/>
    <w:rsid w:val="00934FB3"/>
    <w:rsid w:val="009379CF"/>
    <w:rsid w:val="00940F0C"/>
    <w:rsid w:val="00953EE7"/>
    <w:rsid w:val="009561C5"/>
    <w:rsid w:val="00956F19"/>
    <w:rsid w:val="0096038B"/>
    <w:rsid w:val="009622B9"/>
    <w:rsid w:val="0096250A"/>
    <w:rsid w:val="00964084"/>
    <w:rsid w:val="00966FCE"/>
    <w:rsid w:val="00972FC3"/>
    <w:rsid w:val="00974040"/>
    <w:rsid w:val="00974431"/>
    <w:rsid w:val="0097518E"/>
    <w:rsid w:val="00975470"/>
    <w:rsid w:val="00975B07"/>
    <w:rsid w:val="00976F55"/>
    <w:rsid w:val="009800C7"/>
    <w:rsid w:val="0098364E"/>
    <w:rsid w:val="00985B14"/>
    <w:rsid w:val="009879AC"/>
    <w:rsid w:val="00987EC3"/>
    <w:rsid w:val="00992705"/>
    <w:rsid w:val="009928BC"/>
    <w:rsid w:val="00994590"/>
    <w:rsid w:val="00995D07"/>
    <w:rsid w:val="009971C0"/>
    <w:rsid w:val="0099772D"/>
    <w:rsid w:val="00997803"/>
    <w:rsid w:val="00997987"/>
    <w:rsid w:val="009A1B96"/>
    <w:rsid w:val="009A2201"/>
    <w:rsid w:val="009A45D5"/>
    <w:rsid w:val="009A5067"/>
    <w:rsid w:val="009A546E"/>
    <w:rsid w:val="009A7025"/>
    <w:rsid w:val="009A7AC2"/>
    <w:rsid w:val="009B0B7F"/>
    <w:rsid w:val="009B217A"/>
    <w:rsid w:val="009B27F9"/>
    <w:rsid w:val="009B5596"/>
    <w:rsid w:val="009C1F23"/>
    <w:rsid w:val="009C3942"/>
    <w:rsid w:val="009C3A70"/>
    <w:rsid w:val="009C4242"/>
    <w:rsid w:val="009C6A86"/>
    <w:rsid w:val="009D0F8F"/>
    <w:rsid w:val="009D382A"/>
    <w:rsid w:val="009D5429"/>
    <w:rsid w:val="009E0A99"/>
    <w:rsid w:val="009E288D"/>
    <w:rsid w:val="009E3BA5"/>
    <w:rsid w:val="009E6700"/>
    <w:rsid w:val="009F12B7"/>
    <w:rsid w:val="009F2AA0"/>
    <w:rsid w:val="009F2F4E"/>
    <w:rsid w:val="00A0155F"/>
    <w:rsid w:val="00A01F30"/>
    <w:rsid w:val="00A02987"/>
    <w:rsid w:val="00A04371"/>
    <w:rsid w:val="00A04537"/>
    <w:rsid w:val="00A0488C"/>
    <w:rsid w:val="00A0731C"/>
    <w:rsid w:val="00A1193C"/>
    <w:rsid w:val="00A12865"/>
    <w:rsid w:val="00A14006"/>
    <w:rsid w:val="00A143DE"/>
    <w:rsid w:val="00A14D54"/>
    <w:rsid w:val="00A17265"/>
    <w:rsid w:val="00A218C1"/>
    <w:rsid w:val="00A22DD0"/>
    <w:rsid w:val="00A23972"/>
    <w:rsid w:val="00A26724"/>
    <w:rsid w:val="00A277CF"/>
    <w:rsid w:val="00A33374"/>
    <w:rsid w:val="00A33F6A"/>
    <w:rsid w:val="00A345CA"/>
    <w:rsid w:val="00A349CE"/>
    <w:rsid w:val="00A372FD"/>
    <w:rsid w:val="00A37748"/>
    <w:rsid w:val="00A37E8E"/>
    <w:rsid w:val="00A42E5C"/>
    <w:rsid w:val="00A45A43"/>
    <w:rsid w:val="00A51061"/>
    <w:rsid w:val="00A51190"/>
    <w:rsid w:val="00A5139B"/>
    <w:rsid w:val="00A51BFC"/>
    <w:rsid w:val="00A535B5"/>
    <w:rsid w:val="00A5435D"/>
    <w:rsid w:val="00A5780D"/>
    <w:rsid w:val="00A65DBE"/>
    <w:rsid w:val="00A662DE"/>
    <w:rsid w:val="00A664EE"/>
    <w:rsid w:val="00A66BD8"/>
    <w:rsid w:val="00A66BDA"/>
    <w:rsid w:val="00A70379"/>
    <w:rsid w:val="00A71F0C"/>
    <w:rsid w:val="00A72751"/>
    <w:rsid w:val="00A74548"/>
    <w:rsid w:val="00A772B0"/>
    <w:rsid w:val="00A7773D"/>
    <w:rsid w:val="00A831BA"/>
    <w:rsid w:val="00A83E23"/>
    <w:rsid w:val="00A9020C"/>
    <w:rsid w:val="00A91E2D"/>
    <w:rsid w:val="00A93647"/>
    <w:rsid w:val="00A941F6"/>
    <w:rsid w:val="00A97B65"/>
    <w:rsid w:val="00AA036E"/>
    <w:rsid w:val="00AA3DCD"/>
    <w:rsid w:val="00AA582E"/>
    <w:rsid w:val="00AA74D3"/>
    <w:rsid w:val="00AA77AC"/>
    <w:rsid w:val="00AB0914"/>
    <w:rsid w:val="00AB4694"/>
    <w:rsid w:val="00AB576F"/>
    <w:rsid w:val="00AB5D04"/>
    <w:rsid w:val="00AB64D7"/>
    <w:rsid w:val="00AC03C9"/>
    <w:rsid w:val="00AC0476"/>
    <w:rsid w:val="00AC04FF"/>
    <w:rsid w:val="00AC0D94"/>
    <w:rsid w:val="00AC31CE"/>
    <w:rsid w:val="00AC34A1"/>
    <w:rsid w:val="00AC75E9"/>
    <w:rsid w:val="00AC797E"/>
    <w:rsid w:val="00AD3EA5"/>
    <w:rsid w:val="00AD7B1F"/>
    <w:rsid w:val="00AE3CA3"/>
    <w:rsid w:val="00AE3EC8"/>
    <w:rsid w:val="00AE6A38"/>
    <w:rsid w:val="00AF0637"/>
    <w:rsid w:val="00AF224C"/>
    <w:rsid w:val="00AF3DAE"/>
    <w:rsid w:val="00AF417C"/>
    <w:rsid w:val="00AF4C14"/>
    <w:rsid w:val="00AF5295"/>
    <w:rsid w:val="00AF5B50"/>
    <w:rsid w:val="00AF5E6A"/>
    <w:rsid w:val="00AF5EEC"/>
    <w:rsid w:val="00AF6616"/>
    <w:rsid w:val="00B0321E"/>
    <w:rsid w:val="00B044A5"/>
    <w:rsid w:val="00B04CE9"/>
    <w:rsid w:val="00B04D0D"/>
    <w:rsid w:val="00B077EF"/>
    <w:rsid w:val="00B079FB"/>
    <w:rsid w:val="00B107D5"/>
    <w:rsid w:val="00B13F44"/>
    <w:rsid w:val="00B16D6E"/>
    <w:rsid w:val="00B209E3"/>
    <w:rsid w:val="00B21787"/>
    <w:rsid w:val="00B21892"/>
    <w:rsid w:val="00B21C8B"/>
    <w:rsid w:val="00B23CB0"/>
    <w:rsid w:val="00B248BB"/>
    <w:rsid w:val="00B25B3D"/>
    <w:rsid w:val="00B2674E"/>
    <w:rsid w:val="00B343CF"/>
    <w:rsid w:val="00B34D89"/>
    <w:rsid w:val="00B354BC"/>
    <w:rsid w:val="00B36A2A"/>
    <w:rsid w:val="00B37B4D"/>
    <w:rsid w:val="00B40A21"/>
    <w:rsid w:val="00B40D11"/>
    <w:rsid w:val="00B41057"/>
    <w:rsid w:val="00B4314C"/>
    <w:rsid w:val="00B45AC4"/>
    <w:rsid w:val="00B465A7"/>
    <w:rsid w:val="00B51F32"/>
    <w:rsid w:val="00B54B17"/>
    <w:rsid w:val="00B638D9"/>
    <w:rsid w:val="00B65A6B"/>
    <w:rsid w:val="00B65B2E"/>
    <w:rsid w:val="00B67920"/>
    <w:rsid w:val="00B7025F"/>
    <w:rsid w:val="00B70FAA"/>
    <w:rsid w:val="00B7126C"/>
    <w:rsid w:val="00B75187"/>
    <w:rsid w:val="00B7735B"/>
    <w:rsid w:val="00B81D44"/>
    <w:rsid w:val="00B85A24"/>
    <w:rsid w:val="00B872ED"/>
    <w:rsid w:val="00B87C79"/>
    <w:rsid w:val="00B91213"/>
    <w:rsid w:val="00B91315"/>
    <w:rsid w:val="00B92681"/>
    <w:rsid w:val="00B92C3B"/>
    <w:rsid w:val="00B9338E"/>
    <w:rsid w:val="00B94B34"/>
    <w:rsid w:val="00B953FD"/>
    <w:rsid w:val="00BA07CA"/>
    <w:rsid w:val="00BA5064"/>
    <w:rsid w:val="00BA5E50"/>
    <w:rsid w:val="00BA5FA9"/>
    <w:rsid w:val="00BA71ED"/>
    <w:rsid w:val="00BB17DB"/>
    <w:rsid w:val="00BB1849"/>
    <w:rsid w:val="00BB1D03"/>
    <w:rsid w:val="00BB3FE6"/>
    <w:rsid w:val="00BB4B17"/>
    <w:rsid w:val="00BB4C1B"/>
    <w:rsid w:val="00BB762A"/>
    <w:rsid w:val="00BC09F0"/>
    <w:rsid w:val="00BC114B"/>
    <w:rsid w:val="00BC14FB"/>
    <w:rsid w:val="00BC3552"/>
    <w:rsid w:val="00BC3940"/>
    <w:rsid w:val="00BC3E66"/>
    <w:rsid w:val="00BC74F5"/>
    <w:rsid w:val="00BD3CC8"/>
    <w:rsid w:val="00BD439E"/>
    <w:rsid w:val="00BD64CF"/>
    <w:rsid w:val="00BE12B2"/>
    <w:rsid w:val="00BE5E0A"/>
    <w:rsid w:val="00BF0404"/>
    <w:rsid w:val="00BF0CC8"/>
    <w:rsid w:val="00BF19D4"/>
    <w:rsid w:val="00BF3122"/>
    <w:rsid w:val="00BF3708"/>
    <w:rsid w:val="00BF62A1"/>
    <w:rsid w:val="00C01CED"/>
    <w:rsid w:val="00C02066"/>
    <w:rsid w:val="00C039CC"/>
    <w:rsid w:val="00C04205"/>
    <w:rsid w:val="00C04DD8"/>
    <w:rsid w:val="00C05543"/>
    <w:rsid w:val="00C0575D"/>
    <w:rsid w:val="00C067B6"/>
    <w:rsid w:val="00C14223"/>
    <w:rsid w:val="00C146E5"/>
    <w:rsid w:val="00C14B56"/>
    <w:rsid w:val="00C17926"/>
    <w:rsid w:val="00C30A5D"/>
    <w:rsid w:val="00C32D0D"/>
    <w:rsid w:val="00C3326F"/>
    <w:rsid w:val="00C40B94"/>
    <w:rsid w:val="00C430BC"/>
    <w:rsid w:val="00C43D72"/>
    <w:rsid w:val="00C442BD"/>
    <w:rsid w:val="00C4500F"/>
    <w:rsid w:val="00C46BD9"/>
    <w:rsid w:val="00C53550"/>
    <w:rsid w:val="00C5491C"/>
    <w:rsid w:val="00C57A42"/>
    <w:rsid w:val="00C603AF"/>
    <w:rsid w:val="00C61861"/>
    <w:rsid w:val="00C62D35"/>
    <w:rsid w:val="00C6413D"/>
    <w:rsid w:val="00C64A1E"/>
    <w:rsid w:val="00C65A3F"/>
    <w:rsid w:val="00C65DE0"/>
    <w:rsid w:val="00C678F0"/>
    <w:rsid w:val="00C748AB"/>
    <w:rsid w:val="00C74E8B"/>
    <w:rsid w:val="00C75BDC"/>
    <w:rsid w:val="00C8202C"/>
    <w:rsid w:val="00C8273A"/>
    <w:rsid w:val="00C924B8"/>
    <w:rsid w:val="00C940E9"/>
    <w:rsid w:val="00C95BE3"/>
    <w:rsid w:val="00CA0613"/>
    <w:rsid w:val="00CA09A1"/>
    <w:rsid w:val="00CA1589"/>
    <w:rsid w:val="00CA1DA1"/>
    <w:rsid w:val="00CA27E0"/>
    <w:rsid w:val="00CA2B78"/>
    <w:rsid w:val="00CA47EE"/>
    <w:rsid w:val="00CA798C"/>
    <w:rsid w:val="00CB1C63"/>
    <w:rsid w:val="00CB40ED"/>
    <w:rsid w:val="00CB4B5D"/>
    <w:rsid w:val="00CB525E"/>
    <w:rsid w:val="00CB68AE"/>
    <w:rsid w:val="00CB7453"/>
    <w:rsid w:val="00CC0AA6"/>
    <w:rsid w:val="00CC0E1D"/>
    <w:rsid w:val="00CC347A"/>
    <w:rsid w:val="00CC3D03"/>
    <w:rsid w:val="00CC69B2"/>
    <w:rsid w:val="00CC7217"/>
    <w:rsid w:val="00CC7B8D"/>
    <w:rsid w:val="00CD251F"/>
    <w:rsid w:val="00CD4800"/>
    <w:rsid w:val="00CD5E2D"/>
    <w:rsid w:val="00CD6383"/>
    <w:rsid w:val="00CD7E3B"/>
    <w:rsid w:val="00CE2668"/>
    <w:rsid w:val="00CE40C7"/>
    <w:rsid w:val="00CE45CB"/>
    <w:rsid w:val="00CE699D"/>
    <w:rsid w:val="00CE7ABB"/>
    <w:rsid w:val="00CF1672"/>
    <w:rsid w:val="00CF25BF"/>
    <w:rsid w:val="00CF330D"/>
    <w:rsid w:val="00D05157"/>
    <w:rsid w:val="00D17F93"/>
    <w:rsid w:val="00D21A9D"/>
    <w:rsid w:val="00D24F24"/>
    <w:rsid w:val="00D2543F"/>
    <w:rsid w:val="00D3080E"/>
    <w:rsid w:val="00D30979"/>
    <w:rsid w:val="00D30C87"/>
    <w:rsid w:val="00D32032"/>
    <w:rsid w:val="00D3216B"/>
    <w:rsid w:val="00D404A9"/>
    <w:rsid w:val="00D407D3"/>
    <w:rsid w:val="00D417A9"/>
    <w:rsid w:val="00D45280"/>
    <w:rsid w:val="00D46E71"/>
    <w:rsid w:val="00D50925"/>
    <w:rsid w:val="00D5484F"/>
    <w:rsid w:val="00D553FB"/>
    <w:rsid w:val="00D56CB9"/>
    <w:rsid w:val="00D60DD7"/>
    <w:rsid w:val="00D62E13"/>
    <w:rsid w:val="00D66270"/>
    <w:rsid w:val="00D66450"/>
    <w:rsid w:val="00D66696"/>
    <w:rsid w:val="00D712B7"/>
    <w:rsid w:val="00D7343D"/>
    <w:rsid w:val="00D74BBD"/>
    <w:rsid w:val="00D75F38"/>
    <w:rsid w:val="00D76698"/>
    <w:rsid w:val="00D771A8"/>
    <w:rsid w:val="00D82022"/>
    <w:rsid w:val="00D82D19"/>
    <w:rsid w:val="00D837E2"/>
    <w:rsid w:val="00D838BD"/>
    <w:rsid w:val="00D87C69"/>
    <w:rsid w:val="00D87D1F"/>
    <w:rsid w:val="00D93997"/>
    <w:rsid w:val="00DA0204"/>
    <w:rsid w:val="00DA0FF4"/>
    <w:rsid w:val="00DB166D"/>
    <w:rsid w:val="00DB2551"/>
    <w:rsid w:val="00DB31BE"/>
    <w:rsid w:val="00DB3F2E"/>
    <w:rsid w:val="00DB488B"/>
    <w:rsid w:val="00DB5D15"/>
    <w:rsid w:val="00DB668C"/>
    <w:rsid w:val="00DC0AF1"/>
    <w:rsid w:val="00DC103F"/>
    <w:rsid w:val="00DC2AA0"/>
    <w:rsid w:val="00DC498F"/>
    <w:rsid w:val="00DC50B0"/>
    <w:rsid w:val="00DC563A"/>
    <w:rsid w:val="00DC68C9"/>
    <w:rsid w:val="00DD2307"/>
    <w:rsid w:val="00DD79F6"/>
    <w:rsid w:val="00DE3DC6"/>
    <w:rsid w:val="00DE4132"/>
    <w:rsid w:val="00DE4536"/>
    <w:rsid w:val="00DE6316"/>
    <w:rsid w:val="00DF198B"/>
    <w:rsid w:val="00DF2366"/>
    <w:rsid w:val="00DF39E6"/>
    <w:rsid w:val="00DF3AF6"/>
    <w:rsid w:val="00DF59D9"/>
    <w:rsid w:val="00DF6F15"/>
    <w:rsid w:val="00E01E96"/>
    <w:rsid w:val="00E050AB"/>
    <w:rsid w:val="00E12526"/>
    <w:rsid w:val="00E12851"/>
    <w:rsid w:val="00E15BF4"/>
    <w:rsid w:val="00E15C1D"/>
    <w:rsid w:val="00E207F5"/>
    <w:rsid w:val="00E208A2"/>
    <w:rsid w:val="00E21DAE"/>
    <w:rsid w:val="00E21DEC"/>
    <w:rsid w:val="00E224D7"/>
    <w:rsid w:val="00E2533F"/>
    <w:rsid w:val="00E302C5"/>
    <w:rsid w:val="00E312E1"/>
    <w:rsid w:val="00E31970"/>
    <w:rsid w:val="00E35601"/>
    <w:rsid w:val="00E3660E"/>
    <w:rsid w:val="00E41641"/>
    <w:rsid w:val="00E441F5"/>
    <w:rsid w:val="00E467B7"/>
    <w:rsid w:val="00E5066F"/>
    <w:rsid w:val="00E519ED"/>
    <w:rsid w:val="00E57497"/>
    <w:rsid w:val="00E6133C"/>
    <w:rsid w:val="00E67E7D"/>
    <w:rsid w:val="00E73448"/>
    <w:rsid w:val="00E76DD1"/>
    <w:rsid w:val="00E8042D"/>
    <w:rsid w:val="00E80A07"/>
    <w:rsid w:val="00E80CF7"/>
    <w:rsid w:val="00E80E06"/>
    <w:rsid w:val="00E8167E"/>
    <w:rsid w:val="00E82032"/>
    <w:rsid w:val="00E82A99"/>
    <w:rsid w:val="00E836ED"/>
    <w:rsid w:val="00E846B0"/>
    <w:rsid w:val="00E87C93"/>
    <w:rsid w:val="00E87D56"/>
    <w:rsid w:val="00E90B7C"/>
    <w:rsid w:val="00E940F0"/>
    <w:rsid w:val="00E94A00"/>
    <w:rsid w:val="00E96916"/>
    <w:rsid w:val="00EA0CAE"/>
    <w:rsid w:val="00EA3110"/>
    <w:rsid w:val="00EB10A1"/>
    <w:rsid w:val="00EB12D4"/>
    <w:rsid w:val="00EB733B"/>
    <w:rsid w:val="00EC09F7"/>
    <w:rsid w:val="00EC0AFA"/>
    <w:rsid w:val="00EC1610"/>
    <w:rsid w:val="00EC1D54"/>
    <w:rsid w:val="00EC64C3"/>
    <w:rsid w:val="00EC79A2"/>
    <w:rsid w:val="00ED09C9"/>
    <w:rsid w:val="00ED1E18"/>
    <w:rsid w:val="00ED32A9"/>
    <w:rsid w:val="00ED5F42"/>
    <w:rsid w:val="00EE2C03"/>
    <w:rsid w:val="00EE3C3B"/>
    <w:rsid w:val="00EE7909"/>
    <w:rsid w:val="00EE7EB5"/>
    <w:rsid w:val="00EF001E"/>
    <w:rsid w:val="00EF1B05"/>
    <w:rsid w:val="00EF340D"/>
    <w:rsid w:val="00EF62C7"/>
    <w:rsid w:val="00EF6FE1"/>
    <w:rsid w:val="00F03170"/>
    <w:rsid w:val="00F035D2"/>
    <w:rsid w:val="00F03AA6"/>
    <w:rsid w:val="00F063CC"/>
    <w:rsid w:val="00F06856"/>
    <w:rsid w:val="00F2188A"/>
    <w:rsid w:val="00F23A47"/>
    <w:rsid w:val="00F3000F"/>
    <w:rsid w:val="00F31E86"/>
    <w:rsid w:val="00F32EEE"/>
    <w:rsid w:val="00F33D84"/>
    <w:rsid w:val="00F33F08"/>
    <w:rsid w:val="00F34743"/>
    <w:rsid w:val="00F34801"/>
    <w:rsid w:val="00F3790B"/>
    <w:rsid w:val="00F46A67"/>
    <w:rsid w:val="00F50F8C"/>
    <w:rsid w:val="00F511DC"/>
    <w:rsid w:val="00F53719"/>
    <w:rsid w:val="00F65CC1"/>
    <w:rsid w:val="00F6671F"/>
    <w:rsid w:val="00F66B0A"/>
    <w:rsid w:val="00F703B7"/>
    <w:rsid w:val="00F70C9D"/>
    <w:rsid w:val="00F71397"/>
    <w:rsid w:val="00F71704"/>
    <w:rsid w:val="00F7219F"/>
    <w:rsid w:val="00F74BBF"/>
    <w:rsid w:val="00F74E58"/>
    <w:rsid w:val="00F7592F"/>
    <w:rsid w:val="00F77B74"/>
    <w:rsid w:val="00F80142"/>
    <w:rsid w:val="00F80421"/>
    <w:rsid w:val="00F823AA"/>
    <w:rsid w:val="00F83748"/>
    <w:rsid w:val="00F83813"/>
    <w:rsid w:val="00F86CF4"/>
    <w:rsid w:val="00F90F85"/>
    <w:rsid w:val="00F92D01"/>
    <w:rsid w:val="00F930B4"/>
    <w:rsid w:val="00F95016"/>
    <w:rsid w:val="00F96824"/>
    <w:rsid w:val="00FA0063"/>
    <w:rsid w:val="00FA40BD"/>
    <w:rsid w:val="00FB2111"/>
    <w:rsid w:val="00FB2505"/>
    <w:rsid w:val="00FB25ED"/>
    <w:rsid w:val="00FB401C"/>
    <w:rsid w:val="00FB4044"/>
    <w:rsid w:val="00FB5A6C"/>
    <w:rsid w:val="00FC4759"/>
    <w:rsid w:val="00FC58EA"/>
    <w:rsid w:val="00FC6DCA"/>
    <w:rsid w:val="00FD412D"/>
    <w:rsid w:val="00FD5656"/>
    <w:rsid w:val="00FD615B"/>
    <w:rsid w:val="00FD6627"/>
    <w:rsid w:val="00FE2BDF"/>
    <w:rsid w:val="00FE6608"/>
    <w:rsid w:val="00FF200F"/>
    <w:rsid w:val="00FF2EB4"/>
    <w:rsid w:val="00FF45EB"/>
    <w:rsid w:val="00FF5212"/>
    <w:rsid w:val="00FF5509"/>
    <w:rsid w:val="00FF608C"/>
    <w:rsid w:val="00FF652A"/>
  </w:rsids>
  <m:mathPr>
    <m:mathFont m:val="Cambria Math"/>
    <m:brkBin m:val="before"/>
    <m:brkBinSub m:val="--"/>
    <m:smallFrac m:val="0"/>
    <m:dispDef/>
    <m:lMargin m:val="0"/>
    <m:rMargin m:val="0"/>
    <m:defJc m:val="centerGroup"/>
    <m:wrapIndent m:val="1440"/>
    <m:intLim m:val="subSup"/>
    <m:naryLim m:val="undOvr"/>
  </m:mathPr>
  <w:themeFontLang w:val="en-US"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2050" fillcolor="white">
      <v:fill color="white"/>
    </o:shapedefaults>
    <o:shapelayout v:ext="edit">
      <o:idmap v:ext="edit" data="2"/>
    </o:shapelayout>
  </w:shapeDefaults>
  <w:decimalSymbol w:val="."/>
  <w:listSeparator w:val=","/>
  <w14:docId w14:val="6A9C865E"/>
  <w15:docId w15:val="{1DC4BF2D-0595-48F8-9660-1233C09A2B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PMingLiU" w:hAnsi="Calibri" w:cs="Times New Roman"/>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uiPriority="9"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232F"/>
    <w:pPr>
      <w:widowControl w:val="0"/>
    </w:pPr>
    <w:rPr>
      <w:kern w:val="2"/>
      <w:sz w:val="24"/>
      <w:szCs w:val="22"/>
    </w:rPr>
  </w:style>
  <w:style w:type="paragraph" w:styleId="Heading1">
    <w:name w:val="heading 1"/>
    <w:basedOn w:val="Normal"/>
    <w:next w:val="Normal"/>
    <w:qFormat/>
    <w:pPr>
      <w:keepNext/>
      <w:spacing w:before="180" w:after="180" w:line="720" w:lineRule="auto"/>
      <w:outlineLvl w:val="0"/>
    </w:pPr>
    <w:rPr>
      <w:rFonts w:ascii="Arial" w:hAnsi="Arial"/>
      <w:b/>
      <w:bCs/>
      <w:kern w:val="52"/>
      <w:sz w:val="52"/>
      <w:szCs w:val="52"/>
    </w:rPr>
  </w:style>
  <w:style w:type="paragraph" w:styleId="Heading2">
    <w:name w:val="heading 2"/>
    <w:next w:val="BodyText"/>
    <w:qFormat/>
    <w:pPr>
      <w:keepNext/>
      <w:tabs>
        <w:tab w:val="left" w:pos="360"/>
      </w:tabs>
      <w:spacing w:before="60" w:after="120"/>
      <w:outlineLvl w:val="1"/>
    </w:pPr>
    <w:rPr>
      <w:rFonts w:ascii="Times New Roman" w:hAnsi="Times New Roman"/>
      <w:b/>
      <w:sz w:val="22"/>
      <w:lang w:eastAsia="en-US"/>
    </w:rPr>
  </w:style>
  <w:style w:type="paragraph" w:styleId="Heading3">
    <w:name w:val="heading 3"/>
    <w:basedOn w:val="Normal"/>
    <w:next w:val="Normal"/>
    <w:qFormat/>
    <w:pPr>
      <w:keepNext/>
      <w:jc w:val="center"/>
      <w:outlineLvl w:val="2"/>
    </w:pPr>
    <w:rPr>
      <w:rFonts w:ascii="Times New Roman" w:hAnsi="Times New Roman"/>
      <w:b/>
      <w:sz w:val="28"/>
      <w:szCs w:val="28"/>
    </w:rPr>
  </w:style>
  <w:style w:type="paragraph" w:styleId="Heading4">
    <w:name w:val="heading 4"/>
    <w:basedOn w:val="Normal"/>
    <w:next w:val="Normal"/>
    <w:link w:val="Heading4Char"/>
    <w:uiPriority w:val="9"/>
    <w:unhideWhenUsed/>
    <w:qFormat/>
    <w:rsid w:val="0096250A"/>
    <w:pPr>
      <w:keepNext/>
      <w:spacing w:line="720" w:lineRule="auto"/>
      <w:outlineLvl w:val="3"/>
    </w:pPr>
    <w:rPr>
      <w:rFonts w:ascii="Cambria" w:hAnsi="Cambria"/>
      <w:sz w:val="36"/>
      <w:szCs w:val="36"/>
    </w:rPr>
  </w:style>
  <w:style w:type="paragraph" w:styleId="Heading5">
    <w:name w:val="heading 5"/>
    <w:basedOn w:val="Normal"/>
    <w:next w:val="Normal"/>
    <w:link w:val="Heading5Char"/>
    <w:uiPriority w:val="9"/>
    <w:semiHidden/>
    <w:unhideWhenUsed/>
    <w:qFormat/>
    <w:rsid w:val="00C430BC"/>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qFormat/>
    <w:pPr>
      <w:keepNext/>
      <w:spacing w:line="720" w:lineRule="auto"/>
      <w:ind w:leftChars="200" w:left="200"/>
      <w:outlineLvl w:val="5"/>
    </w:pPr>
    <w:rPr>
      <w:rFonts w:ascii="Arial" w:hAnsi="Arial"/>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unhideWhenUsed/>
    <w:pPr>
      <w:tabs>
        <w:tab w:val="center" w:pos="4153"/>
        <w:tab w:val="right" w:pos="8306"/>
      </w:tabs>
      <w:snapToGrid w:val="0"/>
    </w:pPr>
    <w:rPr>
      <w:sz w:val="20"/>
      <w:szCs w:val="20"/>
    </w:rPr>
  </w:style>
  <w:style w:type="character" w:customStyle="1" w:styleId="a">
    <w:name w:val="字元"/>
    <w:rPr>
      <w:kern w:val="2"/>
    </w:rPr>
  </w:style>
  <w:style w:type="paragraph" w:styleId="Footer">
    <w:name w:val="footer"/>
    <w:basedOn w:val="Normal"/>
    <w:semiHidden/>
    <w:unhideWhenUsed/>
    <w:pPr>
      <w:tabs>
        <w:tab w:val="center" w:pos="4153"/>
        <w:tab w:val="right" w:pos="8306"/>
      </w:tabs>
      <w:snapToGrid w:val="0"/>
    </w:pPr>
    <w:rPr>
      <w:sz w:val="20"/>
      <w:szCs w:val="20"/>
    </w:rPr>
  </w:style>
  <w:style w:type="character" w:customStyle="1" w:styleId="a0">
    <w:name w:val="字元"/>
    <w:rPr>
      <w:kern w:val="2"/>
    </w:rPr>
  </w:style>
  <w:style w:type="character" w:customStyle="1" w:styleId="a1">
    <w:name w:val="字元"/>
    <w:rPr>
      <w:rFonts w:ascii="Times New Roman" w:hAnsi="Times New Roman"/>
      <w:b/>
      <w:sz w:val="22"/>
      <w:lang w:val="en-US" w:eastAsia="en-US" w:bidi="ar-SA"/>
    </w:rPr>
  </w:style>
  <w:style w:type="paragraph" w:styleId="BodyText">
    <w:name w:val="Body Text"/>
    <w:link w:val="BodyTextChar"/>
    <w:semiHidden/>
    <w:pPr>
      <w:spacing w:after="240"/>
      <w:jc w:val="both"/>
    </w:pPr>
    <w:rPr>
      <w:rFonts w:ascii="Times New Roman" w:hAnsi="Times New Roman"/>
      <w:sz w:val="22"/>
      <w:lang w:eastAsia="en-US"/>
    </w:rPr>
  </w:style>
  <w:style w:type="character" w:customStyle="1" w:styleId="a2">
    <w:name w:val="字元"/>
    <w:rPr>
      <w:rFonts w:ascii="Times New Roman" w:hAnsi="Times New Roman"/>
      <w:sz w:val="22"/>
      <w:lang w:val="en-US" w:eastAsia="en-US" w:bidi="ar-SA"/>
    </w:rPr>
  </w:style>
  <w:style w:type="paragraph" w:customStyle="1" w:styleId="TableBody">
    <w:name w:val="Table Body"/>
    <w:pPr>
      <w:keepNext/>
    </w:pPr>
    <w:rPr>
      <w:rFonts w:ascii="Times New Roman" w:hAnsi="Times New Roman"/>
      <w:sz w:val="22"/>
      <w:lang w:eastAsia="en-US"/>
    </w:rPr>
  </w:style>
  <w:style w:type="paragraph" w:customStyle="1" w:styleId="tableheadscenter">
    <w:name w:val="table heads center"/>
    <w:basedOn w:val="Normal"/>
    <w:next w:val="Normal"/>
    <w:pPr>
      <w:widowControl/>
      <w:spacing w:after="60"/>
      <w:jc w:val="center"/>
    </w:pPr>
    <w:rPr>
      <w:rFonts w:ascii="Arial" w:hAnsi="Arial"/>
      <w:b/>
      <w:kern w:val="0"/>
      <w:sz w:val="22"/>
      <w:szCs w:val="20"/>
      <w:lang w:eastAsia="en-US"/>
    </w:rPr>
  </w:style>
  <w:style w:type="paragraph" w:customStyle="1" w:styleId="Italicsheading">
    <w:name w:val="Italics heading"/>
    <w:basedOn w:val="Normal"/>
    <w:next w:val="BodyText"/>
    <w:pPr>
      <w:widowControl/>
      <w:spacing w:after="120"/>
    </w:pPr>
    <w:rPr>
      <w:rFonts w:ascii="Times New Roman" w:hAnsi="Times New Roman"/>
      <w:i/>
      <w:kern w:val="0"/>
      <w:sz w:val="22"/>
      <w:szCs w:val="20"/>
      <w:lang w:eastAsia="en-US"/>
    </w:rPr>
  </w:style>
  <w:style w:type="character" w:styleId="PageNumber">
    <w:name w:val="page number"/>
    <w:basedOn w:val="DefaultParagraphFont"/>
    <w:semiHidden/>
  </w:style>
  <w:style w:type="paragraph" w:styleId="FootnoteText">
    <w:name w:val="footnote text"/>
    <w:basedOn w:val="Normal"/>
    <w:semiHidden/>
    <w:pPr>
      <w:widowControl/>
    </w:pPr>
    <w:rPr>
      <w:rFonts w:ascii="Arial" w:hAnsi="Arial"/>
      <w:kern w:val="0"/>
      <w:sz w:val="18"/>
      <w:szCs w:val="20"/>
      <w:lang w:eastAsia="en-US"/>
    </w:rPr>
  </w:style>
  <w:style w:type="character" w:customStyle="1" w:styleId="a3">
    <w:name w:val="字元"/>
    <w:rPr>
      <w:rFonts w:ascii="Arial" w:hAnsi="Arial"/>
      <w:sz w:val="18"/>
      <w:lang w:eastAsia="en-US"/>
    </w:rPr>
  </w:style>
  <w:style w:type="character" w:styleId="FootnoteReference">
    <w:name w:val="footnote reference"/>
    <w:semiHidden/>
    <w:rPr>
      <w:vertAlign w:val="superscript"/>
    </w:rPr>
  </w:style>
  <w:style w:type="paragraph" w:styleId="BodyTextIndent2">
    <w:name w:val="Body Text Indent 2"/>
    <w:basedOn w:val="Normal"/>
    <w:semiHidden/>
    <w:pPr>
      <w:spacing w:after="120" w:line="480" w:lineRule="auto"/>
      <w:ind w:leftChars="200" w:left="480"/>
    </w:pPr>
  </w:style>
  <w:style w:type="paragraph" w:styleId="NormalWeb">
    <w:name w:val="Normal (Web)"/>
    <w:basedOn w:val="Normal"/>
    <w:uiPriority w:val="99"/>
    <w:semiHidden/>
    <w:pPr>
      <w:widowControl/>
      <w:spacing w:before="100" w:beforeAutospacing="1" w:after="100" w:afterAutospacing="1"/>
    </w:pPr>
    <w:rPr>
      <w:rFonts w:ascii="Times New Roman" w:eastAsia="MS Mincho" w:hAnsi="Times New Roman"/>
      <w:kern w:val="0"/>
      <w:szCs w:val="24"/>
      <w:lang w:eastAsia="ja-JP"/>
    </w:rPr>
  </w:style>
  <w:style w:type="paragraph" w:styleId="ListParagraph">
    <w:name w:val="List Paragraph"/>
    <w:basedOn w:val="Normal"/>
    <w:qFormat/>
    <w:pPr>
      <w:ind w:leftChars="200" w:left="480"/>
    </w:pPr>
  </w:style>
  <w:style w:type="character" w:styleId="CommentReference">
    <w:name w:val="annotation reference"/>
    <w:semiHidden/>
    <w:rPr>
      <w:sz w:val="18"/>
      <w:szCs w:val="18"/>
    </w:rPr>
  </w:style>
  <w:style w:type="paragraph" w:styleId="CommentText">
    <w:name w:val="annotation text"/>
    <w:basedOn w:val="Normal"/>
    <w:semiHidden/>
  </w:style>
  <w:style w:type="paragraph" w:customStyle="1" w:styleId="1">
    <w:name w:val="註解主旨1"/>
    <w:basedOn w:val="CommentText"/>
    <w:next w:val="CommentText"/>
    <w:semiHidden/>
    <w:rPr>
      <w:b/>
      <w:bCs/>
    </w:rPr>
  </w:style>
  <w:style w:type="paragraph" w:customStyle="1" w:styleId="10">
    <w:name w:val="註解方塊文字1"/>
    <w:basedOn w:val="Normal"/>
    <w:semiHidden/>
    <w:rPr>
      <w:rFonts w:ascii="Arial" w:hAnsi="Arial"/>
      <w:sz w:val="18"/>
      <w:szCs w:val="18"/>
    </w:rPr>
  </w:style>
  <w:style w:type="paragraph" w:customStyle="1" w:styleId="Style1">
    <w:name w:val="Style1"/>
    <w:basedOn w:val="Normal"/>
    <w:pPr>
      <w:widowControl/>
    </w:pPr>
    <w:rPr>
      <w:rFonts w:ascii="Times New Roman" w:hAnsi="Times New Roman"/>
      <w:kern w:val="0"/>
      <w:szCs w:val="20"/>
      <w:lang w:val="en-GB" w:eastAsia="en-US"/>
    </w:rPr>
  </w:style>
  <w:style w:type="paragraph" w:styleId="TOC1">
    <w:name w:val="toc 1"/>
    <w:basedOn w:val="Heading1"/>
    <w:next w:val="Normal"/>
    <w:autoRedefine/>
    <w:semiHidden/>
    <w:pPr>
      <w:keepNext w:val="0"/>
      <w:spacing w:before="360" w:after="0" w:line="240" w:lineRule="auto"/>
      <w:outlineLvl w:val="9"/>
    </w:pPr>
    <w:rPr>
      <w:rFonts w:cs="Arial"/>
      <w:caps/>
      <w:kern w:val="2"/>
      <w:sz w:val="24"/>
      <w:szCs w:val="24"/>
    </w:rPr>
  </w:style>
  <w:style w:type="character" w:customStyle="1" w:styleId="bodycopy1">
    <w:name w:val="bodycopy1"/>
    <w:rPr>
      <w:rFonts w:ascii="Verdana" w:hAnsi="Verdana" w:hint="default"/>
      <w:b w:val="0"/>
      <w:bCs w:val="0"/>
      <w:color w:val="000000"/>
      <w:sz w:val="18"/>
      <w:szCs w:val="18"/>
    </w:rPr>
  </w:style>
  <w:style w:type="paragraph" w:customStyle="1" w:styleId="Arial">
    <w:name w:val="內文 + (拉丁) Arial"/>
    <w:aliases w:val="(中文) 新細明體,11"/>
    <w:basedOn w:val="NormalWeb"/>
  </w:style>
  <w:style w:type="paragraph" w:styleId="BodyText2">
    <w:name w:val="Body Text 2"/>
    <w:basedOn w:val="Normal"/>
    <w:semiHidden/>
    <w:pPr>
      <w:tabs>
        <w:tab w:val="left" w:pos="480"/>
        <w:tab w:val="left" w:pos="6855"/>
      </w:tabs>
      <w:adjustRightInd w:val="0"/>
      <w:snapToGrid w:val="0"/>
      <w:jc w:val="both"/>
    </w:pPr>
    <w:rPr>
      <w:rFonts w:ascii="Arial" w:hAnsi="Arial" w:cs="Arial"/>
    </w:rPr>
  </w:style>
  <w:style w:type="paragraph" w:styleId="BodyText3">
    <w:name w:val="Body Text 3"/>
    <w:basedOn w:val="Normal"/>
    <w:semiHidden/>
    <w:pPr>
      <w:tabs>
        <w:tab w:val="left" w:pos="720"/>
      </w:tabs>
      <w:adjustRightInd w:val="0"/>
      <w:snapToGrid w:val="0"/>
      <w:ind w:right="85"/>
      <w:jc w:val="both"/>
    </w:pPr>
    <w:rPr>
      <w:rFonts w:ascii="Arial" w:hAnsi="Arial" w:cs="Arial"/>
      <w:sz w:val="22"/>
    </w:rPr>
  </w:style>
  <w:style w:type="character" w:styleId="Hyperlink">
    <w:name w:val="Hyperlink"/>
    <w:semiHidden/>
    <w:rPr>
      <w:color w:val="0000FF"/>
      <w:u w:val="single"/>
    </w:rPr>
  </w:style>
  <w:style w:type="paragraph" w:styleId="Title">
    <w:name w:val="Title"/>
    <w:basedOn w:val="Normal"/>
    <w:qFormat/>
    <w:pPr>
      <w:widowControl/>
      <w:jc w:val="center"/>
    </w:pPr>
    <w:rPr>
      <w:rFonts w:ascii="Times New Roman" w:hAnsi="Times New Roman"/>
      <w:b/>
      <w:bCs/>
      <w:kern w:val="0"/>
      <w:sz w:val="32"/>
      <w:szCs w:val="24"/>
      <w:lang w:eastAsia="en-US"/>
    </w:rPr>
  </w:style>
  <w:style w:type="character" w:styleId="Strong">
    <w:name w:val="Strong"/>
    <w:uiPriority w:val="22"/>
    <w:qFormat/>
    <w:rPr>
      <w:b/>
      <w:bCs/>
    </w:rPr>
  </w:style>
  <w:style w:type="character" w:customStyle="1" w:styleId="shorttext">
    <w:name w:val="short_text"/>
    <w:basedOn w:val="DefaultParagraphFont"/>
  </w:style>
  <w:style w:type="character" w:customStyle="1" w:styleId="a4">
    <w:name w:val="頁尾 字元"/>
    <w:rPr>
      <w:rFonts w:eastAsia="SimSun"/>
      <w:kern w:val="2"/>
      <w:lang w:eastAsia="zh-CN"/>
    </w:rPr>
  </w:style>
  <w:style w:type="table" w:styleId="TableGrid">
    <w:name w:val="Table Grid"/>
    <w:basedOn w:val="TableNormal"/>
    <w:uiPriority w:val="59"/>
    <w:rsid w:val="004904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link w:val="Heading4"/>
    <w:uiPriority w:val="9"/>
    <w:rsid w:val="0096250A"/>
    <w:rPr>
      <w:rFonts w:ascii="Cambria" w:eastAsia="PMingLiU" w:hAnsi="Cambria" w:cs="Times New Roman"/>
      <w:kern w:val="2"/>
      <w:sz w:val="36"/>
      <w:szCs w:val="36"/>
    </w:rPr>
  </w:style>
  <w:style w:type="character" w:customStyle="1" w:styleId="BodyTextChar">
    <w:name w:val="Body Text Char"/>
    <w:link w:val="BodyText"/>
    <w:semiHidden/>
    <w:rsid w:val="00CA1589"/>
    <w:rPr>
      <w:rFonts w:ascii="Times New Roman" w:hAnsi="Times New Roman"/>
      <w:sz w:val="22"/>
      <w:lang w:eastAsia="en-US"/>
    </w:rPr>
  </w:style>
  <w:style w:type="character" w:styleId="UnresolvedMention">
    <w:name w:val="Unresolved Mention"/>
    <w:basedOn w:val="DefaultParagraphFont"/>
    <w:uiPriority w:val="99"/>
    <w:semiHidden/>
    <w:unhideWhenUsed/>
    <w:rsid w:val="000D3340"/>
    <w:rPr>
      <w:color w:val="605E5C"/>
      <w:shd w:val="clear" w:color="auto" w:fill="E1DFDD"/>
    </w:rPr>
  </w:style>
  <w:style w:type="table" w:styleId="PlainTable1">
    <w:name w:val="Plain Table 1"/>
    <w:basedOn w:val="TableNormal"/>
    <w:uiPriority w:val="41"/>
    <w:rsid w:val="00BC3552"/>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my-0">
    <w:name w:val="my-0"/>
    <w:basedOn w:val="Normal"/>
    <w:rsid w:val="006C7A04"/>
    <w:pPr>
      <w:widowControl/>
      <w:spacing w:before="100" w:beforeAutospacing="1" w:after="100" w:afterAutospacing="1"/>
    </w:pPr>
    <w:rPr>
      <w:rFonts w:ascii="Times New Roman" w:eastAsia="Times New Roman" w:hAnsi="Times New Roman"/>
      <w:kern w:val="0"/>
      <w:szCs w:val="24"/>
      <w:lang w:val="en-HK"/>
    </w:rPr>
  </w:style>
  <w:style w:type="character" w:customStyle="1" w:styleId="Heading5Char">
    <w:name w:val="Heading 5 Char"/>
    <w:basedOn w:val="DefaultParagraphFont"/>
    <w:link w:val="Heading5"/>
    <w:uiPriority w:val="9"/>
    <w:semiHidden/>
    <w:rsid w:val="00C430BC"/>
    <w:rPr>
      <w:rFonts w:asciiTheme="majorHAnsi" w:eastAsiaTheme="majorEastAsia" w:hAnsiTheme="majorHAnsi" w:cstheme="majorBidi"/>
      <w:color w:val="365F91" w:themeColor="accent1" w:themeShade="BF"/>
      <w:kern w:val="2"/>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4100">
      <w:bodyDiv w:val="1"/>
      <w:marLeft w:val="0"/>
      <w:marRight w:val="0"/>
      <w:marTop w:val="0"/>
      <w:marBottom w:val="0"/>
      <w:divBdr>
        <w:top w:val="none" w:sz="0" w:space="0" w:color="auto"/>
        <w:left w:val="none" w:sz="0" w:space="0" w:color="auto"/>
        <w:bottom w:val="none" w:sz="0" w:space="0" w:color="auto"/>
        <w:right w:val="none" w:sz="0" w:space="0" w:color="auto"/>
      </w:divBdr>
    </w:div>
    <w:div w:id="9187358">
      <w:bodyDiv w:val="1"/>
      <w:marLeft w:val="0"/>
      <w:marRight w:val="0"/>
      <w:marTop w:val="0"/>
      <w:marBottom w:val="0"/>
      <w:divBdr>
        <w:top w:val="none" w:sz="0" w:space="0" w:color="auto"/>
        <w:left w:val="none" w:sz="0" w:space="0" w:color="auto"/>
        <w:bottom w:val="none" w:sz="0" w:space="0" w:color="auto"/>
        <w:right w:val="none" w:sz="0" w:space="0" w:color="auto"/>
      </w:divBdr>
    </w:div>
    <w:div w:id="16202394">
      <w:bodyDiv w:val="1"/>
      <w:marLeft w:val="0"/>
      <w:marRight w:val="0"/>
      <w:marTop w:val="0"/>
      <w:marBottom w:val="0"/>
      <w:divBdr>
        <w:top w:val="none" w:sz="0" w:space="0" w:color="auto"/>
        <w:left w:val="none" w:sz="0" w:space="0" w:color="auto"/>
        <w:bottom w:val="none" w:sz="0" w:space="0" w:color="auto"/>
        <w:right w:val="none" w:sz="0" w:space="0" w:color="auto"/>
      </w:divBdr>
    </w:div>
    <w:div w:id="19093806">
      <w:bodyDiv w:val="1"/>
      <w:marLeft w:val="0"/>
      <w:marRight w:val="0"/>
      <w:marTop w:val="0"/>
      <w:marBottom w:val="0"/>
      <w:divBdr>
        <w:top w:val="none" w:sz="0" w:space="0" w:color="auto"/>
        <w:left w:val="none" w:sz="0" w:space="0" w:color="auto"/>
        <w:bottom w:val="none" w:sz="0" w:space="0" w:color="auto"/>
        <w:right w:val="none" w:sz="0" w:space="0" w:color="auto"/>
      </w:divBdr>
    </w:div>
    <w:div w:id="22024338">
      <w:bodyDiv w:val="1"/>
      <w:marLeft w:val="0"/>
      <w:marRight w:val="0"/>
      <w:marTop w:val="0"/>
      <w:marBottom w:val="0"/>
      <w:divBdr>
        <w:top w:val="none" w:sz="0" w:space="0" w:color="auto"/>
        <w:left w:val="none" w:sz="0" w:space="0" w:color="auto"/>
        <w:bottom w:val="none" w:sz="0" w:space="0" w:color="auto"/>
        <w:right w:val="none" w:sz="0" w:space="0" w:color="auto"/>
      </w:divBdr>
    </w:div>
    <w:div w:id="48308128">
      <w:bodyDiv w:val="1"/>
      <w:marLeft w:val="0"/>
      <w:marRight w:val="0"/>
      <w:marTop w:val="0"/>
      <w:marBottom w:val="0"/>
      <w:divBdr>
        <w:top w:val="none" w:sz="0" w:space="0" w:color="auto"/>
        <w:left w:val="none" w:sz="0" w:space="0" w:color="auto"/>
        <w:bottom w:val="none" w:sz="0" w:space="0" w:color="auto"/>
        <w:right w:val="none" w:sz="0" w:space="0" w:color="auto"/>
      </w:divBdr>
    </w:div>
    <w:div w:id="54277964">
      <w:bodyDiv w:val="1"/>
      <w:marLeft w:val="0"/>
      <w:marRight w:val="0"/>
      <w:marTop w:val="0"/>
      <w:marBottom w:val="0"/>
      <w:divBdr>
        <w:top w:val="none" w:sz="0" w:space="0" w:color="auto"/>
        <w:left w:val="none" w:sz="0" w:space="0" w:color="auto"/>
        <w:bottom w:val="none" w:sz="0" w:space="0" w:color="auto"/>
        <w:right w:val="none" w:sz="0" w:space="0" w:color="auto"/>
      </w:divBdr>
    </w:div>
    <w:div w:id="55469855">
      <w:bodyDiv w:val="1"/>
      <w:marLeft w:val="0"/>
      <w:marRight w:val="0"/>
      <w:marTop w:val="0"/>
      <w:marBottom w:val="0"/>
      <w:divBdr>
        <w:top w:val="none" w:sz="0" w:space="0" w:color="auto"/>
        <w:left w:val="none" w:sz="0" w:space="0" w:color="auto"/>
        <w:bottom w:val="none" w:sz="0" w:space="0" w:color="auto"/>
        <w:right w:val="none" w:sz="0" w:space="0" w:color="auto"/>
      </w:divBdr>
    </w:div>
    <w:div w:id="62066985">
      <w:bodyDiv w:val="1"/>
      <w:marLeft w:val="0"/>
      <w:marRight w:val="0"/>
      <w:marTop w:val="0"/>
      <w:marBottom w:val="0"/>
      <w:divBdr>
        <w:top w:val="none" w:sz="0" w:space="0" w:color="auto"/>
        <w:left w:val="none" w:sz="0" w:space="0" w:color="auto"/>
        <w:bottom w:val="none" w:sz="0" w:space="0" w:color="auto"/>
        <w:right w:val="none" w:sz="0" w:space="0" w:color="auto"/>
      </w:divBdr>
    </w:div>
    <w:div w:id="63795393">
      <w:bodyDiv w:val="1"/>
      <w:marLeft w:val="0"/>
      <w:marRight w:val="0"/>
      <w:marTop w:val="0"/>
      <w:marBottom w:val="0"/>
      <w:divBdr>
        <w:top w:val="none" w:sz="0" w:space="0" w:color="auto"/>
        <w:left w:val="none" w:sz="0" w:space="0" w:color="auto"/>
        <w:bottom w:val="none" w:sz="0" w:space="0" w:color="auto"/>
        <w:right w:val="none" w:sz="0" w:space="0" w:color="auto"/>
      </w:divBdr>
    </w:div>
    <w:div w:id="80297103">
      <w:bodyDiv w:val="1"/>
      <w:marLeft w:val="0"/>
      <w:marRight w:val="0"/>
      <w:marTop w:val="0"/>
      <w:marBottom w:val="0"/>
      <w:divBdr>
        <w:top w:val="none" w:sz="0" w:space="0" w:color="auto"/>
        <w:left w:val="none" w:sz="0" w:space="0" w:color="auto"/>
        <w:bottom w:val="none" w:sz="0" w:space="0" w:color="auto"/>
        <w:right w:val="none" w:sz="0" w:space="0" w:color="auto"/>
      </w:divBdr>
    </w:div>
    <w:div w:id="81296529">
      <w:bodyDiv w:val="1"/>
      <w:marLeft w:val="0"/>
      <w:marRight w:val="0"/>
      <w:marTop w:val="0"/>
      <w:marBottom w:val="0"/>
      <w:divBdr>
        <w:top w:val="none" w:sz="0" w:space="0" w:color="auto"/>
        <w:left w:val="none" w:sz="0" w:space="0" w:color="auto"/>
        <w:bottom w:val="none" w:sz="0" w:space="0" w:color="auto"/>
        <w:right w:val="none" w:sz="0" w:space="0" w:color="auto"/>
      </w:divBdr>
    </w:div>
    <w:div w:id="97067126">
      <w:bodyDiv w:val="1"/>
      <w:marLeft w:val="0"/>
      <w:marRight w:val="0"/>
      <w:marTop w:val="0"/>
      <w:marBottom w:val="0"/>
      <w:divBdr>
        <w:top w:val="none" w:sz="0" w:space="0" w:color="auto"/>
        <w:left w:val="none" w:sz="0" w:space="0" w:color="auto"/>
        <w:bottom w:val="none" w:sz="0" w:space="0" w:color="auto"/>
        <w:right w:val="none" w:sz="0" w:space="0" w:color="auto"/>
      </w:divBdr>
    </w:div>
    <w:div w:id="111824333">
      <w:bodyDiv w:val="1"/>
      <w:marLeft w:val="0"/>
      <w:marRight w:val="0"/>
      <w:marTop w:val="0"/>
      <w:marBottom w:val="0"/>
      <w:divBdr>
        <w:top w:val="none" w:sz="0" w:space="0" w:color="auto"/>
        <w:left w:val="none" w:sz="0" w:space="0" w:color="auto"/>
        <w:bottom w:val="none" w:sz="0" w:space="0" w:color="auto"/>
        <w:right w:val="none" w:sz="0" w:space="0" w:color="auto"/>
      </w:divBdr>
    </w:div>
    <w:div w:id="117140877">
      <w:bodyDiv w:val="1"/>
      <w:marLeft w:val="0"/>
      <w:marRight w:val="0"/>
      <w:marTop w:val="0"/>
      <w:marBottom w:val="0"/>
      <w:divBdr>
        <w:top w:val="none" w:sz="0" w:space="0" w:color="auto"/>
        <w:left w:val="none" w:sz="0" w:space="0" w:color="auto"/>
        <w:bottom w:val="none" w:sz="0" w:space="0" w:color="auto"/>
        <w:right w:val="none" w:sz="0" w:space="0" w:color="auto"/>
      </w:divBdr>
    </w:div>
    <w:div w:id="125240479">
      <w:bodyDiv w:val="1"/>
      <w:marLeft w:val="0"/>
      <w:marRight w:val="0"/>
      <w:marTop w:val="0"/>
      <w:marBottom w:val="0"/>
      <w:divBdr>
        <w:top w:val="none" w:sz="0" w:space="0" w:color="auto"/>
        <w:left w:val="none" w:sz="0" w:space="0" w:color="auto"/>
        <w:bottom w:val="none" w:sz="0" w:space="0" w:color="auto"/>
        <w:right w:val="none" w:sz="0" w:space="0" w:color="auto"/>
      </w:divBdr>
    </w:div>
    <w:div w:id="131872098">
      <w:bodyDiv w:val="1"/>
      <w:marLeft w:val="0"/>
      <w:marRight w:val="0"/>
      <w:marTop w:val="0"/>
      <w:marBottom w:val="0"/>
      <w:divBdr>
        <w:top w:val="none" w:sz="0" w:space="0" w:color="auto"/>
        <w:left w:val="none" w:sz="0" w:space="0" w:color="auto"/>
        <w:bottom w:val="none" w:sz="0" w:space="0" w:color="auto"/>
        <w:right w:val="none" w:sz="0" w:space="0" w:color="auto"/>
      </w:divBdr>
    </w:div>
    <w:div w:id="134374234">
      <w:bodyDiv w:val="1"/>
      <w:marLeft w:val="0"/>
      <w:marRight w:val="0"/>
      <w:marTop w:val="0"/>
      <w:marBottom w:val="0"/>
      <w:divBdr>
        <w:top w:val="none" w:sz="0" w:space="0" w:color="auto"/>
        <w:left w:val="none" w:sz="0" w:space="0" w:color="auto"/>
        <w:bottom w:val="none" w:sz="0" w:space="0" w:color="auto"/>
        <w:right w:val="none" w:sz="0" w:space="0" w:color="auto"/>
      </w:divBdr>
    </w:div>
    <w:div w:id="139806868">
      <w:bodyDiv w:val="1"/>
      <w:marLeft w:val="0"/>
      <w:marRight w:val="0"/>
      <w:marTop w:val="0"/>
      <w:marBottom w:val="0"/>
      <w:divBdr>
        <w:top w:val="none" w:sz="0" w:space="0" w:color="auto"/>
        <w:left w:val="none" w:sz="0" w:space="0" w:color="auto"/>
        <w:bottom w:val="none" w:sz="0" w:space="0" w:color="auto"/>
        <w:right w:val="none" w:sz="0" w:space="0" w:color="auto"/>
      </w:divBdr>
    </w:div>
    <w:div w:id="140580782">
      <w:bodyDiv w:val="1"/>
      <w:marLeft w:val="0"/>
      <w:marRight w:val="0"/>
      <w:marTop w:val="0"/>
      <w:marBottom w:val="0"/>
      <w:divBdr>
        <w:top w:val="none" w:sz="0" w:space="0" w:color="auto"/>
        <w:left w:val="none" w:sz="0" w:space="0" w:color="auto"/>
        <w:bottom w:val="none" w:sz="0" w:space="0" w:color="auto"/>
        <w:right w:val="none" w:sz="0" w:space="0" w:color="auto"/>
      </w:divBdr>
    </w:div>
    <w:div w:id="145823257">
      <w:bodyDiv w:val="1"/>
      <w:marLeft w:val="0"/>
      <w:marRight w:val="0"/>
      <w:marTop w:val="0"/>
      <w:marBottom w:val="0"/>
      <w:divBdr>
        <w:top w:val="none" w:sz="0" w:space="0" w:color="auto"/>
        <w:left w:val="none" w:sz="0" w:space="0" w:color="auto"/>
        <w:bottom w:val="none" w:sz="0" w:space="0" w:color="auto"/>
        <w:right w:val="none" w:sz="0" w:space="0" w:color="auto"/>
      </w:divBdr>
    </w:div>
    <w:div w:id="151606065">
      <w:bodyDiv w:val="1"/>
      <w:marLeft w:val="0"/>
      <w:marRight w:val="0"/>
      <w:marTop w:val="0"/>
      <w:marBottom w:val="0"/>
      <w:divBdr>
        <w:top w:val="none" w:sz="0" w:space="0" w:color="auto"/>
        <w:left w:val="none" w:sz="0" w:space="0" w:color="auto"/>
        <w:bottom w:val="none" w:sz="0" w:space="0" w:color="auto"/>
        <w:right w:val="none" w:sz="0" w:space="0" w:color="auto"/>
      </w:divBdr>
    </w:div>
    <w:div w:id="172961217">
      <w:bodyDiv w:val="1"/>
      <w:marLeft w:val="0"/>
      <w:marRight w:val="0"/>
      <w:marTop w:val="0"/>
      <w:marBottom w:val="0"/>
      <w:divBdr>
        <w:top w:val="none" w:sz="0" w:space="0" w:color="auto"/>
        <w:left w:val="none" w:sz="0" w:space="0" w:color="auto"/>
        <w:bottom w:val="none" w:sz="0" w:space="0" w:color="auto"/>
        <w:right w:val="none" w:sz="0" w:space="0" w:color="auto"/>
      </w:divBdr>
    </w:div>
    <w:div w:id="181628798">
      <w:bodyDiv w:val="1"/>
      <w:marLeft w:val="0"/>
      <w:marRight w:val="0"/>
      <w:marTop w:val="0"/>
      <w:marBottom w:val="0"/>
      <w:divBdr>
        <w:top w:val="none" w:sz="0" w:space="0" w:color="auto"/>
        <w:left w:val="none" w:sz="0" w:space="0" w:color="auto"/>
        <w:bottom w:val="none" w:sz="0" w:space="0" w:color="auto"/>
        <w:right w:val="none" w:sz="0" w:space="0" w:color="auto"/>
      </w:divBdr>
    </w:div>
    <w:div w:id="182205047">
      <w:bodyDiv w:val="1"/>
      <w:marLeft w:val="0"/>
      <w:marRight w:val="0"/>
      <w:marTop w:val="0"/>
      <w:marBottom w:val="0"/>
      <w:divBdr>
        <w:top w:val="none" w:sz="0" w:space="0" w:color="auto"/>
        <w:left w:val="none" w:sz="0" w:space="0" w:color="auto"/>
        <w:bottom w:val="none" w:sz="0" w:space="0" w:color="auto"/>
        <w:right w:val="none" w:sz="0" w:space="0" w:color="auto"/>
      </w:divBdr>
    </w:div>
    <w:div w:id="188840363">
      <w:bodyDiv w:val="1"/>
      <w:marLeft w:val="0"/>
      <w:marRight w:val="0"/>
      <w:marTop w:val="0"/>
      <w:marBottom w:val="0"/>
      <w:divBdr>
        <w:top w:val="none" w:sz="0" w:space="0" w:color="auto"/>
        <w:left w:val="none" w:sz="0" w:space="0" w:color="auto"/>
        <w:bottom w:val="none" w:sz="0" w:space="0" w:color="auto"/>
        <w:right w:val="none" w:sz="0" w:space="0" w:color="auto"/>
      </w:divBdr>
      <w:divsChild>
        <w:div w:id="1038775454">
          <w:marLeft w:val="0"/>
          <w:marRight w:val="0"/>
          <w:marTop w:val="0"/>
          <w:marBottom w:val="0"/>
          <w:divBdr>
            <w:top w:val="single" w:sz="2" w:space="0" w:color="E5E7EB"/>
            <w:left w:val="single" w:sz="2" w:space="0" w:color="E5E7EB"/>
            <w:bottom w:val="single" w:sz="2" w:space="0" w:color="E5E7EB"/>
            <w:right w:val="single" w:sz="2" w:space="0" w:color="E5E7EB"/>
          </w:divBdr>
          <w:divsChild>
            <w:div w:id="1194270046">
              <w:marLeft w:val="0"/>
              <w:marRight w:val="0"/>
              <w:marTop w:val="0"/>
              <w:marBottom w:val="0"/>
              <w:divBdr>
                <w:top w:val="single" w:sz="2" w:space="0" w:color="auto"/>
                <w:left w:val="single" w:sz="2" w:space="0" w:color="auto"/>
                <w:bottom w:val="single" w:sz="2" w:space="0" w:color="auto"/>
                <w:right w:val="single" w:sz="2" w:space="0" w:color="auto"/>
              </w:divBdr>
              <w:divsChild>
                <w:div w:id="1942256270">
                  <w:marLeft w:val="0"/>
                  <w:marRight w:val="0"/>
                  <w:marTop w:val="0"/>
                  <w:marBottom w:val="0"/>
                  <w:divBdr>
                    <w:top w:val="single" w:sz="2" w:space="0" w:color="auto"/>
                    <w:left w:val="single" w:sz="2" w:space="0" w:color="auto"/>
                    <w:bottom w:val="single" w:sz="2" w:space="0" w:color="auto"/>
                    <w:right w:val="single" w:sz="2" w:space="0" w:color="auto"/>
                  </w:divBdr>
                  <w:divsChild>
                    <w:div w:id="87508933">
                      <w:marLeft w:val="0"/>
                      <w:marRight w:val="0"/>
                      <w:marTop w:val="0"/>
                      <w:marBottom w:val="0"/>
                      <w:divBdr>
                        <w:top w:val="single" w:sz="2" w:space="0" w:color="E5E7EB"/>
                        <w:left w:val="single" w:sz="2" w:space="0" w:color="E5E7EB"/>
                        <w:bottom w:val="single" w:sz="2" w:space="0" w:color="E5E7EB"/>
                        <w:right w:val="single" w:sz="2" w:space="0" w:color="E5E7EB"/>
                      </w:divBdr>
                      <w:divsChild>
                        <w:div w:id="1447650744">
                          <w:marLeft w:val="0"/>
                          <w:marRight w:val="0"/>
                          <w:marTop w:val="0"/>
                          <w:marBottom w:val="0"/>
                          <w:divBdr>
                            <w:top w:val="single" w:sz="2" w:space="0" w:color="E5E7EB"/>
                            <w:left w:val="single" w:sz="2" w:space="0" w:color="E5E7EB"/>
                            <w:bottom w:val="single" w:sz="2" w:space="0" w:color="E5E7EB"/>
                            <w:right w:val="single" w:sz="2" w:space="0" w:color="E5E7EB"/>
                          </w:divBdr>
                          <w:divsChild>
                            <w:div w:id="519465039">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490439267">
                          <w:marLeft w:val="0"/>
                          <w:marRight w:val="0"/>
                          <w:marTop w:val="0"/>
                          <w:marBottom w:val="0"/>
                          <w:divBdr>
                            <w:top w:val="single" w:sz="2" w:space="0" w:color="E5E7EB"/>
                            <w:left w:val="single" w:sz="2" w:space="0" w:color="E5E7EB"/>
                            <w:bottom w:val="single" w:sz="2" w:space="0" w:color="E5E7EB"/>
                            <w:right w:val="single" w:sz="2" w:space="0" w:color="E5E7EB"/>
                          </w:divBdr>
                          <w:divsChild>
                            <w:div w:id="887257699">
                              <w:marLeft w:val="0"/>
                              <w:marRight w:val="0"/>
                              <w:marTop w:val="0"/>
                              <w:marBottom w:val="0"/>
                              <w:divBdr>
                                <w:top w:val="single" w:sz="2" w:space="0" w:color="E5E7EB"/>
                                <w:left w:val="single" w:sz="2" w:space="0" w:color="E5E7EB"/>
                                <w:bottom w:val="single" w:sz="2" w:space="0" w:color="E5E7EB"/>
                                <w:right w:val="single" w:sz="2" w:space="0" w:color="E5E7EB"/>
                              </w:divBdr>
                              <w:divsChild>
                                <w:div w:id="166719961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2072655842">
                          <w:marLeft w:val="0"/>
                          <w:marRight w:val="0"/>
                          <w:marTop w:val="0"/>
                          <w:marBottom w:val="0"/>
                          <w:divBdr>
                            <w:top w:val="single" w:sz="2" w:space="0" w:color="E5E7EB"/>
                            <w:left w:val="single" w:sz="2" w:space="0" w:color="E5E7EB"/>
                            <w:bottom w:val="single" w:sz="2" w:space="0" w:color="E5E7EB"/>
                            <w:right w:val="single" w:sz="2" w:space="0" w:color="E5E7EB"/>
                          </w:divBdr>
                          <w:divsChild>
                            <w:div w:id="1606230312">
                              <w:marLeft w:val="0"/>
                              <w:marRight w:val="0"/>
                              <w:marTop w:val="0"/>
                              <w:marBottom w:val="0"/>
                              <w:divBdr>
                                <w:top w:val="single" w:sz="2" w:space="0" w:color="E5E7EB"/>
                                <w:left w:val="single" w:sz="2" w:space="0" w:color="E5E7EB"/>
                                <w:bottom w:val="single" w:sz="2" w:space="0" w:color="E5E7EB"/>
                                <w:right w:val="single" w:sz="2" w:space="0" w:color="E5E7EB"/>
                              </w:divBdr>
                              <w:divsChild>
                                <w:div w:id="204289624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1996496679">
                  <w:marLeft w:val="0"/>
                  <w:marRight w:val="0"/>
                  <w:marTop w:val="0"/>
                  <w:marBottom w:val="0"/>
                  <w:divBdr>
                    <w:top w:val="single" w:sz="2" w:space="0" w:color="auto"/>
                    <w:left w:val="single" w:sz="2" w:space="0" w:color="auto"/>
                    <w:bottom w:val="single" w:sz="2" w:space="0" w:color="auto"/>
                    <w:right w:val="single" w:sz="2" w:space="0" w:color="auto"/>
                  </w:divBdr>
                  <w:divsChild>
                    <w:div w:id="1866867731">
                      <w:marLeft w:val="0"/>
                      <w:marRight w:val="0"/>
                      <w:marTop w:val="0"/>
                      <w:marBottom w:val="0"/>
                      <w:divBdr>
                        <w:top w:val="single" w:sz="2" w:space="0" w:color="E5E7EB"/>
                        <w:left w:val="single" w:sz="2" w:space="0" w:color="E5E7EB"/>
                        <w:bottom w:val="single" w:sz="2" w:space="0" w:color="E5E7EB"/>
                        <w:right w:val="single" w:sz="2" w:space="0" w:color="E5E7EB"/>
                      </w:divBdr>
                      <w:divsChild>
                        <w:div w:id="1019425385">
                          <w:marLeft w:val="0"/>
                          <w:marRight w:val="0"/>
                          <w:marTop w:val="0"/>
                          <w:marBottom w:val="0"/>
                          <w:divBdr>
                            <w:top w:val="single" w:sz="2" w:space="0" w:color="E5E7EB"/>
                            <w:left w:val="single" w:sz="2" w:space="0" w:color="E5E7EB"/>
                            <w:bottom w:val="single" w:sz="2" w:space="0" w:color="E5E7EB"/>
                            <w:right w:val="single" w:sz="2" w:space="0" w:color="E5E7EB"/>
                          </w:divBdr>
                          <w:divsChild>
                            <w:div w:id="704526198">
                              <w:marLeft w:val="0"/>
                              <w:marRight w:val="0"/>
                              <w:marTop w:val="0"/>
                              <w:marBottom w:val="0"/>
                              <w:divBdr>
                                <w:top w:val="single" w:sz="2" w:space="0" w:color="E5E7EB"/>
                                <w:left w:val="single" w:sz="2" w:space="0" w:color="E5E7EB"/>
                                <w:bottom w:val="single" w:sz="2" w:space="0" w:color="E5E7EB"/>
                                <w:right w:val="single" w:sz="2" w:space="0" w:color="E5E7EB"/>
                              </w:divBdr>
                              <w:divsChild>
                                <w:div w:id="150590148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189296028">
      <w:bodyDiv w:val="1"/>
      <w:marLeft w:val="0"/>
      <w:marRight w:val="0"/>
      <w:marTop w:val="0"/>
      <w:marBottom w:val="0"/>
      <w:divBdr>
        <w:top w:val="none" w:sz="0" w:space="0" w:color="auto"/>
        <w:left w:val="none" w:sz="0" w:space="0" w:color="auto"/>
        <w:bottom w:val="none" w:sz="0" w:space="0" w:color="auto"/>
        <w:right w:val="none" w:sz="0" w:space="0" w:color="auto"/>
      </w:divBdr>
    </w:div>
    <w:div w:id="208420571">
      <w:bodyDiv w:val="1"/>
      <w:marLeft w:val="0"/>
      <w:marRight w:val="0"/>
      <w:marTop w:val="0"/>
      <w:marBottom w:val="0"/>
      <w:divBdr>
        <w:top w:val="none" w:sz="0" w:space="0" w:color="auto"/>
        <w:left w:val="none" w:sz="0" w:space="0" w:color="auto"/>
        <w:bottom w:val="none" w:sz="0" w:space="0" w:color="auto"/>
        <w:right w:val="none" w:sz="0" w:space="0" w:color="auto"/>
      </w:divBdr>
    </w:div>
    <w:div w:id="215431163">
      <w:bodyDiv w:val="1"/>
      <w:marLeft w:val="0"/>
      <w:marRight w:val="0"/>
      <w:marTop w:val="0"/>
      <w:marBottom w:val="0"/>
      <w:divBdr>
        <w:top w:val="none" w:sz="0" w:space="0" w:color="auto"/>
        <w:left w:val="none" w:sz="0" w:space="0" w:color="auto"/>
        <w:bottom w:val="none" w:sz="0" w:space="0" w:color="auto"/>
        <w:right w:val="none" w:sz="0" w:space="0" w:color="auto"/>
      </w:divBdr>
    </w:div>
    <w:div w:id="222722247">
      <w:bodyDiv w:val="1"/>
      <w:marLeft w:val="0"/>
      <w:marRight w:val="0"/>
      <w:marTop w:val="0"/>
      <w:marBottom w:val="0"/>
      <w:divBdr>
        <w:top w:val="none" w:sz="0" w:space="0" w:color="auto"/>
        <w:left w:val="none" w:sz="0" w:space="0" w:color="auto"/>
        <w:bottom w:val="none" w:sz="0" w:space="0" w:color="auto"/>
        <w:right w:val="none" w:sz="0" w:space="0" w:color="auto"/>
      </w:divBdr>
    </w:div>
    <w:div w:id="227038927">
      <w:bodyDiv w:val="1"/>
      <w:marLeft w:val="0"/>
      <w:marRight w:val="0"/>
      <w:marTop w:val="0"/>
      <w:marBottom w:val="0"/>
      <w:divBdr>
        <w:top w:val="none" w:sz="0" w:space="0" w:color="auto"/>
        <w:left w:val="none" w:sz="0" w:space="0" w:color="auto"/>
        <w:bottom w:val="none" w:sz="0" w:space="0" w:color="auto"/>
        <w:right w:val="none" w:sz="0" w:space="0" w:color="auto"/>
      </w:divBdr>
    </w:div>
    <w:div w:id="231549117">
      <w:bodyDiv w:val="1"/>
      <w:marLeft w:val="0"/>
      <w:marRight w:val="0"/>
      <w:marTop w:val="0"/>
      <w:marBottom w:val="0"/>
      <w:divBdr>
        <w:top w:val="none" w:sz="0" w:space="0" w:color="auto"/>
        <w:left w:val="none" w:sz="0" w:space="0" w:color="auto"/>
        <w:bottom w:val="none" w:sz="0" w:space="0" w:color="auto"/>
        <w:right w:val="none" w:sz="0" w:space="0" w:color="auto"/>
      </w:divBdr>
    </w:div>
    <w:div w:id="233589924">
      <w:bodyDiv w:val="1"/>
      <w:marLeft w:val="0"/>
      <w:marRight w:val="0"/>
      <w:marTop w:val="0"/>
      <w:marBottom w:val="0"/>
      <w:divBdr>
        <w:top w:val="none" w:sz="0" w:space="0" w:color="auto"/>
        <w:left w:val="none" w:sz="0" w:space="0" w:color="auto"/>
        <w:bottom w:val="none" w:sz="0" w:space="0" w:color="auto"/>
        <w:right w:val="none" w:sz="0" w:space="0" w:color="auto"/>
      </w:divBdr>
    </w:div>
    <w:div w:id="246574157">
      <w:bodyDiv w:val="1"/>
      <w:marLeft w:val="0"/>
      <w:marRight w:val="0"/>
      <w:marTop w:val="0"/>
      <w:marBottom w:val="0"/>
      <w:divBdr>
        <w:top w:val="none" w:sz="0" w:space="0" w:color="auto"/>
        <w:left w:val="none" w:sz="0" w:space="0" w:color="auto"/>
        <w:bottom w:val="none" w:sz="0" w:space="0" w:color="auto"/>
        <w:right w:val="none" w:sz="0" w:space="0" w:color="auto"/>
      </w:divBdr>
    </w:div>
    <w:div w:id="246617621">
      <w:bodyDiv w:val="1"/>
      <w:marLeft w:val="0"/>
      <w:marRight w:val="0"/>
      <w:marTop w:val="0"/>
      <w:marBottom w:val="0"/>
      <w:divBdr>
        <w:top w:val="none" w:sz="0" w:space="0" w:color="auto"/>
        <w:left w:val="none" w:sz="0" w:space="0" w:color="auto"/>
        <w:bottom w:val="none" w:sz="0" w:space="0" w:color="auto"/>
        <w:right w:val="none" w:sz="0" w:space="0" w:color="auto"/>
      </w:divBdr>
    </w:div>
    <w:div w:id="250432083">
      <w:bodyDiv w:val="1"/>
      <w:marLeft w:val="0"/>
      <w:marRight w:val="0"/>
      <w:marTop w:val="0"/>
      <w:marBottom w:val="0"/>
      <w:divBdr>
        <w:top w:val="none" w:sz="0" w:space="0" w:color="auto"/>
        <w:left w:val="none" w:sz="0" w:space="0" w:color="auto"/>
        <w:bottom w:val="none" w:sz="0" w:space="0" w:color="auto"/>
        <w:right w:val="none" w:sz="0" w:space="0" w:color="auto"/>
      </w:divBdr>
    </w:div>
    <w:div w:id="263537379">
      <w:bodyDiv w:val="1"/>
      <w:marLeft w:val="0"/>
      <w:marRight w:val="0"/>
      <w:marTop w:val="0"/>
      <w:marBottom w:val="0"/>
      <w:divBdr>
        <w:top w:val="none" w:sz="0" w:space="0" w:color="auto"/>
        <w:left w:val="none" w:sz="0" w:space="0" w:color="auto"/>
        <w:bottom w:val="none" w:sz="0" w:space="0" w:color="auto"/>
        <w:right w:val="none" w:sz="0" w:space="0" w:color="auto"/>
      </w:divBdr>
    </w:div>
    <w:div w:id="271397204">
      <w:bodyDiv w:val="1"/>
      <w:marLeft w:val="0"/>
      <w:marRight w:val="0"/>
      <w:marTop w:val="0"/>
      <w:marBottom w:val="0"/>
      <w:divBdr>
        <w:top w:val="none" w:sz="0" w:space="0" w:color="auto"/>
        <w:left w:val="none" w:sz="0" w:space="0" w:color="auto"/>
        <w:bottom w:val="none" w:sz="0" w:space="0" w:color="auto"/>
        <w:right w:val="none" w:sz="0" w:space="0" w:color="auto"/>
      </w:divBdr>
    </w:div>
    <w:div w:id="273174350">
      <w:bodyDiv w:val="1"/>
      <w:marLeft w:val="0"/>
      <w:marRight w:val="0"/>
      <w:marTop w:val="0"/>
      <w:marBottom w:val="0"/>
      <w:divBdr>
        <w:top w:val="none" w:sz="0" w:space="0" w:color="auto"/>
        <w:left w:val="none" w:sz="0" w:space="0" w:color="auto"/>
        <w:bottom w:val="none" w:sz="0" w:space="0" w:color="auto"/>
        <w:right w:val="none" w:sz="0" w:space="0" w:color="auto"/>
      </w:divBdr>
    </w:div>
    <w:div w:id="286013810">
      <w:bodyDiv w:val="1"/>
      <w:marLeft w:val="0"/>
      <w:marRight w:val="0"/>
      <w:marTop w:val="0"/>
      <w:marBottom w:val="0"/>
      <w:divBdr>
        <w:top w:val="none" w:sz="0" w:space="0" w:color="auto"/>
        <w:left w:val="none" w:sz="0" w:space="0" w:color="auto"/>
        <w:bottom w:val="none" w:sz="0" w:space="0" w:color="auto"/>
        <w:right w:val="none" w:sz="0" w:space="0" w:color="auto"/>
      </w:divBdr>
    </w:div>
    <w:div w:id="292180021">
      <w:bodyDiv w:val="1"/>
      <w:marLeft w:val="0"/>
      <w:marRight w:val="0"/>
      <w:marTop w:val="0"/>
      <w:marBottom w:val="0"/>
      <w:divBdr>
        <w:top w:val="none" w:sz="0" w:space="0" w:color="auto"/>
        <w:left w:val="none" w:sz="0" w:space="0" w:color="auto"/>
        <w:bottom w:val="none" w:sz="0" w:space="0" w:color="auto"/>
        <w:right w:val="none" w:sz="0" w:space="0" w:color="auto"/>
      </w:divBdr>
    </w:div>
    <w:div w:id="303434663">
      <w:bodyDiv w:val="1"/>
      <w:marLeft w:val="0"/>
      <w:marRight w:val="0"/>
      <w:marTop w:val="0"/>
      <w:marBottom w:val="0"/>
      <w:divBdr>
        <w:top w:val="none" w:sz="0" w:space="0" w:color="auto"/>
        <w:left w:val="none" w:sz="0" w:space="0" w:color="auto"/>
        <w:bottom w:val="none" w:sz="0" w:space="0" w:color="auto"/>
        <w:right w:val="none" w:sz="0" w:space="0" w:color="auto"/>
      </w:divBdr>
    </w:div>
    <w:div w:id="322513456">
      <w:bodyDiv w:val="1"/>
      <w:marLeft w:val="0"/>
      <w:marRight w:val="0"/>
      <w:marTop w:val="0"/>
      <w:marBottom w:val="0"/>
      <w:divBdr>
        <w:top w:val="none" w:sz="0" w:space="0" w:color="auto"/>
        <w:left w:val="none" w:sz="0" w:space="0" w:color="auto"/>
        <w:bottom w:val="none" w:sz="0" w:space="0" w:color="auto"/>
        <w:right w:val="none" w:sz="0" w:space="0" w:color="auto"/>
      </w:divBdr>
    </w:div>
    <w:div w:id="322927531">
      <w:bodyDiv w:val="1"/>
      <w:marLeft w:val="0"/>
      <w:marRight w:val="0"/>
      <w:marTop w:val="0"/>
      <w:marBottom w:val="0"/>
      <w:divBdr>
        <w:top w:val="none" w:sz="0" w:space="0" w:color="auto"/>
        <w:left w:val="none" w:sz="0" w:space="0" w:color="auto"/>
        <w:bottom w:val="none" w:sz="0" w:space="0" w:color="auto"/>
        <w:right w:val="none" w:sz="0" w:space="0" w:color="auto"/>
      </w:divBdr>
    </w:div>
    <w:div w:id="328758264">
      <w:bodyDiv w:val="1"/>
      <w:marLeft w:val="0"/>
      <w:marRight w:val="0"/>
      <w:marTop w:val="0"/>
      <w:marBottom w:val="0"/>
      <w:divBdr>
        <w:top w:val="none" w:sz="0" w:space="0" w:color="auto"/>
        <w:left w:val="none" w:sz="0" w:space="0" w:color="auto"/>
        <w:bottom w:val="none" w:sz="0" w:space="0" w:color="auto"/>
        <w:right w:val="none" w:sz="0" w:space="0" w:color="auto"/>
      </w:divBdr>
    </w:div>
    <w:div w:id="331878416">
      <w:bodyDiv w:val="1"/>
      <w:marLeft w:val="0"/>
      <w:marRight w:val="0"/>
      <w:marTop w:val="0"/>
      <w:marBottom w:val="0"/>
      <w:divBdr>
        <w:top w:val="none" w:sz="0" w:space="0" w:color="auto"/>
        <w:left w:val="none" w:sz="0" w:space="0" w:color="auto"/>
        <w:bottom w:val="none" w:sz="0" w:space="0" w:color="auto"/>
        <w:right w:val="none" w:sz="0" w:space="0" w:color="auto"/>
      </w:divBdr>
    </w:div>
    <w:div w:id="338586628">
      <w:bodyDiv w:val="1"/>
      <w:marLeft w:val="0"/>
      <w:marRight w:val="0"/>
      <w:marTop w:val="0"/>
      <w:marBottom w:val="0"/>
      <w:divBdr>
        <w:top w:val="none" w:sz="0" w:space="0" w:color="auto"/>
        <w:left w:val="none" w:sz="0" w:space="0" w:color="auto"/>
        <w:bottom w:val="none" w:sz="0" w:space="0" w:color="auto"/>
        <w:right w:val="none" w:sz="0" w:space="0" w:color="auto"/>
      </w:divBdr>
    </w:div>
    <w:div w:id="342318836">
      <w:bodyDiv w:val="1"/>
      <w:marLeft w:val="0"/>
      <w:marRight w:val="0"/>
      <w:marTop w:val="0"/>
      <w:marBottom w:val="0"/>
      <w:divBdr>
        <w:top w:val="none" w:sz="0" w:space="0" w:color="auto"/>
        <w:left w:val="none" w:sz="0" w:space="0" w:color="auto"/>
        <w:bottom w:val="none" w:sz="0" w:space="0" w:color="auto"/>
        <w:right w:val="none" w:sz="0" w:space="0" w:color="auto"/>
      </w:divBdr>
    </w:div>
    <w:div w:id="347951146">
      <w:bodyDiv w:val="1"/>
      <w:marLeft w:val="0"/>
      <w:marRight w:val="0"/>
      <w:marTop w:val="0"/>
      <w:marBottom w:val="0"/>
      <w:divBdr>
        <w:top w:val="none" w:sz="0" w:space="0" w:color="auto"/>
        <w:left w:val="none" w:sz="0" w:space="0" w:color="auto"/>
        <w:bottom w:val="none" w:sz="0" w:space="0" w:color="auto"/>
        <w:right w:val="none" w:sz="0" w:space="0" w:color="auto"/>
      </w:divBdr>
    </w:div>
    <w:div w:id="353849457">
      <w:bodyDiv w:val="1"/>
      <w:marLeft w:val="0"/>
      <w:marRight w:val="0"/>
      <w:marTop w:val="0"/>
      <w:marBottom w:val="0"/>
      <w:divBdr>
        <w:top w:val="none" w:sz="0" w:space="0" w:color="auto"/>
        <w:left w:val="none" w:sz="0" w:space="0" w:color="auto"/>
        <w:bottom w:val="none" w:sz="0" w:space="0" w:color="auto"/>
        <w:right w:val="none" w:sz="0" w:space="0" w:color="auto"/>
      </w:divBdr>
    </w:div>
    <w:div w:id="360934762">
      <w:bodyDiv w:val="1"/>
      <w:marLeft w:val="0"/>
      <w:marRight w:val="0"/>
      <w:marTop w:val="0"/>
      <w:marBottom w:val="0"/>
      <w:divBdr>
        <w:top w:val="none" w:sz="0" w:space="0" w:color="auto"/>
        <w:left w:val="none" w:sz="0" w:space="0" w:color="auto"/>
        <w:bottom w:val="none" w:sz="0" w:space="0" w:color="auto"/>
        <w:right w:val="none" w:sz="0" w:space="0" w:color="auto"/>
      </w:divBdr>
    </w:div>
    <w:div w:id="364720368">
      <w:bodyDiv w:val="1"/>
      <w:marLeft w:val="0"/>
      <w:marRight w:val="0"/>
      <w:marTop w:val="0"/>
      <w:marBottom w:val="0"/>
      <w:divBdr>
        <w:top w:val="none" w:sz="0" w:space="0" w:color="auto"/>
        <w:left w:val="none" w:sz="0" w:space="0" w:color="auto"/>
        <w:bottom w:val="none" w:sz="0" w:space="0" w:color="auto"/>
        <w:right w:val="none" w:sz="0" w:space="0" w:color="auto"/>
      </w:divBdr>
    </w:div>
    <w:div w:id="367342167">
      <w:bodyDiv w:val="1"/>
      <w:marLeft w:val="0"/>
      <w:marRight w:val="0"/>
      <w:marTop w:val="0"/>
      <w:marBottom w:val="0"/>
      <w:divBdr>
        <w:top w:val="none" w:sz="0" w:space="0" w:color="auto"/>
        <w:left w:val="none" w:sz="0" w:space="0" w:color="auto"/>
        <w:bottom w:val="none" w:sz="0" w:space="0" w:color="auto"/>
        <w:right w:val="none" w:sz="0" w:space="0" w:color="auto"/>
      </w:divBdr>
    </w:div>
    <w:div w:id="383916409">
      <w:bodyDiv w:val="1"/>
      <w:marLeft w:val="0"/>
      <w:marRight w:val="0"/>
      <w:marTop w:val="0"/>
      <w:marBottom w:val="0"/>
      <w:divBdr>
        <w:top w:val="none" w:sz="0" w:space="0" w:color="auto"/>
        <w:left w:val="none" w:sz="0" w:space="0" w:color="auto"/>
        <w:bottom w:val="none" w:sz="0" w:space="0" w:color="auto"/>
        <w:right w:val="none" w:sz="0" w:space="0" w:color="auto"/>
      </w:divBdr>
    </w:div>
    <w:div w:id="389116913">
      <w:bodyDiv w:val="1"/>
      <w:marLeft w:val="0"/>
      <w:marRight w:val="0"/>
      <w:marTop w:val="0"/>
      <w:marBottom w:val="0"/>
      <w:divBdr>
        <w:top w:val="none" w:sz="0" w:space="0" w:color="auto"/>
        <w:left w:val="none" w:sz="0" w:space="0" w:color="auto"/>
        <w:bottom w:val="none" w:sz="0" w:space="0" w:color="auto"/>
        <w:right w:val="none" w:sz="0" w:space="0" w:color="auto"/>
      </w:divBdr>
    </w:div>
    <w:div w:id="392895134">
      <w:bodyDiv w:val="1"/>
      <w:marLeft w:val="0"/>
      <w:marRight w:val="0"/>
      <w:marTop w:val="0"/>
      <w:marBottom w:val="0"/>
      <w:divBdr>
        <w:top w:val="none" w:sz="0" w:space="0" w:color="auto"/>
        <w:left w:val="none" w:sz="0" w:space="0" w:color="auto"/>
        <w:bottom w:val="none" w:sz="0" w:space="0" w:color="auto"/>
        <w:right w:val="none" w:sz="0" w:space="0" w:color="auto"/>
      </w:divBdr>
    </w:div>
    <w:div w:id="395200784">
      <w:bodyDiv w:val="1"/>
      <w:marLeft w:val="0"/>
      <w:marRight w:val="0"/>
      <w:marTop w:val="0"/>
      <w:marBottom w:val="0"/>
      <w:divBdr>
        <w:top w:val="none" w:sz="0" w:space="0" w:color="auto"/>
        <w:left w:val="none" w:sz="0" w:space="0" w:color="auto"/>
        <w:bottom w:val="none" w:sz="0" w:space="0" w:color="auto"/>
        <w:right w:val="none" w:sz="0" w:space="0" w:color="auto"/>
      </w:divBdr>
    </w:div>
    <w:div w:id="395476673">
      <w:bodyDiv w:val="1"/>
      <w:marLeft w:val="0"/>
      <w:marRight w:val="0"/>
      <w:marTop w:val="0"/>
      <w:marBottom w:val="0"/>
      <w:divBdr>
        <w:top w:val="none" w:sz="0" w:space="0" w:color="auto"/>
        <w:left w:val="none" w:sz="0" w:space="0" w:color="auto"/>
        <w:bottom w:val="none" w:sz="0" w:space="0" w:color="auto"/>
        <w:right w:val="none" w:sz="0" w:space="0" w:color="auto"/>
      </w:divBdr>
    </w:div>
    <w:div w:id="401222436">
      <w:bodyDiv w:val="1"/>
      <w:marLeft w:val="0"/>
      <w:marRight w:val="0"/>
      <w:marTop w:val="0"/>
      <w:marBottom w:val="0"/>
      <w:divBdr>
        <w:top w:val="none" w:sz="0" w:space="0" w:color="auto"/>
        <w:left w:val="none" w:sz="0" w:space="0" w:color="auto"/>
        <w:bottom w:val="none" w:sz="0" w:space="0" w:color="auto"/>
        <w:right w:val="none" w:sz="0" w:space="0" w:color="auto"/>
      </w:divBdr>
    </w:div>
    <w:div w:id="409815553">
      <w:bodyDiv w:val="1"/>
      <w:marLeft w:val="0"/>
      <w:marRight w:val="0"/>
      <w:marTop w:val="0"/>
      <w:marBottom w:val="0"/>
      <w:divBdr>
        <w:top w:val="none" w:sz="0" w:space="0" w:color="auto"/>
        <w:left w:val="none" w:sz="0" w:space="0" w:color="auto"/>
        <w:bottom w:val="none" w:sz="0" w:space="0" w:color="auto"/>
        <w:right w:val="none" w:sz="0" w:space="0" w:color="auto"/>
      </w:divBdr>
    </w:div>
    <w:div w:id="410469170">
      <w:bodyDiv w:val="1"/>
      <w:marLeft w:val="0"/>
      <w:marRight w:val="0"/>
      <w:marTop w:val="0"/>
      <w:marBottom w:val="0"/>
      <w:divBdr>
        <w:top w:val="none" w:sz="0" w:space="0" w:color="auto"/>
        <w:left w:val="none" w:sz="0" w:space="0" w:color="auto"/>
        <w:bottom w:val="none" w:sz="0" w:space="0" w:color="auto"/>
        <w:right w:val="none" w:sz="0" w:space="0" w:color="auto"/>
      </w:divBdr>
    </w:div>
    <w:div w:id="411510112">
      <w:bodyDiv w:val="1"/>
      <w:marLeft w:val="0"/>
      <w:marRight w:val="0"/>
      <w:marTop w:val="0"/>
      <w:marBottom w:val="0"/>
      <w:divBdr>
        <w:top w:val="none" w:sz="0" w:space="0" w:color="auto"/>
        <w:left w:val="none" w:sz="0" w:space="0" w:color="auto"/>
        <w:bottom w:val="none" w:sz="0" w:space="0" w:color="auto"/>
        <w:right w:val="none" w:sz="0" w:space="0" w:color="auto"/>
      </w:divBdr>
    </w:div>
    <w:div w:id="411588306">
      <w:bodyDiv w:val="1"/>
      <w:marLeft w:val="0"/>
      <w:marRight w:val="0"/>
      <w:marTop w:val="0"/>
      <w:marBottom w:val="0"/>
      <w:divBdr>
        <w:top w:val="none" w:sz="0" w:space="0" w:color="auto"/>
        <w:left w:val="none" w:sz="0" w:space="0" w:color="auto"/>
        <w:bottom w:val="none" w:sz="0" w:space="0" w:color="auto"/>
        <w:right w:val="none" w:sz="0" w:space="0" w:color="auto"/>
      </w:divBdr>
    </w:div>
    <w:div w:id="413825244">
      <w:bodyDiv w:val="1"/>
      <w:marLeft w:val="0"/>
      <w:marRight w:val="0"/>
      <w:marTop w:val="0"/>
      <w:marBottom w:val="0"/>
      <w:divBdr>
        <w:top w:val="none" w:sz="0" w:space="0" w:color="auto"/>
        <w:left w:val="none" w:sz="0" w:space="0" w:color="auto"/>
        <w:bottom w:val="none" w:sz="0" w:space="0" w:color="auto"/>
        <w:right w:val="none" w:sz="0" w:space="0" w:color="auto"/>
      </w:divBdr>
    </w:div>
    <w:div w:id="414475063">
      <w:bodyDiv w:val="1"/>
      <w:marLeft w:val="0"/>
      <w:marRight w:val="0"/>
      <w:marTop w:val="0"/>
      <w:marBottom w:val="0"/>
      <w:divBdr>
        <w:top w:val="none" w:sz="0" w:space="0" w:color="auto"/>
        <w:left w:val="none" w:sz="0" w:space="0" w:color="auto"/>
        <w:bottom w:val="none" w:sz="0" w:space="0" w:color="auto"/>
        <w:right w:val="none" w:sz="0" w:space="0" w:color="auto"/>
      </w:divBdr>
    </w:div>
    <w:div w:id="419834275">
      <w:bodyDiv w:val="1"/>
      <w:marLeft w:val="0"/>
      <w:marRight w:val="0"/>
      <w:marTop w:val="0"/>
      <w:marBottom w:val="0"/>
      <w:divBdr>
        <w:top w:val="none" w:sz="0" w:space="0" w:color="auto"/>
        <w:left w:val="none" w:sz="0" w:space="0" w:color="auto"/>
        <w:bottom w:val="none" w:sz="0" w:space="0" w:color="auto"/>
        <w:right w:val="none" w:sz="0" w:space="0" w:color="auto"/>
      </w:divBdr>
    </w:div>
    <w:div w:id="422917236">
      <w:bodyDiv w:val="1"/>
      <w:marLeft w:val="0"/>
      <w:marRight w:val="0"/>
      <w:marTop w:val="0"/>
      <w:marBottom w:val="0"/>
      <w:divBdr>
        <w:top w:val="none" w:sz="0" w:space="0" w:color="auto"/>
        <w:left w:val="none" w:sz="0" w:space="0" w:color="auto"/>
        <w:bottom w:val="none" w:sz="0" w:space="0" w:color="auto"/>
        <w:right w:val="none" w:sz="0" w:space="0" w:color="auto"/>
      </w:divBdr>
    </w:div>
    <w:div w:id="429282356">
      <w:bodyDiv w:val="1"/>
      <w:marLeft w:val="0"/>
      <w:marRight w:val="0"/>
      <w:marTop w:val="0"/>
      <w:marBottom w:val="0"/>
      <w:divBdr>
        <w:top w:val="none" w:sz="0" w:space="0" w:color="auto"/>
        <w:left w:val="none" w:sz="0" w:space="0" w:color="auto"/>
        <w:bottom w:val="none" w:sz="0" w:space="0" w:color="auto"/>
        <w:right w:val="none" w:sz="0" w:space="0" w:color="auto"/>
      </w:divBdr>
    </w:div>
    <w:div w:id="430206124">
      <w:bodyDiv w:val="1"/>
      <w:marLeft w:val="0"/>
      <w:marRight w:val="0"/>
      <w:marTop w:val="0"/>
      <w:marBottom w:val="0"/>
      <w:divBdr>
        <w:top w:val="none" w:sz="0" w:space="0" w:color="auto"/>
        <w:left w:val="none" w:sz="0" w:space="0" w:color="auto"/>
        <w:bottom w:val="none" w:sz="0" w:space="0" w:color="auto"/>
        <w:right w:val="none" w:sz="0" w:space="0" w:color="auto"/>
      </w:divBdr>
    </w:div>
    <w:div w:id="435366558">
      <w:bodyDiv w:val="1"/>
      <w:marLeft w:val="0"/>
      <w:marRight w:val="0"/>
      <w:marTop w:val="0"/>
      <w:marBottom w:val="0"/>
      <w:divBdr>
        <w:top w:val="none" w:sz="0" w:space="0" w:color="auto"/>
        <w:left w:val="none" w:sz="0" w:space="0" w:color="auto"/>
        <w:bottom w:val="none" w:sz="0" w:space="0" w:color="auto"/>
        <w:right w:val="none" w:sz="0" w:space="0" w:color="auto"/>
      </w:divBdr>
    </w:div>
    <w:div w:id="456989660">
      <w:bodyDiv w:val="1"/>
      <w:marLeft w:val="0"/>
      <w:marRight w:val="0"/>
      <w:marTop w:val="0"/>
      <w:marBottom w:val="0"/>
      <w:divBdr>
        <w:top w:val="none" w:sz="0" w:space="0" w:color="auto"/>
        <w:left w:val="none" w:sz="0" w:space="0" w:color="auto"/>
        <w:bottom w:val="none" w:sz="0" w:space="0" w:color="auto"/>
        <w:right w:val="none" w:sz="0" w:space="0" w:color="auto"/>
      </w:divBdr>
    </w:div>
    <w:div w:id="470293689">
      <w:bodyDiv w:val="1"/>
      <w:marLeft w:val="0"/>
      <w:marRight w:val="0"/>
      <w:marTop w:val="0"/>
      <w:marBottom w:val="0"/>
      <w:divBdr>
        <w:top w:val="none" w:sz="0" w:space="0" w:color="auto"/>
        <w:left w:val="none" w:sz="0" w:space="0" w:color="auto"/>
        <w:bottom w:val="none" w:sz="0" w:space="0" w:color="auto"/>
        <w:right w:val="none" w:sz="0" w:space="0" w:color="auto"/>
      </w:divBdr>
    </w:div>
    <w:div w:id="481821767">
      <w:bodyDiv w:val="1"/>
      <w:marLeft w:val="0"/>
      <w:marRight w:val="0"/>
      <w:marTop w:val="0"/>
      <w:marBottom w:val="0"/>
      <w:divBdr>
        <w:top w:val="none" w:sz="0" w:space="0" w:color="auto"/>
        <w:left w:val="none" w:sz="0" w:space="0" w:color="auto"/>
        <w:bottom w:val="none" w:sz="0" w:space="0" w:color="auto"/>
        <w:right w:val="none" w:sz="0" w:space="0" w:color="auto"/>
      </w:divBdr>
    </w:div>
    <w:div w:id="486439333">
      <w:bodyDiv w:val="1"/>
      <w:marLeft w:val="0"/>
      <w:marRight w:val="0"/>
      <w:marTop w:val="0"/>
      <w:marBottom w:val="0"/>
      <w:divBdr>
        <w:top w:val="none" w:sz="0" w:space="0" w:color="auto"/>
        <w:left w:val="none" w:sz="0" w:space="0" w:color="auto"/>
        <w:bottom w:val="none" w:sz="0" w:space="0" w:color="auto"/>
        <w:right w:val="none" w:sz="0" w:space="0" w:color="auto"/>
      </w:divBdr>
    </w:div>
    <w:div w:id="488909769">
      <w:bodyDiv w:val="1"/>
      <w:marLeft w:val="0"/>
      <w:marRight w:val="0"/>
      <w:marTop w:val="0"/>
      <w:marBottom w:val="0"/>
      <w:divBdr>
        <w:top w:val="none" w:sz="0" w:space="0" w:color="auto"/>
        <w:left w:val="none" w:sz="0" w:space="0" w:color="auto"/>
        <w:bottom w:val="none" w:sz="0" w:space="0" w:color="auto"/>
        <w:right w:val="none" w:sz="0" w:space="0" w:color="auto"/>
      </w:divBdr>
    </w:div>
    <w:div w:id="493566883">
      <w:bodyDiv w:val="1"/>
      <w:marLeft w:val="0"/>
      <w:marRight w:val="0"/>
      <w:marTop w:val="0"/>
      <w:marBottom w:val="0"/>
      <w:divBdr>
        <w:top w:val="none" w:sz="0" w:space="0" w:color="auto"/>
        <w:left w:val="none" w:sz="0" w:space="0" w:color="auto"/>
        <w:bottom w:val="none" w:sz="0" w:space="0" w:color="auto"/>
        <w:right w:val="none" w:sz="0" w:space="0" w:color="auto"/>
      </w:divBdr>
    </w:div>
    <w:div w:id="496966444">
      <w:bodyDiv w:val="1"/>
      <w:marLeft w:val="0"/>
      <w:marRight w:val="0"/>
      <w:marTop w:val="0"/>
      <w:marBottom w:val="0"/>
      <w:divBdr>
        <w:top w:val="none" w:sz="0" w:space="0" w:color="auto"/>
        <w:left w:val="none" w:sz="0" w:space="0" w:color="auto"/>
        <w:bottom w:val="none" w:sz="0" w:space="0" w:color="auto"/>
        <w:right w:val="none" w:sz="0" w:space="0" w:color="auto"/>
      </w:divBdr>
    </w:div>
    <w:div w:id="498664070">
      <w:bodyDiv w:val="1"/>
      <w:marLeft w:val="0"/>
      <w:marRight w:val="0"/>
      <w:marTop w:val="0"/>
      <w:marBottom w:val="0"/>
      <w:divBdr>
        <w:top w:val="none" w:sz="0" w:space="0" w:color="auto"/>
        <w:left w:val="none" w:sz="0" w:space="0" w:color="auto"/>
        <w:bottom w:val="none" w:sz="0" w:space="0" w:color="auto"/>
        <w:right w:val="none" w:sz="0" w:space="0" w:color="auto"/>
      </w:divBdr>
    </w:div>
    <w:div w:id="508452261">
      <w:bodyDiv w:val="1"/>
      <w:marLeft w:val="0"/>
      <w:marRight w:val="0"/>
      <w:marTop w:val="0"/>
      <w:marBottom w:val="0"/>
      <w:divBdr>
        <w:top w:val="none" w:sz="0" w:space="0" w:color="auto"/>
        <w:left w:val="none" w:sz="0" w:space="0" w:color="auto"/>
        <w:bottom w:val="none" w:sz="0" w:space="0" w:color="auto"/>
        <w:right w:val="none" w:sz="0" w:space="0" w:color="auto"/>
      </w:divBdr>
    </w:div>
    <w:div w:id="516772366">
      <w:bodyDiv w:val="1"/>
      <w:marLeft w:val="0"/>
      <w:marRight w:val="0"/>
      <w:marTop w:val="0"/>
      <w:marBottom w:val="0"/>
      <w:divBdr>
        <w:top w:val="none" w:sz="0" w:space="0" w:color="auto"/>
        <w:left w:val="none" w:sz="0" w:space="0" w:color="auto"/>
        <w:bottom w:val="none" w:sz="0" w:space="0" w:color="auto"/>
        <w:right w:val="none" w:sz="0" w:space="0" w:color="auto"/>
      </w:divBdr>
    </w:div>
    <w:div w:id="517739507">
      <w:bodyDiv w:val="1"/>
      <w:marLeft w:val="0"/>
      <w:marRight w:val="0"/>
      <w:marTop w:val="0"/>
      <w:marBottom w:val="0"/>
      <w:divBdr>
        <w:top w:val="none" w:sz="0" w:space="0" w:color="auto"/>
        <w:left w:val="none" w:sz="0" w:space="0" w:color="auto"/>
        <w:bottom w:val="none" w:sz="0" w:space="0" w:color="auto"/>
        <w:right w:val="none" w:sz="0" w:space="0" w:color="auto"/>
      </w:divBdr>
    </w:div>
    <w:div w:id="517889141">
      <w:bodyDiv w:val="1"/>
      <w:marLeft w:val="0"/>
      <w:marRight w:val="0"/>
      <w:marTop w:val="0"/>
      <w:marBottom w:val="0"/>
      <w:divBdr>
        <w:top w:val="none" w:sz="0" w:space="0" w:color="auto"/>
        <w:left w:val="none" w:sz="0" w:space="0" w:color="auto"/>
        <w:bottom w:val="none" w:sz="0" w:space="0" w:color="auto"/>
        <w:right w:val="none" w:sz="0" w:space="0" w:color="auto"/>
      </w:divBdr>
    </w:div>
    <w:div w:id="522938280">
      <w:bodyDiv w:val="1"/>
      <w:marLeft w:val="0"/>
      <w:marRight w:val="0"/>
      <w:marTop w:val="0"/>
      <w:marBottom w:val="0"/>
      <w:divBdr>
        <w:top w:val="none" w:sz="0" w:space="0" w:color="auto"/>
        <w:left w:val="none" w:sz="0" w:space="0" w:color="auto"/>
        <w:bottom w:val="none" w:sz="0" w:space="0" w:color="auto"/>
        <w:right w:val="none" w:sz="0" w:space="0" w:color="auto"/>
      </w:divBdr>
    </w:div>
    <w:div w:id="529025957">
      <w:bodyDiv w:val="1"/>
      <w:marLeft w:val="0"/>
      <w:marRight w:val="0"/>
      <w:marTop w:val="0"/>
      <w:marBottom w:val="0"/>
      <w:divBdr>
        <w:top w:val="none" w:sz="0" w:space="0" w:color="auto"/>
        <w:left w:val="none" w:sz="0" w:space="0" w:color="auto"/>
        <w:bottom w:val="none" w:sz="0" w:space="0" w:color="auto"/>
        <w:right w:val="none" w:sz="0" w:space="0" w:color="auto"/>
      </w:divBdr>
    </w:div>
    <w:div w:id="535890856">
      <w:bodyDiv w:val="1"/>
      <w:marLeft w:val="0"/>
      <w:marRight w:val="0"/>
      <w:marTop w:val="0"/>
      <w:marBottom w:val="0"/>
      <w:divBdr>
        <w:top w:val="none" w:sz="0" w:space="0" w:color="auto"/>
        <w:left w:val="none" w:sz="0" w:space="0" w:color="auto"/>
        <w:bottom w:val="none" w:sz="0" w:space="0" w:color="auto"/>
        <w:right w:val="none" w:sz="0" w:space="0" w:color="auto"/>
      </w:divBdr>
    </w:div>
    <w:div w:id="540753739">
      <w:bodyDiv w:val="1"/>
      <w:marLeft w:val="0"/>
      <w:marRight w:val="0"/>
      <w:marTop w:val="0"/>
      <w:marBottom w:val="0"/>
      <w:divBdr>
        <w:top w:val="none" w:sz="0" w:space="0" w:color="auto"/>
        <w:left w:val="none" w:sz="0" w:space="0" w:color="auto"/>
        <w:bottom w:val="none" w:sz="0" w:space="0" w:color="auto"/>
        <w:right w:val="none" w:sz="0" w:space="0" w:color="auto"/>
      </w:divBdr>
    </w:div>
    <w:div w:id="562641136">
      <w:bodyDiv w:val="1"/>
      <w:marLeft w:val="0"/>
      <w:marRight w:val="0"/>
      <w:marTop w:val="0"/>
      <w:marBottom w:val="0"/>
      <w:divBdr>
        <w:top w:val="none" w:sz="0" w:space="0" w:color="auto"/>
        <w:left w:val="none" w:sz="0" w:space="0" w:color="auto"/>
        <w:bottom w:val="none" w:sz="0" w:space="0" w:color="auto"/>
        <w:right w:val="none" w:sz="0" w:space="0" w:color="auto"/>
      </w:divBdr>
    </w:div>
    <w:div w:id="575479022">
      <w:bodyDiv w:val="1"/>
      <w:marLeft w:val="0"/>
      <w:marRight w:val="0"/>
      <w:marTop w:val="0"/>
      <w:marBottom w:val="0"/>
      <w:divBdr>
        <w:top w:val="none" w:sz="0" w:space="0" w:color="auto"/>
        <w:left w:val="none" w:sz="0" w:space="0" w:color="auto"/>
        <w:bottom w:val="none" w:sz="0" w:space="0" w:color="auto"/>
        <w:right w:val="none" w:sz="0" w:space="0" w:color="auto"/>
      </w:divBdr>
    </w:div>
    <w:div w:id="576591926">
      <w:bodyDiv w:val="1"/>
      <w:marLeft w:val="0"/>
      <w:marRight w:val="0"/>
      <w:marTop w:val="0"/>
      <w:marBottom w:val="0"/>
      <w:divBdr>
        <w:top w:val="none" w:sz="0" w:space="0" w:color="auto"/>
        <w:left w:val="none" w:sz="0" w:space="0" w:color="auto"/>
        <w:bottom w:val="none" w:sz="0" w:space="0" w:color="auto"/>
        <w:right w:val="none" w:sz="0" w:space="0" w:color="auto"/>
      </w:divBdr>
    </w:div>
    <w:div w:id="587618129">
      <w:bodyDiv w:val="1"/>
      <w:marLeft w:val="0"/>
      <w:marRight w:val="0"/>
      <w:marTop w:val="0"/>
      <w:marBottom w:val="0"/>
      <w:divBdr>
        <w:top w:val="none" w:sz="0" w:space="0" w:color="auto"/>
        <w:left w:val="none" w:sz="0" w:space="0" w:color="auto"/>
        <w:bottom w:val="none" w:sz="0" w:space="0" w:color="auto"/>
        <w:right w:val="none" w:sz="0" w:space="0" w:color="auto"/>
      </w:divBdr>
    </w:div>
    <w:div w:id="597711010">
      <w:bodyDiv w:val="1"/>
      <w:marLeft w:val="0"/>
      <w:marRight w:val="0"/>
      <w:marTop w:val="0"/>
      <w:marBottom w:val="0"/>
      <w:divBdr>
        <w:top w:val="none" w:sz="0" w:space="0" w:color="auto"/>
        <w:left w:val="none" w:sz="0" w:space="0" w:color="auto"/>
        <w:bottom w:val="none" w:sz="0" w:space="0" w:color="auto"/>
        <w:right w:val="none" w:sz="0" w:space="0" w:color="auto"/>
      </w:divBdr>
      <w:divsChild>
        <w:div w:id="1644197423">
          <w:marLeft w:val="0"/>
          <w:marRight w:val="0"/>
          <w:marTop w:val="0"/>
          <w:marBottom w:val="300"/>
          <w:divBdr>
            <w:top w:val="none" w:sz="0" w:space="0" w:color="auto"/>
            <w:left w:val="none" w:sz="0" w:space="0" w:color="auto"/>
            <w:bottom w:val="none" w:sz="0" w:space="0" w:color="auto"/>
            <w:right w:val="none" w:sz="0" w:space="0" w:color="auto"/>
          </w:divBdr>
          <w:divsChild>
            <w:div w:id="1473131252">
              <w:marLeft w:val="0"/>
              <w:marRight w:val="0"/>
              <w:marTop w:val="0"/>
              <w:marBottom w:val="0"/>
              <w:divBdr>
                <w:top w:val="none" w:sz="0" w:space="0" w:color="auto"/>
                <w:left w:val="none" w:sz="0" w:space="0" w:color="auto"/>
                <w:bottom w:val="none" w:sz="0" w:space="0" w:color="auto"/>
                <w:right w:val="none" w:sz="0" w:space="0" w:color="auto"/>
              </w:divBdr>
            </w:div>
          </w:divsChild>
        </w:div>
        <w:div w:id="1891846311">
          <w:marLeft w:val="0"/>
          <w:marRight w:val="0"/>
          <w:marTop w:val="100"/>
          <w:marBottom w:val="100"/>
          <w:divBdr>
            <w:top w:val="none" w:sz="0" w:space="0" w:color="auto"/>
            <w:left w:val="none" w:sz="0" w:space="0" w:color="auto"/>
            <w:bottom w:val="none" w:sz="0" w:space="0" w:color="auto"/>
            <w:right w:val="none" w:sz="0" w:space="0" w:color="auto"/>
          </w:divBdr>
          <w:divsChild>
            <w:div w:id="1675835842">
              <w:marLeft w:val="0"/>
              <w:marRight w:val="0"/>
              <w:marTop w:val="0"/>
              <w:marBottom w:val="0"/>
              <w:divBdr>
                <w:top w:val="none" w:sz="0" w:space="0" w:color="auto"/>
                <w:left w:val="none" w:sz="0" w:space="0" w:color="auto"/>
                <w:bottom w:val="none" w:sz="0" w:space="0" w:color="auto"/>
                <w:right w:val="none" w:sz="0" w:space="0" w:color="auto"/>
              </w:divBdr>
              <w:divsChild>
                <w:div w:id="239491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407443">
      <w:bodyDiv w:val="1"/>
      <w:marLeft w:val="0"/>
      <w:marRight w:val="0"/>
      <w:marTop w:val="0"/>
      <w:marBottom w:val="0"/>
      <w:divBdr>
        <w:top w:val="none" w:sz="0" w:space="0" w:color="auto"/>
        <w:left w:val="none" w:sz="0" w:space="0" w:color="auto"/>
        <w:bottom w:val="none" w:sz="0" w:space="0" w:color="auto"/>
        <w:right w:val="none" w:sz="0" w:space="0" w:color="auto"/>
      </w:divBdr>
    </w:div>
    <w:div w:id="601256671">
      <w:bodyDiv w:val="1"/>
      <w:marLeft w:val="0"/>
      <w:marRight w:val="0"/>
      <w:marTop w:val="0"/>
      <w:marBottom w:val="0"/>
      <w:divBdr>
        <w:top w:val="none" w:sz="0" w:space="0" w:color="auto"/>
        <w:left w:val="none" w:sz="0" w:space="0" w:color="auto"/>
        <w:bottom w:val="none" w:sz="0" w:space="0" w:color="auto"/>
        <w:right w:val="none" w:sz="0" w:space="0" w:color="auto"/>
      </w:divBdr>
    </w:div>
    <w:div w:id="603653324">
      <w:bodyDiv w:val="1"/>
      <w:marLeft w:val="0"/>
      <w:marRight w:val="0"/>
      <w:marTop w:val="0"/>
      <w:marBottom w:val="0"/>
      <w:divBdr>
        <w:top w:val="none" w:sz="0" w:space="0" w:color="auto"/>
        <w:left w:val="none" w:sz="0" w:space="0" w:color="auto"/>
        <w:bottom w:val="none" w:sz="0" w:space="0" w:color="auto"/>
        <w:right w:val="none" w:sz="0" w:space="0" w:color="auto"/>
      </w:divBdr>
    </w:div>
    <w:div w:id="620189627">
      <w:bodyDiv w:val="1"/>
      <w:marLeft w:val="0"/>
      <w:marRight w:val="0"/>
      <w:marTop w:val="0"/>
      <w:marBottom w:val="0"/>
      <w:divBdr>
        <w:top w:val="none" w:sz="0" w:space="0" w:color="auto"/>
        <w:left w:val="none" w:sz="0" w:space="0" w:color="auto"/>
        <w:bottom w:val="none" w:sz="0" w:space="0" w:color="auto"/>
        <w:right w:val="none" w:sz="0" w:space="0" w:color="auto"/>
      </w:divBdr>
    </w:div>
    <w:div w:id="630670712">
      <w:bodyDiv w:val="1"/>
      <w:marLeft w:val="0"/>
      <w:marRight w:val="0"/>
      <w:marTop w:val="0"/>
      <w:marBottom w:val="0"/>
      <w:divBdr>
        <w:top w:val="none" w:sz="0" w:space="0" w:color="auto"/>
        <w:left w:val="none" w:sz="0" w:space="0" w:color="auto"/>
        <w:bottom w:val="none" w:sz="0" w:space="0" w:color="auto"/>
        <w:right w:val="none" w:sz="0" w:space="0" w:color="auto"/>
      </w:divBdr>
    </w:div>
    <w:div w:id="633176009">
      <w:bodyDiv w:val="1"/>
      <w:marLeft w:val="0"/>
      <w:marRight w:val="0"/>
      <w:marTop w:val="0"/>
      <w:marBottom w:val="0"/>
      <w:divBdr>
        <w:top w:val="none" w:sz="0" w:space="0" w:color="auto"/>
        <w:left w:val="none" w:sz="0" w:space="0" w:color="auto"/>
        <w:bottom w:val="none" w:sz="0" w:space="0" w:color="auto"/>
        <w:right w:val="none" w:sz="0" w:space="0" w:color="auto"/>
      </w:divBdr>
    </w:div>
    <w:div w:id="644511588">
      <w:bodyDiv w:val="1"/>
      <w:marLeft w:val="0"/>
      <w:marRight w:val="0"/>
      <w:marTop w:val="0"/>
      <w:marBottom w:val="0"/>
      <w:divBdr>
        <w:top w:val="none" w:sz="0" w:space="0" w:color="auto"/>
        <w:left w:val="none" w:sz="0" w:space="0" w:color="auto"/>
        <w:bottom w:val="none" w:sz="0" w:space="0" w:color="auto"/>
        <w:right w:val="none" w:sz="0" w:space="0" w:color="auto"/>
      </w:divBdr>
    </w:div>
    <w:div w:id="650911724">
      <w:bodyDiv w:val="1"/>
      <w:marLeft w:val="0"/>
      <w:marRight w:val="0"/>
      <w:marTop w:val="0"/>
      <w:marBottom w:val="0"/>
      <w:divBdr>
        <w:top w:val="none" w:sz="0" w:space="0" w:color="auto"/>
        <w:left w:val="none" w:sz="0" w:space="0" w:color="auto"/>
        <w:bottom w:val="none" w:sz="0" w:space="0" w:color="auto"/>
        <w:right w:val="none" w:sz="0" w:space="0" w:color="auto"/>
      </w:divBdr>
    </w:div>
    <w:div w:id="651712631">
      <w:bodyDiv w:val="1"/>
      <w:marLeft w:val="0"/>
      <w:marRight w:val="0"/>
      <w:marTop w:val="0"/>
      <w:marBottom w:val="0"/>
      <w:divBdr>
        <w:top w:val="none" w:sz="0" w:space="0" w:color="auto"/>
        <w:left w:val="none" w:sz="0" w:space="0" w:color="auto"/>
        <w:bottom w:val="none" w:sz="0" w:space="0" w:color="auto"/>
        <w:right w:val="none" w:sz="0" w:space="0" w:color="auto"/>
      </w:divBdr>
    </w:div>
    <w:div w:id="666633057">
      <w:bodyDiv w:val="1"/>
      <w:marLeft w:val="0"/>
      <w:marRight w:val="0"/>
      <w:marTop w:val="0"/>
      <w:marBottom w:val="0"/>
      <w:divBdr>
        <w:top w:val="none" w:sz="0" w:space="0" w:color="auto"/>
        <w:left w:val="none" w:sz="0" w:space="0" w:color="auto"/>
        <w:bottom w:val="none" w:sz="0" w:space="0" w:color="auto"/>
        <w:right w:val="none" w:sz="0" w:space="0" w:color="auto"/>
      </w:divBdr>
    </w:div>
    <w:div w:id="680618479">
      <w:bodyDiv w:val="1"/>
      <w:marLeft w:val="0"/>
      <w:marRight w:val="0"/>
      <w:marTop w:val="0"/>
      <w:marBottom w:val="0"/>
      <w:divBdr>
        <w:top w:val="none" w:sz="0" w:space="0" w:color="auto"/>
        <w:left w:val="none" w:sz="0" w:space="0" w:color="auto"/>
        <w:bottom w:val="none" w:sz="0" w:space="0" w:color="auto"/>
        <w:right w:val="none" w:sz="0" w:space="0" w:color="auto"/>
      </w:divBdr>
    </w:div>
    <w:div w:id="686953012">
      <w:bodyDiv w:val="1"/>
      <w:marLeft w:val="0"/>
      <w:marRight w:val="0"/>
      <w:marTop w:val="0"/>
      <w:marBottom w:val="0"/>
      <w:divBdr>
        <w:top w:val="none" w:sz="0" w:space="0" w:color="auto"/>
        <w:left w:val="none" w:sz="0" w:space="0" w:color="auto"/>
        <w:bottom w:val="none" w:sz="0" w:space="0" w:color="auto"/>
        <w:right w:val="none" w:sz="0" w:space="0" w:color="auto"/>
      </w:divBdr>
    </w:div>
    <w:div w:id="692146056">
      <w:bodyDiv w:val="1"/>
      <w:marLeft w:val="0"/>
      <w:marRight w:val="0"/>
      <w:marTop w:val="0"/>
      <w:marBottom w:val="0"/>
      <w:divBdr>
        <w:top w:val="none" w:sz="0" w:space="0" w:color="auto"/>
        <w:left w:val="none" w:sz="0" w:space="0" w:color="auto"/>
        <w:bottom w:val="none" w:sz="0" w:space="0" w:color="auto"/>
        <w:right w:val="none" w:sz="0" w:space="0" w:color="auto"/>
      </w:divBdr>
    </w:div>
    <w:div w:id="694696667">
      <w:bodyDiv w:val="1"/>
      <w:marLeft w:val="0"/>
      <w:marRight w:val="0"/>
      <w:marTop w:val="0"/>
      <w:marBottom w:val="0"/>
      <w:divBdr>
        <w:top w:val="none" w:sz="0" w:space="0" w:color="auto"/>
        <w:left w:val="none" w:sz="0" w:space="0" w:color="auto"/>
        <w:bottom w:val="none" w:sz="0" w:space="0" w:color="auto"/>
        <w:right w:val="none" w:sz="0" w:space="0" w:color="auto"/>
      </w:divBdr>
    </w:div>
    <w:div w:id="704058188">
      <w:bodyDiv w:val="1"/>
      <w:marLeft w:val="0"/>
      <w:marRight w:val="0"/>
      <w:marTop w:val="0"/>
      <w:marBottom w:val="0"/>
      <w:divBdr>
        <w:top w:val="none" w:sz="0" w:space="0" w:color="auto"/>
        <w:left w:val="none" w:sz="0" w:space="0" w:color="auto"/>
        <w:bottom w:val="none" w:sz="0" w:space="0" w:color="auto"/>
        <w:right w:val="none" w:sz="0" w:space="0" w:color="auto"/>
      </w:divBdr>
    </w:div>
    <w:div w:id="710886027">
      <w:bodyDiv w:val="1"/>
      <w:marLeft w:val="0"/>
      <w:marRight w:val="0"/>
      <w:marTop w:val="0"/>
      <w:marBottom w:val="0"/>
      <w:divBdr>
        <w:top w:val="none" w:sz="0" w:space="0" w:color="auto"/>
        <w:left w:val="none" w:sz="0" w:space="0" w:color="auto"/>
        <w:bottom w:val="none" w:sz="0" w:space="0" w:color="auto"/>
        <w:right w:val="none" w:sz="0" w:space="0" w:color="auto"/>
      </w:divBdr>
    </w:div>
    <w:div w:id="716274475">
      <w:bodyDiv w:val="1"/>
      <w:marLeft w:val="0"/>
      <w:marRight w:val="0"/>
      <w:marTop w:val="0"/>
      <w:marBottom w:val="0"/>
      <w:divBdr>
        <w:top w:val="none" w:sz="0" w:space="0" w:color="auto"/>
        <w:left w:val="none" w:sz="0" w:space="0" w:color="auto"/>
        <w:bottom w:val="none" w:sz="0" w:space="0" w:color="auto"/>
        <w:right w:val="none" w:sz="0" w:space="0" w:color="auto"/>
      </w:divBdr>
    </w:div>
    <w:div w:id="717363260">
      <w:bodyDiv w:val="1"/>
      <w:marLeft w:val="0"/>
      <w:marRight w:val="0"/>
      <w:marTop w:val="0"/>
      <w:marBottom w:val="0"/>
      <w:divBdr>
        <w:top w:val="none" w:sz="0" w:space="0" w:color="auto"/>
        <w:left w:val="none" w:sz="0" w:space="0" w:color="auto"/>
        <w:bottom w:val="none" w:sz="0" w:space="0" w:color="auto"/>
        <w:right w:val="none" w:sz="0" w:space="0" w:color="auto"/>
      </w:divBdr>
    </w:div>
    <w:div w:id="719138409">
      <w:bodyDiv w:val="1"/>
      <w:marLeft w:val="0"/>
      <w:marRight w:val="0"/>
      <w:marTop w:val="0"/>
      <w:marBottom w:val="0"/>
      <w:divBdr>
        <w:top w:val="none" w:sz="0" w:space="0" w:color="auto"/>
        <w:left w:val="none" w:sz="0" w:space="0" w:color="auto"/>
        <w:bottom w:val="none" w:sz="0" w:space="0" w:color="auto"/>
        <w:right w:val="none" w:sz="0" w:space="0" w:color="auto"/>
      </w:divBdr>
    </w:div>
    <w:div w:id="720401495">
      <w:bodyDiv w:val="1"/>
      <w:marLeft w:val="0"/>
      <w:marRight w:val="0"/>
      <w:marTop w:val="0"/>
      <w:marBottom w:val="0"/>
      <w:divBdr>
        <w:top w:val="none" w:sz="0" w:space="0" w:color="auto"/>
        <w:left w:val="none" w:sz="0" w:space="0" w:color="auto"/>
        <w:bottom w:val="none" w:sz="0" w:space="0" w:color="auto"/>
        <w:right w:val="none" w:sz="0" w:space="0" w:color="auto"/>
      </w:divBdr>
    </w:div>
    <w:div w:id="725421233">
      <w:bodyDiv w:val="1"/>
      <w:marLeft w:val="0"/>
      <w:marRight w:val="0"/>
      <w:marTop w:val="0"/>
      <w:marBottom w:val="0"/>
      <w:divBdr>
        <w:top w:val="none" w:sz="0" w:space="0" w:color="auto"/>
        <w:left w:val="none" w:sz="0" w:space="0" w:color="auto"/>
        <w:bottom w:val="none" w:sz="0" w:space="0" w:color="auto"/>
        <w:right w:val="none" w:sz="0" w:space="0" w:color="auto"/>
      </w:divBdr>
    </w:div>
    <w:div w:id="733821046">
      <w:bodyDiv w:val="1"/>
      <w:marLeft w:val="0"/>
      <w:marRight w:val="0"/>
      <w:marTop w:val="0"/>
      <w:marBottom w:val="0"/>
      <w:divBdr>
        <w:top w:val="none" w:sz="0" w:space="0" w:color="auto"/>
        <w:left w:val="none" w:sz="0" w:space="0" w:color="auto"/>
        <w:bottom w:val="none" w:sz="0" w:space="0" w:color="auto"/>
        <w:right w:val="none" w:sz="0" w:space="0" w:color="auto"/>
      </w:divBdr>
    </w:div>
    <w:div w:id="739640024">
      <w:bodyDiv w:val="1"/>
      <w:marLeft w:val="0"/>
      <w:marRight w:val="0"/>
      <w:marTop w:val="0"/>
      <w:marBottom w:val="0"/>
      <w:divBdr>
        <w:top w:val="none" w:sz="0" w:space="0" w:color="auto"/>
        <w:left w:val="none" w:sz="0" w:space="0" w:color="auto"/>
        <w:bottom w:val="none" w:sz="0" w:space="0" w:color="auto"/>
        <w:right w:val="none" w:sz="0" w:space="0" w:color="auto"/>
      </w:divBdr>
    </w:div>
    <w:div w:id="753358702">
      <w:bodyDiv w:val="1"/>
      <w:marLeft w:val="0"/>
      <w:marRight w:val="0"/>
      <w:marTop w:val="0"/>
      <w:marBottom w:val="0"/>
      <w:divBdr>
        <w:top w:val="none" w:sz="0" w:space="0" w:color="auto"/>
        <w:left w:val="none" w:sz="0" w:space="0" w:color="auto"/>
        <w:bottom w:val="none" w:sz="0" w:space="0" w:color="auto"/>
        <w:right w:val="none" w:sz="0" w:space="0" w:color="auto"/>
      </w:divBdr>
    </w:div>
    <w:div w:id="756368859">
      <w:bodyDiv w:val="1"/>
      <w:marLeft w:val="0"/>
      <w:marRight w:val="0"/>
      <w:marTop w:val="0"/>
      <w:marBottom w:val="0"/>
      <w:divBdr>
        <w:top w:val="none" w:sz="0" w:space="0" w:color="auto"/>
        <w:left w:val="none" w:sz="0" w:space="0" w:color="auto"/>
        <w:bottom w:val="none" w:sz="0" w:space="0" w:color="auto"/>
        <w:right w:val="none" w:sz="0" w:space="0" w:color="auto"/>
      </w:divBdr>
    </w:div>
    <w:div w:id="761416613">
      <w:bodyDiv w:val="1"/>
      <w:marLeft w:val="0"/>
      <w:marRight w:val="0"/>
      <w:marTop w:val="0"/>
      <w:marBottom w:val="0"/>
      <w:divBdr>
        <w:top w:val="none" w:sz="0" w:space="0" w:color="auto"/>
        <w:left w:val="none" w:sz="0" w:space="0" w:color="auto"/>
        <w:bottom w:val="none" w:sz="0" w:space="0" w:color="auto"/>
        <w:right w:val="none" w:sz="0" w:space="0" w:color="auto"/>
      </w:divBdr>
    </w:div>
    <w:div w:id="769399171">
      <w:bodyDiv w:val="1"/>
      <w:marLeft w:val="0"/>
      <w:marRight w:val="0"/>
      <w:marTop w:val="0"/>
      <w:marBottom w:val="0"/>
      <w:divBdr>
        <w:top w:val="none" w:sz="0" w:space="0" w:color="auto"/>
        <w:left w:val="none" w:sz="0" w:space="0" w:color="auto"/>
        <w:bottom w:val="none" w:sz="0" w:space="0" w:color="auto"/>
        <w:right w:val="none" w:sz="0" w:space="0" w:color="auto"/>
      </w:divBdr>
    </w:div>
    <w:div w:id="787743846">
      <w:bodyDiv w:val="1"/>
      <w:marLeft w:val="0"/>
      <w:marRight w:val="0"/>
      <w:marTop w:val="0"/>
      <w:marBottom w:val="0"/>
      <w:divBdr>
        <w:top w:val="none" w:sz="0" w:space="0" w:color="auto"/>
        <w:left w:val="none" w:sz="0" w:space="0" w:color="auto"/>
        <w:bottom w:val="none" w:sz="0" w:space="0" w:color="auto"/>
        <w:right w:val="none" w:sz="0" w:space="0" w:color="auto"/>
      </w:divBdr>
    </w:div>
    <w:div w:id="795872422">
      <w:bodyDiv w:val="1"/>
      <w:marLeft w:val="0"/>
      <w:marRight w:val="0"/>
      <w:marTop w:val="0"/>
      <w:marBottom w:val="0"/>
      <w:divBdr>
        <w:top w:val="none" w:sz="0" w:space="0" w:color="auto"/>
        <w:left w:val="none" w:sz="0" w:space="0" w:color="auto"/>
        <w:bottom w:val="none" w:sz="0" w:space="0" w:color="auto"/>
        <w:right w:val="none" w:sz="0" w:space="0" w:color="auto"/>
      </w:divBdr>
    </w:div>
    <w:div w:id="837695385">
      <w:bodyDiv w:val="1"/>
      <w:marLeft w:val="0"/>
      <w:marRight w:val="0"/>
      <w:marTop w:val="0"/>
      <w:marBottom w:val="0"/>
      <w:divBdr>
        <w:top w:val="none" w:sz="0" w:space="0" w:color="auto"/>
        <w:left w:val="none" w:sz="0" w:space="0" w:color="auto"/>
        <w:bottom w:val="none" w:sz="0" w:space="0" w:color="auto"/>
        <w:right w:val="none" w:sz="0" w:space="0" w:color="auto"/>
      </w:divBdr>
    </w:div>
    <w:div w:id="855194870">
      <w:bodyDiv w:val="1"/>
      <w:marLeft w:val="0"/>
      <w:marRight w:val="0"/>
      <w:marTop w:val="0"/>
      <w:marBottom w:val="0"/>
      <w:divBdr>
        <w:top w:val="none" w:sz="0" w:space="0" w:color="auto"/>
        <w:left w:val="none" w:sz="0" w:space="0" w:color="auto"/>
        <w:bottom w:val="none" w:sz="0" w:space="0" w:color="auto"/>
        <w:right w:val="none" w:sz="0" w:space="0" w:color="auto"/>
      </w:divBdr>
    </w:div>
    <w:div w:id="856887319">
      <w:bodyDiv w:val="1"/>
      <w:marLeft w:val="0"/>
      <w:marRight w:val="0"/>
      <w:marTop w:val="0"/>
      <w:marBottom w:val="0"/>
      <w:divBdr>
        <w:top w:val="none" w:sz="0" w:space="0" w:color="auto"/>
        <w:left w:val="none" w:sz="0" w:space="0" w:color="auto"/>
        <w:bottom w:val="none" w:sz="0" w:space="0" w:color="auto"/>
        <w:right w:val="none" w:sz="0" w:space="0" w:color="auto"/>
      </w:divBdr>
      <w:divsChild>
        <w:div w:id="548955036">
          <w:marLeft w:val="0"/>
          <w:marRight w:val="0"/>
          <w:marTop w:val="0"/>
          <w:marBottom w:val="0"/>
          <w:divBdr>
            <w:top w:val="single" w:sz="2" w:space="0" w:color="E5E7EB"/>
            <w:left w:val="single" w:sz="2" w:space="0" w:color="E5E7EB"/>
            <w:bottom w:val="single" w:sz="2" w:space="0" w:color="E5E7EB"/>
            <w:right w:val="single" w:sz="2" w:space="0" w:color="E5E7EB"/>
          </w:divBdr>
          <w:divsChild>
            <w:div w:id="1407453139">
              <w:marLeft w:val="0"/>
              <w:marRight w:val="0"/>
              <w:marTop w:val="0"/>
              <w:marBottom w:val="0"/>
              <w:divBdr>
                <w:top w:val="single" w:sz="2" w:space="0" w:color="auto"/>
                <w:left w:val="single" w:sz="2" w:space="0" w:color="auto"/>
                <w:bottom w:val="single" w:sz="2" w:space="0" w:color="auto"/>
                <w:right w:val="single" w:sz="2" w:space="0" w:color="auto"/>
              </w:divBdr>
              <w:divsChild>
                <w:div w:id="1154222519">
                  <w:marLeft w:val="0"/>
                  <w:marRight w:val="0"/>
                  <w:marTop w:val="0"/>
                  <w:marBottom w:val="0"/>
                  <w:divBdr>
                    <w:top w:val="single" w:sz="2" w:space="0" w:color="auto"/>
                    <w:left w:val="single" w:sz="2" w:space="0" w:color="auto"/>
                    <w:bottom w:val="single" w:sz="2" w:space="0" w:color="auto"/>
                    <w:right w:val="single" w:sz="2" w:space="0" w:color="auto"/>
                  </w:divBdr>
                  <w:divsChild>
                    <w:div w:id="1399280474">
                      <w:marLeft w:val="0"/>
                      <w:marRight w:val="0"/>
                      <w:marTop w:val="0"/>
                      <w:marBottom w:val="0"/>
                      <w:divBdr>
                        <w:top w:val="single" w:sz="2" w:space="0" w:color="E5E7EB"/>
                        <w:left w:val="single" w:sz="2" w:space="0" w:color="E5E7EB"/>
                        <w:bottom w:val="single" w:sz="2" w:space="0" w:color="E5E7EB"/>
                        <w:right w:val="single" w:sz="2" w:space="0" w:color="E5E7EB"/>
                      </w:divBdr>
                      <w:divsChild>
                        <w:div w:id="1241908994">
                          <w:marLeft w:val="0"/>
                          <w:marRight w:val="0"/>
                          <w:marTop w:val="0"/>
                          <w:marBottom w:val="0"/>
                          <w:divBdr>
                            <w:top w:val="single" w:sz="2" w:space="0" w:color="E5E7EB"/>
                            <w:left w:val="single" w:sz="2" w:space="0" w:color="E5E7EB"/>
                            <w:bottom w:val="single" w:sz="2" w:space="0" w:color="E5E7EB"/>
                            <w:right w:val="single" w:sz="2" w:space="0" w:color="E5E7EB"/>
                          </w:divBdr>
                          <w:divsChild>
                            <w:div w:id="344745753">
                              <w:marLeft w:val="0"/>
                              <w:marRight w:val="0"/>
                              <w:marTop w:val="0"/>
                              <w:marBottom w:val="0"/>
                              <w:divBdr>
                                <w:top w:val="single" w:sz="2" w:space="0" w:color="E5E7EB"/>
                                <w:left w:val="single" w:sz="2" w:space="0" w:color="E5E7EB"/>
                                <w:bottom w:val="single" w:sz="2" w:space="0" w:color="E5E7EB"/>
                                <w:right w:val="single" w:sz="2" w:space="0" w:color="E5E7EB"/>
                              </w:divBdr>
                              <w:divsChild>
                                <w:div w:id="31460484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2015067180">
                  <w:marLeft w:val="0"/>
                  <w:marRight w:val="0"/>
                  <w:marTop w:val="0"/>
                  <w:marBottom w:val="0"/>
                  <w:divBdr>
                    <w:top w:val="single" w:sz="2" w:space="0" w:color="auto"/>
                    <w:left w:val="single" w:sz="2" w:space="0" w:color="auto"/>
                    <w:bottom w:val="single" w:sz="2" w:space="0" w:color="auto"/>
                    <w:right w:val="single" w:sz="2" w:space="0" w:color="auto"/>
                  </w:divBdr>
                  <w:divsChild>
                    <w:div w:id="96220540">
                      <w:marLeft w:val="0"/>
                      <w:marRight w:val="0"/>
                      <w:marTop w:val="0"/>
                      <w:marBottom w:val="0"/>
                      <w:divBdr>
                        <w:top w:val="single" w:sz="2" w:space="0" w:color="E5E7EB"/>
                        <w:left w:val="single" w:sz="2" w:space="0" w:color="E5E7EB"/>
                        <w:bottom w:val="single" w:sz="2" w:space="0" w:color="E5E7EB"/>
                        <w:right w:val="single" w:sz="2" w:space="0" w:color="E5E7EB"/>
                      </w:divBdr>
                      <w:divsChild>
                        <w:div w:id="434863219">
                          <w:marLeft w:val="0"/>
                          <w:marRight w:val="0"/>
                          <w:marTop w:val="0"/>
                          <w:marBottom w:val="0"/>
                          <w:divBdr>
                            <w:top w:val="single" w:sz="2" w:space="0" w:color="E5E7EB"/>
                            <w:left w:val="single" w:sz="2" w:space="0" w:color="E5E7EB"/>
                            <w:bottom w:val="single" w:sz="2" w:space="0" w:color="E5E7EB"/>
                            <w:right w:val="single" w:sz="2" w:space="0" w:color="E5E7EB"/>
                          </w:divBdr>
                          <w:divsChild>
                            <w:div w:id="1630281561">
                              <w:marLeft w:val="0"/>
                              <w:marRight w:val="0"/>
                              <w:marTop w:val="0"/>
                              <w:marBottom w:val="0"/>
                              <w:divBdr>
                                <w:top w:val="single" w:sz="2" w:space="0" w:color="E5E7EB"/>
                                <w:left w:val="single" w:sz="2" w:space="0" w:color="E5E7EB"/>
                                <w:bottom w:val="single" w:sz="2" w:space="0" w:color="E5E7EB"/>
                                <w:right w:val="single" w:sz="2" w:space="0" w:color="E5E7EB"/>
                              </w:divBdr>
                              <w:divsChild>
                                <w:div w:id="87801072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38334021">
                          <w:marLeft w:val="0"/>
                          <w:marRight w:val="0"/>
                          <w:marTop w:val="0"/>
                          <w:marBottom w:val="0"/>
                          <w:divBdr>
                            <w:top w:val="single" w:sz="2" w:space="0" w:color="E5E7EB"/>
                            <w:left w:val="single" w:sz="2" w:space="0" w:color="E5E7EB"/>
                            <w:bottom w:val="single" w:sz="2" w:space="0" w:color="E5E7EB"/>
                            <w:right w:val="single" w:sz="2" w:space="0" w:color="E5E7EB"/>
                          </w:divBdr>
                          <w:divsChild>
                            <w:div w:id="848182245">
                              <w:marLeft w:val="0"/>
                              <w:marRight w:val="0"/>
                              <w:marTop w:val="0"/>
                              <w:marBottom w:val="0"/>
                              <w:divBdr>
                                <w:top w:val="single" w:sz="2" w:space="0" w:color="E5E7EB"/>
                                <w:left w:val="single" w:sz="2" w:space="0" w:color="E5E7EB"/>
                                <w:bottom w:val="single" w:sz="2" w:space="0" w:color="E5E7EB"/>
                                <w:right w:val="single" w:sz="2" w:space="0" w:color="E5E7EB"/>
                              </w:divBdr>
                              <w:divsChild>
                                <w:div w:id="1619331447">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636570283">
                          <w:marLeft w:val="0"/>
                          <w:marRight w:val="0"/>
                          <w:marTop w:val="0"/>
                          <w:marBottom w:val="0"/>
                          <w:divBdr>
                            <w:top w:val="single" w:sz="2" w:space="0" w:color="E5E7EB"/>
                            <w:left w:val="single" w:sz="2" w:space="0" w:color="E5E7EB"/>
                            <w:bottom w:val="single" w:sz="2" w:space="0" w:color="E5E7EB"/>
                            <w:right w:val="single" w:sz="2" w:space="0" w:color="E5E7EB"/>
                          </w:divBdr>
                          <w:divsChild>
                            <w:div w:id="118517355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871726486">
      <w:bodyDiv w:val="1"/>
      <w:marLeft w:val="0"/>
      <w:marRight w:val="0"/>
      <w:marTop w:val="0"/>
      <w:marBottom w:val="0"/>
      <w:divBdr>
        <w:top w:val="none" w:sz="0" w:space="0" w:color="auto"/>
        <w:left w:val="none" w:sz="0" w:space="0" w:color="auto"/>
        <w:bottom w:val="none" w:sz="0" w:space="0" w:color="auto"/>
        <w:right w:val="none" w:sz="0" w:space="0" w:color="auto"/>
      </w:divBdr>
    </w:div>
    <w:div w:id="877618799">
      <w:bodyDiv w:val="1"/>
      <w:marLeft w:val="0"/>
      <w:marRight w:val="0"/>
      <w:marTop w:val="0"/>
      <w:marBottom w:val="0"/>
      <w:divBdr>
        <w:top w:val="none" w:sz="0" w:space="0" w:color="auto"/>
        <w:left w:val="none" w:sz="0" w:space="0" w:color="auto"/>
        <w:bottom w:val="none" w:sz="0" w:space="0" w:color="auto"/>
        <w:right w:val="none" w:sz="0" w:space="0" w:color="auto"/>
      </w:divBdr>
    </w:div>
    <w:div w:id="902912978">
      <w:bodyDiv w:val="1"/>
      <w:marLeft w:val="0"/>
      <w:marRight w:val="0"/>
      <w:marTop w:val="0"/>
      <w:marBottom w:val="0"/>
      <w:divBdr>
        <w:top w:val="none" w:sz="0" w:space="0" w:color="auto"/>
        <w:left w:val="none" w:sz="0" w:space="0" w:color="auto"/>
        <w:bottom w:val="none" w:sz="0" w:space="0" w:color="auto"/>
        <w:right w:val="none" w:sz="0" w:space="0" w:color="auto"/>
      </w:divBdr>
    </w:div>
    <w:div w:id="905140181">
      <w:bodyDiv w:val="1"/>
      <w:marLeft w:val="0"/>
      <w:marRight w:val="0"/>
      <w:marTop w:val="0"/>
      <w:marBottom w:val="0"/>
      <w:divBdr>
        <w:top w:val="none" w:sz="0" w:space="0" w:color="auto"/>
        <w:left w:val="none" w:sz="0" w:space="0" w:color="auto"/>
        <w:bottom w:val="none" w:sz="0" w:space="0" w:color="auto"/>
        <w:right w:val="none" w:sz="0" w:space="0" w:color="auto"/>
      </w:divBdr>
    </w:div>
    <w:div w:id="920915068">
      <w:bodyDiv w:val="1"/>
      <w:marLeft w:val="0"/>
      <w:marRight w:val="0"/>
      <w:marTop w:val="0"/>
      <w:marBottom w:val="0"/>
      <w:divBdr>
        <w:top w:val="none" w:sz="0" w:space="0" w:color="auto"/>
        <w:left w:val="none" w:sz="0" w:space="0" w:color="auto"/>
        <w:bottom w:val="none" w:sz="0" w:space="0" w:color="auto"/>
        <w:right w:val="none" w:sz="0" w:space="0" w:color="auto"/>
      </w:divBdr>
    </w:div>
    <w:div w:id="921648668">
      <w:bodyDiv w:val="1"/>
      <w:marLeft w:val="0"/>
      <w:marRight w:val="0"/>
      <w:marTop w:val="0"/>
      <w:marBottom w:val="0"/>
      <w:divBdr>
        <w:top w:val="none" w:sz="0" w:space="0" w:color="auto"/>
        <w:left w:val="none" w:sz="0" w:space="0" w:color="auto"/>
        <w:bottom w:val="none" w:sz="0" w:space="0" w:color="auto"/>
        <w:right w:val="none" w:sz="0" w:space="0" w:color="auto"/>
      </w:divBdr>
    </w:div>
    <w:div w:id="927424717">
      <w:bodyDiv w:val="1"/>
      <w:marLeft w:val="0"/>
      <w:marRight w:val="0"/>
      <w:marTop w:val="0"/>
      <w:marBottom w:val="0"/>
      <w:divBdr>
        <w:top w:val="none" w:sz="0" w:space="0" w:color="auto"/>
        <w:left w:val="none" w:sz="0" w:space="0" w:color="auto"/>
        <w:bottom w:val="none" w:sz="0" w:space="0" w:color="auto"/>
        <w:right w:val="none" w:sz="0" w:space="0" w:color="auto"/>
      </w:divBdr>
    </w:div>
    <w:div w:id="927692083">
      <w:bodyDiv w:val="1"/>
      <w:marLeft w:val="0"/>
      <w:marRight w:val="0"/>
      <w:marTop w:val="0"/>
      <w:marBottom w:val="0"/>
      <w:divBdr>
        <w:top w:val="none" w:sz="0" w:space="0" w:color="auto"/>
        <w:left w:val="none" w:sz="0" w:space="0" w:color="auto"/>
        <w:bottom w:val="none" w:sz="0" w:space="0" w:color="auto"/>
        <w:right w:val="none" w:sz="0" w:space="0" w:color="auto"/>
      </w:divBdr>
    </w:div>
    <w:div w:id="965431372">
      <w:bodyDiv w:val="1"/>
      <w:marLeft w:val="0"/>
      <w:marRight w:val="0"/>
      <w:marTop w:val="0"/>
      <w:marBottom w:val="0"/>
      <w:divBdr>
        <w:top w:val="none" w:sz="0" w:space="0" w:color="auto"/>
        <w:left w:val="none" w:sz="0" w:space="0" w:color="auto"/>
        <w:bottom w:val="none" w:sz="0" w:space="0" w:color="auto"/>
        <w:right w:val="none" w:sz="0" w:space="0" w:color="auto"/>
      </w:divBdr>
    </w:div>
    <w:div w:id="970943071">
      <w:bodyDiv w:val="1"/>
      <w:marLeft w:val="0"/>
      <w:marRight w:val="0"/>
      <w:marTop w:val="0"/>
      <w:marBottom w:val="0"/>
      <w:divBdr>
        <w:top w:val="none" w:sz="0" w:space="0" w:color="auto"/>
        <w:left w:val="none" w:sz="0" w:space="0" w:color="auto"/>
        <w:bottom w:val="none" w:sz="0" w:space="0" w:color="auto"/>
        <w:right w:val="none" w:sz="0" w:space="0" w:color="auto"/>
      </w:divBdr>
    </w:div>
    <w:div w:id="978072389">
      <w:bodyDiv w:val="1"/>
      <w:marLeft w:val="0"/>
      <w:marRight w:val="0"/>
      <w:marTop w:val="0"/>
      <w:marBottom w:val="0"/>
      <w:divBdr>
        <w:top w:val="none" w:sz="0" w:space="0" w:color="auto"/>
        <w:left w:val="none" w:sz="0" w:space="0" w:color="auto"/>
        <w:bottom w:val="none" w:sz="0" w:space="0" w:color="auto"/>
        <w:right w:val="none" w:sz="0" w:space="0" w:color="auto"/>
      </w:divBdr>
    </w:div>
    <w:div w:id="978261668">
      <w:bodyDiv w:val="1"/>
      <w:marLeft w:val="0"/>
      <w:marRight w:val="0"/>
      <w:marTop w:val="0"/>
      <w:marBottom w:val="0"/>
      <w:divBdr>
        <w:top w:val="none" w:sz="0" w:space="0" w:color="auto"/>
        <w:left w:val="none" w:sz="0" w:space="0" w:color="auto"/>
        <w:bottom w:val="none" w:sz="0" w:space="0" w:color="auto"/>
        <w:right w:val="none" w:sz="0" w:space="0" w:color="auto"/>
      </w:divBdr>
    </w:div>
    <w:div w:id="980232019">
      <w:bodyDiv w:val="1"/>
      <w:marLeft w:val="0"/>
      <w:marRight w:val="0"/>
      <w:marTop w:val="0"/>
      <w:marBottom w:val="0"/>
      <w:divBdr>
        <w:top w:val="none" w:sz="0" w:space="0" w:color="auto"/>
        <w:left w:val="none" w:sz="0" w:space="0" w:color="auto"/>
        <w:bottom w:val="none" w:sz="0" w:space="0" w:color="auto"/>
        <w:right w:val="none" w:sz="0" w:space="0" w:color="auto"/>
      </w:divBdr>
    </w:div>
    <w:div w:id="996808104">
      <w:bodyDiv w:val="1"/>
      <w:marLeft w:val="0"/>
      <w:marRight w:val="0"/>
      <w:marTop w:val="0"/>
      <w:marBottom w:val="0"/>
      <w:divBdr>
        <w:top w:val="none" w:sz="0" w:space="0" w:color="auto"/>
        <w:left w:val="none" w:sz="0" w:space="0" w:color="auto"/>
        <w:bottom w:val="none" w:sz="0" w:space="0" w:color="auto"/>
        <w:right w:val="none" w:sz="0" w:space="0" w:color="auto"/>
      </w:divBdr>
    </w:div>
    <w:div w:id="997685146">
      <w:bodyDiv w:val="1"/>
      <w:marLeft w:val="0"/>
      <w:marRight w:val="0"/>
      <w:marTop w:val="0"/>
      <w:marBottom w:val="0"/>
      <w:divBdr>
        <w:top w:val="none" w:sz="0" w:space="0" w:color="auto"/>
        <w:left w:val="none" w:sz="0" w:space="0" w:color="auto"/>
        <w:bottom w:val="none" w:sz="0" w:space="0" w:color="auto"/>
        <w:right w:val="none" w:sz="0" w:space="0" w:color="auto"/>
      </w:divBdr>
    </w:div>
    <w:div w:id="998966579">
      <w:bodyDiv w:val="1"/>
      <w:marLeft w:val="0"/>
      <w:marRight w:val="0"/>
      <w:marTop w:val="0"/>
      <w:marBottom w:val="0"/>
      <w:divBdr>
        <w:top w:val="none" w:sz="0" w:space="0" w:color="auto"/>
        <w:left w:val="none" w:sz="0" w:space="0" w:color="auto"/>
        <w:bottom w:val="none" w:sz="0" w:space="0" w:color="auto"/>
        <w:right w:val="none" w:sz="0" w:space="0" w:color="auto"/>
      </w:divBdr>
    </w:div>
    <w:div w:id="1004284737">
      <w:bodyDiv w:val="1"/>
      <w:marLeft w:val="0"/>
      <w:marRight w:val="0"/>
      <w:marTop w:val="0"/>
      <w:marBottom w:val="0"/>
      <w:divBdr>
        <w:top w:val="none" w:sz="0" w:space="0" w:color="auto"/>
        <w:left w:val="none" w:sz="0" w:space="0" w:color="auto"/>
        <w:bottom w:val="none" w:sz="0" w:space="0" w:color="auto"/>
        <w:right w:val="none" w:sz="0" w:space="0" w:color="auto"/>
      </w:divBdr>
    </w:div>
    <w:div w:id="1010328427">
      <w:bodyDiv w:val="1"/>
      <w:marLeft w:val="0"/>
      <w:marRight w:val="0"/>
      <w:marTop w:val="0"/>
      <w:marBottom w:val="0"/>
      <w:divBdr>
        <w:top w:val="none" w:sz="0" w:space="0" w:color="auto"/>
        <w:left w:val="none" w:sz="0" w:space="0" w:color="auto"/>
        <w:bottom w:val="none" w:sz="0" w:space="0" w:color="auto"/>
        <w:right w:val="none" w:sz="0" w:space="0" w:color="auto"/>
      </w:divBdr>
    </w:div>
    <w:div w:id="1010792317">
      <w:bodyDiv w:val="1"/>
      <w:marLeft w:val="0"/>
      <w:marRight w:val="0"/>
      <w:marTop w:val="0"/>
      <w:marBottom w:val="0"/>
      <w:divBdr>
        <w:top w:val="none" w:sz="0" w:space="0" w:color="auto"/>
        <w:left w:val="none" w:sz="0" w:space="0" w:color="auto"/>
        <w:bottom w:val="none" w:sz="0" w:space="0" w:color="auto"/>
        <w:right w:val="none" w:sz="0" w:space="0" w:color="auto"/>
      </w:divBdr>
      <w:divsChild>
        <w:div w:id="1713654049">
          <w:marLeft w:val="0"/>
          <w:marRight w:val="0"/>
          <w:marTop w:val="0"/>
          <w:marBottom w:val="0"/>
          <w:divBdr>
            <w:top w:val="single" w:sz="2" w:space="0" w:color="E5E7EB"/>
            <w:left w:val="single" w:sz="2" w:space="0" w:color="E5E7EB"/>
            <w:bottom w:val="single" w:sz="2" w:space="0" w:color="E5E7EB"/>
            <w:right w:val="single" w:sz="2" w:space="0" w:color="E5E7EB"/>
          </w:divBdr>
          <w:divsChild>
            <w:div w:id="2144425205">
              <w:marLeft w:val="0"/>
              <w:marRight w:val="0"/>
              <w:marTop w:val="0"/>
              <w:marBottom w:val="0"/>
              <w:divBdr>
                <w:top w:val="single" w:sz="2" w:space="0" w:color="auto"/>
                <w:left w:val="single" w:sz="2" w:space="0" w:color="auto"/>
                <w:bottom w:val="single" w:sz="2" w:space="0" w:color="auto"/>
                <w:right w:val="single" w:sz="2" w:space="0" w:color="auto"/>
              </w:divBdr>
              <w:divsChild>
                <w:div w:id="474377139">
                  <w:marLeft w:val="0"/>
                  <w:marRight w:val="0"/>
                  <w:marTop w:val="0"/>
                  <w:marBottom w:val="0"/>
                  <w:divBdr>
                    <w:top w:val="single" w:sz="2" w:space="0" w:color="auto"/>
                    <w:left w:val="single" w:sz="2" w:space="0" w:color="auto"/>
                    <w:bottom w:val="single" w:sz="2" w:space="0" w:color="auto"/>
                    <w:right w:val="single" w:sz="2" w:space="0" w:color="auto"/>
                  </w:divBdr>
                  <w:divsChild>
                    <w:div w:id="2026205526">
                      <w:marLeft w:val="0"/>
                      <w:marRight w:val="0"/>
                      <w:marTop w:val="0"/>
                      <w:marBottom w:val="0"/>
                      <w:divBdr>
                        <w:top w:val="single" w:sz="2" w:space="0" w:color="E5E7EB"/>
                        <w:left w:val="single" w:sz="2" w:space="0" w:color="E5E7EB"/>
                        <w:bottom w:val="single" w:sz="2" w:space="0" w:color="E5E7EB"/>
                        <w:right w:val="single" w:sz="2" w:space="0" w:color="E5E7EB"/>
                      </w:divBdr>
                      <w:divsChild>
                        <w:div w:id="1848055305">
                          <w:marLeft w:val="0"/>
                          <w:marRight w:val="0"/>
                          <w:marTop w:val="0"/>
                          <w:marBottom w:val="0"/>
                          <w:divBdr>
                            <w:top w:val="single" w:sz="2" w:space="0" w:color="E5E7EB"/>
                            <w:left w:val="single" w:sz="2" w:space="0" w:color="E5E7EB"/>
                            <w:bottom w:val="single" w:sz="2" w:space="0" w:color="E5E7EB"/>
                            <w:right w:val="single" w:sz="2" w:space="0" w:color="E5E7EB"/>
                          </w:divBdr>
                          <w:divsChild>
                            <w:div w:id="1321495849">
                              <w:marLeft w:val="0"/>
                              <w:marRight w:val="0"/>
                              <w:marTop w:val="0"/>
                              <w:marBottom w:val="0"/>
                              <w:divBdr>
                                <w:top w:val="single" w:sz="2" w:space="0" w:color="E5E7EB"/>
                                <w:left w:val="single" w:sz="2" w:space="0" w:color="E5E7EB"/>
                                <w:bottom w:val="single" w:sz="2" w:space="0" w:color="E5E7EB"/>
                                <w:right w:val="single" w:sz="2" w:space="0" w:color="E5E7EB"/>
                              </w:divBdr>
                              <w:divsChild>
                                <w:div w:id="750732795">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849216362">
                  <w:marLeft w:val="0"/>
                  <w:marRight w:val="0"/>
                  <w:marTop w:val="0"/>
                  <w:marBottom w:val="0"/>
                  <w:divBdr>
                    <w:top w:val="single" w:sz="2" w:space="0" w:color="auto"/>
                    <w:left w:val="single" w:sz="2" w:space="0" w:color="auto"/>
                    <w:bottom w:val="single" w:sz="2" w:space="0" w:color="auto"/>
                    <w:right w:val="single" w:sz="2" w:space="0" w:color="auto"/>
                  </w:divBdr>
                  <w:divsChild>
                    <w:div w:id="1389837621">
                      <w:marLeft w:val="0"/>
                      <w:marRight w:val="0"/>
                      <w:marTop w:val="0"/>
                      <w:marBottom w:val="0"/>
                      <w:divBdr>
                        <w:top w:val="single" w:sz="2" w:space="0" w:color="E5E7EB"/>
                        <w:left w:val="single" w:sz="2" w:space="0" w:color="E5E7EB"/>
                        <w:bottom w:val="single" w:sz="2" w:space="0" w:color="E5E7EB"/>
                        <w:right w:val="single" w:sz="2" w:space="0" w:color="E5E7EB"/>
                      </w:divBdr>
                      <w:divsChild>
                        <w:div w:id="368916408">
                          <w:marLeft w:val="0"/>
                          <w:marRight w:val="0"/>
                          <w:marTop w:val="0"/>
                          <w:marBottom w:val="0"/>
                          <w:divBdr>
                            <w:top w:val="single" w:sz="2" w:space="0" w:color="E5E7EB"/>
                            <w:left w:val="single" w:sz="2" w:space="0" w:color="E5E7EB"/>
                            <w:bottom w:val="single" w:sz="2" w:space="0" w:color="E5E7EB"/>
                            <w:right w:val="single" w:sz="2" w:space="0" w:color="E5E7EB"/>
                          </w:divBdr>
                          <w:divsChild>
                            <w:div w:id="1580821582">
                              <w:marLeft w:val="0"/>
                              <w:marRight w:val="0"/>
                              <w:marTop w:val="0"/>
                              <w:marBottom w:val="0"/>
                              <w:divBdr>
                                <w:top w:val="single" w:sz="2" w:space="0" w:color="E5E7EB"/>
                                <w:left w:val="single" w:sz="2" w:space="0" w:color="E5E7EB"/>
                                <w:bottom w:val="single" w:sz="2" w:space="0" w:color="E5E7EB"/>
                                <w:right w:val="single" w:sz="2" w:space="0" w:color="E5E7EB"/>
                              </w:divBdr>
                            </w:div>
                          </w:divsChild>
                        </w:div>
                        <w:div w:id="1132559231">
                          <w:marLeft w:val="0"/>
                          <w:marRight w:val="0"/>
                          <w:marTop w:val="0"/>
                          <w:marBottom w:val="0"/>
                          <w:divBdr>
                            <w:top w:val="single" w:sz="2" w:space="0" w:color="E5E7EB"/>
                            <w:left w:val="single" w:sz="2" w:space="0" w:color="E5E7EB"/>
                            <w:bottom w:val="single" w:sz="2" w:space="0" w:color="E5E7EB"/>
                            <w:right w:val="single" w:sz="2" w:space="0" w:color="E5E7EB"/>
                          </w:divBdr>
                          <w:divsChild>
                            <w:div w:id="2005933029">
                              <w:marLeft w:val="0"/>
                              <w:marRight w:val="0"/>
                              <w:marTop w:val="0"/>
                              <w:marBottom w:val="0"/>
                              <w:divBdr>
                                <w:top w:val="single" w:sz="2" w:space="0" w:color="E5E7EB"/>
                                <w:left w:val="single" w:sz="2" w:space="0" w:color="E5E7EB"/>
                                <w:bottom w:val="single" w:sz="2" w:space="0" w:color="E5E7EB"/>
                                <w:right w:val="single" w:sz="2" w:space="0" w:color="E5E7EB"/>
                              </w:divBdr>
                              <w:divsChild>
                                <w:div w:id="116411941">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432705461">
                          <w:marLeft w:val="0"/>
                          <w:marRight w:val="0"/>
                          <w:marTop w:val="0"/>
                          <w:marBottom w:val="0"/>
                          <w:divBdr>
                            <w:top w:val="single" w:sz="2" w:space="0" w:color="E5E7EB"/>
                            <w:left w:val="single" w:sz="2" w:space="0" w:color="E5E7EB"/>
                            <w:bottom w:val="single" w:sz="2" w:space="0" w:color="E5E7EB"/>
                            <w:right w:val="single" w:sz="2" w:space="0" w:color="E5E7EB"/>
                          </w:divBdr>
                          <w:divsChild>
                            <w:div w:id="1621953419">
                              <w:marLeft w:val="0"/>
                              <w:marRight w:val="0"/>
                              <w:marTop w:val="0"/>
                              <w:marBottom w:val="0"/>
                              <w:divBdr>
                                <w:top w:val="single" w:sz="2" w:space="0" w:color="E5E7EB"/>
                                <w:left w:val="single" w:sz="2" w:space="0" w:color="E5E7EB"/>
                                <w:bottom w:val="single" w:sz="2" w:space="0" w:color="E5E7EB"/>
                                <w:right w:val="single" w:sz="2" w:space="0" w:color="E5E7EB"/>
                              </w:divBdr>
                              <w:divsChild>
                                <w:div w:id="794834236">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sChild>
    </w:div>
    <w:div w:id="1017390543">
      <w:bodyDiv w:val="1"/>
      <w:marLeft w:val="0"/>
      <w:marRight w:val="0"/>
      <w:marTop w:val="0"/>
      <w:marBottom w:val="0"/>
      <w:divBdr>
        <w:top w:val="none" w:sz="0" w:space="0" w:color="auto"/>
        <w:left w:val="none" w:sz="0" w:space="0" w:color="auto"/>
        <w:bottom w:val="none" w:sz="0" w:space="0" w:color="auto"/>
        <w:right w:val="none" w:sz="0" w:space="0" w:color="auto"/>
      </w:divBdr>
    </w:div>
    <w:div w:id="1021466476">
      <w:bodyDiv w:val="1"/>
      <w:marLeft w:val="0"/>
      <w:marRight w:val="0"/>
      <w:marTop w:val="0"/>
      <w:marBottom w:val="0"/>
      <w:divBdr>
        <w:top w:val="none" w:sz="0" w:space="0" w:color="auto"/>
        <w:left w:val="none" w:sz="0" w:space="0" w:color="auto"/>
        <w:bottom w:val="none" w:sz="0" w:space="0" w:color="auto"/>
        <w:right w:val="none" w:sz="0" w:space="0" w:color="auto"/>
      </w:divBdr>
    </w:div>
    <w:div w:id="1031613242">
      <w:bodyDiv w:val="1"/>
      <w:marLeft w:val="0"/>
      <w:marRight w:val="0"/>
      <w:marTop w:val="0"/>
      <w:marBottom w:val="0"/>
      <w:divBdr>
        <w:top w:val="none" w:sz="0" w:space="0" w:color="auto"/>
        <w:left w:val="none" w:sz="0" w:space="0" w:color="auto"/>
        <w:bottom w:val="none" w:sz="0" w:space="0" w:color="auto"/>
        <w:right w:val="none" w:sz="0" w:space="0" w:color="auto"/>
      </w:divBdr>
    </w:div>
    <w:div w:id="1040086125">
      <w:bodyDiv w:val="1"/>
      <w:marLeft w:val="0"/>
      <w:marRight w:val="0"/>
      <w:marTop w:val="0"/>
      <w:marBottom w:val="0"/>
      <w:divBdr>
        <w:top w:val="none" w:sz="0" w:space="0" w:color="auto"/>
        <w:left w:val="none" w:sz="0" w:space="0" w:color="auto"/>
        <w:bottom w:val="none" w:sz="0" w:space="0" w:color="auto"/>
        <w:right w:val="none" w:sz="0" w:space="0" w:color="auto"/>
      </w:divBdr>
    </w:div>
    <w:div w:id="1050109188">
      <w:bodyDiv w:val="1"/>
      <w:marLeft w:val="0"/>
      <w:marRight w:val="0"/>
      <w:marTop w:val="0"/>
      <w:marBottom w:val="0"/>
      <w:divBdr>
        <w:top w:val="none" w:sz="0" w:space="0" w:color="auto"/>
        <w:left w:val="none" w:sz="0" w:space="0" w:color="auto"/>
        <w:bottom w:val="none" w:sz="0" w:space="0" w:color="auto"/>
        <w:right w:val="none" w:sz="0" w:space="0" w:color="auto"/>
      </w:divBdr>
    </w:div>
    <w:div w:id="1054503183">
      <w:bodyDiv w:val="1"/>
      <w:marLeft w:val="0"/>
      <w:marRight w:val="0"/>
      <w:marTop w:val="0"/>
      <w:marBottom w:val="0"/>
      <w:divBdr>
        <w:top w:val="none" w:sz="0" w:space="0" w:color="auto"/>
        <w:left w:val="none" w:sz="0" w:space="0" w:color="auto"/>
        <w:bottom w:val="none" w:sz="0" w:space="0" w:color="auto"/>
        <w:right w:val="none" w:sz="0" w:space="0" w:color="auto"/>
      </w:divBdr>
    </w:div>
    <w:div w:id="1067340024">
      <w:bodyDiv w:val="1"/>
      <w:marLeft w:val="0"/>
      <w:marRight w:val="0"/>
      <w:marTop w:val="0"/>
      <w:marBottom w:val="0"/>
      <w:divBdr>
        <w:top w:val="none" w:sz="0" w:space="0" w:color="auto"/>
        <w:left w:val="none" w:sz="0" w:space="0" w:color="auto"/>
        <w:bottom w:val="none" w:sz="0" w:space="0" w:color="auto"/>
        <w:right w:val="none" w:sz="0" w:space="0" w:color="auto"/>
      </w:divBdr>
      <w:divsChild>
        <w:div w:id="581180254">
          <w:marLeft w:val="0"/>
          <w:marRight w:val="0"/>
          <w:marTop w:val="0"/>
          <w:marBottom w:val="0"/>
          <w:divBdr>
            <w:top w:val="single" w:sz="2" w:space="0" w:color="auto"/>
            <w:left w:val="single" w:sz="2" w:space="0" w:color="auto"/>
            <w:bottom w:val="single" w:sz="2" w:space="0" w:color="auto"/>
            <w:right w:val="single" w:sz="2" w:space="0" w:color="auto"/>
          </w:divBdr>
        </w:div>
      </w:divsChild>
    </w:div>
    <w:div w:id="1079596686">
      <w:bodyDiv w:val="1"/>
      <w:marLeft w:val="0"/>
      <w:marRight w:val="0"/>
      <w:marTop w:val="0"/>
      <w:marBottom w:val="0"/>
      <w:divBdr>
        <w:top w:val="none" w:sz="0" w:space="0" w:color="auto"/>
        <w:left w:val="none" w:sz="0" w:space="0" w:color="auto"/>
        <w:bottom w:val="none" w:sz="0" w:space="0" w:color="auto"/>
        <w:right w:val="none" w:sz="0" w:space="0" w:color="auto"/>
      </w:divBdr>
    </w:div>
    <w:div w:id="1079906941">
      <w:bodyDiv w:val="1"/>
      <w:marLeft w:val="0"/>
      <w:marRight w:val="0"/>
      <w:marTop w:val="0"/>
      <w:marBottom w:val="0"/>
      <w:divBdr>
        <w:top w:val="none" w:sz="0" w:space="0" w:color="auto"/>
        <w:left w:val="none" w:sz="0" w:space="0" w:color="auto"/>
        <w:bottom w:val="none" w:sz="0" w:space="0" w:color="auto"/>
        <w:right w:val="none" w:sz="0" w:space="0" w:color="auto"/>
      </w:divBdr>
    </w:div>
    <w:div w:id="1088235437">
      <w:bodyDiv w:val="1"/>
      <w:marLeft w:val="0"/>
      <w:marRight w:val="0"/>
      <w:marTop w:val="0"/>
      <w:marBottom w:val="0"/>
      <w:divBdr>
        <w:top w:val="none" w:sz="0" w:space="0" w:color="auto"/>
        <w:left w:val="none" w:sz="0" w:space="0" w:color="auto"/>
        <w:bottom w:val="none" w:sz="0" w:space="0" w:color="auto"/>
        <w:right w:val="none" w:sz="0" w:space="0" w:color="auto"/>
      </w:divBdr>
    </w:div>
    <w:div w:id="1097140146">
      <w:bodyDiv w:val="1"/>
      <w:marLeft w:val="0"/>
      <w:marRight w:val="0"/>
      <w:marTop w:val="0"/>
      <w:marBottom w:val="0"/>
      <w:divBdr>
        <w:top w:val="none" w:sz="0" w:space="0" w:color="auto"/>
        <w:left w:val="none" w:sz="0" w:space="0" w:color="auto"/>
        <w:bottom w:val="none" w:sz="0" w:space="0" w:color="auto"/>
        <w:right w:val="none" w:sz="0" w:space="0" w:color="auto"/>
      </w:divBdr>
    </w:div>
    <w:div w:id="1103184402">
      <w:bodyDiv w:val="1"/>
      <w:marLeft w:val="0"/>
      <w:marRight w:val="0"/>
      <w:marTop w:val="0"/>
      <w:marBottom w:val="0"/>
      <w:divBdr>
        <w:top w:val="none" w:sz="0" w:space="0" w:color="auto"/>
        <w:left w:val="none" w:sz="0" w:space="0" w:color="auto"/>
        <w:bottom w:val="none" w:sz="0" w:space="0" w:color="auto"/>
        <w:right w:val="none" w:sz="0" w:space="0" w:color="auto"/>
      </w:divBdr>
    </w:div>
    <w:div w:id="1103454522">
      <w:bodyDiv w:val="1"/>
      <w:marLeft w:val="0"/>
      <w:marRight w:val="0"/>
      <w:marTop w:val="0"/>
      <w:marBottom w:val="0"/>
      <w:divBdr>
        <w:top w:val="none" w:sz="0" w:space="0" w:color="auto"/>
        <w:left w:val="none" w:sz="0" w:space="0" w:color="auto"/>
        <w:bottom w:val="none" w:sz="0" w:space="0" w:color="auto"/>
        <w:right w:val="none" w:sz="0" w:space="0" w:color="auto"/>
      </w:divBdr>
    </w:div>
    <w:div w:id="1111390171">
      <w:bodyDiv w:val="1"/>
      <w:marLeft w:val="0"/>
      <w:marRight w:val="0"/>
      <w:marTop w:val="0"/>
      <w:marBottom w:val="0"/>
      <w:divBdr>
        <w:top w:val="none" w:sz="0" w:space="0" w:color="auto"/>
        <w:left w:val="none" w:sz="0" w:space="0" w:color="auto"/>
        <w:bottom w:val="none" w:sz="0" w:space="0" w:color="auto"/>
        <w:right w:val="none" w:sz="0" w:space="0" w:color="auto"/>
      </w:divBdr>
    </w:div>
    <w:div w:id="1113279581">
      <w:bodyDiv w:val="1"/>
      <w:marLeft w:val="0"/>
      <w:marRight w:val="0"/>
      <w:marTop w:val="0"/>
      <w:marBottom w:val="0"/>
      <w:divBdr>
        <w:top w:val="none" w:sz="0" w:space="0" w:color="auto"/>
        <w:left w:val="none" w:sz="0" w:space="0" w:color="auto"/>
        <w:bottom w:val="none" w:sz="0" w:space="0" w:color="auto"/>
        <w:right w:val="none" w:sz="0" w:space="0" w:color="auto"/>
      </w:divBdr>
    </w:div>
    <w:div w:id="1117716847">
      <w:bodyDiv w:val="1"/>
      <w:marLeft w:val="0"/>
      <w:marRight w:val="0"/>
      <w:marTop w:val="0"/>
      <w:marBottom w:val="0"/>
      <w:divBdr>
        <w:top w:val="none" w:sz="0" w:space="0" w:color="auto"/>
        <w:left w:val="none" w:sz="0" w:space="0" w:color="auto"/>
        <w:bottom w:val="none" w:sz="0" w:space="0" w:color="auto"/>
        <w:right w:val="none" w:sz="0" w:space="0" w:color="auto"/>
      </w:divBdr>
    </w:div>
    <w:div w:id="1124544030">
      <w:bodyDiv w:val="1"/>
      <w:marLeft w:val="0"/>
      <w:marRight w:val="0"/>
      <w:marTop w:val="0"/>
      <w:marBottom w:val="0"/>
      <w:divBdr>
        <w:top w:val="none" w:sz="0" w:space="0" w:color="auto"/>
        <w:left w:val="none" w:sz="0" w:space="0" w:color="auto"/>
        <w:bottom w:val="none" w:sz="0" w:space="0" w:color="auto"/>
        <w:right w:val="none" w:sz="0" w:space="0" w:color="auto"/>
      </w:divBdr>
    </w:div>
    <w:div w:id="1130828923">
      <w:bodyDiv w:val="1"/>
      <w:marLeft w:val="0"/>
      <w:marRight w:val="0"/>
      <w:marTop w:val="0"/>
      <w:marBottom w:val="0"/>
      <w:divBdr>
        <w:top w:val="none" w:sz="0" w:space="0" w:color="auto"/>
        <w:left w:val="none" w:sz="0" w:space="0" w:color="auto"/>
        <w:bottom w:val="none" w:sz="0" w:space="0" w:color="auto"/>
        <w:right w:val="none" w:sz="0" w:space="0" w:color="auto"/>
      </w:divBdr>
    </w:div>
    <w:div w:id="1143161449">
      <w:bodyDiv w:val="1"/>
      <w:marLeft w:val="0"/>
      <w:marRight w:val="0"/>
      <w:marTop w:val="0"/>
      <w:marBottom w:val="0"/>
      <w:divBdr>
        <w:top w:val="none" w:sz="0" w:space="0" w:color="auto"/>
        <w:left w:val="none" w:sz="0" w:space="0" w:color="auto"/>
        <w:bottom w:val="none" w:sz="0" w:space="0" w:color="auto"/>
        <w:right w:val="none" w:sz="0" w:space="0" w:color="auto"/>
      </w:divBdr>
    </w:div>
    <w:div w:id="1147626161">
      <w:bodyDiv w:val="1"/>
      <w:marLeft w:val="0"/>
      <w:marRight w:val="0"/>
      <w:marTop w:val="0"/>
      <w:marBottom w:val="0"/>
      <w:divBdr>
        <w:top w:val="none" w:sz="0" w:space="0" w:color="auto"/>
        <w:left w:val="none" w:sz="0" w:space="0" w:color="auto"/>
        <w:bottom w:val="none" w:sz="0" w:space="0" w:color="auto"/>
        <w:right w:val="none" w:sz="0" w:space="0" w:color="auto"/>
      </w:divBdr>
    </w:div>
    <w:div w:id="1150363749">
      <w:bodyDiv w:val="1"/>
      <w:marLeft w:val="0"/>
      <w:marRight w:val="0"/>
      <w:marTop w:val="0"/>
      <w:marBottom w:val="0"/>
      <w:divBdr>
        <w:top w:val="none" w:sz="0" w:space="0" w:color="auto"/>
        <w:left w:val="none" w:sz="0" w:space="0" w:color="auto"/>
        <w:bottom w:val="none" w:sz="0" w:space="0" w:color="auto"/>
        <w:right w:val="none" w:sz="0" w:space="0" w:color="auto"/>
      </w:divBdr>
    </w:div>
    <w:div w:id="1150944864">
      <w:bodyDiv w:val="1"/>
      <w:marLeft w:val="0"/>
      <w:marRight w:val="0"/>
      <w:marTop w:val="0"/>
      <w:marBottom w:val="0"/>
      <w:divBdr>
        <w:top w:val="none" w:sz="0" w:space="0" w:color="auto"/>
        <w:left w:val="none" w:sz="0" w:space="0" w:color="auto"/>
        <w:bottom w:val="none" w:sz="0" w:space="0" w:color="auto"/>
        <w:right w:val="none" w:sz="0" w:space="0" w:color="auto"/>
      </w:divBdr>
    </w:div>
    <w:div w:id="1157187078">
      <w:bodyDiv w:val="1"/>
      <w:marLeft w:val="0"/>
      <w:marRight w:val="0"/>
      <w:marTop w:val="0"/>
      <w:marBottom w:val="0"/>
      <w:divBdr>
        <w:top w:val="none" w:sz="0" w:space="0" w:color="auto"/>
        <w:left w:val="none" w:sz="0" w:space="0" w:color="auto"/>
        <w:bottom w:val="none" w:sz="0" w:space="0" w:color="auto"/>
        <w:right w:val="none" w:sz="0" w:space="0" w:color="auto"/>
      </w:divBdr>
      <w:divsChild>
        <w:div w:id="1550414732">
          <w:marLeft w:val="0"/>
          <w:marRight w:val="0"/>
          <w:marTop w:val="0"/>
          <w:marBottom w:val="0"/>
          <w:divBdr>
            <w:top w:val="single" w:sz="2" w:space="0" w:color="auto"/>
            <w:left w:val="single" w:sz="2" w:space="0" w:color="auto"/>
            <w:bottom w:val="single" w:sz="2" w:space="0" w:color="auto"/>
            <w:right w:val="single" w:sz="2" w:space="0" w:color="auto"/>
          </w:divBdr>
        </w:div>
      </w:divsChild>
    </w:div>
    <w:div w:id="1160582293">
      <w:bodyDiv w:val="1"/>
      <w:marLeft w:val="0"/>
      <w:marRight w:val="0"/>
      <w:marTop w:val="0"/>
      <w:marBottom w:val="0"/>
      <w:divBdr>
        <w:top w:val="none" w:sz="0" w:space="0" w:color="auto"/>
        <w:left w:val="none" w:sz="0" w:space="0" w:color="auto"/>
        <w:bottom w:val="none" w:sz="0" w:space="0" w:color="auto"/>
        <w:right w:val="none" w:sz="0" w:space="0" w:color="auto"/>
      </w:divBdr>
      <w:divsChild>
        <w:div w:id="800029606">
          <w:marLeft w:val="0"/>
          <w:marRight w:val="0"/>
          <w:marTop w:val="100"/>
          <w:marBottom w:val="100"/>
          <w:divBdr>
            <w:top w:val="none" w:sz="0" w:space="0" w:color="auto"/>
            <w:left w:val="none" w:sz="0" w:space="0" w:color="auto"/>
            <w:bottom w:val="none" w:sz="0" w:space="0" w:color="auto"/>
            <w:right w:val="none" w:sz="0" w:space="0" w:color="auto"/>
          </w:divBdr>
          <w:divsChild>
            <w:div w:id="157694244">
              <w:marLeft w:val="0"/>
              <w:marRight w:val="0"/>
              <w:marTop w:val="0"/>
              <w:marBottom w:val="0"/>
              <w:divBdr>
                <w:top w:val="none" w:sz="0" w:space="0" w:color="auto"/>
                <w:left w:val="none" w:sz="0" w:space="0" w:color="auto"/>
                <w:bottom w:val="none" w:sz="0" w:space="0" w:color="auto"/>
                <w:right w:val="none" w:sz="0" w:space="0" w:color="auto"/>
              </w:divBdr>
              <w:divsChild>
                <w:div w:id="1494296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4070057">
          <w:marLeft w:val="0"/>
          <w:marRight w:val="0"/>
          <w:marTop w:val="0"/>
          <w:marBottom w:val="300"/>
          <w:divBdr>
            <w:top w:val="none" w:sz="0" w:space="0" w:color="auto"/>
            <w:left w:val="none" w:sz="0" w:space="0" w:color="auto"/>
            <w:bottom w:val="none" w:sz="0" w:space="0" w:color="auto"/>
            <w:right w:val="none" w:sz="0" w:space="0" w:color="auto"/>
          </w:divBdr>
          <w:divsChild>
            <w:div w:id="1192844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4126457">
      <w:bodyDiv w:val="1"/>
      <w:marLeft w:val="0"/>
      <w:marRight w:val="0"/>
      <w:marTop w:val="0"/>
      <w:marBottom w:val="0"/>
      <w:divBdr>
        <w:top w:val="none" w:sz="0" w:space="0" w:color="auto"/>
        <w:left w:val="none" w:sz="0" w:space="0" w:color="auto"/>
        <w:bottom w:val="none" w:sz="0" w:space="0" w:color="auto"/>
        <w:right w:val="none" w:sz="0" w:space="0" w:color="auto"/>
      </w:divBdr>
    </w:div>
    <w:div w:id="1167983188">
      <w:bodyDiv w:val="1"/>
      <w:marLeft w:val="0"/>
      <w:marRight w:val="0"/>
      <w:marTop w:val="0"/>
      <w:marBottom w:val="0"/>
      <w:divBdr>
        <w:top w:val="none" w:sz="0" w:space="0" w:color="auto"/>
        <w:left w:val="none" w:sz="0" w:space="0" w:color="auto"/>
        <w:bottom w:val="none" w:sz="0" w:space="0" w:color="auto"/>
        <w:right w:val="none" w:sz="0" w:space="0" w:color="auto"/>
      </w:divBdr>
    </w:div>
    <w:div w:id="1171599459">
      <w:bodyDiv w:val="1"/>
      <w:marLeft w:val="0"/>
      <w:marRight w:val="0"/>
      <w:marTop w:val="0"/>
      <w:marBottom w:val="0"/>
      <w:divBdr>
        <w:top w:val="none" w:sz="0" w:space="0" w:color="auto"/>
        <w:left w:val="none" w:sz="0" w:space="0" w:color="auto"/>
        <w:bottom w:val="none" w:sz="0" w:space="0" w:color="auto"/>
        <w:right w:val="none" w:sz="0" w:space="0" w:color="auto"/>
      </w:divBdr>
    </w:div>
    <w:div w:id="1179084008">
      <w:bodyDiv w:val="1"/>
      <w:marLeft w:val="0"/>
      <w:marRight w:val="0"/>
      <w:marTop w:val="0"/>
      <w:marBottom w:val="0"/>
      <w:divBdr>
        <w:top w:val="none" w:sz="0" w:space="0" w:color="auto"/>
        <w:left w:val="none" w:sz="0" w:space="0" w:color="auto"/>
        <w:bottom w:val="none" w:sz="0" w:space="0" w:color="auto"/>
        <w:right w:val="none" w:sz="0" w:space="0" w:color="auto"/>
      </w:divBdr>
    </w:div>
    <w:div w:id="1186677993">
      <w:bodyDiv w:val="1"/>
      <w:marLeft w:val="0"/>
      <w:marRight w:val="0"/>
      <w:marTop w:val="0"/>
      <w:marBottom w:val="0"/>
      <w:divBdr>
        <w:top w:val="none" w:sz="0" w:space="0" w:color="auto"/>
        <w:left w:val="none" w:sz="0" w:space="0" w:color="auto"/>
        <w:bottom w:val="none" w:sz="0" w:space="0" w:color="auto"/>
        <w:right w:val="none" w:sz="0" w:space="0" w:color="auto"/>
      </w:divBdr>
    </w:div>
    <w:div w:id="1203206388">
      <w:bodyDiv w:val="1"/>
      <w:marLeft w:val="0"/>
      <w:marRight w:val="0"/>
      <w:marTop w:val="0"/>
      <w:marBottom w:val="0"/>
      <w:divBdr>
        <w:top w:val="none" w:sz="0" w:space="0" w:color="auto"/>
        <w:left w:val="none" w:sz="0" w:space="0" w:color="auto"/>
        <w:bottom w:val="none" w:sz="0" w:space="0" w:color="auto"/>
        <w:right w:val="none" w:sz="0" w:space="0" w:color="auto"/>
      </w:divBdr>
    </w:div>
    <w:div w:id="1204250749">
      <w:bodyDiv w:val="1"/>
      <w:marLeft w:val="0"/>
      <w:marRight w:val="0"/>
      <w:marTop w:val="0"/>
      <w:marBottom w:val="0"/>
      <w:divBdr>
        <w:top w:val="none" w:sz="0" w:space="0" w:color="auto"/>
        <w:left w:val="none" w:sz="0" w:space="0" w:color="auto"/>
        <w:bottom w:val="none" w:sz="0" w:space="0" w:color="auto"/>
        <w:right w:val="none" w:sz="0" w:space="0" w:color="auto"/>
      </w:divBdr>
    </w:div>
    <w:div w:id="1209758613">
      <w:bodyDiv w:val="1"/>
      <w:marLeft w:val="0"/>
      <w:marRight w:val="0"/>
      <w:marTop w:val="0"/>
      <w:marBottom w:val="0"/>
      <w:divBdr>
        <w:top w:val="none" w:sz="0" w:space="0" w:color="auto"/>
        <w:left w:val="none" w:sz="0" w:space="0" w:color="auto"/>
        <w:bottom w:val="none" w:sz="0" w:space="0" w:color="auto"/>
        <w:right w:val="none" w:sz="0" w:space="0" w:color="auto"/>
      </w:divBdr>
    </w:div>
    <w:div w:id="1222861972">
      <w:bodyDiv w:val="1"/>
      <w:marLeft w:val="0"/>
      <w:marRight w:val="0"/>
      <w:marTop w:val="0"/>
      <w:marBottom w:val="0"/>
      <w:divBdr>
        <w:top w:val="none" w:sz="0" w:space="0" w:color="auto"/>
        <w:left w:val="none" w:sz="0" w:space="0" w:color="auto"/>
        <w:bottom w:val="none" w:sz="0" w:space="0" w:color="auto"/>
        <w:right w:val="none" w:sz="0" w:space="0" w:color="auto"/>
      </w:divBdr>
    </w:div>
    <w:div w:id="1225793857">
      <w:bodyDiv w:val="1"/>
      <w:marLeft w:val="0"/>
      <w:marRight w:val="0"/>
      <w:marTop w:val="0"/>
      <w:marBottom w:val="0"/>
      <w:divBdr>
        <w:top w:val="none" w:sz="0" w:space="0" w:color="auto"/>
        <w:left w:val="none" w:sz="0" w:space="0" w:color="auto"/>
        <w:bottom w:val="none" w:sz="0" w:space="0" w:color="auto"/>
        <w:right w:val="none" w:sz="0" w:space="0" w:color="auto"/>
      </w:divBdr>
    </w:div>
    <w:div w:id="1233808019">
      <w:bodyDiv w:val="1"/>
      <w:marLeft w:val="0"/>
      <w:marRight w:val="0"/>
      <w:marTop w:val="0"/>
      <w:marBottom w:val="0"/>
      <w:divBdr>
        <w:top w:val="none" w:sz="0" w:space="0" w:color="auto"/>
        <w:left w:val="none" w:sz="0" w:space="0" w:color="auto"/>
        <w:bottom w:val="none" w:sz="0" w:space="0" w:color="auto"/>
        <w:right w:val="none" w:sz="0" w:space="0" w:color="auto"/>
      </w:divBdr>
    </w:div>
    <w:div w:id="1236013747">
      <w:bodyDiv w:val="1"/>
      <w:marLeft w:val="0"/>
      <w:marRight w:val="0"/>
      <w:marTop w:val="0"/>
      <w:marBottom w:val="0"/>
      <w:divBdr>
        <w:top w:val="none" w:sz="0" w:space="0" w:color="auto"/>
        <w:left w:val="none" w:sz="0" w:space="0" w:color="auto"/>
        <w:bottom w:val="none" w:sz="0" w:space="0" w:color="auto"/>
        <w:right w:val="none" w:sz="0" w:space="0" w:color="auto"/>
      </w:divBdr>
    </w:div>
    <w:div w:id="1236403220">
      <w:bodyDiv w:val="1"/>
      <w:marLeft w:val="0"/>
      <w:marRight w:val="0"/>
      <w:marTop w:val="0"/>
      <w:marBottom w:val="0"/>
      <w:divBdr>
        <w:top w:val="none" w:sz="0" w:space="0" w:color="auto"/>
        <w:left w:val="none" w:sz="0" w:space="0" w:color="auto"/>
        <w:bottom w:val="none" w:sz="0" w:space="0" w:color="auto"/>
        <w:right w:val="none" w:sz="0" w:space="0" w:color="auto"/>
      </w:divBdr>
    </w:div>
    <w:div w:id="1250231113">
      <w:bodyDiv w:val="1"/>
      <w:marLeft w:val="0"/>
      <w:marRight w:val="0"/>
      <w:marTop w:val="0"/>
      <w:marBottom w:val="0"/>
      <w:divBdr>
        <w:top w:val="none" w:sz="0" w:space="0" w:color="auto"/>
        <w:left w:val="none" w:sz="0" w:space="0" w:color="auto"/>
        <w:bottom w:val="none" w:sz="0" w:space="0" w:color="auto"/>
        <w:right w:val="none" w:sz="0" w:space="0" w:color="auto"/>
      </w:divBdr>
    </w:div>
    <w:div w:id="1250849383">
      <w:bodyDiv w:val="1"/>
      <w:marLeft w:val="0"/>
      <w:marRight w:val="0"/>
      <w:marTop w:val="0"/>
      <w:marBottom w:val="0"/>
      <w:divBdr>
        <w:top w:val="none" w:sz="0" w:space="0" w:color="auto"/>
        <w:left w:val="none" w:sz="0" w:space="0" w:color="auto"/>
        <w:bottom w:val="none" w:sz="0" w:space="0" w:color="auto"/>
        <w:right w:val="none" w:sz="0" w:space="0" w:color="auto"/>
      </w:divBdr>
    </w:div>
    <w:div w:id="1260482268">
      <w:bodyDiv w:val="1"/>
      <w:marLeft w:val="0"/>
      <w:marRight w:val="0"/>
      <w:marTop w:val="0"/>
      <w:marBottom w:val="0"/>
      <w:divBdr>
        <w:top w:val="none" w:sz="0" w:space="0" w:color="auto"/>
        <w:left w:val="none" w:sz="0" w:space="0" w:color="auto"/>
        <w:bottom w:val="none" w:sz="0" w:space="0" w:color="auto"/>
        <w:right w:val="none" w:sz="0" w:space="0" w:color="auto"/>
      </w:divBdr>
    </w:div>
    <w:div w:id="1266888164">
      <w:bodyDiv w:val="1"/>
      <w:marLeft w:val="0"/>
      <w:marRight w:val="0"/>
      <w:marTop w:val="0"/>
      <w:marBottom w:val="0"/>
      <w:divBdr>
        <w:top w:val="none" w:sz="0" w:space="0" w:color="auto"/>
        <w:left w:val="none" w:sz="0" w:space="0" w:color="auto"/>
        <w:bottom w:val="none" w:sz="0" w:space="0" w:color="auto"/>
        <w:right w:val="none" w:sz="0" w:space="0" w:color="auto"/>
      </w:divBdr>
    </w:div>
    <w:div w:id="1269967181">
      <w:bodyDiv w:val="1"/>
      <w:marLeft w:val="0"/>
      <w:marRight w:val="0"/>
      <w:marTop w:val="0"/>
      <w:marBottom w:val="0"/>
      <w:divBdr>
        <w:top w:val="none" w:sz="0" w:space="0" w:color="auto"/>
        <w:left w:val="none" w:sz="0" w:space="0" w:color="auto"/>
        <w:bottom w:val="none" w:sz="0" w:space="0" w:color="auto"/>
        <w:right w:val="none" w:sz="0" w:space="0" w:color="auto"/>
      </w:divBdr>
    </w:div>
    <w:div w:id="1280797777">
      <w:bodyDiv w:val="1"/>
      <w:marLeft w:val="0"/>
      <w:marRight w:val="0"/>
      <w:marTop w:val="0"/>
      <w:marBottom w:val="0"/>
      <w:divBdr>
        <w:top w:val="none" w:sz="0" w:space="0" w:color="auto"/>
        <w:left w:val="none" w:sz="0" w:space="0" w:color="auto"/>
        <w:bottom w:val="none" w:sz="0" w:space="0" w:color="auto"/>
        <w:right w:val="none" w:sz="0" w:space="0" w:color="auto"/>
      </w:divBdr>
    </w:div>
    <w:div w:id="1290475398">
      <w:bodyDiv w:val="1"/>
      <w:marLeft w:val="0"/>
      <w:marRight w:val="0"/>
      <w:marTop w:val="0"/>
      <w:marBottom w:val="0"/>
      <w:divBdr>
        <w:top w:val="none" w:sz="0" w:space="0" w:color="auto"/>
        <w:left w:val="none" w:sz="0" w:space="0" w:color="auto"/>
        <w:bottom w:val="none" w:sz="0" w:space="0" w:color="auto"/>
        <w:right w:val="none" w:sz="0" w:space="0" w:color="auto"/>
      </w:divBdr>
    </w:div>
    <w:div w:id="1295985661">
      <w:bodyDiv w:val="1"/>
      <w:marLeft w:val="0"/>
      <w:marRight w:val="0"/>
      <w:marTop w:val="0"/>
      <w:marBottom w:val="0"/>
      <w:divBdr>
        <w:top w:val="none" w:sz="0" w:space="0" w:color="auto"/>
        <w:left w:val="none" w:sz="0" w:space="0" w:color="auto"/>
        <w:bottom w:val="none" w:sz="0" w:space="0" w:color="auto"/>
        <w:right w:val="none" w:sz="0" w:space="0" w:color="auto"/>
      </w:divBdr>
    </w:div>
    <w:div w:id="1297757459">
      <w:bodyDiv w:val="1"/>
      <w:marLeft w:val="0"/>
      <w:marRight w:val="0"/>
      <w:marTop w:val="0"/>
      <w:marBottom w:val="0"/>
      <w:divBdr>
        <w:top w:val="none" w:sz="0" w:space="0" w:color="auto"/>
        <w:left w:val="none" w:sz="0" w:space="0" w:color="auto"/>
        <w:bottom w:val="none" w:sz="0" w:space="0" w:color="auto"/>
        <w:right w:val="none" w:sz="0" w:space="0" w:color="auto"/>
      </w:divBdr>
    </w:div>
    <w:div w:id="1303004518">
      <w:bodyDiv w:val="1"/>
      <w:marLeft w:val="0"/>
      <w:marRight w:val="0"/>
      <w:marTop w:val="0"/>
      <w:marBottom w:val="0"/>
      <w:divBdr>
        <w:top w:val="none" w:sz="0" w:space="0" w:color="auto"/>
        <w:left w:val="none" w:sz="0" w:space="0" w:color="auto"/>
        <w:bottom w:val="none" w:sz="0" w:space="0" w:color="auto"/>
        <w:right w:val="none" w:sz="0" w:space="0" w:color="auto"/>
      </w:divBdr>
    </w:div>
    <w:div w:id="1303385980">
      <w:bodyDiv w:val="1"/>
      <w:marLeft w:val="0"/>
      <w:marRight w:val="0"/>
      <w:marTop w:val="0"/>
      <w:marBottom w:val="0"/>
      <w:divBdr>
        <w:top w:val="none" w:sz="0" w:space="0" w:color="auto"/>
        <w:left w:val="none" w:sz="0" w:space="0" w:color="auto"/>
        <w:bottom w:val="none" w:sz="0" w:space="0" w:color="auto"/>
        <w:right w:val="none" w:sz="0" w:space="0" w:color="auto"/>
      </w:divBdr>
    </w:div>
    <w:div w:id="1309245383">
      <w:bodyDiv w:val="1"/>
      <w:marLeft w:val="0"/>
      <w:marRight w:val="0"/>
      <w:marTop w:val="0"/>
      <w:marBottom w:val="0"/>
      <w:divBdr>
        <w:top w:val="none" w:sz="0" w:space="0" w:color="auto"/>
        <w:left w:val="none" w:sz="0" w:space="0" w:color="auto"/>
        <w:bottom w:val="none" w:sz="0" w:space="0" w:color="auto"/>
        <w:right w:val="none" w:sz="0" w:space="0" w:color="auto"/>
      </w:divBdr>
    </w:div>
    <w:div w:id="1311596244">
      <w:bodyDiv w:val="1"/>
      <w:marLeft w:val="0"/>
      <w:marRight w:val="0"/>
      <w:marTop w:val="0"/>
      <w:marBottom w:val="0"/>
      <w:divBdr>
        <w:top w:val="none" w:sz="0" w:space="0" w:color="auto"/>
        <w:left w:val="none" w:sz="0" w:space="0" w:color="auto"/>
        <w:bottom w:val="none" w:sz="0" w:space="0" w:color="auto"/>
        <w:right w:val="none" w:sz="0" w:space="0" w:color="auto"/>
      </w:divBdr>
    </w:div>
    <w:div w:id="1315599382">
      <w:bodyDiv w:val="1"/>
      <w:marLeft w:val="0"/>
      <w:marRight w:val="0"/>
      <w:marTop w:val="0"/>
      <w:marBottom w:val="0"/>
      <w:divBdr>
        <w:top w:val="none" w:sz="0" w:space="0" w:color="auto"/>
        <w:left w:val="none" w:sz="0" w:space="0" w:color="auto"/>
        <w:bottom w:val="none" w:sz="0" w:space="0" w:color="auto"/>
        <w:right w:val="none" w:sz="0" w:space="0" w:color="auto"/>
      </w:divBdr>
    </w:div>
    <w:div w:id="1323662530">
      <w:bodyDiv w:val="1"/>
      <w:marLeft w:val="0"/>
      <w:marRight w:val="0"/>
      <w:marTop w:val="0"/>
      <w:marBottom w:val="0"/>
      <w:divBdr>
        <w:top w:val="none" w:sz="0" w:space="0" w:color="auto"/>
        <w:left w:val="none" w:sz="0" w:space="0" w:color="auto"/>
        <w:bottom w:val="none" w:sz="0" w:space="0" w:color="auto"/>
        <w:right w:val="none" w:sz="0" w:space="0" w:color="auto"/>
      </w:divBdr>
    </w:div>
    <w:div w:id="1324118743">
      <w:bodyDiv w:val="1"/>
      <w:marLeft w:val="0"/>
      <w:marRight w:val="0"/>
      <w:marTop w:val="0"/>
      <w:marBottom w:val="0"/>
      <w:divBdr>
        <w:top w:val="none" w:sz="0" w:space="0" w:color="auto"/>
        <w:left w:val="none" w:sz="0" w:space="0" w:color="auto"/>
        <w:bottom w:val="none" w:sz="0" w:space="0" w:color="auto"/>
        <w:right w:val="none" w:sz="0" w:space="0" w:color="auto"/>
      </w:divBdr>
    </w:div>
    <w:div w:id="1324158358">
      <w:bodyDiv w:val="1"/>
      <w:marLeft w:val="0"/>
      <w:marRight w:val="0"/>
      <w:marTop w:val="0"/>
      <w:marBottom w:val="0"/>
      <w:divBdr>
        <w:top w:val="none" w:sz="0" w:space="0" w:color="auto"/>
        <w:left w:val="none" w:sz="0" w:space="0" w:color="auto"/>
        <w:bottom w:val="none" w:sz="0" w:space="0" w:color="auto"/>
        <w:right w:val="none" w:sz="0" w:space="0" w:color="auto"/>
      </w:divBdr>
    </w:div>
    <w:div w:id="1327512599">
      <w:bodyDiv w:val="1"/>
      <w:marLeft w:val="0"/>
      <w:marRight w:val="0"/>
      <w:marTop w:val="0"/>
      <w:marBottom w:val="0"/>
      <w:divBdr>
        <w:top w:val="none" w:sz="0" w:space="0" w:color="auto"/>
        <w:left w:val="none" w:sz="0" w:space="0" w:color="auto"/>
        <w:bottom w:val="none" w:sz="0" w:space="0" w:color="auto"/>
        <w:right w:val="none" w:sz="0" w:space="0" w:color="auto"/>
      </w:divBdr>
    </w:div>
    <w:div w:id="1332568491">
      <w:bodyDiv w:val="1"/>
      <w:marLeft w:val="0"/>
      <w:marRight w:val="0"/>
      <w:marTop w:val="0"/>
      <w:marBottom w:val="0"/>
      <w:divBdr>
        <w:top w:val="none" w:sz="0" w:space="0" w:color="auto"/>
        <w:left w:val="none" w:sz="0" w:space="0" w:color="auto"/>
        <w:bottom w:val="none" w:sz="0" w:space="0" w:color="auto"/>
        <w:right w:val="none" w:sz="0" w:space="0" w:color="auto"/>
      </w:divBdr>
    </w:div>
    <w:div w:id="1334380851">
      <w:bodyDiv w:val="1"/>
      <w:marLeft w:val="0"/>
      <w:marRight w:val="0"/>
      <w:marTop w:val="0"/>
      <w:marBottom w:val="0"/>
      <w:divBdr>
        <w:top w:val="none" w:sz="0" w:space="0" w:color="auto"/>
        <w:left w:val="none" w:sz="0" w:space="0" w:color="auto"/>
        <w:bottom w:val="none" w:sz="0" w:space="0" w:color="auto"/>
        <w:right w:val="none" w:sz="0" w:space="0" w:color="auto"/>
      </w:divBdr>
    </w:div>
    <w:div w:id="1336030076">
      <w:bodyDiv w:val="1"/>
      <w:marLeft w:val="0"/>
      <w:marRight w:val="0"/>
      <w:marTop w:val="0"/>
      <w:marBottom w:val="0"/>
      <w:divBdr>
        <w:top w:val="none" w:sz="0" w:space="0" w:color="auto"/>
        <w:left w:val="none" w:sz="0" w:space="0" w:color="auto"/>
        <w:bottom w:val="none" w:sz="0" w:space="0" w:color="auto"/>
        <w:right w:val="none" w:sz="0" w:space="0" w:color="auto"/>
      </w:divBdr>
    </w:div>
    <w:div w:id="1339574506">
      <w:bodyDiv w:val="1"/>
      <w:marLeft w:val="0"/>
      <w:marRight w:val="0"/>
      <w:marTop w:val="0"/>
      <w:marBottom w:val="0"/>
      <w:divBdr>
        <w:top w:val="none" w:sz="0" w:space="0" w:color="auto"/>
        <w:left w:val="none" w:sz="0" w:space="0" w:color="auto"/>
        <w:bottom w:val="none" w:sz="0" w:space="0" w:color="auto"/>
        <w:right w:val="none" w:sz="0" w:space="0" w:color="auto"/>
      </w:divBdr>
    </w:div>
    <w:div w:id="1340742183">
      <w:bodyDiv w:val="1"/>
      <w:marLeft w:val="0"/>
      <w:marRight w:val="0"/>
      <w:marTop w:val="0"/>
      <w:marBottom w:val="0"/>
      <w:divBdr>
        <w:top w:val="none" w:sz="0" w:space="0" w:color="auto"/>
        <w:left w:val="none" w:sz="0" w:space="0" w:color="auto"/>
        <w:bottom w:val="none" w:sz="0" w:space="0" w:color="auto"/>
        <w:right w:val="none" w:sz="0" w:space="0" w:color="auto"/>
      </w:divBdr>
    </w:div>
    <w:div w:id="1346444941">
      <w:bodyDiv w:val="1"/>
      <w:marLeft w:val="0"/>
      <w:marRight w:val="0"/>
      <w:marTop w:val="0"/>
      <w:marBottom w:val="0"/>
      <w:divBdr>
        <w:top w:val="none" w:sz="0" w:space="0" w:color="auto"/>
        <w:left w:val="none" w:sz="0" w:space="0" w:color="auto"/>
        <w:bottom w:val="none" w:sz="0" w:space="0" w:color="auto"/>
        <w:right w:val="none" w:sz="0" w:space="0" w:color="auto"/>
      </w:divBdr>
    </w:div>
    <w:div w:id="1348556410">
      <w:bodyDiv w:val="1"/>
      <w:marLeft w:val="0"/>
      <w:marRight w:val="0"/>
      <w:marTop w:val="0"/>
      <w:marBottom w:val="0"/>
      <w:divBdr>
        <w:top w:val="none" w:sz="0" w:space="0" w:color="auto"/>
        <w:left w:val="none" w:sz="0" w:space="0" w:color="auto"/>
        <w:bottom w:val="none" w:sz="0" w:space="0" w:color="auto"/>
        <w:right w:val="none" w:sz="0" w:space="0" w:color="auto"/>
      </w:divBdr>
    </w:div>
    <w:div w:id="1355375583">
      <w:bodyDiv w:val="1"/>
      <w:marLeft w:val="0"/>
      <w:marRight w:val="0"/>
      <w:marTop w:val="0"/>
      <w:marBottom w:val="0"/>
      <w:divBdr>
        <w:top w:val="none" w:sz="0" w:space="0" w:color="auto"/>
        <w:left w:val="none" w:sz="0" w:space="0" w:color="auto"/>
        <w:bottom w:val="none" w:sz="0" w:space="0" w:color="auto"/>
        <w:right w:val="none" w:sz="0" w:space="0" w:color="auto"/>
      </w:divBdr>
    </w:div>
    <w:div w:id="1371226633">
      <w:bodyDiv w:val="1"/>
      <w:marLeft w:val="0"/>
      <w:marRight w:val="0"/>
      <w:marTop w:val="0"/>
      <w:marBottom w:val="0"/>
      <w:divBdr>
        <w:top w:val="none" w:sz="0" w:space="0" w:color="auto"/>
        <w:left w:val="none" w:sz="0" w:space="0" w:color="auto"/>
        <w:bottom w:val="none" w:sz="0" w:space="0" w:color="auto"/>
        <w:right w:val="none" w:sz="0" w:space="0" w:color="auto"/>
      </w:divBdr>
    </w:div>
    <w:div w:id="1378164674">
      <w:bodyDiv w:val="1"/>
      <w:marLeft w:val="0"/>
      <w:marRight w:val="0"/>
      <w:marTop w:val="0"/>
      <w:marBottom w:val="0"/>
      <w:divBdr>
        <w:top w:val="none" w:sz="0" w:space="0" w:color="auto"/>
        <w:left w:val="none" w:sz="0" w:space="0" w:color="auto"/>
        <w:bottom w:val="none" w:sz="0" w:space="0" w:color="auto"/>
        <w:right w:val="none" w:sz="0" w:space="0" w:color="auto"/>
      </w:divBdr>
    </w:div>
    <w:div w:id="1380088131">
      <w:bodyDiv w:val="1"/>
      <w:marLeft w:val="0"/>
      <w:marRight w:val="0"/>
      <w:marTop w:val="0"/>
      <w:marBottom w:val="0"/>
      <w:divBdr>
        <w:top w:val="none" w:sz="0" w:space="0" w:color="auto"/>
        <w:left w:val="none" w:sz="0" w:space="0" w:color="auto"/>
        <w:bottom w:val="none" w:sz="0" w:space="0" w:color="auto"/>
        <w:right w:val="none" w:sz="0" w:space="0" w:color="auto"/>
      </w:divBdr>
    </w:div>
    <w:div w:id="1388450971">
      <w:bodyDiv w:val="1"/>
      <w:marLeft w:val="0"/>
      <w:marRight w:val="0"/>
      <w:marTop w:val="0"/>
      <w:marBottom w:val="0"/>
      <w:divBdr>
        <w:top w:val="none" w:sz="0" w:space="0" w:color="auto"/>
        <w:left w:val="none" w:sz="0" w:space="0" w:color="auto"/>
        <w:bottom w:val="none" w:sz="0" w:space="0" w:color="auto"/>
        <w:right w:val="none" w:sz="0" w:space="0" w:color="auto"/>
      </w:divBdr>
    </w:div>
    <w:div w:id="1388794405">
      <w:bodyDiv w:val="1"/>
      <w:marLeft w:val="0"/>
      <w:marRight w:val="0"/>
      <w:marTop w:val="0"/>
      <w:marBottom w:val="0"/>
      <w:divBdr>
        <w:top w:val="none" w:sz="0" w:space="0" w:color="auto"/>
        <w:left w:val="none" w:sz="0" w:space="0" w:color="auto"/>
        <w:bottom w:val="none" w:sz="0" w:space="0" w:color="auto"/>
        <w:right w:val="none" w:sz="0" w:space="0" w:color="auto"/>
      </w:divBdr>
    </w:div>
    <w:div w:id="1389037017">
      <w:bodyDiv w:val="1"/>
      <w:marLeft w:val="0"/>
      <w:marRight w:val="0"/>
      <w:marTop w:val="0"/>
      <w:marBottom w:val="0"/>
      <w:divBdr>
        <w:top w:val="none" w:sz="0" w:space="0" w:color="auto"/>
        <w:left w:val="none" w:sz="0" w:space="0" w:color="auto"/>
        <w:bottom w:val="none" w:sz="0" w:space="0" w:color="auto"/>
        <w:right w:val="none" w:sz="0" w:space="0" w:color="auto"/>
      </w:divBdr>
    </w:div>
    <w:div w:id="1393692235">
      <w:bodyDiv w:val="1"/>
      <w:marLeft w:val="0"/>
      <w:marRight w:val="0"/>
      <w:marTop w:val="0"/>
      <w:marBottom w:val="0"/>
      <w:divBdr>
        <w:top w:val="none" w:sz="0" w:space="0" w:color="auto"/>
        <w:left w:val="none" w:sz="0" w:space="0" w:color="auto"/>
        <w:bottom w:val="none" w:sz="0" w:space="0" w:color="auto"/>
        <w:right w:val="none" w:sz="0" w:space="0" w:color="auto"/>
      </w:divBdr>
    </w:div>
    <w:div w:id="1399086301">
      <w:bodyDiv w:val="1"/>
      <w:marLeft w:val="0"/>
      <w:marRight w:val="0"/>
      <w:marTop w:val="0"/>
      <w:marBottom w:val="0"/>
      <w:divBdr>
        <w:top w:val="none" w:sz="0" w:space="0" w:color="auto"/>
        <w:left w:val="none" w:sz="0" w:space="0" w:color="auto"/>
        <w:bottom w:val="none" w:sz="0" w:space="0" w:color="auto"/>
        <w:right w:val="none" w:sz="0" w:space="0" w:color="auto"/>
      </w:divBdr>
    </w:div>
    <w:div w:id="1400057538">
      <w:bodyDiv w:val="1"/>
      <w:marLeft w:val="0"/>
      <w:marRight w:val="0"/>
      <w:marTop w:val="0"/>
      <w:marBottom w:val="0"/>
      <w:divBdr>
        <w:top w:val="none" w:sz="0" w:space="0" w:color="auto"/>
        <w:left w:val="none" w:sz="0" w:space="0" w:color="auto"/>
        <w:bottom w:val="none" w:sz="0" w:space="0" w:color="auto"/>
        <w:right w:val="none" w:sz="0" w:space="0" w:color="auto"/>
      </w:divBdr>
    </w:div>
    <w:div w:id="1401294521">
      <w:bodyDiv w:val="1"/>
      <w:marLeft w:val="0"/>
      <w:marRight w:val="0"/>
      <w:marTop w:val="0"/>
      <w:marBottom w:val="0"/>
      <w:divBdr>
        <w:top w:val="none" w:sz="0" w:space="0" w:color="auto"/>
        <w:left w:val="none" w:sz="0" w:space="0" w:color="auto"/>
        <w:bottom w:val="none" w:sz="0" w:space="0" w:color="auto"/>
        <w:right w:val="none" w:sz="0" w:space="0" w:color="auto"/>
      </w:divBdr>
    </w:div>
    <w:div w:id="1425878388">
      <w:bodyDiv w:val="1"/>
      <w:marLeft w:val="0"/>
      <w:marRight w:val="0"/>
      <w:marTop w:val="0"/>
      <w:marBottom w:val="0"/>
      <w:divBdr>
        <w:top w:val="none" w:sz="0" w:space="0" w:color="auto"/>
        <w:left w:val="none" w:sz="0" w:space="0" w:color="auto"/>
        <w:bottom w:val="none" w:sz="0" w:space="0" w:color="auto"/>
        <w:right w:val="none" w:sz="0" w:space="0" w:color="auto"/>
      </w:divBdr>
      <w:divsChild>
        <w:div w:id="272055080">
          <w:marLeft w:val="0"/>
          <w:marRight w:val="0"/>
          <w:marTop w:val="0"/>
          <w:marBottom w:val="180"/>
          <w:divBdr>
            <w:top w:val="none" w:sz="0" w:space="0" w:color="auto"/>
            <w:left w:val="none" w:sz="0" w:space="0" w:color="auto"/>
            <w:bottom w:val="none" w:sz="0" w:space="0" w:color="auto"/>
            <w:right w:val="none" w:sz="0" w:space="0" w:color="auto"/>
          </w:divBdr>
          <w:divsChild>
            <w:div w:id="1199048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0736678">
      <w:bodyDiv w:val="1"/>
      <w:marLeft w:val="0"/>
      <w:marRight w:val="0"/>
      <w:marTop w:val="0"/>
      <w:marBottom w:val="0"/>
      <w:divBdr>
        <w:top w:val="none" w:sz="0" w:space="0" w:color="auto"/>
        <w:left w:val="none" w:sz="0" w:space="0" w:color="auto"/>
        <w:bottom w:val="none" w:sz="0" w:space="0" w:color="auto"/>
        <w:right w:val="none" w:sz="0" w:space="0" w:color="auto"/>
      </w:divBdr>
      <w:divsChild>
        <w:div w:id="32075978">
          <w:marLeft w:val="0"/>
          <w:marRight w:val="0"/>
          <w:marTop w:val="0"/>
          <w:marBottom w:val="0"/>
          <w:divBdr>
            <w:top w:val="single" w:sz="2" w:space="0" w:color="E5E7EB"/>
            <w:left w:val="single" w:sz="2" w:space="0" w:color="E5E7EB"/>
            <w:bottom w:val="single" w:sz="2" w:space="0" w:color="E5E7EB"/>
            <w:right w:val="single" w:sz="2" w:space="0" w:color="E5E7EB"/>
          </w:divBdr>
          <w:divsChild>
            <w:div w:id="1778404454">
              <w:marLeft w:val="0"/>
              <w:marRight w:val="0"/>
              <w:marTop w:val="0"/>
              <w:marBottom w:val="0"/>
              <w:divBdr>
                <w:top w:val="single" w:sz="2" w:space="0" w:color="auto"/>
                <w:left w:val="single" w:sz="2" w:space="0" w:color="auto"/>
                <w:bottom w:val="single" w:sz="2" w:space="0" w:color="auto"/>
                <w:right w:val="single" w:sz="2" w:space="0" w:color="auto"/>
              </w:divBdr>
              <w:divsChild>
                <w:div w:id="701636712">
                  <w:marLeft w:val="0"/>
                  <w:marRight w:val="0"/>
                  <w:marTop w:val="0"/>
                  <w:marBottom w:val="0"/>
                  <w:divBdr>
                    <w:top w:val="single" w:sz="2" w:space="0" w:color="auto"/>
                    <w:left w:val="single" w:sz="2" w:space="0" w:color="auto"/>
                    <w:bottom w:val="single" w:sz="2" w:space="0" w:color="auto"/>
                    <w:right w:val="single" w:sz="2" w:space="0" w:color="auto"/>
                  </w:divBdr>
                  <w:divsChild>
                    <w:div w:id="1695307943">
                      <w:marLeft w:val="0"/>
                      <w:marRight w:val="0"/>
                      <w:marTop w:val="0"/>
                      <w:marBottom w:val="0"/>
                      <w:divBdr>
                        <w:top w:val="single" w:sz="2" w:space="0" w:color="E5E7EB"/>
                        <w:left w:val="single" w:sz="2" w:space="0" w:color="E5E7EB"/>
                        <w:bottom w:val="single" w:sz="2" w:space="0" w:color="E5E7EB"/>
                        <w:right w:val="single" w:sz="2" w:space="0" w:color="E5E7EB"/>
                      </w:divBdr>
                      <w:divsChild>
                        <w:div w:id="1855341999">
                          <w:marLeft w:val="0"/>
                          <w:marRight w:val="0"/>
                          <w:marTop w:val="0"/>
                          <w:marBottom w:val="0"/>
                          <w:divBdr>
                            <w:top w:val="single" w:sz="2" w:space="0" w:color="E5E7EB"/>
                            <w:left w:val="single" w:sz="2" w:space="0" w:color="E5E7EB"/>
                            <w:bottom w:val="single" w:sz="2" w:space="0" w:color="E5E7EB"/>
                            <w:right w:val="single" w:sz="2" w:space="0" w:color="E5E7EB"/>
                          </w:divBdr>
                          <w:divsChild>
                            <w:div w:id="493495832">
                              <w:marLeft w:val="0"/>
                              <w:marRight w:val="0"/>
                              <w:marTop w:val="0"/>
                              <w:marBottom w:val="0"/>
                              <w:divBdr>
                                <w:top w:val="single" w:sz="2" w:space="0" w:color="E5E7EB"/>
                                <w:left w:val="single" w:sz="2" w:space="0" w:color="E5E7EB"/>
                                <w:bottom w:val="single" w:sz="2" w:space="0" w:color="E5E7EB"/>
                                <w:right w:val="single" w:sz="2" w:space="0" w:color="E5E7EB"/>
                              </w:divBdr>
                              <w:divsChild>
                                <w:div w:id="804589733">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 w:id="2116443012">
                  <w:marLeft w:val="0"/>
                  <w:marRight w:val="0"/>
                  <w:marTop w:val="0"/>
                  <w:marBottom w:val="0"/>
                  <w:divBdr>
                    <w:top w:val="single" w:sz="2" w:space="0" w:color="auto"/>
                    <w:left w:val="single" w:sz="2" w:space="0" w:color="auto"/>
                    <w:bottom w:val="single" w:sz="2" w:space="0" w:color="auto"/>
                    <w:right w:val="single" w:sz="2" w:space="0" w:color="auto"/>
                  </w:divBdr>
                  <w:divsChild>
                    <w:div w:id="1538395457">
                      <w:marLeft w:val="0"/>
                      <w:marRight w:val="0"/>
                      <w:marTop w:val="0"/>
                      <w:marBottom w:val="0"/>
                      <w:divBdr>
                        <w:top w:val="single" w:sz="2" w:space="0" w:color="E5E7EB"/>
                        <w:left w:val="single" w:sz="2" w:space="0" w:color="E5E7EB"/>
                        <w:bottom w:val="single" w:sz="2" w:space="0" w:color="E5E7EB"/>
                        <w:right w:val="single" w:sz="2" w:space="0" w:color="E5E7EB"/>
                      </w:divBdr>
                      <w:divsChild>
                        <w:div w:id="552234107">
                          <w:marLeft w:val="0"/>
                          <w:marRight w:val="0"/>
                          <w:marTop w:val="0"/>
                          <w:marBottom w:val="0"/>
                          <w:divBdr>
                            <w:top w:val="single" w:sz="2" w:space="0" w:color="E5E7EB"/>
                            <w:left w:val="single" w:sz="2" w:space="0" w:color="E5E7EB"/>
                            <w:bottom w:val="single" w:sz="2" w:space="0" w:color="E5E7EB"/>
                            <w:right w:val="single" w:sz="2" w:space="0" w:color="E5E7EB"/>
                          </w:divBdr>
                          <w:divsChild>
                            <w:div w:id="341081117">
                              <w:marLeft w:val="0"/>
                              <w:marRight w:val="0"/>
                              <w:marTop w:val="0"/>
                              <w:marBottom w:val="0"/>
                              <w:divBdr>
                                <w:top w:val="single" w:sz="2" w:space="0" w:color="E5E7EB"/>
                                <w:left w:val="single" w:sz="2" w:space="0" w:color="E5E7EB"/>
                                <w:bottom w:val="single" w:sz="2" w:space="0" w:color="E5E7EB"/>
                                <w:right w:val="single" w:sz="2" w:space="0" w:color="E5E7EB"/>
                              </w:divBdr>
                              <w:divsChild>
                                <w:div w:id="1538354030">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720403567">
                          <w:marLeft w:val="0"/>
                          <w:marRight w:val="0"/>
                          <w:marTop w:val="0"/>
                          <w:marBottom w:val="0"/>
                          <w:divBdr>
                            <w:top w:val="single" w:sz="2" w:space="0" w:color="E5E7EB"/>
                            <w:left w:val="single" w:sz="2" w:space="0" w:color="E5E7EB"/>
                            <w:bottom w:val="single" w:sz="2" w:space="0" w:color="E5E7EB"/>
                            <w:right w:val="single" w:sz="2" w:space="0" w:color="E5E7EB"/>
                          </w:divBdr>
                          <w:divsChild>
                            <w:div w:id="1795833605">
                              <w:marLeft w:val="0"/>
                              <w:marRight w:val="0"/>
                              <w:marTop w:val="0"/>
                              <w:marBottom w:val="0"/>
                              <w:divBdr>
                                <w:top w:val="single" w:sz="2" w:space="0" w:color="E5E7EB"/>
                                <w:left w:val="single" w:sz="2" w:space="0" w:color="E5E7EB"/>
                                <w:bottom w:val="single" w:sz="2" w:space="0" w:color="E5E7EB"/>
                                <w:right w:val="single" w:sz="2" w:space="0" w:color="E5E7EB"/>
                              </w:divBdr>
                              <w:divsChild>
                                <w:div w:id="1226406399">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 w:id="1109472192">
                          <w:marLeft w:val="0"/>
                          <w:marRight w:val="0"/>
                          <w:marTop w:val="0"/>
                          <w:marBottom w:val="0"/>
                          <w:divBdr>
                            <w:top w:val="single" w:sz="2" w:space="0" w:color="E5E7EB"/>
                            <w:left w:val="single" w:sz="2" w:space="0" w:color="E5E7EB"/>
                            <w:bottom w:val="single" w:sz="2" w:space="0" w:color="E5E7EB"/>
                            <w:right w:val="single" w:sz="2" w:space="0" w:color="E5E7EB"/>
                          </w:divBdr>
                          <w:divsChild>
                            <w:div w:id="878322058">
                              <w:marLeft w:val="0"/>
                              <w:marRight w:val="0"/>
                              <w:marTop w:val="0"/>
                              <w:marBottom w:val="0"/>
                              <w:divBdr>
                                <w:top w:val="single" w:sz="2" w:space="0" w:color="E5E7EB"/>
                                <w:left w:val="single" w:sz="2" w:space="0" w:color="E5E7EB"/>
                                <w:bottom w:val="single" w:sz="2" w:space="0" w:color="E5E7EB"/>
                                <w:right w:val="single" w:sz="2" w:space="0" w:color="E5E7EB"/>
                              </w:divBdr>
                            </w:div>
                          </w:divsChild>
                        </w:div>
                      </w:divsChild>
                    </w:div>
                  </w:divsChild>
                </w:div>
              </w:divsChild>
            </w:div>
          </w:divsChild>
        </w:div>
      </w:divsChild>
    </w:div>
    <w:div w:id="1432555211">
      <w:bodyDiv w:val="1"/>
      <w:marLeft w:val="0"/>
      <w:marRight w:val="0"/>
      <w:marTop w:val="0"/>
      <w:marBottom w:val="0"/>
      <w:divBdr>
        <w:top w:val="none" w:sz="0" w:space="0" w:color="auto"/>
        <w:left w:val="none" w:sz="0" w:space="0" w:color="auto"/>
        <w:bottom w:val="none" w:sz="0" w:space="0" w:color="auto"/>
        <w:right w:val="none" w:sz="0" w:space="0" w:color="auto"/>
      </w:divBdr>
    </w:div>
    <w:div w:id="1447041426">
      <w:bodyDiv w:val="1"/>
      <w:marLeft w:val="0"/>
      <w:marRight w:val="0"/>
      <w:marTop w:val="0"/>
      <w:marBottom w:val="0"/>
      <w:divBdr>
        <w:top w:val="none" w:sz="0" w:space="0" w:color="auto"/>
        <w:left w:val="none" w:sz="0" w:space="0" w:color="auto"/>
        <w:bottom w:val="none" w:sz="0" w:space="0" w:color="auto"/>
        <w:right w:val="none" w:sz="0" w:space="0" w:color="auto"/>
      </w:divBdr>
    </w:div>
    <w:div w:id="1448502996">
      <w:bodyDiv w:val="1"/>
      <w:marLeft w:val="0"/>
      <w:marRight w:val="0"/>
      <w:marTop w:val="0"/>
      <w:marBottom w:val="0"/>
      <w:divBdr>
        <w:top w:val="none" w:sz="0" w:space="0" w:color="auto"/>
        <w:left w:val="none" w:sz="0" w:space="0" w:color="auto"/>
        <w:bottom w:val="none" w:sz="0" w:space="0" w:color="auto"/>
        <w:right w:val="none" w:sz="0" w:space="0" w:color="auto"/>
      </w:divBdr>
    </w:div>
    <w:div w:id="1450779437">
      <w:bodyDiv w:val="1"/>
      <w:marLeft w:val="0"/>
      <w:marRight w:val="0"/>
      <w:marTop w:val="0"/>
      <w:marBottom w:val="0"/>
      <w:divBdr>
        <w:top w:val="none" w:sz="0" w:space="0" w:color="auto"/>
        <w:left w:val="none" w:sz="0" w:space="0" w:color="auto"/>
        <w:bottom w:val="none" w:sz="0" w:space="0" w:color="auto"/>
        <w:right w:val="none" w:sz="0" w:space="0" w:color="auto"/>
      </w:divBdr>
    </w:div>
    <w:div w:id="1454443547">
      <w:bodyDiv w:val="1"/>
      <w:marLeft w:val="0"/>
      <w:marRight w:val="0"/>
      <w:marTop w:val="0"/>
      <w:marBottom w:val="0"/>
      <w:divBdr>
        <w:top w:val="none" w:sz="0" w:space="0" w:color="auto"/>
        <w:left w:val="none" w:sz="0" w:space="0" w:color="auto"/>
        <w:bottom w:val="none" w:sz="0" w:space="0" w:color="auto"/>
        <w:right w:val="none" w:sz="0" w:space="0" w:color="auto"/>
      </w:divBdr>
    </w:div>
    <w:div w:id="1454712867">
      <w:bodyDiv w:val="1"/>
      <w:marLeft w:val="0"/>
      <w:marRight w:val="0"/>
      <w:marTop w:val="0"/>
      <w:marBottom w:val="0"/>
      <w:divBdr>
        <w:top w:val="none" w:sz="0" w:space="0" w:color="auto"/>
        <w:left w:val="none" w:sz="0" w:space="0" w:color="auto"/>
        <w:bottom w:val="none" w:sz="0" w:space="0" w:color="auto"/>
        <w:right w:val="none" w:sz="0" w:space="0" w:color="auto"/>
      </w:divBdr>
    </w:div>
    <w:div w:id="1455173978">
      <w:bodyDiv w:val="1"/>
      <w:marLeft w:val="0"/>
      <w:marRight w:val="0"/>
      <w:marTop w:val="0"/>
      <w:marBottom w:val="0"/>
      <w:divBdr>
        <w:top w:val="none" w:sz="0" w:space="0" w:color="auto"/>
        <w:left w:val="none" w:sz="0" w:space="0" w:color="auto"/>
        <w:bottom w:val="none" w:sz="0" w:space="0" w:color="auto"/>
        <w:right w:val="none" w:sz="0" w:space="0" w:color="auto"/>
      </w:divBdr>
    </w:div>
    <w:div w:id="1457676710">
      <w:bodyDiv w:val="1"/>
      <w:marLeft w:val="0"/>
      <w:marRight w:val="0"/>
      <w:marTop w:val="0"/>
      <w:marBottom w:val="0"/>
      <w:divBdr>
        <w:top w:val="none" w:sz="0" w:space="0" w:color="auto"/>
        <w:left w:val="none" w:sz="0" w:space="0" w:color="auto"/>
        <w:bottom w:val="none" w:sz="0" w:space="0" w:color="auto"/>
        <w:right w:val="none" w:sz="0" w:space="0" w:color="auto"/>
      </w:divBdr>
    </w:div>
    <w:div w:id="1461221702">
      <w:bodyDiv w:val="1"/>
      <w:marLeft w:val="0"/>
      <w:marRight w:val="0"/>
      <w:marTop w:val="0"/>
      <w:marBottom w:val="0"/>
      <w:divBdr>
        <w:top w:val="none" w:sz="0" w:space="0" w:color="auto"/>
        <w:left w:val="none" w:sz="0" w:space="0" w:color="auto"/>
        <w:bottom w:val="none" w:sz="0" w:space="0" w:color="auto"/>
        <w:right w:val="none" w:sz="0" w:space="0" w:color="auto"/>
      </w:divBdr>
    </w:div>
    <w:div w:id="1465543764">
      <w:bodyDiv w:val="1"/>
      <w:marLeft w:val="0"/>
      <w:marRight w:val="0"/>
      <w:marTop w:val="0"/>
      <w:marBottom w:val="0"/>
      <w:divBdr>
        <w:top w:val="none" w:sz="0" w:space="0" w:color="auto"/>
        <w:left w:val="none" w:sz="0" w:space="0" w:color="auto"/>
        <w:bottom w:val="none" w:sz="0" w:space="0" w:color="auto"/>
        <w:right w:val="none" w:sz="0" w:space="0" w:color="auto"/>
      </w:divBdr>
    </w:div>
    <w:div w:id="1468427481">
      <w:bodyDiv w:val="1"/>
      <w:marLeft w:val="0"/>
      <w:marRight w:val="0"/>
      <w:marTop w:val="0"/>
      <w:marBottom w:val="0"/>
      <w:divBdr>
        <w:top w:val="none" w:sz="0" w:space="0" w:color="auto"/>
        <w:left w:val="none" w:sz="0" w:space="0" w:color="auto"/>
        <w:bottom w:val="none" w:sz="0" w:space="0" w:color="auto"/>
        <w:right w:val="none" w:sz="0" w:space="0" w:color="auto"/>
      </w:divBdr>
    </w:div>
    <w:div w:id="1472594095">
      <w:bodyDiv w:val="1"/>
      <w:marLeft w:val="0"/>
      <w:marRight w:val="0"/>
      <w:marTop w:val="0"/>
      <w:marBottom w:val="0"/>
      <w:divBdr>
        <w:top w:val="none" w:sz="0" w:space="0" w:color="auto"/>
        <w:left w:val="none" w:sz="0" w:space="0" w:color="auto"/>
        <w:bottom w:val="none" w:sz="0" w:space="0" w:color="auto"/>
        <w:right w:val="none" w:sz="0" w:space="0" w:color="auto"/>
      </w:divBdr>
    </w:div>
    <w:div w:id="1475102427">
      <w:bodyDiv w:val="1"/>
      <w:marLeft w:val="0"/>
      <w:marRight w:val="0"/>
      <w:marTop w:val="0"/>
      <w:marBottom w:val="0"/>
      <w:divBdr>
        <w:top w:val="none" w:sz="0" w:space="0" w:color="auto"/>
        <w:left w:val="none" w:sz="0" w:space="0" w:color="auto"/>
        <w:bottom w:val="none" w:sz="0" w:space="0" w:color="auto"/>
        <w:right w:val="none" w:sz="0" w:space="0" w:color="auto"/>
      </w:divBdr>
    </w:div>
    <w:div w:id="1484542201">
      <w:bodyDiv w:val="1"/>
      <w:marLeft w:val="0"/>
      <w:marRight w:val="0"/>
      <w:marTop w:val="0"/>
      <w:marBottom w:val="0"/>
      <w:divBdr>
        <w:top w:val="none" w:sz="0" w:space="0" w:color="auto"/>
        <w:left w:val="none" w:sz="0" w:space="0" w:color="auto"/>
        <w:bottom w:val="none" w:sz="0" w:space="0" w:color="auto"/>
        <w:right w:val="none" w:sz="0" w:space="0" w:color="auto"/>
      </w:divBdr>
    </w:div>
    <w:div w:id="1497067214">
      <w:bodyDiv w:val="1"/>
      <w:marLeft w:val="0"/>
      <w:marRight w:val="0"/>
      <w:marTop w:val="0"/>
      <w:marBottom w:val="0"/>
      <w:divBdr>
        <w:top w:val="none" w:sz="0" w:space="0" w:color="auto"/>
        <w:left w:val="none" w:sz="0" w:space="0" w:color="auto"/>
        <w:bottom w:val="none" w:sz="0" w:space="0" w:color="auto"/>
        <w:right w:val="none" w:sz="0" w:space="0" w:color="auto"/>
      </w:divBdr>
    </w:div>
    <w:div w:id="1499341479">
      <w:bodyDiv w:val="1"/>
      <w:marLeft w:val="0"/>
      <w:marRight w:val="0"/>
      <w:marTop w:val="0"/>
      <w:marBottom w:val="0"/>
      <w:divBdr>
        <w:top w:val="none" w:sz="0" w:space="0" w:color="auto"/>
        <w:left w:val="none" w:sz="0" w:space="0" w:color="auto"/>
        <w:bottom w:val="none" w:sz="0" w:space="0" w:color="auto"/>
        <w:right w:val="none" w:sz="0" w:space="0" w:color="auto"/>
      </w:divBdr>
    </w:div>
    <w:div w:id="1505167314">
      <w:bodyDiv w:val="1"/>
      <w:marLeft w:val="0"/>
      <w:marRight w:val="0"/>
      <w:marTop w:val="0"/>
      <w:marBottom w:val="0"/>
      <w:divBdr>
        <w:top w:val="none" w:sz="0" w:space="0" w:color="auto"/>
        <w:left w:val="none" w:sz="0" w:space="0" w:color="auto"/>
        <w:bottom w:val="none" w:sz="0" w:space="0" w:color="auto"/>
        <w:right w:val="none" w:sz="0" w:space="0" w:color="auto"/>
      </w:divBdr>
    </w:div>
    <w:div w:id="1511601665">
      <w:bodyDiv w:val="1"/>
      <w:marLeft w:val="0"/>
      <w:marRight w:val="0"/>
      <w:marTop w:val="0"/>
      <w:marBottom w:val="0"/>
      <w:divBdr>
        <w:top w:val="none" w:sz="0" w:space="0" w:color="auto"/>
        <w:left w:val="none" w:sz="0" w:space="0" w:color="auto"/>
        <w:bottom w:val="none" w:sz="0" w:space="0" w:color="auto"/>
        <w:right w:val="none" w:sz="0" w:space="0" w:color="auto"/>
      </w:divBdr>
    </w:div>
    <w:div w:id="1527404271">
      <w:bodyDiv w:val="1"/>
      <w:marLeft w:val="0"/>
      <w:marRight w:val="0"/>
      <w:marTop w:val="0"/>
      <w:marBottom w:val="0"/>
      <w:divBdr>
        <w:top w:val="none" w:sz="0" w:space="0" w:color="auto"/>
        <w:left w:val="none" w:sz="0" w:space="0" w:color="auto"/>
        <w:bottom w:val="none" w:sz="0" w:space="0" w:color="auto"/>
        <w:right w:val="none" w:sz="0" w:space="0" w:color="auto"/>
      </w:divBdr>
    </w:div>
    <w:div w:id="1535192435">
      <w:bodyDiv w:val="1"/>
      <w:marLeft w:val="0"/>
      <w:marRight w:val="0"/>
      <w:marTop w:val="0"/>
      <w:marBottom w:val="0"/>
      <w:divBdr>
        <w:top w:val="none" w:sz="0" w:space="0" w:color="auto"/>
        <w:left w:val="none" w:sz="0" w:space="0" w:color="auto"/>
        <w:bottom w:val="none" w:sz="0" w:space="0" w:color="auto"/>
        <w:right w:val="none" w:sz="0" w:space="0" w:color="auto"/>
      </w:divBdr>
    </w:div>
    <w:div w:id="1542353609">
      <w:bodyDiv w:val="1"/>
      <w:marLeft w:val="0"/>
      <w:marRight w:val="0"/>
      <w:marTop w:val="0"/>
      <w:marBottom w:val="0"/>
      <w:divBdr>
        <w:top w:val="none" w:sz="0" w:space="0" w:color="auto"/>
        <w:left w:val="none" w:sz="0" w:space="0" w:color="auto"/>
        <w:bottom w:val="none" w:sz="0" w:space="0" w:color="auto"/>
        <w:right w:val="none" w:sz="0" w:space="0" w:color="auto"/>
      </w:divBdr>
    </w:div>
    <w:div w:id="1550338022">
      <w:bodyDiv w:val="1"/>
      <w:marLeft w:val="0"/>
      <w:marRight w:val="0"/>
      <w:marTop w:val="0"/>
      <w:marBottom w:val="0"/>
      <w:divBdr>
        <w:top w:val="none" w:sz="0" w:space="0" w:color="auto"/>
        <w:left w:val="none" w:sz="0" w:space="0" w:color="auto"/>
        <w:bottom w:val="none" w:sz="0" w:space="0" w:color="auto"/>
        <w:right w:val="none" w:sz="0" w:space="0" w:color="auto"/>
      </w:divBdr>
    </w:div>
    <w:div w:id="1552184277">
      <w:bodyDiv w:val="1"/>
      <w:marLeft w:val="0"/>
      <w:marRight w:val="0"/>
      <w:marTop w:val="0"/>
      <w:marBottom w:val="0"/>
      <w:divBdr>
        <w:top w:val="none" w:sz="0" w:space="0" w:color="auto"/>
        <w:left w:val="none" w:sz="0" w:space="0" w:color="auto"/>
        <w:bottom w:val="none" w:sz="0" w:space="0" w:color="auto"/>
        <w:right w:val="none" w:sz="0" w:space="0" w:color="auto"/>
      </w:divBdr>
    </w:div>
    <w:div w:id="1554317482">
      <w:bodyDiv w:val="1"/>
      <w:marLeft w:val="0"/>
      <w:marRight w:val="0"/>
      <w:marTop w:val="0"/>
      <w:marBottom w:val="0"/>
      <w:divBdr>
        <w:top w:val="none" w:sz="0" w:space="0" w:color="auto"/>
        <w:left w:val="none" w:sz="0" w:space="0" w:color="auto"/>
        <w:bottom w:val="none" w:sz="0" w:space="0" w:color="auto"/>
        <w:right w:val="none" w:sz="0" w:space="0" w:color="auto"/>
      </w:divBdr>
    </w:div>
    <w:div w:id="1563131105">
      <w:bodyDiv w:val="1"/>
      <w:marLeft w:val="0"/>
      <w:marRight w:val="0"/>
      <w:marTop w:val="0"/>
      <w:marBottom w:val="0"/>
      <w:divBdr>
        <w:top w:val="none" w:sz="0" w:space="0" w:color="auto"/>
        <w:left w:val="none" w:sz="0" w:space="0" w:color="auto"/>
        <w:bottom w:val="none" w:sz="0" w:space="0" w:color="auto"/>
        <w:right w:val="none" w:sz="0" w:space="0" w:color="auto"/>
      </w:divBdr>
    </w:div>
    <w:div w:id="1566715934">
      <w:bodyDiv w:val="1"/>
      <w:marLeft w:val="0"/>
      <w:marRight w:val="0"/>
      <w:marTop w:val="0"/>
      <w:marBottom w:val="0"/>
      <w:divBdr>
        <w:top w:val="none" w:sz="0" w:space="0" w:color="auto"/>
        <w:left w:val="none" w:sz="0" w:space="0" w:color="auto"/>
        <w:bottom w:val="none" w:sz="0" w:space="0" w:color="auto"/>
        <w:right w:val="none" w:sz="0" w:space="0" w:color="auto"/>
      </w:divBdr>
    </w:div>
    <w:div w:id="1567448731">
      <w:bodyDiv w:val="1"/>
      <w:marLeft w:val="0"/>
      <w:marRight w:val="0"/>
      <w:marTop w:val="0"/>
      <w:marBottom w:val="0"/>
      <w:divBdr>
        <w:top w:val="none" w:sz="0" w:space="0" w:color="auto"/>
        <w:left w:val="none" w:sz="0" w:space="0" w:color="auto"/>
        <w:bottom w:val="none" w:sz="0" w:space="0" w:color="auto"/>
        <w:right w:val="none" w:sz="0" w:space="0" w:color="auto"/>
      </w:divBdr>
    </w:div>
    <w:div w:id="1614824606">
      <w:bodyDiv w:val="1"/>
      <w:marLeft w:val="0"/>
      <w:marRight w:val="0"/>
      <w:marTop w:val="0"/>
      <w:marBottom w:val="0"/>
      <w:divBdr>
        <w:top w:val="none" w:sz="0" w:space="0" w:color="auto"/>
        <w:left w:val="none" w:sz="0" w:space="0" w:color="auto"/>
        <w:bottom w:val="none" w:sz="0" w:space="0" w:color="auto"/>
        <w:right w:val="none" w:sz="0" w:space="0" w:color="auto"/>
      </w:divBdr>
    </w:div>
    <w:div w:id="1621912112">
      <w:bodyDiv w:val="1"/>
      <w:marLeft w:val="0"/>
      <w:marRight w:val="0"/>
      <w:marTop w:val="0"/>
      <w:marBottom w:val="0"/>
      <w:divBdr>
        <w:top w:val="none" w:sz="0" w:space="0" w:color="auto"/>
        <w:left w:val="none" w:sz="0" w:space="0" w:color="auto"/>
        <w:bottom w:val="none" w:sz="0" w:space="0" w:color="auto"/>
        <w:right w:val="none" w:sz="0" w:space="0" w:color="auto"/>
      </w:divBdr>
    </w:div>
    <w:div w:id="1625577845">
      <w:bodyDiv w:val="1"/>
      <w:marLeft w:val="0"/>
      <w:marRight w:val="0"/>
      <w:marTop w:val="0"/>
      <w:marBottom w:val="0"/>
      <w:divBdr>
        <w:top w:val="none" w:sz="0" w:space="0" w:color="auto"/>
        <w:left w:val="none" w:sz="0" w:space="0" w:color="auto"/>
        <w:bottom w:val="none" w:sz="0" w:space="0" w:color="auto"/>
        <w:right w:val="none" w:sz="0" w:space="0" w:color="auto"/>
      </w:divBdr>
    </w:div>
    <w:div w:id="1629239666">
      <w:bodyDiv w:val="1"/>
      <w:marLeft w:val="0"/>
      <w:marRight w:val="0"/>
      <w:marTop w:val="0"/>
      <w:marBottom w:val="0"/>
      <w:divBdr>
        <w:top w:val="none" w:sz="0" w:space="0" w:color="auto"/>
        <w:left w:val="none" w:sz="0" w:space="0" w:color="auto"/>
        <w:bottom w:val="none" w:sz="0" w:space="0" w:color="auto"/>
        <w:right w:val="none" w:sz="0" w:space="0" w:color="auto"/>
      </w:divBdr>
    </w:div>
    <w:div w:id="1678338868">
      <w:bodyDiv w:val="1"/>
      <w:marLeft w:val="0"/>
      <w:marRight w:val="0"/>
      <w:marTop w:val="0"/>
      <w:marBottom w:val="0"/>
      <w:divBdr>
        <w:top w:val="none" w:sz="0" w:space="0" w:color="auto"/>
        <w:left w:val="none" w:sz="0" w:space="0" w:color="auto"/>
        <w:bottom w:val="none" w:sz="0" w:space="0" w:color="auto"/>
        <w:right w:val="none" w:sz="0" w:space="0" w:color="auto"/>
      </w:divBdr>
    </w:div>
    <w:div w:id="1697342170">
      <w:bodyDiv w:val="1"/>
      <w:marLeft w:val="0"/>
      <w:marRight w:val="0"/>
      <w:marTop w:val="0"/>
      <w:marBottom w:val="0"/>
      <w:divBdr>
        <w:top w:val="none" w:sz="0" w:space="0" w:color="auto"/>
        <w:left w:val="none" w:sz="0" w:space="0" w:color="auto"/>
        <w:bottom w:val="none" w:sz="0" w:space="0" w:color="auto"/>
        <w:right w:val="none" w:sz="0" w:space="0" w:color="auto"/>
      </w:divBdr>
      <w:divsChild>
        <w:div w:id="2002930592">
          <w:marLeft w:val="0"/>
          <w:marRight w:val="0"/>
          <w:marTop w:val="0"/>
          <w:marBottom w:val="0"/>
          <w:divBdr>
            <w:top w:val="none" w:sz="0" w:space="0" w:color="auto"/>
            <w:left w:val="none" w:sz="0" w:space="0" w:color="auto"/>
            <w:bottom w:val="none" w:sz="0" w:space="0" w:color="auto"/>
            <w:right w:val="none" w:sz="0" w:space="0" w:color="auto"/>
          </w:divBdr>
          <w:divsChild>
            <w:div w:id="462771970">
              <w:marLeft w:val="0"/>
              <w:marRight w:val="0"/>
              <w:marTop w:val="0"/>
              <w:marBottom w:val="0"/>
              <w:divBdr>
                <w:top w:val="none" w:sz="0" w:space="0" w:color="auto"/>
                <w:left w:val="none" w:sz="0" w:space="0" w:color="auto"/>
                <w:bottom w:val="none" w:sz="0" w:space="0" w:color="auto"/>
                <w:right w:val="none" w:sz="0" w:space="0" w:color="auto"/>
              </w:divBdr>
              <w:divsChild>
                <w:div w:id="1949000141">
                  <w:marLeft w:val="0"/>
                  <w:marRight w:val="0"/>
                  <w:marTop w:val="0"/>
                  <w:marBottom w:val="0"/>
                  <w:divBdr>
                    <w:top w:val="none" w:sz="0" w:space="0" w:color="auto"/>
                    <w:left w:val="none" w:sz="0" w:space="0" w:color="auto"/>
                    <w:bottom w:val="none" w:sz="0" w:space="0" w:color="auto"/>
                    <w:right w:val="none" w:sz="0" w:space="0" w:color="auto"/>
                  </w:divBdr>
                  <w:divsChild>
                    <w:div w:id="1731733747">
                      <w:marLeft w:val="0"/>
                      <w:marRight w:val="0"/>
                      <w:marTop w:val="0"/>
                      <w:marBottom w:val="0"/>
                      <w:divBdr>
                        <w:top w:val="none" w:sz="0" w:space="0" w:color="auto"/>
                        <w:left w:val="none" w:sz="0" w:space="0" w:color="auto"/>
                        <w:bottom w:val="none" w:sz="0" w:space="0" w:color="auto"/>
                        <w:right w:val="none" w:sz="0" w:space="0" w:color="auto"/>
                      </w:divBdr>
                      <w:divsChild>
                        <w:div w:id="802426250">
                          <w:marLeft w:val="0"/>
                          <w:marRight w:val="0"/>
                          <w:marTop w:val="0"/>
                          <w:marBottom w:val="0"/>
                          <w:divBdr>
                            <w:top w:val="none" w:sz="0" w:space="0" w:color="auto"/>
                            <w:left w:val="none" w:sz="0" w:space="0" w:color="auto"/>
                            <w:bottom w:val="none" w:sz="0" w:space="0" w:color="auto"/>
                            <w:right w:val="none" w:sz="0" w:space="0" w:color="auto"/>
                          </w:divBdr>
                          <w:divsChild>
                            <w:div w:id="1801610975">
                              <w:marLeft w:val="0"/>
                              <w:marRight w:val="0"/>
                              <w:marTop w:val="0"/>
                              <w:marBottom w:val="0"/>
                              <w:divBdr>
                                <w:top w:val="none" w:sz="0" w:space="0" w:color="auto"/>
                                <w:left w:val="none" w:sz="0" w:space="0" w:color="auto"/>
                                <w:bottom w:val="none" w:sz="0" w:space="0" w:color="auto"/>
                                <w:right w:val="none" w:sz="0" w:space="0" w:color="auto"/>
                              </w:divBdr>
                              <w:divsChild>
                                <w:div w:id="776677695">
                                  <w:marLeft w:val="0"/>
                                  <w:marRight w:val="0"/>
                                  <w:marTop w:val="0"/>
                                  <w:marBottom w:val="0"/>
                                  <w:divBdr>
                                    <w:top w:val="none" w:sz="0" w:space="0" w:color="auto"/>
                                    <w:left w:val="none" w:sz="0" w:space="0" w:color="auto"/>
                                    <w:bottom w:val="none" w:sz="0" w:space="0" w:color="auto"/>
                                    <w:right w:val="none" w:sz="0" w:space="0" w:color="auto"/>
                                  </w:divBdr>
                                  <w:divsChild>
                                    <w:div w:id="1976838071">
                                      <w:marLeft w:val="0"/>
                                      <w:marRight w:val="0"/>
                                      <w:marTop w:val="0"/>
                                      <w:marBottom w:val="0"/>
                                      <w:divBdr>
                                        <w:top w:val="none" w:sz="0" w:space="0" w:color="auto"/>
                                        <w:left w:val="none" w:sz="0" w:space="0" w:color="auto"/>
                                        <w:bottom w:val="none" w:sz="0" w:space="0" w:color="auto"/>
                                        <w:right w:val="none" w:sz="0" w:space="0" w:color="auto"/>
                                      </w:divBdr>
                                      <w:divsChild>
                                        <w:div w:id="781412906">
                                          <w:marLeft w:val="0"/>
                                          <w:marRight w:val="0"/>
                                          <w:marTop w:val="0"/>
                                          <w:marBottom w:val="0"/>
                                          <w:divBdr>
                                            <w:top w:val="none" w:sz="0" w:space="0" w:color="auto"/>
                                            <w:left w:val="none" w:sz="0" w:space="0" w:color="auto"/>
                                            <w:bottom w:val="none" w:sz="0" w:space="0" w:color="auto"/>
                                            <w:right w:val="none" w:sz="0" w:space="0" w:color="auto"/>
                                          </w:divBdr>
                                          <w:divsChild>
                                            <w:div w:id="46340773">
                                              <w:marLeft w:val="0"/>
                                              <w:marRight w:val="0"/>
                                              <w:marTop w:val="0"/>
                                              <w:marBottom w:val="0"/>
                                              <w:divBdr>
                                                <w:top w:val="none" w:sz="0" w:space="0" w:color="auto"/>
                                                <w:left w:val="none" w:sz="0" w:space="0" w:color="auto"/>
                                                <w:bottom w:val="none" w:sz="0" w:space="0" w:color="auto"/>
                                                <w:right w:val="none" w:sz="0" w:space="0" w:color="auto"/>
                                              </w:divBdr>
                                              <w:divsChild>
                                                <w:div w:id="1973361622">
                                                  <w:marLeft w:val="0"/>
                                                  <w:marRight w:val="0"/>
                                                  <w:marTop w:val="0"/>
                                                  <w:marBottom w:val="0"/>
                                                  <w:divBdr>
                                                    <w:top w:val="none" w:sz="0" w:space="0" w:color="auto"/>
                                                    <w:left w:val="none" w:sz="0" w:space="0" w:color="auto"/>
                                                    <w:bottom w:val="none" w:sz="0" w:space="0" w:color="auto"/>
                                                    <w:right w:val="none" w:sz="0" w:space="0" w:color="auto"/>
                                                  </w:divBdr>
                                                  <w:divsChild>
                                                    <w:div w:id="790903892">
                                                      <w:marLeft w:val="480"/>
                                                      <w:marRight w:val="0"/>
                                                      <w:marTop w:val="0"/>
                                                      <w:marBottom w:val="0"/>
                                                      <w:divBdr>
                                                        <w:top w:val="none" w:sz="0" w:space="0" w:color="auto"/>
                                                        <w:left w:val="none" w:sz="0" w:space="0" w:color="auto"/>
                                                        <w:bottom w:val="none" w:sz="0" w:space="0" w:color="auto"/>
                                                        <w:right w:val="none" w:sz="0" w:space="0" w:color="auto"/>
                                                      </w:divBdr>
                                                      <w:divsChild>
                                                        <w:div w:id="689989227">
                                                          <w:marLeft w:val="0"/>
                                                          <w:marRight w:val="0"/>
                                                          <w:marTop w:val="0"/>
                                                          <w:marBottom w:val="0"/>
                                                          <w:divBdr>
                                                            <w:top w:val="none" w:sz="0" w:space="0" w:color="auto"/>
                                                            <w:left w:val="none" w:sz="0" w:space="0" w:color="auto"/>
                                                            <w:bottom w:val="none" w:sz="0" w:space="0" w:color="auto"/>
                                                            <w:right w:val="none" w:sz="0" w:space="0" w:color="auto"/>
                                                          </w:divBdr>
                                                          <w:divsChild>
                                                            <w:div w:id="561018382">
                                                              <w:marLeft w:val="0"/>
                                                              <w:marRight w:val="0"/>
                                                              <w:marTop w:val="0"/>
                                                              <w:marBottom w:val="0"/>
                                                              <w:divBdr>
                                                                <w:top w:val="none" w:sz="0" w:space="0" w:color="auto"/>
                                                                <w:left w:val="none" w:sz="0" w:space="0" w:color="auto"/>
                                                                <w:bottom w:val="none" w:sz="0" w:space="0" w:color="auto"/>
                                                                <w:right w:val="none" w:sz="0" w:space="0" w:color="auto"/>
                                                              </w:divBdr>
                                                              <w:divsChild>
                                                                <w:div w:id="629212998">
                                                                  <w:marLeft w:val="0"/>
                                                                  <w:marRight w:val="0"/>
                                                                  <w:marTop w:val="0"/>
                                                                  <w:marBottom w:val="0"/>
                                                                  <w:divBdr>
                                                                    <w:top w:val="none" w:sz="0" w:space="0" w:color="auto"/>
                                                                    <w:left w:val="none" w:sz="0" w:space="0" w:color="auto"/>
                                                                    <w:bottom w:val="none" w:sz="0" w:space="0" w:color="auto"/>
                                                                    <w:right w:val="none" w:sz="0" w:space="0" w:color="auto"/>
                                                                  </w:divBdr>
                                                                  <w:divsChild>
                                                                    <w:div w:id="2017076448">
                                                                      <w:marLeft w:val="0"/>
                                                                      <w:marRight w:val="0"/>
                                                                      <w:marTop w:val="0"/>
                                                                      <w:marBottom w:val="0"/>
                                                                      <w:divBdr>
                                                                        <w:top w:val="none" w:sz="0" w:space="0" w:color="auto"/>
                                                                        <w:left w:val="none" w:sz="0" w:space="0" w:color="auto"/>
                                                                        <w:bottom w:val="none" w:sz="0" w:space="0" w:color="auto"/>
                                                                        <w:right w:val="none" w:sz="0" w:space="0" w:color="auto"/>
                                                                      </w:divBdr>
                                                                      <w:divsChild>
                                                                        <w:div w:id="68308807">
                                                                          <w:marLeft w:val="0"/>
                                                                          <w:marRight w:val="0"/>
                                                                          <w:marTop w:val="75"/>
                                                                          <w:marBottom w:val="0"/>
                                                                          <w:divBdr>
                                                                            <w:top w:val="none" w:sz="0" w:space="0" w:color="auto"/>
                                                                            <w:left w:val="none" w:sz="0" w:space="0" w:color="auto"/>
                                                                            <w:bottom w:val="none" w:sz="0" w:space="0" w:color="auto"/>
                                                                            <w:right w:val="none" w:sz="0" w:space="0" w:color="auto"/>
                                                                          </w:divBdr>
                                                                          <w:divsChild>
                                                                            <w:div w:id="110170700">
                                                                              <w:marLeft w:val="0"/>
                                                                              <w:marRight w:val="0"/>
                                                                              <w:marTop w:val="0"/>
                                                                              <w:marBottom w:val="0"/>
                                                                              <w:divBdr>
                                                                                <w:top w:val="none" w:sz="0" w:space="0" w:color="auto"/>
                                                                                <w:left w:val="none" w:sz="0" w:space="0" w:color="auto"/>
                                                                                <w:bottom w:val="single" w:sz="6" w:space="23" w:color="auto"/>
                                                                                <w:right w:val="none" w:sz="0" w:space="0" w:color="auto"/>
                                                                              </w:divBdr>
                                                                              <w:divsChild>
                                                                                <w:div w:id="876703518">
                                                                                  <w:marLeft w:val="0"/>
                                                                                  <w:marRight w:val="0"/>
                                                                                  <w:marTop w:val="0"/>
                                                                                  <w:marBottom w:val="0"/>
                                                                                  <w:divBdr>
                                                                                    <w:top w:val="none" w:sz="0" w:space="0" w:color="auto"/>
                                                                                    <w:left w:val="none" w:sz="0" w:space="0" w:color="auto"/>
                                                                                    <w:bottom w:val="none" w:sz="0" w:space="0" w:color="auto"/>
                                                                                    <w:right w:val="none" w:sz="0" w:space="0" w:color="auto"/>
                                                                                  </w:divBdr>
                                                                                  <w:divsChild>
                                                                                    <w:div w:id="975910870">
                                                                                      <w:marLeft w:val="0"/>
                                                                                      <w:marRight w:val="0"/>
                                                                                      <w:marTop w:val="0"/>
                                                                                      <w:marBottom w:val="0"/>
                                                                                      <w:divBdr>
                                                                                        <w:top w:val="none" w:sz="0" w:space="0" w:color="auto"/>
                                                                                        <w:left w:val="none" w:sz="0" w:space="0" w:color="auto"/>
                                                                                        <w:bottom w:val="none" w:sz="0" w:space="0" w:color="auto"/>
                                                                                        <w:right w:val="none" w:sz="0" w:space="0" w:color="auto"/>
                                                                                      </w:divBdr>
                                                                                      <w:divsChild>
                                                                                        <w:div w:id="1108622322">
                                                                                          <w:marLeft w:val="0"/>
                                                                                          <w:marRight w:val="0"/>
                                                                                          <w:marTop w:val="0"/>
                                                                                          <w:marBottom w:val="0"/>
                                                                                          <w:divBdr>
                                                                                            <w:top w:val="none" w:sz="0" w:space="0" w:color="auto"/>
                                                                                            <w:left w:val="none" w:sz="0" w:space="0" w:color="auto"/>
                                                                                            <w:bottom w:val="none" w:sz="0" w:space="0" w:color="auto"/>
                                                                                            <w:right w:val="none" w:sz="0" w:space="0" w:color="auto"/>
                                                                                          </w:divBdr>
                                                                                          <w:divsChild>
                                                                                            <w:div w:id="1232349809">
                                                                                              <w:marLeft w:val="0"/>
                                                                                              <w:marRight w:val="0"/>
                                                                                              <w:marTop w:val="0"/>
                                                                                              <w:marBottom w:val="0"/>
                                                                                              <w:divBdr>
                                                                                                <w:top w:val="none" w:sz="0" w:space="0" w:color="auto"/>
                                                                                                <w:left w:val="none" w:sz="0" w:space="0" w:color="auto"/>
                                                                                                <w:bottom w:val="none" w:sz="0" w:space="0" w:color="auto"/>
                                                                                                <w:right w:val="none" w:sz="0" w:space="0" w:color="auto"/>
                                                                                              </w:divBdr>
                                                                                              <w:divsChild>
                                                                                                <w:div w:id="2058312262">
                                                                                                  <w:marLeft w:val="0"/>
                                                                                                  <w:marRight w:val="0"/>
                                                                                                  <w:marTop w:val="0"/>
                                                                                                  <w:marBottom w:val="0"/>
                                                                                                  <w:divBdr>
                                                                                                    <w:top w:val="none" w:sz="0" w:space="0" w:color="auto"/>
                                                                                                    <w:left w:val="none" w:sz="0" w:space="0" w:color="auto"/>
                                                                                                    <w:bottom w:val="none" w:sz="0" w:space="0" w:color="auto"/>
                                                                                                    <w:right w:val="none" w:sz="0" w:space="0" w:color="auto"/>
                                                                                                  </w:divBdr>
                                                                                                  <w:divsChild>
                                                                                                    <w:div w:id="117265995">
                                                                                                      <w:marLeft w:val="0"/>
                                                                                                      <w:marRight w:val="0"/>
                                                                                                      <w:marTop w:val="0"/>
                                                                                                      <w:marBottom w:val="0"/>
                                                                                                      <w:divBdr>
                                                                                                        <w:top w:val="none" w:sz="0" w:space="0" w:color="auto"/>
                                                                                                        <w:left w:val="none" w:sz="0" w:space="0" w:color="auto"/>
                                                                                                        <w:bottom w:val="none" w:sz="0" w:space="0" w:color="auto"/>
                                                                                                        <w:right w:val="none" w:sz="0" w:space="0" w:color="auto"/>
                                                                                                      </w:divBdr>
                                                                                                    </w:div>
                                                                                                    <w:div w:id="157229166">
                                                                                                      <w:marLeft w:val="0"/>
                                                                                                      <w:marRight w:val="0"/>
                                                                                                      <w:marTop w:val="0"/>
                                                                                                      <w:marBottom w:val="0"/>
                                                                                                      <w:divBdr>
                                                                                                        <w:top w:val="none" w:sz="0" w:space="0" w:color="auto"/>
                                                                                                        <w:left w:val="none" w:sz="0" w:space="0" w:color="auto"/>
                                                                                                        <w:bottom w:val="none" w:sz="0" w:space="0" w:color="auto"/>
                                                                                                        <w:right w:val="none" w:sz="0" w:space="0" w:color="auto"/>
                                                                                                      </w:divBdr>
                                                                                                    </w:div>
                                                                                                    <w:div w:id="168301090">
                                                                                                      <w:marLeft w:val="0"/>
                                                                                                      <w:marRight w:val="0"/>
                                                                                                      <w:marTop w:val="0"/>
                                                                                                      <w:marBottom w:val="0"/>
                                                                                                      <w:divBdr>
                                                                                                        <w:top w:val="none" w:sz="0" w:space="0" w:color="auto"/>
                                                                                                        <w:left w:val="none" w:sz="0" w:space="0" w:color="auto"/>
                                                                                                        <w:bottom w:val="none" w:sz="0" w:space="0" w:color="auto"/>
                                                                                                        <w:right w:val="none" w:sz="0" w:space="0" w:color="auto"/>
                                                                                                      </w:divBdr>
                                                                                                    </w:div>
                                                                                                    <w:div w:id="391467699">
                                                                                                      <w:marLeft w:val="0"/>
                                                                                                      <w:marRight w:val="0"/>
                                                                                                      <w:marTop w:val="0"/>
                                                                                                      <w:marBottom w:val="0"/>
                                                                                                      <w:divBdr>
                                                                                                        <w:top w:val="none" w:sz="0" w:space="0" w:color="auto"/>
                                                                                                        <w:left w:val="none" w:sz="0" w:space="0" w:color="auto"/>
                                                                                                        <w:bottom w:val="none" w:sz="0" w:space="0" w:color="auto"/>
                                                                                                        <w:right w:val="none" w:sz="0" w:space="0" w:color="auto"/>
                                                                                                      </w:divBdr>
                                                                                                    </w:div>
                                                                                                    <w:div w:id="435908553">
                                                                                                      <w:marLeft w:val="0"/>
                                                                                                      <w:marRight w:val="0"/>
                                                                                                      <w:marTop w:val="280"/>
                                                                                                      <w:marBottom w:val="280"/>
                                                                                                      <w:divBdr>
                                                                                                        <w:top w:val="none" w:sz="0" w:space="0" w:color="auto"/>
                                                                                                        <w:left w:val="none" w:sz="0" w:space="0" w:color="auto"/>
                                                                                                        <w:bottom w:val="none" w:sz="0" w:space="0" w:color="auto"/>
                                                                                                        <w:right w:val="none" w:sz="0" w:space="0" w:color="auto"/>
                                                                                                      </w:divBdr>
                                                                                                    </w:div>
                                                                                                    <w:div w:id="492719764">
                                                                                                      <w:marLeft w:val="0"/>
                                                                                                      <w:marRight w:val="0"/>
                                                                                                      <w:marTop w:val="0"/>
                                                                                                      <w:marBottom w:val="0"/>
                                                                                                      <w:divBdr>
                                                                                                        <w:top w:val="none" w:sz="0" w:space="0" w:color="auto"/>
                                                                                                        <w:left w:val="none" w:sz="0" w:space="0" w:color="auto"/>
                                                                                                        <w:bottom w:val="none" w:sz="0" w:space="0" w:color="auto"/>
                                                                                                        <w:right w:val="none" w:sz="0" w:space="0" w:color="auto"/>
                                                                                                      </w:divBdr>
                                                                                                    </w:div>
                                                                                                    <w:div w:id="504319758">
                                                                                                      <w:marLeft w:val="0"/>
                                                                                                      <w:marRight w:val="0"/>
                                                                                                      <w:marTop w:val="0"/>
                                                                                                      <w:marBottom w:val="0"/>
                                                                                                      <w:divBdr>
                                                                                                        <w:top w:val="none" w:sz="0" w:space="0" w:color="auto"/>
                                                                                                        <w:left w:val="none" w:sz="0" w:space="0" w:color="auto"/>
                                                                                                        <w:bottom w:val="none" w:sz="0" w:space="0" w:color="auto"/>
                                                                                                        <w:right w:val="none" w:sz="0" w:space="0" w:color="auto"/>
                                                                                                      </w:divBdr>
                                                                                                    </w:div>
                                                                                                    <w:div w:id="635256538">
                                                                                                      <w:marLeft w:val="0"/>
                                                                                                      <w:marRight w:val="0"/>
                                                                                                      <w:marTop w:val="0"/>
                                                                                                      <w:marBottom w:val="0"/>
                                                                                                      <w:divBdr>
                                                                                                        <w:top w:val="none" w:sz="0" w:space="0" w:color="auto"/>
                                                                                                        <w:left w:val="none" w:sz="0" w:space="0" w:color="auto"/>
                                                                                                        <w:bottom w:val="none" w:sz="0" w:space="0" w:color="auto"/>
                                                                                                        <w:right w:val="none" w:sz="0" w:space="0" w:color="auto"/>
                                                                                                      </w:divBdr>
                                                                                                    </w:div>
                                                                                                    <w:div w:id="782575926">
                                                                                                      <w:marLeft w:val="0"/>
                                                                                                      <w:marRight w:val="0"/>
                                                                                                      <w:marTop w:val="0"/>
                                                                                                      <w:marBottom w:val="0"/>
                                                                                                      <w:divBdr>
                                                                                                        <w:top w:val="none" w:sz="0" w:space="0" w:color="auto"/>
                                                                                                        <w:left w:val="none" w:sz="0" w:space="0" w:color="auto"/>
                                                                                                        <w:bottom w:val="none" w:sz="0" w:space="0" w:color="auto"/>
                                                                                                        <w:right w:val="none" w:sz="0" w:space="0" w:color="auto"/>
                                                                                                      </w:divBdr>
                                                                                                    </w:div>
                                                                                                    <w:div w:id="827476908">
                                                                                                      <w:marLeft w:val="0"/>
                                                                                                      <w:marRight w:val="0"/>
                                                                                                      <w:marTop w:val="0"/>
                                                                                                      <w:marBottom w:val="0"/>
                                                                                                      <w:divBdr>
                                                                                                        <w:top w:val="none" w:sz="0" w:space="0" w:color="auto"/>
                                                                                                        <w:left w:val="none" w:sz="0" w:space="0" w:color="auto"/>
                                                                                                        <w:bottom w:val="none" w:sz="0" w:space="0" w:color="auto"/>
                                                                                                        <w:right w:val="none" w:sz="0" w:space="0" w:color="auto"/>
                                                                                                      </w:divBdr>
                                                                                                    </w:div>
                                                                                                    <w:div w:id="841629135">
                                                                                                      <w:marLeft w:val="0"/>
                                                                                                      <w:marRight w:val="0"/>
                                                                                                      <w:marTop w:val="280"/>
                                                                                                      <w:marBottom w:val="280"/>
                                                                                                      <w:divBdr>
                                                                                                        <w:top w:val="none" w:sz="0" w:space="0" w:color="auto"/>
                                                                                                        <w:left w:val="none" w:sz="0" w:space="0" w:color="auto"/>
                                                                                                        <w:bottom w:val="none" w:sz="0" w:space="0" w:color="auto"/>
                                                                                                        <w:right w:val="none" w:sz="0" w:space="0" w:color="auto"/>
                                                                                                      </w:divBdr>
                                                                                                    </w:div>
                                                                                                    <w:div w:id="1019702539">
                                                                                                      <w:marLeft w:val="0"/>
                                                                                                      <w:marRight w:val="0"/>
                                                                                                      <w:marTop w:val="280"/>
                                                                                                      <w:marBottom w:val="280"/>
                                                                                                      <w:divBdr>
                                                                                                        <w:top w:val="none" w:sz="0" w:space="0" w:color="auto"/>
                                                                                                        <w:left w:val="none" w:sz="0" w:space="0" w:color="auto"/>
                                                                                                        <w:bottom w:val="none" w:sz="0" w:space="0" w:color="auto"/>
                                                                                                        <w:right w:val="none" w:sz="0" w:space="0" w:color="auto"/>
                                                                                                      </w:divBdr>
                                                                                                    </w:div>
                                                                                                    <w:div w:id="1244922834">
                                                                                                      <w:marLeft w:val="0"/>
                                                                                                      <w:marRight w:val="0"/>
                                                                                                      <w:marTop w:val="0"/>
                                                                                                      <w:marBottom w:val="0"/>
                                                                                                      <w:divBdr>
                                                                                                        <w:top w:val="none" w:sz="0" w:space="0" w:color="auto"/>
                                                                                                        <w:left w:val="none" w:sz="0" w:space="0" w:color="auto"/>
                                                                                                        <w:bottom w:val="none" w:sz="0" w:space="0" w:color="auto"/>
                                                                                                        <w:right w:val="none" w:sz="0" w:space="0" w:color="auto"/>
                                                                                                      </w:divBdr>
                                                                                                    </w:div>
                                                                                                    <w:div w:id="1294020127">
                                                                                                      <w:marLeft w:val="0"/>
                                                                                                      <w:marRight w:val="0"/>
                                                                                                      <w:marTop w:val="0"/>
                                                                                                      <w:marBottom w:val="0"/>
                                                                                                      <w:divBdr>
                                                                                                        <w:top w:val="none" w:sz="0" w:space="0" w:color="auto"/>
                                                                                                        <w:left w:val="none" w:sz="0" w:space="0" w:color="auto"/>
                                                                                                        <w:bottom w:val="none" w:sz="0" w:space="0" w:color="auto"/>
                                                                                                        <w:right w:val="none" w:sz="0" w:space="0" w:color="auto"/>
                                                                                                      </w:divBdr>
                                                                                                    </w:div>
                                                                                                    <w:div w:id="1462845699">
                                                                                                      <w:marLeft w:val="0"/>
                                                                                                      <w:marRight w:val="0"/>
                                                                                                      <w:marTop w:val="280"/>
                                                                                                      <w:marBottom w:val="280"/>
                                                                                                      <w:divBdr>
                                                                                                        <w:top w:val="none" w:sz="0" w:space="0" w:color="auto"/>
                                                                                                        <w:left w:val="none" w:sz="0" w:space="0" w:color="auto"/>
                                                                                                        <w:bottom w:val="none" w:sz="0" w:space="0" w:color="auto"/>
                                                                                                        <w:right w:val="none" w:sz="0" w:space="0" w:color="auto"/>
                                                                                                      </w:divBdr>
                                                                                                    </w:div>
                                                                                                    <w:div w:id="1521892832">
                                                                                                      <w:marLeft w:val="0"/>
                                                                                                      <w:marRight w:val="0"/>
                                                                                                      <w:marTop w:val="0"/>
                                                                                                      <w:marBottom w:val="0"/>
                                                                                                      <w:divBdr>
                                                                                                        <w:top w:val="none" w:sz="0" w:space="0" w:color="auto"/>
                                                                                                        <w:left w:val="none" w:sz="0" w:space="0" w:color="auto"/>
                                                                                                        <w:bottom w:val="none" w:sz="0" w:space="0" w:color="auto"/>
                                                                                                        <w:right w:val="none" w:sz="0" w:space="0" w:color="auto"/>
                                                                                                      </w:divBdr>
                                                                                                    </w:div>
                                                                                                    <w:div w:id="1583904804">
                                                                                                      <w:marLeft w:val="0"/>
                                                                                                      <w:marRight w:val="0"/>
                                                                                                      <w:marTop w:val="0"/>
                                                                                                      <w:marBottom w:val="0"/>
                                                                                                      <w:divBdr>
                                                                                                        <w:top w:val="none" w:sz="0" w:space="0" w:color="auto"/>
                                                                                                        <w:left w:val="none" w:sz="0" w:space="0" w:color="auto"/>
                                                                                                        <w:bottom w:val="none" w:sz="0" w:space="0" w:color="auto"/>
                                                                                                        <w:right w:val="none" w:sz="0" w:space="0" w:color="auto"/>
                                                                                                      </w:divBdr>
                                                                                                    </w:div>
                                                                                                    <w:div w:id="167676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01668387">
      <w:bodyDiv w:val="1"/>
      <w:marLeft w:val="0"/>
      <w:marRight w:val="0"/>
      <w:marTop w:val="0"/>
      <w:marBottom w:val="0"/>
      <w:divBdr>
        <w:top w:val="none" w:sz="0" w:space="0" w:color="auto"/>
        <w:left w:val="none" w:sz="0" w:space="0" w:color="auto"/>
        <w:bottom w:val="none" w:sz="0" w:space="0" w:color="auto"/>
        <w:right w:val="none" w:sz="0" w:space="0" w:color="auto"/>
      </w:divBdr>
    </w:div>
    <w:div w:id="1701856426">
      <w:bodyDiv w:val="1"/>
      <w:marLeft w:val="0"/>
      <w:marRight w:val="0"/>
      <w:marTop w:val="0"/>
      <w:marBottom w:val="0"/>
      <w:divBdr>
        <w:top w:val="none" w:sz="0" w:space="0" w:color="auto"/>
        <w:left w:val="none" w:sz="0" w:space="0" w:color="auto"/>
        <w:bottom w:val="none" w:sz="0" w:space="0" w:color="auto"/>
        <w:right w:val="none" w:sz="0" w:space="0" w:color="auto"/>
      </w:divBdr>
    </w:div>
    <w:div w:id="1704939534">
      <w:bodyDiv w:val="1"/>
      <w:marLeft w:val="0"/>
      <w:marRight w:val="0"/>
      <w:marTop w:val="0"/>
      <w:marBottom w:val="0"/>
      <w:divBdr>
        <w:top w:val="none" w:sz="0" w:space="0" w:color="auto"/>
        <w:left w:val="none" w:sz="0" w:space="0" w:color="auto"/>
        <w:bottom w:val="none" w:sz="0" w:space="0" w:color="auto"/>
        <w:right w:val="none" w:sz="0" w:space="0" w:color="auto"/>
      </w:divBdr>
    </w:div>
    <w:div w:id="1709448121">
      <w:bodyDiv w:val="1"/>
      <w:marLeft w:val="0"/>
      <w:marRight w:val="0"/>
      <w:marTop w:val="0"/>
      <w:marBottom w:val="0"/>
      <w:divBdr>
        <w:top w:val="none" w:sz="0" w:space="0" w:color="auto"/>
        <w:left w:val="none" w:sz="0" w:space="0" w:color="auto"/>
        <w:bottom w:val="none" w:sz="0" w:space="0" w:color="auto"/>
        <w:right w:val="none" w:sz="0" w:space="0" w:color="auto"/>
      </w:divBdr>
    </w:div>
    <w:div w:id="1730495723">
      <w:bodyDiv w:val="1"/>
      <w:marLeft w:val="0"/>
      <w:marRight w:val="0"/>
      <w:marTop w:val="0"/>
      <w:marBottom w:val="0"/>
      <w:divBdr>
        <w:top w:val="none" w:sz="0" w:space="0" w:color="auto"/>
        <w:left w:val="none" w:sz="0" w:space="0" w:color="auto"/>
        <w:bottom w:val="none" w:sz="0" w:space="0" w:color="auto"/>
        <w:right w:val="none" w:sz="0" w:space="0" w:color="auto"/>
      </w:divBdr>
    </w:div>
    <w:div w:id="1737586691">
      <w:bodyDiv w:val="1"/>
      <w:marLeft w:val="0"/>
      <w:marRight w:val="0"/>
      <w:marTop w:val="0"/>
      <w:marBottom w:val="0"/>
      <w:divBdr>
        <w:top w:val="none" w:sz="0" w:space="0" w:color="auto"/>
        <w:left w:val="none" w:sz="0" w:space="0" w:color="auto"/>
        <w:bottom w:val="none" w:sz="0" w:space="0" w:color="auto"/>
        <w:right w:val="none" w:sz="0" w:space="0" w:color="auto"/>
      </w:divBdr>
      <w:divsChild>
        <w:div w:id="560365114">
          <w:marLeft w:val="0"/>
          <w:marRight w:val="0"/>
          <w:marTop w:val="0"/>
          <w:marBottom w:val="180"/>
          <w:divBdr>
            <w:top w:val="none" w:sz="0" w:space="0" w:color="auto"/>
            <w:left w:val="none" w:sz="0" w:space="0" w:color="auto"/>
            <w:bottom w:val="none" w:sz="0" w:space="0" w:color="auto"/>
            <w:right w:val="none" w:sz="0" w:space="0" w:color="auto"/>
          </w:divBdr>
          <w:divsChild>
            <w:div w:id="2058552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5301007">
      <w:bodyDiv w:val="1"/>
      <w:marLeft w:val="0"/>
      <w:marRight w:val="0"/>
      <w:marTop w:val="0"/>
      <w:marBottom w:val="0"/>
      <w:divBdr>
        <w:top w:val="none" w:sz="0" w:space="0" w:color="auto"/>
        <w:left w:val="none" w:sz="0" w:space="0" w:color="auto"/>
        <w:bottom w:val="none" w:sz="0" w:space="0" w:color="auto"/>
        <w:right w:val="none" w:sz="0" w:space="0" w:color="auto"/>
      </w:divBdr>
    </w:div>
    <w:div w:id="1762868256">
      <w:bodyDiv w:val="1"/>
      <w:marLeft w:val="0"/>
      <w:marRight w:val="0"/>
      <w:marTop w:val="0"/>
      <w:marBottom w:val="0"/>
      <w:divBdr>
        <w:top w:val="none" w:sz="0" w:space="0" w:color="auto"/>
        <w:left w:val="none" w:sz="0" w:space="0" w:color="auto"/>
        <w:bottom w:val="none" w:sz="0" w:space="0" w:color="auto"/>
        <w:right w:val="none" w:sz="0" w:space="0" w:color="auto"/>
      </w:divBdr>
    </w:div>
    <w:div w:id="1774591587">
      <w:bodyDiv w:val="1"/>
      <w:marLeft w:val="0"/>
      <w:marRight w:val="0"/>
      <w:marTop w:val="0"/>
      <w:marBottom w:val="0"/>
      <w:divBdr>
        <w:top w:val="none" w:sz="0" w:space="0" w:color="auto"/>
        <w:left w:val="none" w:sz="0" w:space="0" w:color="auto"/>
        <w:bottom w:val="none" w:sz="0" w:space="0" w:color="auto"/>
        <w:right w:val="none" w:sz="0" w:space="0" w:color="auto"/>
      </w:divBdr>
    </w:div>
    <w:div w:id="1776056075">
      <w:bodyDiv w:val="1"/>
      <w:marLeft w:val="0"/>
      <w:marRight w:val="0"/>
      <w:marTop w:val="0"/>
      <w:marBottom w:val="0"/>
      <w:divBdr>
        <w:top w:val="none" w:sz="0" w:space="0" w:color="auto"/>
        <w:left w:val="none" w:sz="0" w:space="0" w:color="auto"/>
        <w:bottom w:val="none" w:sz="0" w:space="0" w:color="auto"/>
        <w:right w:val="none" w:sz="0" w:space="0" w:color="auto"/>
      </w:divBdr>
    </w:div>
    <w:div w:id="1778330044">
      <w:bodyDiv w:val="1"/>
      <w:marLeft w:val="0"/>
      <w:marRight w:val="0"/>
      <w:marTop w:val="0"/>
      <w:marBottom w:val="0"/>
      <w:divBdr>
        <w:top w:val="none" w:sz="0" w:space="0" w:color="auto"/>
        <w:left w:val="none" w:sz="0" w:space="0" w:color="auto"/>
        <w:bottom w:val="none" w:sz="0" w:space="0" w:color="auto"/>
        <w:right w:val="none" w:sz="0" w:space="0" w:color="auto"/>
      </w:divBdr>
    </w:div>
    <w:div w:id="1780445951">
      <w:bodyDiv w:val="1"/>
      <w:marLeft w:val="0"/>
      <w:marRight w:val="0"/>
      <w:marTop w:val="0"/>
      <w:marBottom w:val="0"/>
      <w:divBdr>
        <w:top w:val="none" w:sz="0" w:space="0" w:color="auto"/>
        <w:left w:val="none" w:sz="0" w:space="0" w:color="auto"/>
        <w:bottom w:val="none" w:sz="0" w:space="0" w:color="auto"/>
        <w:right w:val="none" w:sz="0" w:space="0" w:color="auto"/>
      </w:divBdr>
    </w:div>
    <w:div w:id="1782458125">
      <w:bodyDiv w:val="1"/>
      <w:marLeft w:val="0"/>
      <w:marRight w:val="0"/>
      <w:marTop w:val="0"/>
      <w:marBottom w:val="0"/>
      <w:divBdr>
        <w:top w:val="none" w:sz="0" w:space="0" w:color="auto"/>
        <w:left w:val="none" w:sz="0" w:space="0" w:color="auto"/>
        <w:bottom w:val="none" w:sz="0" w:space="0" w:color="auto"/>
        <w:right w:val="none" w:sz="0" w:space="0" w:color="auto"/>
      </w:divBdr>
    </w:div>
    <w:div w:id="1791971868">
      <w:bodyDiv w:val="1"/>
      <w:marLeft w:val="0"/>
      <w:marRight w:val="0"/>
      <w:marTop w:val="0"/>
      <w:marBottom w:val="0"/>
      <w:divBdr>
        <w:top w:val="none" w:sz="0" w:space="0" w:color="auto"/>
        <w:left w:val="none" w:sz="0" w:space="0" w:color="auto"/>
        <w:bottom w:val="none" w:sz="0" w:space="0" w:color="auto"/>
        <w:right w:val="none" w:sz="0" w:space="0" w:color="auto"/>
      </w:divBdr>
    </w:div>
    <w:div w:id="1802114492">
      <w:bodyDiv w:val="1"/>
      <w:marLeft w:val="0"/>
      <w:marRight w:val="0"/>
      <w:marTop w:val="0"/>
      <w:marBottom w:val="0"/>
      <w:divBdr>
        <w:top w:val="none" w:sz="0" w:space="0" w:color="auto"/>
        <w:left w:val="none" w:sz="0" w:space="0" w:color="auto"/>
        <w:bottom w:val="none" w:sz="0" w:space="0" w:color="auto"/>
        <w:right w:val="none" w:sz="0" w:space="0" w:color="auto"/>
      </w:divBdr>
    </w:div>
    <w:div w:id="1814054537">
      <w:bodyDiv w:val="1"/>
      <w:marLeft w:val="0"/>
      <w:marRight w:val="0"/>
      <w:marTop w:val="0"/>
      <w:marBottom w:val="0"/>
      <w:divBdr>
        <w:top w:val="none" w:sz="0" w:space="0" w:color="auto"/>
        <w:left w:val="none" w:sz="0" w:space="0" w:color="auto"/>
        <w:bottom w:val="none" w:sz="0" w:space="0" w:color="auto"/>
        <w:right w:val="none" w:sz="0" w:space="0" w:color="auto"/>
      </w:divBdr>
    </w:div>
    <w:div w:id="1818760908">
      <w:bodyDiv w:val="1"/>
      <w:marLeft w:val="0"/>
      <w:marRight w:val="0"/>
      <w:marTop w:val="0"/>
      <w:marBottom w:val="0"/>
      <w:divBdr>
        <w:top w:val="none" w:sz="0" w:space="0" w:color="auto"/>
        <w:left w:val="none" w:sz="0" w:space="0" w:color="auto"/>
        <w:bottom w:val="none" w:sz="0" w:space="0" w:color="auto"/>
        <w:right w:val="none" w:sz="0" w:space="0" w:color="auto"/>
      </w:divBdr>
    </w:div>
    <w:div w:id="1828353067">
      <w:bodyDiv w:val="1"/>
      <w:marLeft w:val="0"/>
      <w:marRight w:val="0"/>
      <w:marTop w:val="0"/>
      <w:marBottom w:val="0"/>
      <w:divBdr>
        <w:top w:val="none" w:sz="0" w:space="0" w:color="auto"/>
        <w:left w:val="none" w:sz="0" w:space="0" w:color="auto"/>
        <w:bottom w:val="none" w:sz="0" w:space="0" w:color="auto"/>
        <w:right w:val="none" w:sz="0" w:space="0" w:color="auto"/>
      </w:divBdr>
    </w:div>
    <w:div w:id="1833641380">
      <w:bodyDiv w:val="1"/>
      <w:marLeft w:val="0"/>
      <w:marRight w:val="0"/>
      <w:marTop w:val="0"/>
      <w:marBottom w:val="0"/>
      <w:divBdr>
        <w:top w:val="none" w:sz="0" w:space="0" w:color="auto"/>
        <w:left w:val="none" w:sz="0" w:space="0" w:color="auto"/>
        <w:bottom w:val="none" w:sz="0" w:space="0" w:color="auto"/>
        <w:right w:val="none" w:sz="0" w:space="0" w:color="auto"/>
      </w:divBdr>
    </w:div>
    <w:div w:id="1845239721">
      <w:bodyDiv w:val="1"/>
      <w:marLeft w:val="0"/>
      <w:marRight w:val="0"/>
      <w:marTop w:val="0"/>
      <w:marBottom w:val="0"/>
      <w:divBdr>
        <w:top w:val="none" w:sz="0" w:space="0" w:color="auto"/>
        <w:left w:val="none" w:sz="0" w:space="0" w:color="auto"/>
        <w:bottom w:val="none" w:sz="0" w:space="0" w:color="auto"/>
        <w:right w:val="none" w:sz="0" w:space="0" w:color="auto"/>
      </w:divBdr>
    </w:div>
    <w:div w:id="1846018985">
      <w:bodyDiv w:val="1"/>
      <w:marLeft w:val="0"/>
      <w:marRight w:val="0"/>
      <w:marTop w:val="0"/>
      <w:marBottom w:val="0"/>
      <w:divBdr>
        <w:top w:val="none" w:sz="0" w:space="0" w:color="auto"/>
        <w:left w:val="none" w:sz="0" w:space="0" w:color="auto"/>
        <w:bottom w:val="none" w:sz="0" w:space="0" w:color="auto"/>
        <w:right w:val="none" w:sz="0" w:space="0" w:color="auto"/>
      </w:divBdr>
    </w:div>
    <w:div w:id="1852334260">
      <w:bodyDiv w:val="1"/>
      <w:marLeft w:val="0"/>
      <w:marRight w:val="0"/>
      <w:marTop w:val="0"/>
      <w:marBottom w:val="0"/>
      <w:divBdr>
        <w:top w:val="none" w:sz="0" w:space="0" w:color="auto"/>
        <w:left w:val="none" w:sz="0" w:space="0" w:color="auto"/>
        <w:bottom w:val="none" w:sz="0" w:space="0" w:color="auto"/>
        <w:right w:val="none" w:sz="0" w:space="0" w:color="auto"/>
      </w:divBdr>
    </w:div>
    <w:div w:id="1855653496">
      <w:bodyDiv w:val="1"/>
      <w:marLeft w:val="0"/>
      <w:marRight w:val="0"/>
      <w:marTop w:val="0"/>
      <w:marBottom w:val="0"/>
      <w:divBdr>
        <w:top w:val="none" w:sz="0" w:space="0" w:color="auto"/>
        <w:left w:val="none" w:sz="0" w:space="0" w:color="auto"/>
        <w:bottom w:val="none" w:sz="0" w:space="0" w:color="auto"/>
        <w:right w:val="none" w:sz="0" w:space="0" w:color="auto"/>
      </w:divBdr>
    </w:div>
    <w:div w:id="1860242329">
      <w:bodyDiv w:val="1"/>
      <w:marLeft w:val="0"/>
      <w:marRight w:val="0"/>
      <w:marTop w:val="0"/>
      <w:marBottom w:val="0"/>
      <w:divBdr>
        <w:top w:val="none" w:sz="0" w:space="0" w:color="auto"/>
        <w:left w:val="none" w:sz="0" w:space="0" w:color="auto"/>
        <w:bottom w:val="none" w:sz="0" w:space="0" w:color="auto"/>
        <w:right w:val="none" w:sz="0" w:space="0" w:color="auto"/>
      </w:divBdr>
    </w:div>
    <w:div w:id="1868644063">
      <w:bodyDiv w:val="1"/>
      <w:marLeft w:val="0"/>
      <w:marRight w:val="0"/>
      <w:marTop w:val="0"/>
      <w:marBottom w:val="0"/>
      <w:divBdr>
        <w:top w:val="none" w:sz="0" w:space="0" w:color="auto"/>
        <w:left w:val="none" w:sz="0" w:space="0" w:color="auto"/>
        <w:bottom w:val="none" w:sz="0" w:space="0" w:color="auto"/>
        <w:right w:val="none" w:sz="0" w:space="0" w:color="auto"/>
      </w:divBdr>
    </w:div>
    <w:div w:id="1881236246">
      <w:bodyDiv w:val="1"/>
      <w:marLeft w:val="0"/>
      <w:marRight w:val="0"/>
      <w:marTop w:val="0"/>
      <w:marBottom w:val="0"/>
      <w:divBdr>
        <w:top w:val="none" w:sz="0" w:space="0" w:color="auto"/>
        <w:left w:val="none" w:sz="0" w:space="0" w:color="auto"/>
        <w:bottom w:val="none" w:sz="0" w:space="0" w:color="auto"/>
        <w:right w:val="none" w:sz="0" w:space="0" w:color="auto"/>
      </w:divBdr>
    </w:div>
    <w:div w:id="1883328247">
      <w:bodyDiv w:val="1"/>
      <w:marLeft w:val="0"/>
      <w:marRight w:val="0"/>
      <w:marTop w:val="0"/>
      <w:marBottom w:val="0"/>
      <w:divBdr>
        <w:top w:val="none" w:sz="0" w:space="0" w:color="auto"/>
        <w:left w:val="none" w:sz="0" w:space="0" w:color="auto"/>
        <w:bottom w:val="none" w:sz="0" w:space="0" w:color="auto"/>
        <w:right w:val="none" w:sz="0" w:space="0" w:color="auto"/>
      </w:divBdr>
    </w:div>
    <w:div w:id="1884101851">
      <w:bodyDiv w:val="1"/>
      <w:marLeft w:val="0"/>
      <w:marRight w:val="0"/>
      <w:marTop w:val="0"/>
      <w:marBottom w:val="0"/>
      <w:divBdr>
        <w:top w:val="none" w:sz="0" w:space="0" w:color="auto"/>
        <w:left w:val="none" w:sz="0" w:space="0" w:color="auto"/>
        <w:bottom w:val="none" w:sz="0" w:space="0" w:color="auto"/>
        <w:right w:val="none" w:sz="0" w:space="0" w:color="auto"/>
      </w:divBdr>
    </w:div>
    <w:div w:id="1901209540">
      <w:bodyDiv w:val="1"/>
      <w:marLeft w:val="0"/>
      <w:marRight w:val="0"/>
      <w:marTop w:val="0"/>
      <w:marBottom w:val="0"/>
      <w:divBdr>
        <w:top w:val="none" w:sz="0" w:space="0" w:color="auto"/>
        <w:left w:val="none" w:sz="0" w:space="0" w:color="auto"/>
        <w:bottom w:val="none" w:sz="0" w:space="0" w:color="auto"/>
        <w:right w:val="none" w:sz="0" w:space="0" w:color="auto"/>
      </w:divBdr>
    </w:div>
    <w:div w:id="1909880716">
      <w:bodyDiv w:val="1"/>
      <w:marLeft w:val="0"/>
      <w:marRight w:val="0"/>
      <w:marTop w:val="0"/>
      <w:marBottom w:val="0"/>
      <w:divBdr>
        <w:top w:val="none" w:sz="0" w:space="0" w:color="auto"/>
        <w:left w:val="none" w:sz="0" w:space="0" w:color="auto"/>
        <w:bottom w:val="none" w:sz="0" w:space="0" w:color="auto"/>
        <w:right w:val="none" w:sz="0" w:space="0" w:color="auto"/>
      </w:divBdr>
    </w:div>
    <w:div w:id="1910651007">
      <w:bodyDiv w:val="1"/>
      <w:marLeft w:val="0"/>
      <w:marRight w:val="0"/>
      <w:marTop w:val="0"/>
      <w:marBottom w:val="0"/>
      <w:divBdr>
        <w:top w:val="none" w:sz="0" w:space="0" w:color="auto"/>
        <w:left w:val="none" w:sz="0" w:space="0" w:color="auto"/>
        <w:bottom w:val="none" w:sz="0" w:space="0" w:color="auto"/>
        <w:right w:val="none" w:sz="0" w:space="0" w:color="auto"/>
      </w:divBdr>
    </w:div>
    <w:div w:id="1914193007">
      <w:bodyDiv w:val="1"/>
      <w:marLeft w:val="0"/>
      <w:marRight w:val="0"/>
      <w:marTop w:val="0"/>
      <w:marBottom w:val="0"/>
      <w:divBdr>
        <w:top w:val="none" w:sz="0" w:space="0" w:color="auto"/>
        <w:left w:val="none" w:sz="0" w:space="0" w:color="auto"/>
        <w:bottom w:val="none" w:sz="0" w:space="0" w:color="auto"/>
        <w:right w:val="none" w:sz="0" w:space="0" w:color="auto"/>
      </w:divBdr>
    </w:div>
    <w:div w:id="1931507144">
      <w:bodyDiv w:val="1"/>
      <w:marLeft w:val="0"/>
      <w:marRight w:val="0"/>
      <w:marTop w:val="0"/>
      <w:marBottom w:val="0"/>
      <w:divBdr>
        <w:top w:val="none" w:sz="0" w:space="0" w:color="auto"/>
        <w:left w:val="none" w:sz="0" w:space="0" w:color="auto"/>
        <w:bottom w:val="none" w:sz="0" w:space="0" w:color="auto"/>
        <w:right w:val="none" w:sz="0" w:space="0" w:color="auto"/>
      </w:divBdr>
    </w:div>
    <w:div w:id="1934899298">
      <w:bodyDiv w:val="1"/>
      <w:marLeft w:val="0"/>
      <w:marRight w:val="0"/>
      <w:marTop w:val="0"/>
      <w:marBottom w:val="0"/>
      <w:divBdr>
        <w:top w:val="none" w:sz="0" w:space="0" w:color="auto"/>
        <w:left w:val="none" w:sz="0" w:space="0" w:color="auto"/>
        <w:bottom w:val="none" w:sz="0" w:space="0" w:color="auto"/>
        <w:right w:val="none" w:sz="0" w:space="0" w:color="auto"/>
      </w:divBdr>
    </w:div>
    <w:div w:id="1936984536">
      <w:bodyDiv w:val="1"/>
      <w:marLeft w:val="0"/>
      <w:marRight w:val="0"/>
      <w:marTop w:val="0"/>
      <w:marBottom w:val="0"/>
      <w:divBdr>
        <w:top w:val="none" w:sz="0" w:space="0" w:color="auto"/>
        <w:left w:val="none" w:sz="0" w:space="0" w:color="auto"/>
        <w:bottom w:val="none" w:sz="0" w:space="0" w:color="auto"/>
        <w:right w:val="none" w:sz="0" w:space="0" w:color="auto"/>
      </w:divBdr>
    </w:div>
    <w:div w:id="1946188169">
      <w:bodyDiv w:val="1"/>
      <w:marLeft w:val="0"/>
      <w:marRight w:val="0"/>
      <w:marTop w:val="0"/>
      <w:marBottom w:val="0"/>
      <w:divBdr>
        <w:top w:val="none" w:sz="0" w:space="0" w:color="auto"/>
        <w:left w:val="none" w:sz="0" w:space="0" w:color="auto"/>
        <w:bottom w:val="none" w:sz="0" w:space="0" w:color="auto"/>
        <w:right w:val="none" w:sz="0" w:space="0" w:color="auto"/>
      </w:divBdr>
    </w:div>
    <w:div w:id="1947688911">
      <w:bodyDiv w:val="1"/>
      <w:marLeft w:val="0"/>
      <w:marRight w:val="0"/>
      <w:marTop w:val="0"/>
      <w:marBottom w:val="0"/>
      <w:divBdr>
        <w:top w:val="none" w:sz="0" w:space="0" w:color="auto"/>
        <w:left w:val="none" w:sz="0" w:space="0" w:color="auto"/>
        <w:bottom w:val="none" w:sz="0" w:space="0" w:color="auto"/>
        <w:right w:val="none" w:sz="0" w:space="0" w:color="auto"/>
      </w:divBdr>
    </w:div>
    <w:div w:id="1950163400">
      <w:bodyDiv w:val="1"/>
      <w:marLeft w:val="0"/>
      <w:marRight w:val="0"/>
      <w:marTop w:val="0"/>
      <w:marBottom w:val="0"/>
      <w:divBdr>
        <w:top w:val="none" w:sz="0" w:space="0" w:color="auto"/>
        <w:left w:val="none" w:sz="0" w:space="0" w:color="auto"/>
        <w:bottom w:val="none" w:sz="0" w:space="0" w:color="auto"/>
        <w:right w:val="none" w:sz="0" w:space="0" w:color="auto"/>
      </w:divBdr>
    </w:div>
    <w:div w:id="1950815798">
      <w:bodyDiv w:val="1"/>
      <w:marLeft w:val="0"/>
      <w:marRight w:val="0"/>
      <w:marTop w:val="0"/>
      <w:marBottom w:val="0"/>
      <w:divBdr>
        <w:top w:val="none" w:sz="0" w:space="0" w:color="auto"/>
        <w:left w:val="none" w:sz="0" w:space="0" w:color="auto"/>
        <w:bottom w:val="none" w:sz="0" w:space="0" w:color="auto"/>
        <w:right w:val="none" w:sz="0" w:space="0" w:color="auto"/>
      </w:divBdr>
    </w:div>
    <w:div w:id="1951663559">
      <w:bodyDiv w:val="1"/>
      <w:marLeft w:val="0"/>
      <w:marRight w:val="0"/>
      <w:marTop w:val="0"/>
      <w:marBottom w:val="0"/>
      <w:divBdr>
        <w:top w:val="none" w:sz="0" w:space="0" w:color="auto"/>
        <w:left w:val="none" w:sz="0" w:space="0" w:color="auto"/>
        <w:bottom w:val="none" w:sz="0" w:space="0" w:color="auto"/>
        <w:right w:val="none" w:sz="0" w:space="0" w:color="auto"/>
      </w:divBdr>
    </w:div>
    <w:div w:id="1956473880">
      <w:bodyDiv w:val="1"/>
      <w:marLeft w:val="0"/>
      <w:marRight w:val="0"/>
      <w:marTop w:val="0"/>
      <w:marBottom w:val="0"/>
      <w:divBdr>
        <w:top w:val="none" w:sz="0" w:space="0" w:color="auto"/>
        <w:left w:val="none" w:sz="0" w:space="0" w:color="auto"/>
        <w:bottom w:val="none" w:sz="0" w:space="0" w:color="auto"/>
        <w:right w:val="none" w:sz="0" w:space="0" w:color="auto"/>
      </w:divBdr>
    </w:div>
    <w:div w:id="1956868151">
      <w:bodyDiv w:val="1"/>
      <w:marLeft w:val="0"/>
      <w:marRight w:val="0"/>
      <w:marTop w:val="0"/>
      <w:marBottom w:val="0"/>
      <w:divBdr>
        <w:top w:val="none" w:sz="0" w:space="0" w:color="auto"/>
        <w:left w:val="none" w:sz="0" w:space="0" w:color="auto"/>
        <w:bottom w:val="none" w:sz="0" w:space="0" w:color="auto"/>
        <w:right w:val="none" w:sz="0" w:space="0" w:color="auto"/>
      </w:divBdr>
    </w:div>
    <w:div w:id="1959675336">
      <w:bodyDiv w:val="1"/>
      <w:marLeft w:val="0"/>
      <w:marRight w:val="0"/>
      <w:marTop w:val="0"/>
      <w:marBottom w:val="0"/>
      <w:divBdr>
        <w:top w:val="none" w:sz="0" w:space="0" w:color="auto"/>
        <w:left w:val="none" w:sz="0" w:space="0" w:color="auto"/>
        <w:bottom w:val="none" w:sz="0" w:space="0" w:color="auto"/>
        <w:right w:val="none" w:sz="0" w:space="0" w:color="auto"/>
      </w:divBdr>
    </w:div>
    <w:div w:id="1961573045">
      <w:bodyDiv w:val="1"/>
      <w:marLeft w:val="0"/>
      <w:marRight w:val="0"/>
      <w:marTop w:val="0"/>
      <w:marBottom w:val="0"/>
      <w:divBdr>
        <w:top w:val="none" w:sz="0" w:space="0" w:color="auto"/>
        <w:left w:val="none" w:sz="0" w:space="0" w:color="auto"/>
        <w:bottom w:val="none" w:sz="0" w:space="0" w:color="auto"/>
        <w:right w:val="none" w:sz="0" w:space="0" w:color="auto"/>
      </w:divBdr>
    </w:div>
    <w:div w:id="1962615370">
      <w:bodyDiv w:val="1"/>
      <w:marLeft w:val="0"/>
      <w:marRight w:val="0"/>
      <w:marTop w:val="0"/>
      <w:marBottom w:val="0"/>
      <w:divBdr>
        <w:top w:val="none" w:sz="0" w:space="0" w:color="auto"/>
        <w:left w:val="none" w:sz="0" w:space="0" w:color="auto"/>
        <w:bottom w:val="none" w:sz="0" w:space="0" w:color="auto"/>
        <w:right w:val="none" w:sz="0" w:space="0" w:color="auto"/>
      </w:divBdr>
    </w:div>
    <w:div w:id="1965621980">
      <w:bodyDiv w:val="1"/>
      <w:marLeft w:val="0"/>
      <w:marRight w:val="0"/>
      <w:marTop w:val="0"/>
      <w:marBottom w:val="0"/>
      <w:divBdr>
        <w:top w:val="none" w:sz="0" w:space="0" w:color="auto"/>
        <w:left w:val="none" w:sz="0" w:space="0" w:color="auto"/>
        <w:bottom w:val="none" w:sz="0" w:space="0" w:color="auto"/>
        <w:right w:val="none" w:sz="0" w:space="0" w:color="auto"/>
      </w:divBdr>
    </w:div>
    <w:div w:id="1969512865">
      <w:bodyDiv w:val="1"/>
      <w:marLeft w:val="0"/>
      <w:marRight w:val="0"/>
      <w:marTop w:val="0"/>
      <w:marBottom w:val="0"/>
      <w:divBdr>
        <w:top w:val="none" w:sz="0" w:space="0" w:color="auto"/>
        <w:left w:val="none" w:sz="0" w:space="0" w:color="auto"/>
        <w:bottom w:val="none" w:sz="0" w:space="0" w:color="auto"/>
        <w:right w:val="none" w:sz="0" w:space="0" w:color="auto"/>
      </w:divBdr>
    </w:div>
    <w:div w:id="1973166634">
      <w:bodyDiv w:val="1"/>
      <w:marLeft w:val="0"/>
      <w:marRight w:val="0"/>
      <w:marTop w:val="0"/>
      <w:marBottom w:val="0"/>
      <w:divBdr>
        <w:top w:val="none" w:sz="0" w:space="0" w:color="auto"/>
        <w:left w:val="none" w:sz="0" w:space="0" w:color="auto"/>
        <w:bottom w:val="none" w:sz="0" w:space="0" w:color="auto"/>
        <w:right w:val="none" w:sz="0" w:space="0" w:color="auto"/>
      </w:divBdr>
    </w:div>
    <w:div w:id="1987392756">
      <w:bodyDiv w:val="1"/>
      <w:marLeft w:val="0"/>
      <w:marRight w:val="0"/>
      <w:marTop w:val="0"/>
      <w:marBottom w:val="0"/>
      <w:divBdr>
        <w:top w:val="none" w:sz="0" w:space="0" w:color="auto"/>
        <w:left w:val="none" w:sz="0" w:space="0" w:color="auto"/>
        <w:bottom w:val="none" w:sz="0" w:space="0" w:color="auto"/>
        <w:right w:val="none" w:sz="0" w:space="0" w:color="auto"/>
      </w:divBdr>
    </w:div>
    <w:div w:id="2000764816">
      <w:bodyDiv w:val="1"/>
      <w:marLeft w:val="0"/>
      <w:marRight w:val="0"/>
      <w:marTop w:val="0"/>
      <w:marBottom w:val="0"/>
      <w:divBdr>
        <w:top w:val="none" w:sz="0" w:space="0" w:color="auto"/>
        <w:left w:val="none" w:sz="0" w:space="0" w:color="auto"/>
        <w:bottom w:val="none" w:sz="0" w:space="0" w:color="auto"/>
        <w:right w:val="none" w:sz="0" w:space="0" w:color="auto"/>
      </w:divBdr>
    </w:div>
    <w:div w:id="2017268890">
      <w:bodyDiv w:val="1"/>
      <w:marLeft w:val="0"/>
      <w:marRight w:val="0"/>
      <w:marTop w:val="0"/>
      <w:marBottom w:val="0"/>
      <w:divBdr>
        <w:top w:val="none" w:sz="0" w:space="0" w:color="auto"/>
        <w:left w:val="none" w:sz="0" w:space="0" w:color="auto"/>
        <w:bottom w:val="none" w:sz="0" w:space="0" w:color="auto"/>
        <w:right w:val="none" w:sz="0" w:space="0" w:color="auto"/>
      </w:divBdr>
    </w:div>
    <w:div w:id="2019308497">
      <w:bodyDiv w:val="1"/>
      <w:marLeft w:val="0"/>
      <w:marRight w:val="0"/>
      <w:marTop w:val="0"/>
      <w:marBottom w:val="0"/>
      <w:divBdr>
        <w:top w:val="none" w:sz="0" w:space="0" w:color="auto"/>
        <w:left w:val="none" w:sz="0" w:space="0" w:color="auto"/>
        <w:bottom w:val="none" w:sz="0" w:space="0" w:color="auto"/>
        <w:right w:val="none" w:sz="0" w:space="0" w:color="auto"/>
      </w:divBdr>
    </w:div>
    <w:div w:id="2020573051">
      <w:bodyDiv w:val="1"/>
      <w:marLeft w:val="0"/>
      <w:marRight w:val="0"/>
      <w:marTop w:val="0"/>
      <w:marBottom w:val="0"/>
      <w:divBdr>
        <w:top w:val="none" w:sz="0" w:space="0" w:color="auto"/>
        <w:left w:val="none" w:sz="0" w:space="0" w:color="auto"/>
        <w:bottom w:val="none" w:sz="0" w:space="0" w:color="auto"/>
        <w:right w:val="none" w:sz="0" w:space="0" w:color="auto"/>
      </w:divBdr>
    </w:div>
    <w:div w:id="2026906459">
      <w:bodyDiv w:val="1"/>
      <w:marLeft w:val="0"/>
      <w:marRight w:val="0"/>
      <w:marTop w:val="0"/>
      <w:marBottom w:val="0"/>
      <w:divBdr>
        <w:top w:val="none" w:sz="0" w:space="0" w:color="auto"/>
        <w:left w:val="none" w:sz="0" w:space="0" w:color="auto"/>
        <w:bottom w:val="none" w:sz="0" w:space="0" w:color="auto"/>
        <w:right w:val="none" w:sz="0" w:space="0" w:color="auto"/>
      </w:divBdr>
    </w:div>
    <w:div w:id="2043166066">
      <w:bodyDiv w:val="1"/>
      <w:marLeft w:val="0"/>
      <w:marRight w:val="0"/>
      <w:marTop w:val="0"/>
      <w:marBottom w:val="0"/>
      <w:divBdr>
        <w:top w:val="none" w:sz="0" w:space="0" w:color="auto"/>
        <w:left w:val="none" w:sz="0" w:space="0" w:color="auto"/>
        <w:bottom w:val="none" w:sz="0" w:space="0" w:color="auto"/>
        <w:right w:val="none" w:sz="0" w:space="0" w:color="auto"/>
      </w:divBdr>
    </w:div>
    <w:div w:id="2046590320">
      <w:bodyDiv w:val="1"/>
      <w:marLeft w:val="0"/>
      <w:marRight w:val="0"/>
      <w:marTop w:val="0"/>
      <w:marBottom w:val="0"/>
      <w:divBdr>
        <w:top w:val="none" w:sz="0" w:space="0" w:color="auto"/>
        <w:left w:val="none" w:sz="0" w:space="0" w:color="auto"/>
        <w:bottom w:val="none" w:sz="0" w:space="0" w:color="auto"/>
        <w:right w:val="none" w:sz="0" w:space="0" w:color="auto"/>
      </w:divBdr>
    </w:div>
    <w:div w:id="2055231216">
      <w:bodyDiv w:val="1"/>
      <w:marLeft w:val="0"/>
      <w:marRight w:val="0"/>
      <w:marTop w:val="0"/>
      <w:marBottom w:val="0"/>
      <w:divBdr>
        <w:top w:val="none" w:sz="0" w:space="0" w:color="auto"/>
        <w:left w:val="none" w:sz="0" w:space="0" w:color="auto"/>
        <w:bottom w:val="none" w:sz="0" w:space="0" w:color="auto"/>
        <w:right w:val="none" w:sz="0" w:space="0" w:color="auto"/>
      </w:divBdr>
    </w:div>
    <w:div w:id="2060594037">
      <w:bodyDiv w:val="1"/>
      <w:marLeft w:val="0"/>
      <w:marRight w:val="0"/>
      <w:marTop w:val="0"/>
      <w:marBottom w:val="0"/>
      <w:divBdr>
        <w:top w:val="none" w:sz="0" w:space="0" w:color="auto"/>
        <w:left w:val="none" w:sz="0" w:space="0" w:color="auto"/>
        <w:bottom w:val="none" w:sz="0" w:space="0" w:color="auto"/>
        <w:right w:val="none" w:sz="0" w:space="0" w:color="auto"/>
      </w:divBdr>
    </w:div>
    <w:div w:id="2061706735">
      <w:bodyDiv w:val="1"/>
      <w:marLeft w:val="0"/>
      <w:marRight w:val="0"/>
      <w:marTop w:val="0"/>
      <w:marBottom w:val="0"/>
      <w:divBdr>
        <w:top w:val="none" w:sz="0" w:space="0" w:color="auto"/>
        <w:left w:val="none" w:sz="0" w:space="0" w:color="auto"/>
        <w:bottom w:val="none" w:sz="0" w:space="0" w:color="auto"/>
        <w:right w:val="none" w:sz="0" w:space="0" w:color="auto"/>
      </w:divBdr>
    </w:div>
    <w:div w:id="2064863725">
      <w:bodyDiv w:val="1"/>
      <w:marLeft w:val="0"/>
      <w:marRight w:val="0"/>
      <w:marTop w:val="0"/>
      <w:marBottom w:val="0"/>
      <w:divBdr>
        <w:top w:val="none" w:sz="0" w:space="0" w:color="auto"/>
        <w:left w:val="none" w:sz="0" w:space="0" w:color="auto"/>
        <w:bottom w:val="none" w:sz="0" w:space="0" w:color="auto"/>
        <w:right w:val="none" w:sz="0" w:space="0" w:color="auto"/>
      </w:divBdr>
    </w:div>
    <w:div w:id="2075807634">
      <w:bodyDiv w:val="1"/>
      <w:marLeft w:val="0"/>
      <w:marRight w:val="0"/>
      <w:marTop w:val="0"/>
      <w:marBottom w:val="0"/>
      <w:divBdr>
        <w:top w:val="none" w:sz="0" w:space="0" w:color="auto"/>
        <w:left w:val="none" w:sz="0" w:space="0" w:color="auto"/>
        <w:bottom w:val="none" w:sz="0" w:space="0" w:color="auto"/>
        <w:right w:val="none" w:sz="0" w:space="0" w:color="auto"/>
      </w:divBdr>
    </w:div>
    <w:div w:id="2094861701">
      <w:bodyDiv w:val="1"/>
      <w:marLeft w:val="0"/>
      <w:marRight w:val="0"/>
      <w:marTop w:val="0"/>
      <w:marBottom w:val="0"/>
      <w:divBdr>
        <w:top w:val="none" w:sz="0" w:space="0" w:color="auto"/>
        <w:left w:val="none" w:sz="0" w:space="0" w:color="auto"/>
        <w:bottom w:val="none" w:sz="0" w:space="0" w:color="auto"/>
        <w:right w:val="none" w:sz="0" w:space="0" w:color="auto"/>
      </w:divBdr>
    </w:div>
    <w:div w:id="2096003782">
      <w:bodyDiv w:val="1"/>
      <w:marLeft w:val="0"/>
      <w:marRight w:val="0"/>
      <w:marTop w:val="0"/>
      <w:marBottom w:val="0"/>
      <w:divBdr>
        <w:top w:val="none" w:sz="0" w:space="0" w:color="auto"/>
        <w:left w:val="none" w:sz="0" w:space="0" w:color="auto"/>
        <w:bottom w:val="none" w:sz="0" w:space="0" w:color="auto"/>
        <w:right w:val="none" w:sz="0" w:space="0" w:color="auto"/>
      </w:divBdr>
    </w:div>
    <w:div w:id="2097440483">
      <w:bodyDiv w:val="1"/>
      <w:marLeft w:val="0"/>
      <w:marRight w:val="0"/>
      <w:marTop w:val="0"/>
      <w:marBottom w:val="0"/>
      <w:divBdr>
        <w:top w:val="none" w:sz="0" w:space="0" w:color="auto"/>
        <w:left w:val="none" w:sz="0" w:space="0" w:color="auto"/>
        <w:bottom w:val="none" w:sz="0" w:space="0" w:color="auto"/>
        <w:right w:val="none" w:sz="0" w:space="0" w:color="auto"/>
      </w:divBdr>
    </w:div>
    <w:div w:id="2105563923">
      <w:bodyDiv w:val="1"/>
      <w:marLeft w:val="0"/>
      <w:marRight w:val="0"/>
      <w:marTop w:val="0"/>
      <w:marBottom w:val="0"/>
      <w:divBdr>
        <w:top w:val="none" w:sz="0" w:space="0" w:color="auto"/>
        <w:left w:val="none" w:sz="0" w:space="0" w:color="auto"/>
        <w:bottom w:val="none" w:sz="0" w:space="0" w:color="auto"/>
        <w:right w:val="none" w:sz="0" w:space="0" w:color="auto"/>
      </w:divBdr>
    </w:div>
    <w:div w:id="2106533387">
      <w:bodyDiv w:val="1"/>
      <w:marLeft w:val="0"/>
      <w:marRight w:val="0"/>
      <w:marTop w:val="0"/>
      <w:marBottom w:val="0"/>
      <w:divBdr>
        <w:top w:val="none" w:sz="0" w:space="0" w:color="auto"/>
        <w:left w:val="none" w:sz="0" w:space="0" w:color="auto"/>
        <w:bottom w:val="none" w:sz="0" w:space="0" w:color="auto"/>
        <w:right w:val="none" w:sz="0" w:space="0" w:color="auto"/>
      </w:divBdr>
    </w:div>
    <w:div w:id="2109689354">
      <w:bodyDiv w:val="1"/>
      <w:marLeft w:val="0"/>
      <w:marRight w:val="0"/>
      <w:marTop w:val="0"/>
      <w:marBottom w:val="0"/>
      <w:divBdr>
        <w:top w:val="none" w:sz="0" w:space="0" w:color="auto"/>
        <w:left w:val="none" w:sz="0" w:space="0" w:color="auto"/>
        <w:bottom w:val="none" w:sz="0" w:space="0" w:color="auto"/>
        <w:right w:val="none" w:sz="0" w:space="0" w:color="auto"/>
      </w:divBdr>
    </w:div>
    <w:div w:id="2109962363">
      <w:bodyDiv w:val="1"/>
      <w:marLeft w:val="0"/>
      <w:marRight w:val="0"/>
      <w:marTop w:val="0"/>
      <w:marBottom w:val="0"/>
      <w:divBdr>
        <w:top w:val="none" w:sz="0" w:space="0" w:color="auto"/>
        <w:left w:val="none" w:sz="0" w:space="0" w:color="auto"/>
        <w:bottom w:val="none" w:sz="0" w:space="0" w:color="auto"/>
        <w:right w:val="none" w:sz="0" w:space="0" w:color="auto"/>
      </w:divBdr>
    </w:div>
    <w:div w:id="2114745668">
      <w:bodyDiv w:val="1"/>
      <w:marLeft w:val="0"/>
      <w:marRight w:val="0"/>
      <w:marTop w:val="0"/>
      <w:marBottom w:val="0"/>
      <w:divBdr>
        <w:top w:val="none" w:sz="0" w:space="0" w:color="auto"/>
        <w:left w:val="none" w:sz="0" w:space="0" w:color="auto"/>
        <w:bottom w:val="none" w:sz="0" w:space="0" w:color="auto"/>
        <w:right w:val="none" w:sz="0" w:space="0" w:color="auto"/>
      </w:divBdr>
    </w:div>
    <w:div w:id="2132239897">
      <w:bodyDiv w:val="1"/>
      <w:marLeft w:val="0"/>
      <w:marRight w:val="0"/>
      <w:marTop w:val="0"/>
      <w:marBottom w:val="0"/>
      <w:divBdr>
        <w:top w:val="none" w:sz="0" w:space="0" w:color="auto"/>
        <w:left w:val="none" w:sz="0" w:space="0" w:color="auto"/>
        <w:bottom w:val="none" w:sz="0" w:space="0" w:color="auto"/>
        <w:right w:val="none" w:sz="0" w:space="0" w:color="auto"/>
      </w:divBdr>
    </w:div>
    <w:div w:id="2138914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emf"/><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emf"/><Relationship Id="rId17" Type="http://schemas.openxmlformats.org/officeDocument/2006/relationships/hyperlink" Target="https://www.imf.org/external/datamapper/PCPIEPCH@WEO/HKG/THA" TargetMode="External"/><Relationship Id="rId2" Type="http://schemas.openxmlformats.org/officeDocument/2006/relationships/styles" Target="styles.xml"/><Relationship Id="rId16" Type="http://schemas.openxmlformats.org/officeDocument/2006/relationships/hyperlink" Target="https://www.censtatd.gov.hk/en/web_table.html?id=620-67012"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7.emf"/><Relationship Id="rId10" Type="http://schemas.openxmlformats.org/officeDocument/2006/relationships/image" Target="media/image2.emf"/><Relationship Id="rId19" Type="http://schemas.microsoft.com/office/2011/relationships/people" Target="people.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image" Target="media/image6.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114</TotalTime>
  <Pages>29</Pages>
  <Words>6555</Words>
  <Characters>37368</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Global Business Challenges</vt:lpstr>
    </vt:vector>
  </TitlesOfParts>
  <Company>MBAWP</Company>
  <LinksUpToDate>false</LinksUpToDate>
  <CharactersWithSpaces>43836</CharactersWithSpaces>
  <SharedDoc>false</SharedDoc>
  <HLinks>
    <vt:vector size="54" baseType="variant">
      <vt:variant>
        <vt:i4>5242910</vt:i4>
      </vt:variant>
      <vt:variant>
        <vt:i4>24</vt:i4>
      </vt:variant>
      <vt:variant>
        <vt:i4>0</vt:i4>
      </vt:variant>
      <vt:variant>
        <vt:i4>5</vt:i4>
      </vt:variant>
      <vt:variant>
        <vt:lpwstr>https://www.colliers.com/download-article?itemId=e27a74a1-7559-499e-a755-bf29959ce07d</vt:lpwstr>
      </vt:variant>
      <vt:variant>
        <vt:lpwstr/>
      </vt:variant>
      <vt:variant>
        <vt:i4>1507345</vt:i4>
      </vt:variant>
      <vt:variant>
        <vt:i4>21</vt:i4>
      </vt:variant>
      <vt:variant>
        <vt:i4>0</vt:i4>
      </vt:variant>
      <vt:variant>
        <vt:i4>5</vt:i4>
      </vt:variant>
      <vt:variant>
        <vt:lpwstr>https://www.bot.or.th/content/dam/bot/documents/en/thai-economy/state-of-thai-economy/monthly-report/macro-2024-10-report.pdf</vt:lpwstr>
      </vt:variant>
      <vt:variant>
        <vt:lpwstr/>
      </vt:variant>
      <vt:variant>
        <vt:i4>3539064</vt:i4>
      </vt:variant>
      <vt:variant>
        <vt:i4>18</vt:i4>
      </vt:variant>
      <vt:variant>
        <vt:i4>0</vt:i4>
      </vt:variant>
      <vt:variant>
        <vt:i4>5</vt:i4>
      </vt:variant>
      <vt:variant>
        <vt:lpwstr>https://www.statista.com/statistics/1085896/thailand-core-consumer-price-index/</vt:lpwstr>
      </vt:variant>
      <vt:variant>
        <vt:lpwstr/>
      </vt:variant>
      <vt:variant>
        <vt:i4>5701707</vt:i4>
      </vt:variant>
      <vt:variant>
        <vt:i4>15</vt:i4>
      </vt:variant>
      <vt:variant>
        <vt:i4>0</vt:i4>
      </vt:variant>
      <vt:variant>
        <vt:i4>5</vt:i4>
      </vt:variant>
      <vt:variant>
        <vt:lpwstr>https://english.news.cn/asiapacific/20250106/b328f389048149caa2449c84d02537d9/c.html</vt:lpwstr>
      </vt:variant>
      <vt:variant>
        <vt:lpwstr/>
      </vt:variant>
      <vt:variant>
        <vt:i4>2097256</vt:i4>
      </vt:variant>
      <vt:variant>
        <vt:i4>12</vt:i4>
      </vt:variant>
      <vt:variant>
        <vt:i4>0</vt:i4>
      </vt:variant>
      <vt:variant>
        <vt:i4>5</vt:i4>
      </vt:variant>
      <vt:variant>
        <vt:lpwstr>https://tradingeconomics.com/thailand/consumer-price-index-cpi</vt:lpwstr>
      </vt:variant>
      <vt:variant>
        <vt:lpwstr/>
      </vt:variant>
      <vt:variant>
        <vt:i4>1966121</vt:i4>
      </vt:variant>
      <vt:variant>
        <vt:i4>9</vt:i4>
      </vt:variant>
      <vt:variant>
        <vt:i4>0</vt:i4>
      </vt:variant>
      <vt:variant>
        <vt:i4>5</vt:i4>
      </vt:variant>
      <vt:variant>
        <vt:lpwstr>https://www.imf.org/external/datamapper/PCPIEPCH@WEO/HKG/THA</vt:lpwstr>
      </vt:variant>
      <vt:variant>
        <vt:lpwstr/>
      </vt:variant>
      <vt:variant>
        <vt:i4>786456</vt:i4>
      </vt:variant>
      <vt:variant>
        <vt:i4>6</vt:i4>
      </vt:variant>
      <vt:variant>
        <vt:i4>0</vt:i4>
      </vt:variant>
      <vt:variant>
        <vt:i4>5</vt:i4>
      </vt:variant>
      <vt:variant>
        <vt:lpwstr>https://www1.hkexnews.hk/listedco/listconews/sehk/2024/0924/2024092400167.pdf</vt:lpwstr>
      </vt:variant>
      <vt:variant>
        <vt:lpwstr/>
      </vt:variant>
      <vt:variant>
        <vt:i4>7798829</vt:i4>
      </vt:variant>
      <vt:variant>
        <vt:i4>3</vt:i4>
      </vt:variant>
      <vt:variant>
        <vt:i4>0</vt:i4>
      </vt:variant>
      <vt:variant>
        <vt:i4>5</vt:i4>
      </vt:variant>
      <vt:variant>
        <vt:lpwstr>http://www.hkexnews.hk/listedco/listconews/sehk/2022/0921/2022092100149.pdf</vt:lpwstr>
      </vt:variant>
      <vt:variant>
        <vt:lpwstr/>
      </vt:variant>
      <vt:variant>
        <vt:i4>2883635</vt:i4>
      </vt:variant>
      <vt:variant>
        <vt:i4>0</vt:i4>
      </vt:variant>
      <vt:variant>
        <vt:i4>0</vt:i4>
      </vt:variant>
      <vt:variant>
        <vt:i4>5</vt:i4>
      </vt:variant>
      <vt:variant>
        <vt:lpwstr>https://www.chamber.org.hk/en/membership/profile_detail.aspx?profile_id=221</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Assignment</dc:subject>
  <dc:creator>Che-Cheong Poon</dc:creator>
  <cp:keywords/>
  <cp:lastModifiedBy>martin tam</cp:lastModifiedBy>
  <cp:revision>60</cp:revision>
  <cp:lastPrinted>2010-07-30T22:51:00Z</cp:lastPrinted>
  <dcterms:created xsi:type="dcterms:W3CDTF">2025-03-05T06:01:00Z</dcterms:created>
  <dcterms:modified xsi:type="dcterms:W3CDTF">2025-03-09T22:30:00Z</dcterms:modified>
</cp:coreProperties>
</file>