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7C361" w14:textId="77777777" w:rsidR="00572A60" w:rsidRPr="009C063A" w:rsidRDefault="00572A60" w:rsidP="00572A60">
      <w:pPr>
        <w:jc w:val="center"/>
        <w:rPr>
          <w:sz w:val="38"/>
          <w:szCs w:val="38"/>
        </w:rPr>
      </w:pPr>
      <w:r w:rsidRPr="009C063A">
        <w:rPr>
          <w:sz w:val="38"/>
          <w:szCs w:val="38"/>
        </w:rPr>
        <w:t>Master of Business Administration</w:t>
      </w:r>
    </w:p>
    <w:p w14:paraId="115F3057" w14:textId="77777777" w:rsidR="00572A60" w:rsidRPr="009C063A" w:rsidRDefault="00572A60" w:rsidP="00572A60">
      <w:pPr>
        <w:jc w:val="center"/>
        <w:rPr>
          <w:sz w:val="32"/>
          <w:szCs w:val="32"/>
        </w:rPr>
      </w:pPr>
      <w:r w:rsidRPr="009C063A">
        <w:rPr>
          <w:sz w:val="32"/>
          <w:szCs w:val="32"/>
        </w:rPr>
        <w:t>International Business pathway</w:t>
      </w:r>
    </w:p>
    <w:p w14:paraId="0BCE33C1" w14:textId="77777777" w:rsidR="00572A60" w:rsidRDefault="00572A60" w:rsidP="00572A60">
      <w:pPr>
        <w:jc w:val="center"/>
        <w:rPr>
          <w:sz w:val="28"/>
          <w:szCs w:val="28"/>
        </w:rPr>
      </w:pPr>
    </w:p>
    <w:p w14:paraId="00A424CC" w14:textId="77777777" w:rsidR="00572A60" w:rsidRDefault="00572A60" w:rsidP="00572A60">
      <w:pPr>
        <w:jc w:val="center"/>
        <w:rPr>
          <w:sz w:val="28"/>
          <w:szCs w:val="28"/>
        </w:rPr>
      </w:pPr>
      <w:r w:rsidRPr="007A3BF1">
        <w:rPr>
          <w:noProof/>
          <w:sz w:val="32"/>
          <w:szCs w:val="32"/>
        </w:rPr>
        <w:drawing>
          <wp:inline distT="0" distB="0" distL="0" distR="0" wp14:anchorId="552E30E3" wp14:editId="681645C3">
            <wp:extent cx="2257425" cy="1876425"/>
            <wp:effectExtent l="0" t="0" r="9525" b="9525"/>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57425" cy="1876425"/>
                    </a:xfrm>
                    <a:prstGeom prst="rect">
                      <a:avLst/>
                    </a:prstGeom>
                    <a:noFill/>
                    <a:ln>
                      <a:noFill/>
                    </a:ln>
                  </pic:spPr>
                </pic:pic>
              </a:graphicData>
            </a:graphic>
          </wp:inline>
        </w:drawing>
      </w:r>
    </w:p>
    <w:p w14:paraId="342443A2" w14:textId="77777777" w:rsidR="00572A60" w:rsidRDefault="00572A60" w:rsidP="00572A60">
      <w:pPr>
        <w:jc w:val="center"/>
        <w:rPr>
          <w:b/>
          <w:bCs/>
          <w:color w:val="EE0000"/>
          <w:sz w:val="48"/>
          <w:szCs w:val="48"/>
        </w:rPr>
      </w:pPr>
      <w:r>
        <w:rPr>
          <w:b/>
          <w:bCs/>
          <w:color w:val="EE0000"/>
          <w:sz w:val="48"/>
          <w:szCs w:val="48"/>
        </w:rPr>
        <w:t>Contemporary employability skills</w:t>
      </w:r>
    </w:p>
    <w:p w14:paraId="6E43670E" w14:textId="77777777" w:rsidR="00572A60" w:rsidRPr="00E80B98" w:rsidRDefault="00572A60" w:rsidP="00572A60">
      <w:pPr>
        <w:jc w:val="center"/>
        <w:rPr>
          <w:color w:val="EE0000"/>
          <w:sz w:val="32"/>
          <w:szCs w:val="32"/>
        </w:rPr>
      </w:pPr>
    </w:p>
    <w:p w14:paraId="2AD57B30" w14:textId="77777777" w:rsidR="00572A60" w:rsidRDefault="00572A60" w:rsidP="00572A60">
      <w:pPr>
        <w:jc w:val="center"/>
        <w:rPr>
          <w:color w:val="EE0000"/>
          <w:sz w:val="28"/>
          <w:szCs w:val="28"/>
        </w:rPr>
      </w:pPr>
      <w:r w:rsidRPr="00D07D25">
        <w:rPr>
          <w:sz w:val="28"/>
          <w:szCs w:val="28"/>
        </w:rPr>
        <w:t xml:space="preserve">Assessment </w:t>
      </w:r>
      <w:r w:rsidRPr="00E80B98">
        <w:rPr>
          <w:color w:val="EE0000"/>
          <w:sz w:val="28"/>
          <w:szCs w:val="28"/>
        </w:rPr>
        <w:t>1: Individual report</w:t>
      </w:r>
      <w:r w:rsidRPr="00043B72">
        <w:rPr>
          <w:sz w:val="28"/>
          <w:szCs w:val="28"/>
        </w:rPr>
        <w:t xml:space="preserve">. Weight: </w:t>
      </w:r>
      <w:r>
        <w:rPr>
          <w:color w:val="EE0000"/>
          <w:sz w:val="28"/>
          <w:szCs w:val="28"/>
        </w:rPr>
        <w:t>100%</w:t>
      </w:r>
    </w:p>
    <w:p w14:paraId="68F03B31" w14:textId="77777777" w:rsidR="00572A60" w:rsidRDefault="00572A60" w:rsidP="00572A60">
      <w:pPr>
        <w:rPr>
          <w:b/>
          <w:bCs/>
          <w:sz w:val="28"/>
          <w:szCs w:val="28"/>
        </w:rPr>
      </w:pPr>
    </w:p>
    <w:p w14:paraId="2D417011" w14:textId="7DF3AA91" w:rsidR="00572A60" w:rsidRPr="00572A60" w:rsidRDefault="00572A60" w:rsidP="00572A60">
      <w:pPr>
        <w:jc w:val="center"/>
        <w:rPr>
          <w:sz w:val="28"/>
          <w:szCs w:val="28"/>
        </w:rPr>
      </w:pPr>
      <w:r w:rsidRPr="00043B72">
        <w:rPr>
          <w:b/>
          <w:bCs/>
          <w:sz w:val="28"/>
          <w:szCs w:val="28"/>
        </w:rPr>
        <w:t>Module name:</w:t>
      </w:r>
      <w:r w:rsidRPr="004C5F9A">
        <w:t xml:space="preserve"> </w:t>
      </w:r>
      <w:r w:rsidRPr="004C5F9A">
        <w:rPr>
          <w:sz w:val="28"/>
          <w:szCs w:val="28"/>
        </w:rPr>
        <w:t>International Business Concepts</w:t>
      </w:r>
    </w:p>
    <w:p w14:paraId="06F6C3F3" w14:textId="45BE50D5" w:rsidR="00572A60" w:rsidRDefault="00572A60" w:rsidP="00572A60">
      <w:pPr>
        <w:jc w:val="center"/>
        <w:rPr>
          <w:sz w:val="28"/>
          <w:szCs w:val="28"/>
        </w:rPr>
      </w:pPr>
      <w:r w:rsidRPr="00043B72">
        <w:rPr>
          <w:b/>
          <w:bCs/>
          <w:sz w:val="28"/>
          <w:szCs w:val="28"/>
        </w:rPr>
        <w:t>Module code</w:t>
      </w:r>
      <w:r w:rsidRPr="00043B72">
        <w:rPr>
          <w:sz w:val="28"/>
          <w:szCs w:val="28"/>
        </w:rPr>
        <w:t>:</w:t>
      </w:r>
      <w:r w:rsidRPr="004C5F9A">
        <w:t xml:space="preserve"> </w:t>
      </w:r>
      <w:r w:rsidRPr="004C5F9A">
        <w:rPr>
          <w:sz w:val="28"/>
          <w:szCs w:val="28"/>
        </w:rPr>
        <w:t>LCMB7034</w:t>
      </w:r>
    </w:p>
    <w:p w14:paraId="199B0BAB" w14:textId="77777777" w:rsidR="00F443D3" w:rsidRPr="00043B72" w:rsidRDefault="00F443D3" w:rsidP="00572A60">
      <w:pPr>
        <w:jc w:val="center"/>
        <w:rPr>
          <w:sz w:val="28"/>
          <w:szCs w:val="28"/>
        </w:rPr>
      </w:pPr>
    </w:p>
    <w:p w14:paraId="02BE85B6" w14:textId="46B33440" w:rsidR="00572A60" w:rsidRPr="00043B72" w:rsidRDefault="00572A60" w:rsidP="00572A60">
      <w:pPr>
        <w:jc w:val="center"/>
        <w:rPr>
          <w:sz w:val="28"/>
          <w:szCs w:val="28"/>
        </w:rPr>
      </w:pPr>
      <w:r w:rsidRPr="00043B72">
        <w:rPr>
          <w:b/>
          <w:bCs/>
          <w:sz w:val="28"/>
          <w:szCs w:val="28"/>
        </w:rPr>
        <w:t>Lecturer name</w:t>
      </w:r>
      <w:r w:rsidRPr="00043B72">
        <w:rPr>
          <w:sz w:val="28"/>
          <w:szCs w:val="28"/>
        </w:rPr>
        <w:t>:</w:t>
      </w:r>
      <w:r w:rsidR="007B0113">
        <w:rPr>
          <w:sz w:val="28"/>
          <w:szCs w:val="28"/>
        </w:rPr>
        <w:t xml:space="preserve"> Dr</w:t>
      </w:r>
      <w:r>
        <w:rPr>
          <w:sz w:val="28"/>
          <w:szCs w:val="28"/>
        </w:rPr>
        <w:t xml:space="preserve"> Charles </w:t>
      </w:r>
      <w:r w:rsidR="0087133A">
        <w:rPr>
          <w:sz w:val="28"/>
          <w:szCs w:val="28"/>
        </w:rPr>
        <w:t>O</w:t>
      </w:r>
      <w:r>
        <w:rPr>
          <w:sz w:val="28"/>
          <w:szCs w:val="28"/>
        </w:rPr>
        <w:t>ham</w:t>
      </w:r>
    </w:p>
    <w:p w14:paraId="6101E1A5" w14:textId="09FE52CA" w:rsidR="00572A60" w:rsidRPr="00572A60" w:rsidRDefault="00572A60" w:rsidP="00572A60">
      <w:pPr>
        <w:jc w:val="center"/>
      </w:pPr>
      <w:r w:rsidRPr="00043B72">
        <w:rPr>
          <w:b/>
          <w:bCs/>
          <w:sz w:val="28"/>
          <w:szCs w:val="28"/>
        </w:rPr>
        <w:t>Student name</w:t>
      </w:r>
      <w:r w:rsidRPr="00043B72">
        <w:rPr>
          <w:sz w:val="28"/>
          <w:szCs w:val="28"/>
        </w:rPr>
        <w:t>:</w:t>
      </w:r>
      <w:r w:rsidRPr="004C5F9A">
        <w:t xml:space="preserve"> </w:t>
      </w:r>
      <w:r w:rsidRPr="00790408">
        <w:rPr>
          <w:sz w:val="28"/>
          <w:szCs w:val="28"/>
        </w:rPr>
        <w:t>Md Abdulla Al Mamun</w:t>
      </w:r>
    </w:p>
    <w:p w14:paraId="304CDE4D" w14:textId="1D5A7057" w:rsidR="00572A60" w:rsidRDefault="00572A60" w:rsidP="00572A60">
      <w:pPr>
        <w:jc w:val="center"/>
        <w:rPr>
          <w:sz w:val="28"/>
          <w:szCs w:val="28"/>
        </w:rPr>
      </w:pPr>
      <w:r w:rsidRPr="00043B72">
        <w:rPr>
          <w:b/>
          <w:bCs/>
          <w:sz w:val="28"/>
          <w:szCs w:val="28"/>
        </w:rPr>
        <w:t>Student ID</w:t>
      </w:r>
      <w:r w:rsidRPr="00043B72">
        <w:rPr>
          <w:sz w:val="28"/>
          <w:szCs w:val="28"/>
        </w:rPr>
        <w:t>:</w:t>
      </w:r>
      <w:r>
        <w:rPr>
          <w:sz w:val="28"/>
          <w:szCs w:val="28"/>
        </w:rPr>
        <w:t xml:space="preserve"> 2503784</w:t>
      </w:r>
    </w:p>
    <w:p w14:paraId="70B7F82E" w14:textId="77777777" w:rsidR="00F443D3" w:rsidRPr="00043B72" w:rsidRDefault="00F443D3" w:rsidP="00572A60">
      <w:pPr>
        <w:jc w:val="center"/>
        <w:rPr>
          <w:sz w:val="28"/>
          <w:szCs w:val="28"/>
        </w:rPr>
      </w:pPr>
    </w:p>
    <w:p w14:paraId="5C00B004" w14:textId="11F594D2" w:rsidR="00572A60" w:rsidRDefault="00572A60" w:rsidP="00572A60">
      <w:pPr>
        <w:jc w:val="center"/>
        <w:rPr>
          <w:sz w:val="28"/>
          <w:szCs w:val="28"/>
        </w:rPr>
      </w:pPr>
      <w:r w:rsidRPr="00043B72">
        <w:rPr>
          <w:b/>
          <w:bCs/>
          <w:sz w:val="28"/>
          <w:szCs w:val="28"/>
        </w:rPr>
        <w:t>Word count</w:t>
      </w:r>
      <w:r w:rsidRPr="00043B72">
        <w:rPr>
          <w:sz w:val="28"/>
          <w:szCs w:val="28"/>
        </w:rPr>
        <w:t>:</w:t>
      </w:r>
      <w:r>
        <w:rPr>
          <w:sz w:val="28"/>
          <w:szCs w:val="28"/>
        </w:rPr>
        <w:t xml:space="preserve"> </w:t>
      </w:r>
      <w:r w:rsidR="00787181">
        <w:rPr>
          <w:sz w:val="28"/>
          <w:szCs w:val="28"/>
        </w:rPr>
        <w:t>4</w:t>
      </w:r>
      <w:r w:rsidR="000C0CD3">
        <w:rPr>
          <w:sz w:val="28"/>
          <w:szCs w:val="28"/>
        </w:rPr>
        <w:t>7</w:t>
      </w:r>
      <w:r w:rsidR="007B5EB4">
        <w:rPr>
          <w:sz w:val="28"/>
          <w:szCs w:val="28"/>
        </w:rPr>
        <w:t>84</w:t>
      </w:r>
    </w:p>
    <w:p w14:paraId="216D63E5" w14:textId="77777777" w:rsidR="00572A60" w:rsidRPr="00043B72" w:rsidRDefault="00572A60" w:rsidP="00572A60">
      <w:pPr>
        <w:jc w:val="center"/>
        <w:rPr>
          <w:sz w:val="28"/>
          <w:szCs w:val="28"/>
        </w:rPr>
      </w:pPr>
    </w:p>
    <w:p w14:paraId="7C9E04E1" w14:textId="1390E16B" w:rsidR="00572A60" w:rsidRDefault="00572A60" w:rsidP="00572A60">
      <w:pPr>
        <w:jc w:val="center"/>
        <w:rPr>
          <w:sz w:val="28"/>
          <w:szCs w:val="28"/>
        </w:rPr>
      </w:pPr>
      <w:r w:rsidRPr="00043B72">
        <w:rPr>
          <w:b/>
          <w:bCs/>
          <w:sz w:val="28"/>
          <w:szCs w:val="28"/>
        </w:rPr>
        <w:t>Submission date</w:t>
      </w:r>
      <w:r w:rsidRPr="00043B72">
        <w:rPr>
          <w:sz w:val="28"/>
          <w:szCs w:val="28"/>
        </w:rPr>
        <w:t>:</w:t>
      </w:r>
      <w:r w:rsidR="00725DB1">
        <w:rPr>
          <w:sz w:val="28"/>
          <w:szCs w:val="28"/>
        </w:rPr>
        <w:t xml:space="preserve"> 14-08-2026</w:t>
      </w:r>
    </w:p>
    <w:p w14:paraId="77F698FF" w14:textId="77777777" w:rsidR="00646EE4" w:rsidRDefault="00646EE4">
      <w:r>
        <w:br w:type="page"/>
      </w:r>
    </w:p>
    <w:sdt>
      <w:sdtPr>
        <w:rPr>
          <w:rFonts w:asciiTheme="minorHAnsi" w:eastAsiaTheme="minorHAnsi" w:hAnsiTheme="minorHAnsi" w:cstheme="minorBidi"/>
          <w:color w:val="auto"/>
          <w:sz w:val="22"/>
          <w:szCs w:val="22"/>
          <w:lang w:val="en-GB"/>
        </w:rPr>
        <w:id w:val="-528879780"/>
        <w:docPartObj>
          <w:docPartGallery w:val="Table of Contents"/>
          <w:docPartUnique/>
        </w:docPartObj>
      </w:sdtPr>
      <w:sdtEndPr>
        <w:rPr>
          <w:b/>
          <w:bCs/>
          <w:noProof/>
        </w:rPr>
      </w:sdtEndPr>
      <w:sdtContent>
        <w:p w14:paraId="2D9F44CE" w14:textId="7B2E2931" w:rsidR="00F443D3" w:rsidRDefault="00F443D3">
          <w:pPr>
            <w:pStyle w:val="TOCHeading"/>
          </w:pPr>
          <w:r>
            <w:t>Table of Contents</w:t>
          </w:r>
        </w:p>
        <w:p w14:paraId="3030A2C9" w14:textId="146D04D8" w:rsidR="00B8708E" w:rsidRDefault="00F443D3">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37462042" w:history="1">
            <w:r w:rsidR="00B8708E" w:rsidRPr="00D27416">
              <w:rPr>
                <w:rStyle w:val="Hyperlink"/>
                <w:noProof/>
              </w:rPr>
              <w:t>EXECUTIVE SUMMARY</w:t>
            </w:r>
            <w:r w:rsidR="00B8708E">
              <w:rPr>
                <w:noProof/>
                <w:webHidden/>
              </w:rPr>
              <w:tab/>
            </w:r>
            <w:r w:rsidR="00B8708E">
              <w:rPr>
                <w:noProof/>
                <w:webHidden/>
              </w:rPr>
              <w:fldChar w:fldCharType="begin"/>
            </w:r>
            <w:r w:rsidR="00B8708E">
              <w:rPr>
                <w:noProof/>
                <w:webHidden/>
              </w:rPr>
              <w:instrText xml:space="preserve"> PAGEREF _Toc237462042 \h </w:instrText>
            </w:r>
            <w:r w:rsidR="00B8708E">
              <w:rPr>
                <w:noProof/>
                <w:webHidden/>
              </w:rPr>
            </w:r>
            <w:r w:rsidR="00B8708E">
              <w:rPr>
                <w:noProof/>
                <w:webHidden/>
              </w:rPr>
              <w:fldChar w:fldCharType="separate"/>
            </w:r>
            <w:r w:rsidR="00B8708E">
              <w:rPr>
                <w:noProof/>
                <w:webHidden/>
              </w:rPr>
              <w:t>3</w:t>
            </w:r>
            <w:r w:rsidR="00B8708E">
              <w:rPr>
                <w:noProof/>
                <w:webHidden/>
              </w:rPr>
              <w:fldChar w:fldCharType="end"/>
            </w:r>
          </w:hyperlink>
        </w:p>
        <w:p w14:paraId="54E1CCDD" w14:textId="6E340801" w:rsidR="00B8708E" w:rsidRDefault="00B8708E">
          <w:pPr>
            <w:pStyle w:val="TOC1"/>
            <w:tabs>
              <w:tab w:val="right" w:leader="dot" w:pos="9350"/>
            </w:tabs>
            <w:rPr>
              <w:rFonts w:eastAsiaTheme="minorEastAsia"/>
              <w:noProof/>
              <w:lang w:eastAsia="en-GB"/>
            </w:rPr>
          </w:pPr>
          <w:hyperlink w:anchor="_Toc237462043" w:history="1">
            <w:r w:rsidRPr="00D27416">
              <w:rPr>
                <w:rStyle w:val="Hyperlink"/>
                <w:b/>
                <w:bCs/>
                <w:noProof/>
              </w:rPr>
              <w:t>SECTION 1: STRATEGIC ANALYSIS</w:t>
            </w:r>
            <w:r>
              <w:rPr>
                <w:noProof/>
                <w:webHidden/>
              </w:rPr>
              <w:tab/>
            </w:r>
            <w:r>
              <w:rPr>
                <w:noProof/>
                <w:webHidden/>
              </w:rPr>
              <w:fldChar w:fldCharType="begin"/>
            </w:r>
            <w:r>
              <w:rPr>
                <w:noProof/>
                <w:webHidden/>
              </w:rPr>
              <w:instrText xml:space="preserve"> PAGEREF _Toc237462043 \h </w:instrText>
            </w:r>
            <w:r>
              <w:rPr>
                <w:noProof/>
                <w:webHidden/>
              </w:rPr>
            </w:r>
            <w:r>
              <w:rPr>
                <w:noProof/>
                <w:webHidden/>
              </w:rPr>
              <w:fldChar w:fldCharType="separate"/>
            </w:r>
            <w:r>
              <w:rPr>
                <w:noProof/>
                <w:webHidden/>
              </w:rPr>
              <w:t>4</w:t>
            </w:r>
            <w:r>
              <w:rPr>
                <w:noProof/>
                <w:webHidden/>
              </w:rPr>
              <w:fldChar w:fldCharType="end"/>
            </w:r>
          </w:hyperlink>
        </w:p>
        <w:p w14:paraId="757D1DF0" w14:textId="0AC2B1E6" w:rsidR="00B8708E" w:rsidRDefault="00B8708E">
          <w:pPr>
            <w:pStyle w:val="TOC2"/>
            <w:tabs>
              <w:tab w:val="right" w:leader="dot" w:pos="9350"/>
            </w:tabs>
            <w:rPr>
              <w:rFonts w:eastAsiaTheme="minorEastAsia"/>
              <w:noProof/>
              <w:lang w:eastAsia="en-GB"/>
            </w:rPr>
          </w:pPr>
          <w:hyperlink w:anchor="_Toc237462044" w:history="1">
            <w:r w:rsidRPr="00D27416">
              <w:rPr>
                <w:rStyle w:val="Hyperlink"/>
                <w:rFonts w:ascii="Arial" w:hAnsi="Arial" w:cs="Arial"/>
                <w:b/>
                <w:bCs/>
                <w:noProof/>
              </w:rPr>
              <w:t>1. Organizational Classification and Global Strategy</w:t>
            </w:r>
            <w:r>
              <w:rPr>
                <w:noProof/>
                <w:webHidden/>
              </w:rPr>
              <w:tab/>
            </w:r>
            <w:r>
              <w:rPr>
                <w:noProof/>
                <w:webHidden/>
              </w:rPr>
              <w:fldChar w:fldCharType="begin"/>
            </w:r>
            <w:r>
              <w:rPr>
                <w:noProof/>
                <w:webHidden/>
              </w:rPr>
              <w:instrText xml:space="preserve"> PAGEREF _Toc237462044 \h </w:instrText>
            </w:r>
            <w:r>
              <w:rPr>
                <w:noProof/>
                <w:webHidden/>
              </w:rPr>
            </w:r>
            <w:r>
              <w:rPr>
                <w:noProof/>
                <w:webHidden/>
              </w:rPr>
              <w:fldChar w:fldCharType="separate"/>
            </w:r>
            <w:r>
              <w:rPr>
                <w:noProof/>
                <w:webHidden/>
              </w:rPr>
              <w:t>4</w:t>
            </w:r>
            <w:r>
              <w:rPr>
                <w:noProof/>
                <w:webHidden/>
              </w:rPr>
              <w:fldChar w:fldCharType="end"/>
            </w:r>
          </w:hyperlink>
        </w:p>
        <w:p w14:paraId="5BF2705B" w14:textId="76AA8DB3" w:rsidR="00B8708E" w:rsidRDefault="00B8708E">
          <w:pPr>
            <w:pStyle w:val="TOC3"/>
            <w:tabs>
              <w:tab w:val="right" w:leader="dot" w:pos="9350"/>
            </w:tabs>
            <w:rPr>
              <w:rFonts w:eastAsiaTheme="minorEastAsia"/>
              <w:noProof/>
              <w:lang w:eastAsia="en-GB"/>
            </w:rPr>
          </w:pPr>
          <w:hyperlink w:anchor="_Toc237462045" w:history="1">
            <w:r w:rsidRPr="00D27416">
              <w:rPr>
                <w:rStyle w:val="Hyperlink"/>
                <w:rFonts w:ascii="Arial" w:hAnsi="Arial" w:cs="Arial"/>
                <w:noProof/>
              </w:rPr>
              <w:t>Strategic categorization</w:t>
            </w:r>
            <w:r>
              <w:rPr>
                <w:noProof/>
                <w:webHidden/>
              </w:rPr>
              <w:tab/>
            </w:r>
            <w:r>
              <w:rPr>
                <w:noProof/>
                <w:webHidden/>
              </w:rPr>
              <w:fldChar w:fldCharType="begin"/>
            </w:r>
            <w:r>
              <w:rPr>
                <w:noProof/>
                <w:webHidden/>
              </w:rPr>
              <w:instrText xml:space="preserve"> PAGEREF _Toc237462045 \h </w:instrText>
            </w:r>
            <w:r>
              <w:rPr>
                <w:noProof/>
                <w:webHidden/>
              </w:rPr>
            </w:r>
            <w:r>
              <w:rPr>
                <w:noProof/>
                <w:webHidden/>
              </w:rPr>
              <w:fldChar w:fldCharType="separate"/>
            </w:r>
            <w:r>
              <w:rPr>
                <w:noProof/>
                <w:webHidden/>
              </w:rPr>
              <w:t>4</w:t>
            </w:r>
            <w:r>
              <w:rPr>
                <w:noProof/>
                <w:webHidden/>
              </w:rPr>
              <w:fldChar w:fldCharType="end"/>
            </w:r>
          </w:hyperlink>
        </w:p>
        <w:p w14:paraId="7ECD29BF" w14:textId="0A6421FE" w:rsidR="00B8708E" w:rsidRDefault="00B8708E">
          <w:pPr>
            <w:pStyle w:val="TOC3"/>
            <w:tabs>
              <w:tab w:val="right" w:leader="dot" w:pos="9350"/>
            </w:tabs>
            <w:rPr>
              <w:rFonts w:eastAsiaTheme="minorEastAsia"/>
              <w:noProof/>
              <w:lang w:eastAsia="en-GB"/>
            </w:rPr>
          </w:pPr>
          <w:hyperlink w:anchor="_Toc237462046" w:history="1">
            <w:r w:rsidRPr="00D27416">
              <w:rPr>
                <w:rStyle w:val="Hyperlink"/>
                <w:rFonts w:ascii="Arial" w:hAnsi="Arial" w:cs="Arial"/>
                <w:noProof/>
              </w:rPr>
              <w:t>Global configuration and competitive advantage</w:t>
            </w:r>
            <w:r>
              <w:rPr>
                <w:noProof/>
                <w:webHidden/>
              </w:rPr>
              <w:tab/>
            </w:r>
            <w:r>
              <w:rPr>
                <w:noProof/>
                <w:webHidden/>
              </w:rPr>
              <w:fldChar w:fldCharType="begin"/>
            </w:r>
            <w:r>
              <w:rPr>
                <w:noProof/>
                <w:webHidden/>
              </w:rPr>
              <w:instrText xml:space="preserve"> PAGEREF _Toc237462046 \h </w:instrText>
            </w:r>
            <w:r>
              <w:rPr>
                <w:noProof/>
                <w:webHidden/>
              </w:rPr>
            </w:r>
            <w:r>
              <w:rPr>
                <w:noProof/>
                <w:webHidden/>
              </w:rPr>
              <w:fldChar w:fldCharType="separate"/>
            </w:r>
            <w:r>
              <w:rPr>
                <w:noProof/>
                <w:webHidden/>
              </w:rPr>
              <w:t>7</w:t>
            </w:r>
            <w:r>
              <w:rPr>
                <w:noProof/>
                <w:webHidden/>
              </w:rPr>
              <w:fldChar w:fldCharType="end"/>
            </w:r>
          </w:hyperlink>
        </w:p>
        <w:p w14:paraId="1FC78AA9" w14:textId="462CA327" w:rsidR="00B8708E" w:rsidRDefault="00B8708E">
          <w:pPr>
            <w:pStyle w:val="TOC2"/>
            <w:tabs>
              <w:tab w:val="right" w:leader="dot" w:pos="9350"/>
            </w:tabs>
            <w:rPr>
              <w:rFonts w:eastAsiaTheme="minorEastAsia"/>
              <w:noProof/>
              <w:lang w:eastAsia="en-GB"/>
            </w:rPr>
          </w:pPr>
          <w:hyperlink w:anchor="_Toc237462047" w:history="1">
            <w:r w:rsidRPr="00D27416">
              <w:rPr>
                <w:rStyle w:val="Hyperlink"/>
                <w:rFonts w:ascii="Arial" w:hAnsi="Arial" w:cs="Arial"/>
                <w:b/>
                <w:bCs/>
                <w:noProof/>
              </w:rPr>
              <w:t>2. Macro-Environmental Appraisal and Market Attractiveness: Brazil</w:t>
            </w:r>
            <w:r>
              <w:rPr>
                <w:noProof/>
                <w:webHidden/>
              </w:rPr>
              <w:tab/>
            </w:r>
            <w:r>
              <w:rPr>
                <w:noProof/>
                <w:webHidden/>
              </w:rPr>
              <w:fldChar w:fldCharType="begin"/>
            </w:r>
            <w:r>
              <w:rPr>
                <w:noProof/>
                <w:webHidden/>
              </w:rPr>
              <w:instrText xml:space="preserve"> PAGEREF _Toc237462047 \h </w:instrText>
            </w:r>
            <w:r>
              <w:rPr>
                <w:noProof/>
                <w:webHidden/>
              </w:rPr>
            </w:r>
            <w:r>
              <w:rPr>
                <w:noProof/>
                <w:webHidden/>
              </w:rPr>
              <w:fldChar w:fldCharType="separate"/>
            </w:r>
            <w:r>
              <w:rPr>
                <w:noProof/>
                <w:webHidden/>
              </w:rPr>
              <w:t>8</w:t>
            </w:r>
            <w:r>
              <w:rPr>
                <w:noProof/>
                <w:webHidden/>
              </w:rPr>
              <w:fldChar w:fldCharType="end"/>
            </w:r>
          </w:hyperlink>
        </w:p>
        <w:p w14:paraId="451F3C0D" w14:textId="3B3AF91D" w:rsidR="00B8708E" w:rsidRDefault="00B8708E">
          <w:pPr>
            <w:pStyle w:val="TOC3"/>
            <w:tabs>
              <w:tab w:val="right" w:leader="dot" w:pos="9350"/>
            </w:tabs>
            <w:rPr>
              <w:rFonts w:eastAsiaTheme="minorEastAsia"/>
              <w:noProof/>
              <w:lang w:eastAsia="en-GB"/>
            </w:rPr>
          </w:pPr>
          <w:hyperlink w:anchor="_Toc237462048" w:history="1">
            <w:r w:rsidRPr="00D27416">
              <w:rPr>
                <w:rStyle w:val="Hyperlink"/>
                <w:rFonts w:ascii="Arial" w:hAnsi="Arial" w:cs="Arial"/>
                <w:noProof/>
              </w:rPr>
              <w:t>Why Brazil, and why now</w:t>
            </w:r>
            <w:r>
              <w:rPr>
                <w:noProof/>
                <w:webHidden/>
              </w:rPr>
              <w:tab/>
            </w:r>
            <w:r>
              <w:rPr>
                <w:noProof/>
                <w:webHidden/>
              </w:rPr>
              <w:fldChar w:fldCharType="begin"/>
            </w:r>
            <w:r>
              <w:rPr>
                <w:noProof/>
                <w:webHidden/>
              </w:rPr>
              <w:instrText xml:space="preserve"> PAGEREF _Toc237462048 \h </w:instrText>
            </w:r>
            <w:r>
              <w:rPr>
                <w:noProof/>
                <w:webHidden/>
              </w:rPr>
            </w:r>
            <w:r>
              <w:rPr>
                <w:noProof/>
                <w:webHidden/>
              </w:rPr>
              <w:fldChar w:fldCharType="separate"/>
            </w:r>
            <w:r>
              <w:rPr>
                <w:noProof/>
                <w:webHidden/>
              </w:rPr>
              <w:t>8</w:t>
            </w:r>
            <w:r>
              <w:rPr>
                <w:noProof/>
                <w:webHidden/>
              </w:rPr>
              <w:fldChar w:fldCharType="end"/>
            </w:r>
          </w:hyperlink>
        </w:p>
        <w:p w14:paraId="5A4FA393" w14:textId="0D1AD1A4" w:rsidR="00B8708E" w:rsidRDefault="00B8708E">
          <w:pPr>
            <w:pStyle w:val="TOC3"/>
            <w:tabs>
              <w:tab w:val="right" w:leader="dot" w:pos="9350"/>
            </w:tabs>
            <w:rPr>
              <w:rFonts w:eastAsiaTheme="minorEastAsia"/>
              <w:noProof/>
              <w:lang w:eastAsia="en-GB"/>
            </w:rPr>
          </w:pPr>
          <w:hyperlink w:anchor="_Toc237462049" w:history="1">
            <w:r w:rsidRPr="00D27416">
              <w:rPr>
                <w:rStyle w:val="Hyperlink"/>
                <w:rFonts w:ascii="Arial" w:hAnsi="Arial" w:cs="Arial"/>
                <w:noProof/>
              </w:rPr>
              <w:t>Political environment</w:t>
            </w:r>
            <w:r>
              <w:rPr>
                <w:noProof/>
                <w:webHidden/>
              </w:rPr>
              <w:tab/>
            </w:r>
            <w:r>
              <w:rPr>
                <w:noProof/>
                <w:webHidden/>
              </w:rPr>
              <w:fldChar w:fldCharType="begin"/>
            </w:r>
            <w:r>
              <w:rPr>
                <w:noProof/>
                <w:webHidden/>
              </w:rPr>
              <w:instrText xml:space="preserve"> PAGEREF _Toc237462049 \h </w:instrText>
            </w:r>
            <w:r>
              <w:rPr>
                <w:noProof/>
                <w:webHidden/>
              </w:rPr>
            </w:r>
            <w:r>
              <w:rPr>
                <w:noProof/>
                <w:webHidden/>
              </w:rPr>
              <w:fldChar w:fldCharType="separate"/>
            </w:r>
            <w:r>
              <w:rPr>
                <w:noProof/>
                <w:webHidden/>
              </w:rPr>
              <w:t>8</w:t>
            </w:r>
            <w:r>
              <w:rPr>
                <w:noProof/>
                <w:webHidden/>
              </w:rPr>
              <w:fldChar w:fldCharType="end"/>
            </w:r>
          </w:hyperlink>
        </w:p>
        <w:p w14:paraId="3C432AF9" w14:textId="6508A8B7" w:rsidR="00B8708E" w:rsidRDefault="00B8708E">
          <w:pPr>
            <w:pStyle w:val="TOC3"/>
            <w:tabs>
              <w:tab w:val="right" w:leader="dot" w:pos="9350"/>
            </w:tabs>
            <w:rPr>
              <w:rFonts w:eastAsiaTheme="minorEastAsia"/>
              <w:noProof/>
              <w:lang w:eastAsia="en-GB"/>
            </w:rPr>
          </w:pPr>
          <w:hyperlink w:anchor="_Toc237462050" w:history="1">
            <w:r w:rsidRPr="00D27416">
              <w:rPr>
                <w:rStyle w:val="Hyperlink"/>
                <w:rFonts w:ascii="Arial" w:hAnsi="Arial" w:cs="Arial"/>
                <w:noProof/>
              </w:rPr>
              <w:t>Economic environment</w:t>
            </w:r>
            <w:r>
              <w:rPr>
                <w:noProof/>
                <w:webHidden/>
              </w:rPr>
              <w:tab/>
            </w:r>
            <w:r>
              <w:rPr>
                <w:noProof/>
                <w:webHidden/>
              </w:rPr>
              <w:fldChar w:fldCharType="begin"/>
            </w:r>
            <w:r>
              <w:rPr>
                <w:noProof/>
                <w:webHidden/>
              </w:rPr>
              <w:instrText xml:space="preserve"> PAGEREF _Toc237462050 \h </w:instrText>
            </w:r>
            <w:r>
              <w:rPr>
                <w:noProof/>
                <w:webHidden/>
              </w:rPr>
            </w:r>
            <w:r>
              <w:rPr>
                <w:noProof/>
                <w:webHidden/>
              </w:rPr>
              <w:fldChar w:fldCharType="separate"/>
            </w:r>
            <w:r>
              <w:rPr>
                <w:noProof/>
                <w:webHidden/>
              </w:rPr>
              <w:t>9</w:t>
            </w:r>
            <w:r>
              <w:rPr>
                <w:noProof/>
                <w:webHidden/>
              </w:rPr>
              <w:fldChar w:fldCharType="end"/>
            </w:r>
          </w:hyperlink>
        </w:p>
        <w:p w14:paraId="77D473DC" w14:textId="2AE2A5E9" w:rsidR="00B8708E" w:rsidRDefault="00B8708E">
          <w:pPr>
            <w:pStyle w:val="TOC3"/>
            <w:tabs>
              <w:tab w:val="right" w:leader="dot" w:pos="9350"/>
            </w:tabs>
            <w:rPr>
              <w:rFonts w:eastAsiaTheme="minorEastAsia"/>
              <w:noProof/>
              <w:lang w:eastAsia="en-GB"/>
            </w:rPr>
          </w:pPr>
          <w:hyperlink w:anchor="_Toc237462051" w:history="1">
            <w:r w:rsidRPr="00D27416">
              <w:rPr>
                <w:rStyle w:val="Hyperlink"/>
                <w:rFonts w:ascii="Arial" w:hAnsi="Arial" w:cs="Arial"/>
                <w:noProof/>
              </w:rPr>
              <w:t>Legal environment</w:t>
            </w:r>
            <w:r>
              <w:rPr>
                <w:noProof/>
                <w:webHidden/>
              </w:rPr>
              <w:tab/>
            </w:r>
            <w:r>
              <w:rPr>
                <w:noProof/>
                <w:webHidden/>
              </w:rPr>
              <w:fldChar w:fldCharType="begin"/>
            </w:r>
            <w:r>
              <w:rPr>
                <w:noProof/>
                <w:webHidden/>
              </w:rPr>
              <w:instrText xml:space="preserve"> PAGEREF _Toc237462051 \h </w:instrText>
            </w:r>
            <w:r>
              <w:rPr>
                <w:noProof/>
                <w:webHidden/>
              </w:rPr>
            </w:r>
            <w:r>
              <w:rPr>
                <w:noProof/>
                <w:webHidden/>
              </w:rPr>
              <w:fldChar w:fldCharType="separate"/>
            </w:r>
            <w:r>
              <w:rPr>
                <w:noProof/>
                <w:webHidden/>
              </w:rPr>
              <w:t>10</w:t>
            </w:r>
            <w:r>
              <w:rPr>
                <w:noProof/>
                <w:webHidden/>
              </w:rPr>
              <w:fldChar w:fldCharType="end"/>
            </w:r>
          </w:hyperlink>
        </w:p>
        <w:p w14:paraId="2C6DC439" w14:textId="527EE60A" w:rsidR="00B8708E" w:rsidRDefault="00B8708E">
          <w:pPr>
            <w:pStyle w:val="TOC3"/>
            <w:tabs>
              <w:tab w:val="right" w:leader="dot" w:pos="9350"/>
            </w:tabs>
            <w:rPr>
              <w:rFonts w:eastAsiaTheme="minorEastAsia"/>
              <w:noProof/>
              <w:lang w:eastAsia="en-GB"/>
            </w:rPr>
          </w:pPr>
          <w:hyperlink w:anchor="_Toc237462052" w:history="1">
            <w:r w:rsidRPr="00D27416">
              <w:rPr>
                <w:rStyle w:val="Hyperlink"/>
                <w:rFonts w:ascii="Arial" w:hAnsi="Arial" w:cs="Arial"/>
                <w:noProof/>
              </w:rPr>
              <w:t>Cultural environment</w:t>
            </w:r>
            <w:r>
              <w:rPr>
                <w:noProof/>
                <w:webHidden/>
              </w:rPr>
              <w:tab/>
            </w:r>
            <w:r>
              <w:rPr>
                <w:noProof/>
                <w:webHidden/>
              </w:rPr>
              <w:fldChar w:fldCharType="begin"/>
            </w:r>
            <w:r>
              <w:rPr>
                <w:noProof/>
                <w:webHidden/>
              </w:rPr>
              <w:instrText xml:space="preserve"> PAGEREF _Toc237462052 \h </w:instrText>
            </w:r>
            <w:r>
              <w:rPr>
                <w:noProof/>
                <w:webHidden/>
              </w:rPr>
            </w:r>
            <w:r>
              <w:rPr>
                <w:noProof/>
                <w:webHidden/>
              </w:rPr>
              <w:fldChar w:fldCharType="separate"/>
            </w:r>
            <w:r>
              <w:rPr>
                <w:noProof/>
                <w:webHidden/>
              </w:rPr>
              <w:t>11</w:t>
            </w:r>
            <w:r>
              <w:rPr>
                <w:noProof/>
                <w:webHidden/>
              </w:rPr>
              <w:fldChar w:fldCharType="end"/>
            </w:r>
          </w:hyperlink>
        </w:p>
        <w:p w14:paraId="0A0D7795" w14:textId="62E982D0" w:rsidR="00B8708E" w:rsidRDefault="00B8708E">
          <w:pPr>
            <w:pStyle w:val="TOC3"/>
            <w:tabs>
              <w:tab w:val="right" w:leader="dot" w:pos="9350"/>
            </w:tabs>
            <w:rPr>
              <w:rFonts w:eastAsiaTheme="minorEastAsia"/>
              <w:noProof/>
              <w:lang w:eastAsia="en-GB"/>
            </w:rPr>
          </w:pPr>
          <w:hyperlink w:anchor="_Toc237462053" w:history="1">
            <w:r w:rsidRPr="00D27416">
              <w:rPr>
                <w:rStyle w:val="Hyperlink"/>
                <w:rFonts w:ascii="Arial" w:hAnsi="Arial" w:cs="Arial"/>
                <w:noProof/>
              </w:rPr>
              <w:t>Synthesis through Dunning's eclectic (OLI) paradigm</w:t>
            </w:r>
            <w:r>
              <w:rPr>
                <w:noProof/>
                <w:webHidden/>
              </w:rPr>
              <w:tab/>
            </w:r>
            <w:r>
              <w:rPr>
                <w:noProof/>
                <w:webHidden/>
              </w:rPr>
              <w:fldChar w:fldCharType="begin"/>
            </w:r>
            <w:r>
              <w:rPr>
                <w:noProof/>
                <w:webHidden/>
              </w:rPr>
              <w:instrText xml:space="preserve"> PAGEREF _Toc237462053 \h </w:instrText>
            </w:r>
            <w:r>
              <w:rPr>
                <w:noProof/>
                <w:webHidden/>
              </w:rPr>
            </w:r>
            <w:r>
              <w:rPr>
                <w:noProof/>
                <w:webHidden/>
              </w:rPr>
              <w:fldChar w:fldCharType="separate"/>
            </w:r>
            <w:r>
              <w:rPr>
                <w:noProof/>
                <w:webHidden/>
              </w:rPr>
              <w:t>13</w:t>
            </w:r>
            <w:r>
              <w:rPr>
                <w:noProof/>
                <w:webHidden/>
              </w:rPr>
              <w:fldChar w:fldCharType="end"/>
            </w:r>
          </w:hyperlink>
        </w:p>
        <w:p w14:paraId="41B13D6F" w14:textId="02852BD7" w:rsidR="00B8708E" w:rsidRDefault="00B8708E">
          <w:pPr>
            <w:pStyle w:val="TOC2"/>
            <w:tabs>
              <w:tab w:val="right" w:leader="dot" w:pos="9350"/>
            </w:tabs>
            <w:rPr>
              <w:rFonts w:eastAsiaTheme="minorEastAsia"/>
              <w:noProof/>
              <w:lang w:eastAsia="en-GB"/>
            </w:rPr>
          </w:pPr>
          <w:hyperlink w:anchor="_Toc237462054" w:history="1">
            <w:r w:rsidRPr="00D27416">
              <w:rPr>
                <w:rStyle w:val="Hyperlink"/>
                <w:rFonts w:ascii="Arial" w:hAnsi="Arial" w:cs="Arial"/>
                <w:b/>
                <w:bCs/>
                <w:noProof/>
              </w:rPr>
              <w:t>3. Entry Mode Strategy and Strategic Synthesis</w:t>
            </w:r>
            <w:r>
              <w:rPr>
                <w:noProof/>
                <w:webHidden/>
              </w:rPr>
              <w:tab/>
            </w:r>
            <w:r>
              <w:rPr>
                <w:noProof/>
                <w:webHidden/>
              </w:rPr>
              <w:fldChar w:fldCharType="begin"/>
            </w:r>
            <w:r>
              <w:rPr>
                <w:noProof/>
                <w:webHidden/>
              </w:rPr>
              <w:instrText xml:space="preserve"> PAGEREF _Toc237462054 \h </w:instrText>
            </w:r>
            <w:r>
              <w:rPr>
                <w:noProof/>
                <w:webHidden/>
              </w:rPr>
            </w:r>
            <w:r>
              <w:rPr>
                <w:noProof/>
                <w:webHidden/>
              </w:rPr>
              <w:fldChar w:fldCharType="separate"/>
            </w:r>
            <w:r>
              <w:rPr>
                <w:noProof/>
                <w:webHidden/>
              </w:rPr>
              <w:t>16</w:t>
            </w:r>
            <w:r>
              <w:rPr>
                <w:noProof/>
                <w:webHidden/>
              </w:rPr>
              <w:fldChar w:fldCharType="end"/>
            </w:r>
          </w:hyperlink>
        </w:p>
        <w:p w14:paraId="478EAEE7" w14:textId="554D317D" w:rsidR="00B8708E" w:rsidRDefault="00B8708E">
          <w:pPr>
            <w:pStyle w:val="TOC3"/>
            <w:tabs>
              <w:tab w:val="right" w:leader="dot" w:pos="9350"/>
            </w:tabs>
            <w:rPr>
              <w:rFonts w:eastAsiaTheme="minorEastAsia"/>
              <w:noProof/>
              <w:lang w:eastAsia="en-GB"/>
            </w:rPr>
          </w:pPr>
          <w:hyperlink w:anchor="_Toc237462055" w:history="1">
            <w:r w:rsidRPr="00D27416">
              <w:rPr>
                <w:rStyle w:val="Hyperlink"/>
                <w:rFonts w:ascii="Arial" w:hAnsi="Arial" w:cs="Arial"/>
                <w:noProof/>
              </w:rPr>
              <w:t>Historical pattern recognition</w:t>
            </w:r>
            <w:r>
              <w:rPr>
                <w:noProof/>
                <w:webHidden/>
              </w:rPr>
              <w:tab/>
            </w:r>
            <w:r>
              <w:rPr>
                <w:noProof/>
                <w:webHidden/>
              </w:rPr>
              <w:fldChar w:fldCharType="begin"/>
            </w:r>
            <w:r>
              <w:rPr>
                <w:noProof/>
                <w:webHidden/>
              </w:rPr>
              <w:instrText xml:space="preserve"> PAGEREF _Toc237462055 \h </w:instrText>
            </w:r>
            <w:r>
              <w:rPr>
                <w:noProof/>
                <w:webHidden/>
              </w:rPr>
            </w:r>
            <w:r>
              <w:rPr>
                <w:noProof/>
                <w:webHidden/>
              </w:rPr>
              <w:fldChar w:fldCharType="separate"/>
            </w:r>
            <w:r>
              <w:rPr>
                <w:noProof/>
                <w:webHidden/>
              </w:rPr>
              <w:t>16</w:t>
            </w:r>
            <w:r>
              <w:rPr>
                <w:noProof/>
                <w:webHidden/>
              </w:rPr>
              <w:fldChar w:fldCharType="end"/>
            </w:r>
          </w:hyperlink>
        </w:p>
        <w:p w14:paraId="47D8BD1E" w14:textId="2FEB6997" w:rsidR="00B8708E" w:rsidRDefault="00B8708E">
          <w:pPr>
            <w:pStyle w:val="TOC3"/>
            <w:tabs>
              <w:tab w:val="right" w:leader="dot" w:pos="9350"/>
            </w:tabs>
            <w:rPr>
              <w:rFonts w:eastAsiaTheme="minorEastAsia"/>
              <w:noProof/>
              <w:lang w:eastAsia="en-GB"/>
            </w:rPr>
          </w:pPr>
          <w:hyperlink w:anchor="_Toc237462056" w:history="1">
            <w:r w:rsidRPr="00D27416">
              <w:rPr>
                <w:rStyle w:val="Hyperlink"/>
                <w:rFonts w:ascii="Arial" w:hAnsi="Arial" w:cs="Arial"/>
                <w:noProof/>
              </w:rPr>
              <w:t>Benchmarking against comparable entrants</w:t>
            </w:r>
            <w:r>
              <w:rPr>
                <w:noProof/>
                <w:webHidden/>
              </w:rPr>
              <w:tab/>
            </w:r>
            <w:r>
              <w:rPr>
                <w:noProof/>
                <w:webHidden/>
              </w:rPr>
              <w:fldChar w:fldCharType="begin"/>
            </w:r>
            <w:r>
              <w:rPr>
                <w:noProof/>
                <w:webHidden/>
              </w:rPr>
              <w:instrText xml:space="preserve"> PAGEREF _Toc237462056 \h </w:instrText>
            </w:r>
            <w:r>
              <w:rPr>
                <w:noProof/>
                <w:webHidden/>
              </w:rPr>
            </w:r>
            <w:r>
              <w:rPr>
                <w:noProof/>
                <w:webHidden/>
              </w:rPr>
              <w:fldChar w:fldCharType="separate"/>
            </w:r>
            <w:r>
              <w:rPr>
                <w:noProof/>
                <w:webHidden/>
              </w:rPr>
              <w:t>16</w:t>
            </w:r>
            <w:r>
              <w:rPr>
                <w:noProof/>
                <w:webHidden/>
              </w:rPr>
              <w:fldChar w:fldCharType="end"/>
            </w:r>
          </w:hyperlink>
        </w:p>
        <w:p w14:paraId="60DC02A3" w14:textId="14D1F83F" w:rsidR="00B8708E" w:rsidRDefault="00B8708E">
          <w:pPr>
            <w:pStyle w:val="TOC3"/>
            <w:tabs>
              <w:tab w:val="right" w:leader="dot" w:pos="9350"/>
            </w:tabs>
            <w:rPr>
              <w:rFonts w:eastAsiaTheme="minorEastAsia"/>
              <w:noProof/>
              <w:lang w:eastAsia="en-GB"/>
            </w:rPr>
          </w:pPr>
          <w:hyperlink w:anchor="_Toc237462057" w:history="1">
            <w:r w:rsidRPr="00D27416">
              <w:rPr>
                <w:rStyle w:val="Hyperlink"/>
                <w:rFonts w:ascii="Arial" w:hAnsi="Arial" w:cs="Arial"/>
                <w:noProof/>
              </w:rPr>
              <w:t>Strategic fit and justification for Brazil</w:t>
            </w:r>
            <w:r>
              <w:rPr>
                <w:noProof/>
                <w:webHidden/>
              </w:rPr>
              <w:tab/>
            </w:r>
            <w:r>
              <w:rPr>
                <w:noProof/>
                <w:webHidden/>
              </w:rPr>
              <w:fldChar w:fldCharType="begin"/>
            </w:r>
            <w:r>
              <w:rPr>
                <w:noProof/>
                <w:webHidden/>
              </w:rPr>
              <w:instrText xml:space="preserve"> PAGEREF _Toc237462057 \h </w:instrText>
            </w:r>
            <w:r>
              <w:rPr>
                <w:noProof/>
                <w:webHidden/>
              </w:rPr>
            </w:r>
            <w:r>
              <w:rPr>
                <w:noProof/>
                <w:webHidden/>
              </w:rPr>
              <w:fldChar w:fldCharType="separate"/>
            </w:r>
            <w:r>
              <w:rPr>
                <w:noProof/>
                <w:webHidden/>
              </w:rPr>
              <w:t>17</w:t>
            </w:r>
            <w:r>
              <w:rPr>
                <w:noProof/>
                <w:webHidden/>
              </w:rPr>
              <w:fldChar w:fldCharType="end"/>
            </w:r>
          </w:hyperlink>
        </w:p>
        <w:p w14:paraId="735DFFC7" w14:textId="0CED708A" w:rsidR="00B8708E" w:rsidRDefault="00B8708E">
          <w:pPr>
            <w:pStyle w:val="TOC3"/>
            <w:tabs>
              <w:tab w:val="right" w:leader="dot" w:pos="9350"/>
            </w:tabs>
            <w:rPr>
              <w:rFonts w:eastAsiaTheme="minorEastAsia"/>
              <w:noProof/>
              <w:lang w:eastAsia="en-GB"/>
            </w:rPr>
          </w:pPr>
          <w:hyperlink w:anchor="_Toc237462058" w:history="1">
            <w:r w:rsidRPr="00D27416">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_Toc237462058 \h </w:instrText>
            </w:r>
            <w:r>
              <w:rPr>
                <w:noProof/>
                <w:webHidden/>
              </w:rPr>
            </w:r>
            <w:r>
              <w:rPr>
                <w:noProof/>
                <w:webHidden/>
              </w:rPr>
              <w:fldChar w:fldCharType="separate"/>
            </w:r>
            <w:r>
              <w:rPr>
                <w:noProof/>
                <w:webHidden/>
              </w:rPr>
              <w:t>19</w:t>
            </w:r>
            <w:r>
              <w:rPr>
                <w:noProof/>
                <w:webHidden/>
              </w:rPr>
              <w:fldChar w:fldCharType="end"/>
            </w:r>
          </w:hyperlink>
        </w:p>
        <w:p w14:paraId="782A69F4" w14:textId="0D8B2F4E" w:rsidR="00B8708E" w:rsidRDefault="00B8708E">
          <w:pPr>
            <w:pStyle w:val="TOC1"/>
            <w:tabs>
              <w:tab w:val="right" w:leader="dot" w:pos="9350"/>
            </w:tabs>
            <w:rPr>
              <w:rFonts w:eastAsiaTheme="minorEastAsia"/>
              <w:noProof/>
              <w:lang w:eastAsia="en-GB"/>
            </w:rPr>
          </w:pPr>
          <w:hyperlink w:anchor="_Toc237462059" w:history="1">
            <w:r w:rsidRPr="00D27416">
              <w:rPr>
                <w:rStyle w:val="Hyperlink"/>
                <w:b/>
                <w:bCs/>
                <w:noProof/>
              </w:rPr>
              <w:t>SECTION 2: REFLECTIVE ACCOUNT (Gibbs Reflective Cycle)</w:t>
            </w:r>
            <w:r>
              <w:rPr>
                <w:noProof/>
                <w:webHidden/>
              </w:rPr>
              <w:tab/>
            </w:r>
            <w:r>
              <w:rPr>
                <w:noProof/>
                <w:webHidden/>
              </w:rPr>
              <w:fldChar w:fldCharType="begin"/>
            </w:r>
            <w:r>
              <w:rPr>
                <w:noProof/>
                <w:webHidden/>
              </w:rPr>
              <w:instrText xml:space="preserve"> PAGEREF _Toc237462059 \h </w:instrText>
            </w:r>
            <w:r>
              <w:rPr>
                <w:noProof/>
                <w:webHidden/>
              </w:rPr>
            </w:r>
            <w:r>
              <w:rPr>
                <w:noProof/>
                <w:webHidden/>
              </w:rPr>
              <w:fldChar w:fldCharType="separate"/>
            </w:r>
            <w:r>
              <w:rPr>
                <w:noProof/>
                <w:webHidden/>
              </w:rPr>
              <w:t>20</w:t>
            </w:r>
            <w:r>
              <w:rPr>
                <w:noProof/>
                <w:webHidden/>
              </w:rPr>
              <w:fldChar w:fldCharType="end"/>
            </w:r>
          </w:hyperlink>
        </w:p>
        <w:p w14:paraId="0E2FAECE" w14:textId="566EDF17" w:rsidR="00B8708E" w:rsidRDefault="00B8708E">
          <w:pPr>
            <w:pStyle w:val="TOC2"/>
            <w:tabs>
              <w:tab w:val="right" w:leader="dot" w:pos="9350"/>
            </w:tabs>
            <w:rPr>
              <w:rFonts w:eastAsiaTheme="minorEastAsia"/>
              <w:noProof/>
              <w:lang w:eastAsia="en-GB"/>
            </w:rPr>
          </w:pPr>
          <w:hyperlink w:anchor="_Toc237462060" w:history="1">
            <w:r w:rsidRPr="00D27416">
              <w:rPr>
                <w:rStyle w:val="Hyperlink"/>
                <w:rFonts w:ascii="Arial" w:hAnsi="Arial" w:cs="Arial"/>
                <w:noProof/>
              </w:rPr>
              <w:t>Description</w:t>
            </w:r>
            <w:r>
              <w:rPr>
                <w:noProof/>
                <w:webHidden/>
              </w:rPr>
              <w:tab/>
            </w:r>
            <w:r>
              <w:rPr>
                <w:noProof/>
                <w:webHidden/>
              </w:rPr>
              <w:fldChar w:fldCharType="begin"/>
            </w:r>
            <w:r>
              <w:rPr>
                <w:noProof/>
                <w:webHidden/>
              </w:rPr>
              <w:instrText xml:space="preserve"> PAGEREF _Toc237462060 \h </w:instrText>
            </w:r>
            <w:r>
              <w:rPr>
                <w:noProof/>
                <w:webHidden/>
              </w:rPr>
            </w:r>
            <w:r>
              <w:rPr>
                <w:noProof/>
                <w:webHidden/>
              </w:rPr>
              <w:fldChar w:fldCharType="separate"/>
            </w:r>
            <w:r>
              <w:rPr>
                <w:noProof/>
                <w:webHidden/>
              </w:rPr>
              <w:t>20</w:t>
            </w:r>
            <w:r>
              <w:rPr>
                <w:noProof/>
                <w:webHidden/>
              </w:rPr>
              <w:fldChar w:fldCharType="end"/>
            </w:r>
          </w:hyperlink>
        </w:p>
        <w:p w14:paraId="5651BD5F" w14:textId="65419BA4" w:rsidR="00B8708E" w:rsidRDefault="00B8708E">
          <w:pPr>
            <w:pStyle w:val="TOC2"/>
            <w:tabs>
              <w:tab w:val="right" w:leader="dot" w:pos="9350"/>
            </w:tabs>
            <w:rPr>
              <w:rFonts w:eastAsiaTheme="minorEastAsia"/>
              <w:noProof/>
              <w:lang w:eastAsia="en-GB"/>
            </w:rPr>
          </w:pPr>
          <w:hyperlink w:anchor="_Toc237462061" w:history="1">
            <w:r w:rsidRPr="00D27416">
              <w:rPr>
                <w:rStyle w:val="Hyperlink"/>
                <w:rFonts w:ascii="Arial" w:hAnsi="Arial" w:cs="Arial"/>
                <w:noProof/>
              </w:rPr>
              <w:t>Feelings</w:t>
            </w:r>
            <w:r>
              <w:rPr>
                <w:noProof/>
                <w:webHidden/>
              </w:rPr>
              <w:tab/>
            </w:r>
            <w:r>
              <w:rPr>
                <w:noProof/>
                <w:webHidden/>
              </w:rPr>
              <w:fldChar w:fldCharType="begin"/>
            </w:r>
            <w:r>
              <w:rPr>
                <w:noProof/>
                <w:webHidden/>
              </w:rPr>
              <w:instrText xml:space="preserve"> PAGEREF _Toc237462061 \h </w:instrText>
            </w:r>
            <w:r>
              <w:rPr>
                <w:noProof/>
                <w:webHidden/>
              </w:rPr>
            </w:r>
            <w:r>
              <w:rPr>
                <w:noProof/>
                <w:webHidden/>
              </w:rPr>
              <w:fldChar w:fldCharType="separate"/>
            </w:r>
            <w:r>
              <w:rPr>
                <w:noProof/>
                <w:webHidden/>
              </w:rPr>
              <w:t>20</w:t>
            </w:r>
            <w:r>
              <w:rPr>
                <w:noProof/>
                <w:webHidden/>
              </w:rPr>
              <w:fldChar w:fldCharType="end"/>
            </w:r>
          </w:hyperlink>
        </w:p>
        <w:p w14:paraId="18DAC99E" w14:textId="01FAB5E8" w:rsidR="00B8708E" w:rsidRDefault="00B8708E">
          <w:pPr>
            <w:pStyle w:val="TOC2"/>
            <w:tabs>
              <w:tab w:val="right" w:leader="dot" w:pos="9350"/>
            </w:tabs>
            <w:rPr>
              <w:rFonts w:eastAsiaTheme="minorEastAsia"/>
              <w:noProof/>
              <w:lang w:eastAsia="en-GB"/>
            </w:rPr>
          </w:pPr>
          <w:hyperlink w:anchor="_Toc237462062" w:history="1">
            <w:r w:rsidRPr="00D27416">
              <w:rPr>
                <w:rStyle w:val="Hyperlink"/>
                <w:rFonts w:ascii="Arial" w:hAnsi="Arial" w:cs="Arial"/>
                <w:noProof/>
              </w:rPr>
              <w:t>Evaluation</w:t>
            </w:r>
            <w:r>
              <w:rPr>
                <w:noProof/>
                <w:webHidden/>
              </w:rPr>
              <w:tab/>
            </w:r>
            <w:r>
              <w:rPr>
                <w:noProof/>
                <w:webHidden/>
              </w:rPr>
              <w:fldChar w:fldCharType="begin"/>
            </w:r>
            <w:r>
              <w:rPr>
                <w:noProof/>
                <w:webHidden/>
              </w:rPr>
              <w:instrText xml:space="preserve"> PAGEREF _Toc237462062 \h </w:instrText>
            </w:r>
            <w:r>
              <w:rPr>
                <w:noProof/>
                <w:webHidden/>
              </w:rPr>
            </w:r>
            <w:r>
              <w:rPr>
                <w:noProof/>
                <w:webHidden/>
              </w:rPr>
              <w:fldChar w:fldCharType="separate"/>
            </w:r>
            <w:r>
              <w:rPr>
                <w:noProof/>
                <w:webHidden/>
              </w:rPr>
              <w:t>21</w:t>
            </w:r>
            <w:r>
              <w:rPr>
                <w:noProof/>
                <w:webHidden/>
              </w:rPr>
              <w:fldChar w:fldCharType="end"/>
            </w:r>
          </w:hyperlink>
        </w:p>
        <w:p w14:paraId="1C757FA7" w14:textId="2AC0C362" w:rsidR="00B8708E" w:rsidRDefault="00B8708E">
          <w:pPr>
            <w:pStyle w:val="TOC2"/>
            <w:tabs>
              <w:tab w:val="right" w:leader="dot" w:pos="9350"/>
            </w:tabs>
            <w:rPr>
              <w:rFonts w:eastAsiaTheme="minorEastAsia"/>
              <w:noProof/>
              <w:lang w:eastAsia="en-GB"/>
            </w:rPr>
          </w:pPr>
          <w:hyperlink w:anchor="_Toc237462063" w:history="1">
            <w:r w:rsidRPr="00D27416">
              <w:rPr>
                <w:rStyle w:val="Hyperlink"/>
                <w:rFonts w:ascii="Arial" w:hAnsi="Arial" w:cs="Arial"/>
                <w:noProof/>
              </w:rPr>
              <w:t>Analysis</w:t>
            </w:r>
            <w:r>
              <w:rPr>
                <w:noProof/>
                <w:webHidden/>
              </w:rPr>
              <w:tab/>
            </w:r>
            <w:r>
              <w:rPr>
                <w:noProof/>
                <w:webHidden/>
              </w:rPr>
              <w:fldChar w:fldCharType="begin"/>
            </w:r>
            <w:r>
              <w:rPr>
                <w:noProof/>
                <w:webHidden/>
              </w:rPr>
              <w:instrText xml:space="preserve"> PAGEREF _Toc237462063 \h </w:instrText>
            </w:r>
            <w:r>
              <w:rPr>
                <w:noProof/>
                <w:webHidden/>
              </w:rPr>
            </w:r>
            <w:r>
              <w:rPr>
                <w:noProof/>
                <w:webHidden/>
              </w:rPr>
              <w:fldChar w:fldCharType="separate"/>
            </w:r>
            <w:r>
              <w:rPr>
                <w:noProof/>
                <w:webHidden/>
              </w:rPr>
              <w:t>21</w:t>
            </w:r>
            <w:r>
              <w:rPr>
                <w:noProof/>
                <w:webHidden/>
              </w:rPr>
              <w:fldChar w:fldCharType="end"/>
            </w:r>
          </w:hyperlink>
        </w:p>
        <w:p w14:paraId="62AEE78F" w14:textId="4FC025E0" w:rsidR="00B8708E" w:rsidRDefault="00B8708E">
          <w:pPr>
            <w:pStyle w:val="TOC2"/>
            <w:tabs>
              <w:tab w:val="right" w:leader="dot" w:pos="9350"/>
            </w:tabs>
            <w:rPr>
              <w:rFonts w:eastAsiaTheme="minorEastAsia"/>
              <w:noProof/>
              <w:lang w:eastAsia="en-GB"/>
            </w:rPr>
          </w:pPr>
          <w:hyperlink w:anchor="_Toc237462064" w:history="1">
            <w:r w:rsidRPr="00D2741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_Toc237462064 \h </w:instrText>
            </w:r>
            <w:r>
              <w:rPr>
                <w:noProof/>
                <w:webHidden/>
              </w:rPr>
            </w:r>
            <w:r>
              <w:rPr>
                <w:noProof/>
                <w:webHidden/>
              </w:rPr>
              <w:fldChar w:fldCharType="separate"/>
            </w:r>
            <w:r>
              <w:rPr>
                <w:noProof/>
                <w:webHidden/>
              </w:rPr>
              <w:t>22</w:t>
            </w:r>
            <w:r>
              <w:rPr>
                <w:noProof/>
                <w:webHidden/>
              </w:rPr>
              <w:fldChar w:fldCharType="end"/>
            </w:r>
          </w:hyperlink>
        </w:p>
        <w:p w14:paraId="6AF63422" w14:textId="376F9F52" w:rsidR="00B8708E" w:rsidRDefault="00B8708E">
          <w:pPr>
            <w:pStyle w:val="TOC2"/>
            <w:tabs>
              <w:tab w:val="right" w:leader="dot" w:pos="9350"/>
            </w:tabs>
            <w:rPr>
              <w:rFonts w:eastAsiaTheme="minorEastAsia"/>
              <w:noProof/>
              <w:lang w:eastAsia="en-GB"/>
            </w:rPr>
          </w:pPr>
          <w:hyperlink w:anchor="_Toc237462065" w:history="1">
            <w:r w:rsidRPr="00D27416">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_Toc237462065 \h </w:instrText>
            </w:r>
            <w:r>
              <w:rPr>
                <w:noProof/>
                <w:webHidden/>
              </w:rPr>
            </w:r>
            <w:r>
              <w:rPr>
                <w:noProof/>
                <w:webHidden/>
              </w:rPr>
              <w:fldChar w:fldCharType="separate"/>
            </w:r>
            <w:r>
              <w:rPr>
                <w:noProof/>
                <w:webHidden/>
              </w:rPr>
              <w:t>22</w:t>
            </w:r>
            <w:r>
              <w:rPr>
                <w:noProof/>
                <w:webHidden/>
              </w:rPr>
              <w:fldChar w:fldCharType="end"/>
            </w:r>
          </w:hyperlink>
        </w:p>
        <w:p w14:paraId="023AFEBB" w14:textId="37EA9EF7" w:rsidR="00B8708E" w:rsidRDefault="00B8708E">
          <w:pPr>
            <w:pStyle w:val="TOC1"/>
            <w:tabs>
              <w:tab w:val="right" w:leader="dot" w:pos="9350"/>
            </w:tabs>
            <w:rPr>
              <w:rFonts w:eastAsiaTheme="minorEastAsia"/>
              <w:noProof/>
              <w:lang w:eastAsia="en-GB"/>
            </w:rPr>
          </w:pPr>
          <w:hyperlink w:anchor="_Toc237462066" w:history="1">
            <w:r w:rsidRPr="00D27416">
              <w:rPr>
                <w:rStyle w:val="Hyperlink"/>
                <w:b/>
                <w:bCs/>
                <w:noProof/>
              </w:rPr>
              <w:t>REFERENCE LIST</w:t>
            </w:r>
            <w:r>
              <w:rPr>
                <w:noProof/>
                <w:webHidden/>
              </w:rPr>
              <w:tab/>
            </w:r>
            <w:r>
              <w:rPr>
                <w:noProof/>
                <w:webHidden/>
              </w:rPr>
              <w:fldChar w:fldCharType="begin"/>
            </w:r>
            <w:r>
              <w:rPr>
                <w:noProof/>
                <w:webHidden/>
              </w:rPr>
              <w:instrText xml:space="preserve"> PAGEREF _Toc237462066 \h </w:instrText>
            </w:r>
            <w:r>
              <w:rPr>
                <w:noProof/>
                <w:webHidden/>
              </w:rPr>
            </w:r>
            <w:r>
              <w:rPr>
                <w:noProof/>
                <w:webHidden/>
              </w:rPr>
              <w:fldChar w:fldCharType="separate"/>
            </w:r>
            <w:r>
              <w:rPr>
                <w:noProof/>
                <w:webHidden/>
              </w:rPr>
              <w:t>23</w:t>
            </w:r>
            <w:r>
              <w:rPr>
                <w:noProof/>
                <w:webHidden/>
              </w:rPr>
              <w:fldChar w:fldCharType="end"/>
            </w:r>
          </w:hyperlink>
        </w:p>
        <w:p w14:paraId="521F4C74" w14:textId="2C4B0182" w:rsidR="00F443D3" w:rsidRDefault="00F443D3">
          <w:r>
            <w:rPr>
              <w:b/>
              <w:bCs/>
              <w:noProof/>
            </w:rPr>
            <w:fldChar w:fldCharType="end"/>
          </w:r>
        </w:p>
      </w:sdtContent>
    </w:sdt>
    <w:p w14:paraId="19E5CB8D" w14:textId="77777777" w:rsidR="00002349" w:rsidRDefault="00002349" w:rsidP="00F443D3"/>
    <w:p w14:paraId="6D070DC4" w14:textId="77777777" w:rsidR="00002349" w:rsidRDefault="00002349" w:rsidP="00F443D3"/>
    <w:p w14:paraId="440DF2ED" w14:textId="77777777" w:rsidR="00002349" w:rsidRDefault="00002349" w:rsidP="00F443D3"/>
    <w:p w14:paraId="73CE611B" w14:textId="77777777" w:rsidR="00002349" w:rsidRDefault="00002349" w:rsidP="00F443D3"/>
    <w:p w14:paraId="1E4C90D7" w14:textId="77777777" w:rsidR="00002349" w:rsidRDefault="00002349" w:rsidP="00F443D3"/>
    <w:p w14:paraId="7A5D55E1" w14:textId="77777777" w:rsidR="00002349" w:rsidRPr="00A17141" w:rsidRDefault="00002349" w:rsidP="00002349">
      <w:pPr>
        <w:pStyle w:val="Title"/>
      </w:pPr>
      <w:bookmarkStart w:id="0" w:name="_Toc227660538"/>
      <w:r w:rsidRPr="00A17141">
        <w:lastRenderedPageBreak/>
        <w:t>Basic Acknowledgement format of AI tool use</w:t>
      </w:r>
      <w:bookmarkEnd w:id="0"/>
      <w:r w:rsidRPr="00A17141">
        <w:t xml:space="preserve"> </w:t>
      </w:r>
    </w:p>
    <w:p w14:paraId="69B48768" w14:textId="77777777" w:rsidR="00002349" w:rsidRPr="00E3204B" w:rsidRDefault="00002349" w:rsidP="00002349">
      <w:pPr>
        <w:spacing w:line="360" w:lineRule="auto"/>
        <w:jc w:val="both"/>
        <w:rPr>
          <w:rFonts w:ascii="Arial" w:hAnsi="Arial" w:cs="Arial"/>
          <w:sz w:val="24"/>
          <w:szCs w:val="24"/>
        </w:rPr>
      </w:pPr>
      <w:r w:rsidRPr="00E3204B">
        <w:rPr>
          <w:rFonts w:ascii="Arial" w:hAnsi="Arial" w:cs="Arial"/>
          <w:b/>
          <w:bCs/>
          <w:sz w:val="24"/>
          <w:szCs w:val="24"/>
        </w:rPr>
        <w:t>1.</w:t>
      </w:r>
      <w:r w:rsidRPr="00E3204B">
        <w:rPr>
          <w:rFonts w:ascii="Arial" w:hAnsi="Arial" w:cs="Arial"/>
          <w:sz w:val="24"/>
          <w:szCs w:val="24"/>
        </w:rPr>
        <w:t xml:space="preserve"> I acknowledge the use of Gemini (https://gemini.google.com/app) </w:t>
      </w:r>
      <w:r>
        <w:rPr>
          <w:rFonts w:ascii="Arial" w:hAnsi="Arial" w:cs="Arial"/>
          <w:sz w:val="24"/>
          <w:szCs w:val="24"/>
        </w:rPr>
        <w:t>in</w:t>
      </w:r>
      <w:r w:rsidRPr="00E3204B">
        <w:rPr>
          <w:rFonts w:ascii="Arial" w:hAnsi="Arial" w:cs="Arial"/>
          <w:sz w:val="24"/>
          <w:szCs w:val="24"/>
        </w:rPr>
        <w:t xml:space="preserve"> </w:t>
      </w:r>
      <w:r>
        <w:rPr>
          <w:rFonts w:ascii="Arial" w:hAnsi="Arial" w:cs="Arial"/>
          <w:sz w:val="24"/>
          <w:szCs w:val="24"/>
        </w:rPr>
        <w:t>July</w:t>
      </w:r>
      <w:r w:rsidRPr="00E3204B">
        <w:rPr>
          <w:rFonts w:ascii="Arial" w:hAnsi="Arial" w:cs="Arial"/>
          <w:sz w:val="24"/>
          <w:szCs w:val="24"/>
        </w:rPr>
        <w:t xml:space="preserve"> to generate Table data for my</w:t>
      </w:r>
      <w:r w:rsidRPr="006E2F07">
        <w:t xml:space="preserve"> </w:t>
      </w:r>
      <w:r>
        <w:rPr>
          <w:rFonts w:ascii="Arial" w:hAnsi="Arial" w:cs="Arial"/>
          <w:sz w:val="24"/>
          <w:szCs w:val="24"/>
        </w:rPr>
        <w:t>a</w:t>
      </w:r>
      <w:r w:rsidRPr="006E2F07">
        <w:rPr>
          <w:rFonts w:ascii="Arial" w:hAnsi="Arial" w:cs="Arial"/>
          <w:sz w:val="24"/>
          <w:szCs w:val="24"/>
        </w:rPr>
        <w:t>ssessment</w:t>
      </w:r>
      <w:r w:rsidRPr="00E3204B">
        <w:rPr>
          <w:rFonts w:ascii="Arial" w:hAnsi="Arial" w:cs="Arial"/>
          <w:sz w:val="24"/>
          <w:szCs w:val="24"/>
        </w:rPr>
        <w:t xml:space="preserve">. I used the prompt(s): </w:t>
      </w:r>
    </w:p>
    <w:p w14:paraId="4DBB858F" w14:textId="063B5915" w:rsidR="00002349" w:rsidRDefault="00002349" w:rsidP="00002349">
      <w:pPr>
        <w:pStyle w:val="ListParagraph"/>
        <w:numPr>
          <w:ilvl w:val="0"/>
          <w:numId w:val="2"/>
        </w:numPr>
        <w:spacing w:line="360" w:lineRule="auto"/>
        <w:jc w:val="both"/>
        <w:rPr>
          <w:sz w:val="24"/>
          <w:szCs w:val="24"/>
        </w:rPr>
      </w:pPr>
      <w:r w:rsidRPr="00BE4DF8">
        <w:rPr>
          <w:sz w:val="24"/>
          <w:szCs w:val="24"/>
        </w:rPr>
        <w:t>Create a Hofstede Dimension</w:t>
      </w:r>
      <w:r w:rsidRPr="00BE4DF8">
        <w:rPr>
          <w:sz w:val="28"/>
          <w:szCs w:val="28"/>
        </w:rPr>
        <w:t xml:space="preserve"> </w:t>
      </w:r>
      <w:r>
        <w:rPr>
          <w:sz w:val="24"/>
          <w:szCs w:val="24"/>
        </w:rPr>
        <w:t xml:space="preserve">table for </w:t>
      </w:r>
      <w:r w:rsidR="00B117B6">
        <w:rPr>
          <w:sz w:val="24"/>
          <w:szCs w:val="24"/>
        </w:rPr>
        <w:t>Brazil</w:t>
      </w:r>
      <w:r>
        <w:rPr>
          <w:sz w:val="24"/>
          <w:szCs w:val="24"/>
        </w:rPr>
        <w:t xml:space="preserve"> and UK.</w:t>
      </w:r>
    </w:p>
    <w:p w14:paraId="2DFFA48E" w14:textId="77777777" w:rsidR="00002349" w:rsidRPr="00F52C27" w:rsidRDefault="00002349" w:rsidP="00002349">
      <w:pPr>
        <w:pStyle w:val="ListParagraph"/>
        <w:spacing w:line="360" w:lineRule="auto"/>
        <w:ind w:left="720"/>
        <w:jc w:val="both"/>
        <w:rPr>
          <w:sz w:val="24"/>
          <w:szCs w:val="24"/>
        </w:rPr>
      </w:pPr>
    </w:p>
    <w:p w14:paraId="43589AC0" w14:textId="7F215949" w:rsidR="00002349" w:rsidRPr="00E3204B" w:rsidRDefault="00002349" w:rsidP="00002349">
      <w:pPr>
        <w:spacing w:line="360" w:lineRule="auto"/>
        <w:jc w:val="both"/>
        <w:rPr>
          <w:rFonts w:ascii="Arial" w:hAnsi="Arial" w:cs="Arial"/>
          <w:sz w:val="24"/>
          <w:szCs w:val="24"/>
        </w:rPr>
      </w:pPr>
      <w:r>
        <w:rPr>
          <w:rFonts w:ascii="Arial" w:hAnsi="Arial" w:cs="Arial"/>
          <w:b/>
          <w:bCs/>
          <w:sz w:val="23"/>
          <w:szCs w:val="23"/>
        </w:rPr>
        <w:t>2</w:t>
      </w:r>
      <w:r w:rsidRPr="00E3204B">
        <w:rPr>
          <w:rFonts w:ascii="Arial" w:hAnsi="Arial" w:cs="Arial"/>
          <w:b/>
          <w:bCs/>
          <w:sz w:val="23"/>
          <w:szCs w:val="23"/>
        </w:rPr>
        <w:t xml:space="preserve">. </w:t>
      </w:r>
      <w:r w:rsidRPr="00E3204B">
        <w:rPr>
          <w:rFonts w:ascii="Arial" w:hAnsi="Arial" w:cs="Arial"/>
          <w:sz w:val="24"/>
          <w:szCs w:val="24"/>
        </w:rPr>
        <w:t xml:space="preserve">I acknowledge the use of Gemini (https://gemini.google.com/app) </w:t>
      </w:r>
      <w:r>
        <w:rPr>
          <w:rFonts w:ascii="Arial" w:hAnsi="Arial" w:cs="Arial"/>
          <w:sz w:val="24"/>
          <w:szCs w:val="24"/>
        </w:rPr>
        <w:t>in</w:t>
      </w:r>
      <w:r w:rsidRPr="00E3204B">
        <w:rPr>
          <w:rFonts w:ascii="Arial" w:hAnsi="Arial" w:cs="Arial"/>
          <w:sz w:val="24"/>
          <w:szCs w:val="24"/>
        </w:rPr>
        <w:t xml:space="preserve"> </w:t>
      </w:r>
      <w:r>
        <w:rPr>
          <w:rFonts w:ascii="Arial" w:hAnsi="Arial" w:cs="Arial"/>
          <w:sz w:val="24"/>
          <w:szCs w:val="24"/>
        </w:rPr>
        <w:t>August</w:t>
      </w:r>
      <w:r w:rsidRPr="00E3204B">
        <w:rPr>
          <w:rFonts w:ascii="Arial" w:hAnsi="Arial" w:cs="Arial"/>
          <w:sz w:val="24"/>
          <w:szCs w:val="24"/>
        </w:rPr>
        <w:t xml:space="preserve"> to </w:t>
      </w:r>
      <w:r w:rsidR="00E45170">
        <w:rPr>
          <w:rFonts w:ascii="Arial" w:hAnsi="Arial" w:cs="Arial"/>
          <w:sz w:val="24"/>
          <w:szCs w:val="24"/>
        </w:rPr>
        <w:t>g</w:t>
      </w:r>
      <w:r w:rsidR="00E45170" w:rsidRPr="00E3204B">
        <w:rPr>
          <w:rFonts w:ascii="Arial" w:hAnsi="Arial" w:cs="Arial"/>
          <w:sz w:val="24"/>
          <w:szCs w:val="24"/>
        </w:rPr>
        <w:t>enerate</w:t>
      </w:r>
      <w:r w:rsidR="00E45170">
        <w:rPr>
          <w:rFonts w:ascii="Arial" w:hAnsi="Arial" w:cs="Arial"/>
          <w:sz w:val="24"/>
          <w:szCs w:val="24"/>
        </w:rPr>
        <w:t xml:space="preserve"> </w:t>
      </w:r>
      <w:r w:rsidR="00E45170" w:rsidRPr="00E3204B">
        <w:rPr>
          <w:rFonts w:ascii="Arial" w:hAnsi="Arial" w:cs="Arial"/>
          <w:sz w:val="24"/>
          <w:szCs w:val="24"/>
        </w:rPr>
        <w:t>Pictures</w:t>
      </w:r>
      <w:r w:rsidRPr="00E3204B">
        <w:rPr>
          <w:rFonts w:ascii="Arial" w:hAnsi="Arial" w:cs="Arial"/>
          <w:sz w:val="24"/>
          <w:szCs w:val="24"/>
        </w:rPr>
        <w:t xml:space="preserve">. The prompt(s): </w:t>
      </w:r>
    </w:p>
    <w:p w14:paraId="34852E2C" w14:textId="38D57F23" w:rsidR="00F638DA" w:rsidRPr="00F638DA" w:rsidRDefault="006D7050" w:rsidP="00002349">
      <w:pPr>
        <w:pStyle w:val="ListParagraph"/>
        <w:numPr>
          <w:ilvl w:val="0"/>
          <w:numId w:val="1"/>
        </w:numPr>
        <w:spacing w:line="360" w:lineRule="auto"/>
        <w:jc w:val="both"/>
        <w:rPr>
          <w:sz w:val="28"/>
          <w:szCs w:val="28"/>
        </w:rPr>
      </w:pPr>
      <w:r w:rsidRPr="00E3204B">
        <w:rPr>
          <w:sz w:val="24"/>
          <w:szCs w:val="24"/>
        </w:rPr>
        <w:t xml:space="preserve">create a </w:t>
      </w:r>
      <w:r>
        <w:rPr>
          <w:sz w:val="24"/>
          <w:szCs w:val="24"/>
        </w:rPr>
        <w:t xml:space="preserve">picture of </w:t>
      </w:r>
      <w:r w:rsidR="00F638DA" w:rsidRPr="00F638DA">
        <w:rPr>
          <w:sz w:val="24"/>
          <w:szCs w:val="24"/>
        </w:rPr>
        <w:t>NOTHING devices line-up</w:t>
      </w:r>
    </w:p>
    <w:p w14:paraId="31BB295C" w14:textId="742E6FD5" w:rsidR="00F638DA" w:rsidRDefault="00002349" w:rsidP="00002349">
      <w:pPr>
        <w:pStyle w:val="ListParagraph"/>
        <w:numPr>
          <w:ilvl w:val="0"/>
          <w:numId w:val="1"/>
        </w:numPr>
        <w:spacing w:line="360" w:lineRule="auto"/>
        <w:jc w:val="both"/>
        <w:rPr>
          <w:sz w:val="24"/>
          <w:szCs w:val="24"/>
        </w:rPr>
      </w:pPr>
      <w:r w:rsidRPr="00E3204B">
        <w:rPr>
          <w:sz w:val="24"/>
          <w:szCs w:val="24"/>
        </w:rPr>
        <w:t xml:space="preserve">create a </w:t>
      </w:r>
      <w:r>
        <w:rPr>
          <w:sz w:val="24"/>
          <w:szCs w:val="24"/>
        </w:rPr>
        <w:t xml:space="preserve">picture of </w:t>
      </w:r>
      <w:r w:rsidRPr="000D39CF">
        <w:rPr>
          <w:sz w:val="24"/>
          <w:szCs w:val="24"/>
        </w:rPr>
        <w:t>Gibbs' (1988) Reflective Cycle</w:t>
      </w:r>
    </w:p>
    <w:p w14:paraId="57D43761" w14:textId="6BFDBDEF" w:rsidR="00002349" w:rsidRPr="001F0A55" w:rsidRDefault="00002349" w:rsidP="00E45170">
      <w:pPr>
        <w:spacing w:line="360" w:lineRule="auto"/>
        <w:ind w:left="360"/>
        <w:jc w:val="both"/>
        <w:rPr>
          <w:sz w:val="24"/>
          <w:szCs w:val="24"/>
        </w:rPr>
      </w:pPr>
      <w:r w:rsidRPr="00F638DA">
        <w:rPr>
          <w:sz w:val="24"/>
          <w:szCs w:val="24"/>
        </w:rPr>
        <w:t>.</w:t>
      </w:r>
    </w:p>
    <w:p w14:paraId="035D668C" w14:textId="1E04DB24" w:rsidR="00002349" w:rsidRDefault="00002349" w:rsidP="00002349">
      <w:pPr>
        <w:spacing w:line="360" w:lineRule="auto"/>
        <w:jc w:val="both"/>
        <w:rPr>
          <w:rFonts w:ascii="Arial" w:hAnsi="Arial" w:cs="Arial"/>
          <w:sz w:val="23"/>
          <w:szCs w:val="23"/>
        </w:rPr>
      </w:pPr>
      <w:r w:rsidRPr="00FA3AE6">
        <w:rPr>
          <w:rFonts w:ascii="Arial" w:hAnsi="Arial" w:cs="Arial"/>
          <w:b/>
          <w:bCs/>
          <w:sz w:val="24"/>
          <w:szCs w:val="24"/>
        </w:rPr>
        <w:t>3.</w:t>
      </w:r>
      <w:r>
        <w:rPr>
          <w:rFonts w:ascii="Arial" w:hAnsi="Arial" w:cs="Arial"/>
          <w:sz w:val="24"/>
          <w:szCs w:val="24"/>
        </w:rPr>
        <w:t xml:space="preserve"> I acknowledge the use of Gemini (https://gemini.google.com/app) in July for </w:t>
      </w:r>
      <w:r w:rsidRPr="00E2395A">
        <w:rPr>
          <w:rFonts w:ascii="Arial" w:hAnsi="Arial" w:cs="Arial"/>
          <w:sz w:val="24"/>
          <w:szCs w:val="24"/>
        </w:rPr>
        <w:t>PROOFREADING</w:t>
      </w:r>
      <w:r>
        <w:rPr>
          <w:rFonts w:ascii="Arial" w:hAnsi="Arial" w:cs="Arial"/>
          <w:sz w:val="24"/>
          <w:szCs w:val="24"/>
        </w:rPr>
        <w:t xml:space="preserve"> to </w:t>
      </w:r>
      <w:r w:rsidR="006D7050">
        <w:rPr>
          <w:rFonts w:ascii="Arial" w:hAnsi="Arial" w:cs="Arial"/>
          <w:sz w:val="24"/>
          <w:szCs w:val="24"/>
        </w:rPr>
        <w:t>analyse</w:t>
      </w:r>
      <w:r>
        <w:rPr>
          <w:rFonts w:ascii="Arial" w:hAnsi="Arial" w:cs="Arial"/>
          <w:sz w:val="24"/>
          <w:szCs w:val="24"/>
        </w:rPr>
        <w:t xml:space="preserve"> the draft file for finding any incomplete sentence for my Assessment. The prompt(s):</w:t>
      </w:r>
    </w:p>
    <w:p w14:paraId="3133C853" w14:textId="77777777" w:rsidR="00002349" w:rsidRDefault="00002349" w:rsidP="00002349">
      <w:pPr>
        <w:pStyle w:val="ListParagraph"/>
        <w:numPr>
          <w:ilvl w:val="0"/>
          <w:numId w:val="3"/>
        </w:numPr>
        <w:spacing w:line="360" w:lineRule="auto"/>
        <w:jc w:val="both"/>
        <w:rPr>
          <w:sz w:val="24"/>
          <w:szCs w:val="24"/>
        </w:rPr>
      </w:pPr>
      <w:r>
        <w:rPr>
          <w:sz w:val="24"/>
          <w:szCs w:val="24"/>
        </w:rPr>
        <w:t>Analyze this file and see if there are any incomplete sentences and grammar errors.</w:t>
      </w:r>
    </w:p>
    <w:p w14:paraId="2A98EC39" w14:textId="2DD52770" w:rsidR="00002349" w:rsidRPr="0035210F" w:rsidRDefault="00002349" w:rsidP="00002349">
      <w:pPr>
        <w:spacing w:line="360" w:lineRule="auto"/>
        <w:jc w:val="both"/>
        <w:rPr>
          <w:rFonts w:ascii="Arial" w:hAnsi="Arial" w:cs="Arial"/>
          <w:sz w:val="24"/>
          <w:szCs w:val="24"/>
        </w:rPr>
      </w:pPr>
      <w:r w:rsidRPr="00FA3AE6">
        <w:rPr>
          <w:rFonts w:ascii="Arial" w:hAnsi="Arial" w:cs="Arial"/>
          <w:b/>
          <w:bCs/>
          <w:sz w:val="24"/>
          <w:szCs w:val="24"/>
        </w:rPr>
        <w:t>4.</w:t>
      </w:r>
      <w:r>
        <w:rPr>
          <w:rFonts w:ascii="Arial" w:hAnsi="Arial" w:cs="Arial"/>
          <w:sz w:val="24"/>
          <w:szCs w:val="24"/>
        </w:rPr>
        <w:t xml:space="preserve"> </w:t>
      </w:r>
      <w:r w:rsidRPr="0035210F">
        <w:rPr>
          <w:rFonts w:ascii="Arial" w:hAnsi="Arial" w:cs="Arial"/>
          <w:sz w:val="24"/>
          <w:szCs w:val="24"/>
        </w:rPr>
        <w:t>I acknowledge the use of Gemini (</w:t>
      </w:r>
      <w:hyperlink r:id="rId9" w:history="1">
        <w:r w:rsidRPr="001C113A">
          <w:rPr>
            <w:rStyle w:val="Hyperlink"/>
            <w:rFonts w:ascii="Arial" w:hAnsi="Arial" w:cs="Arial"/>
            <w:sz w:val="24"/>
            <w:szCs w:val="24"/>
          </w:rPr>
          <w:t>https://gemini.google.com/app</w:t>
        </w:r>
      </w:hyperlink>
      <w:r w:rsidRPr="0035210F">
        <w:rPr>
          <w:rFonts w:ascii="Arial" w:hAnsi="Arial" w:cs="Arial"/>
          <w:sz w:val="24"/>
          <w:szCs w:val="24"/>
        </w:rPr>
        <w:t>)</w:t>
      </w:r>
      <w:r>
        <w:rPr>
          <w:rFonts w:ascii="Arial" w:hAnsi="Arial" w:cs="Arial"/>
          <w:sz w:val="24"/>
          <w:szCs w:val="24"/>
        </w:rPr>
        <w:t>, Qwen AI (</w:t>
      </w:r>
      <w:hyperlink r:id="rId10" w:history="1">
        <w:r w:rsidRPr="001C113A">
          <w:rPr>
            <w:rStyle w:val="Hyperlink"/>
            <w:rFonts w:ascii="Arial" w:hAnsi="Arial" w:cs="Arial"/>
            <w:sz w:val="24"/>
            <w:szCs w:val="24"/>
          </w:rPr>
          <w:t>https://qwen.ai/home</w:t>
        </w:r>
      </w:hyperlink>
      <w:r>
        <w:rPr>
          <w:rFonts w:ascii="Arial" w:hAnsi="Arial" w:cs="Arial"/>
          <w:sz w:val="24"/>
          <w:szCs w:val="24"/>
        </w:rPr>
        <w:t>) in</w:t>
      </w:r>
      <w:r w:rsidRPr="0035210F">
        <w:rPr>
          <w:rFonts w:ascii="Arial" w:hAnsi="Arial" w:cs="Arial"/>
          <w:sz w:val="24"/>
          <w:szCs w:val="24"/>
        </w:rPr>
        <w:t xml:space="preserve"> </w:t>
      </w:r>
      <w:r>
        <w:rPr>
          <w:rFonts w:ascii="Arial" w:hAnsi="Arial" w:cs="Arial"/>
          <w:sz w:val="24"/>
          <w:szCs w:val="24"/>
        </w:rPr>
        <w:t xml:space="preserve">June and </w:t>
      </w:r>
      <w:r w:rsidRPr="0035210F">
        <w:rPr>
          <w:rFonts w:ascii="Arial" w:hAnsi="Arial" w:cs="Arial"/>
          <w:sz w:val="24"/>
          <w:szCs w:val="24"/>
        </w:rPr>
        <w:t>July to research for my Assessment.</w:t>
      </w:r>
    </w:p>
    <w:p w14:paraId="47AB18E7" w14:textId="77777777" w:rsidR="00002349" w:rsidRPr="00285A62" w:rsidRDefault="00002349" w:rsidP="00002349">
      <w:pPr>
        <w:rPr>
          <w:rFonts w:ascii="Arial" w:hAnsi="Arial" w:cs="Arial"/>
        </w:rPr>
      </w:pPr>
    </w:p>
    <w:p w14:paraId="09E739BA" w14:textId="77777777" w:rsidR="00002349" w:rsidRDefault="00002349" w:rsidP="00002349">
      <w:pPr>
        <w:spacing w:line="360" w:lineRule="auto"/>
        <w:jc w:val="both"/>
        <w:rPr>
          <w:rFonts w:ascii="Arial" w:hAnsi="Arial" w:cs="Arial"/>
          <w:sz w:val="23"/>
          <w:szCs w:val="23"/>
        </w:rPr>
      </w:pPr>
      <w:r w:rsidRPr="00E3204B">
        <w:rPr>
          <w:rFonts w:ascii="Arial" w:hAnsi="Arial" w:cs="Arial"/>
          <w:sz w:val="24"/>
          <w:szCs w:val="24"/>
        </w:rPr>
        <w:t xml:space="preserve">I confirm that I have not presented any AI generated text as my own work. I confirm I have copies of my drafts, notes, and other resources I used before, and after the use of AI tools which I may be asked to provide in evidence. </w:t>
      </w:r>
      <w:r w:rsidRPr="00E3204B">
        <w:rPr>
          <w:rFonts w:ascii="Arial" w:hAnsi="Arial" w:cs="Arial"/>
          <w:sz w:val="23"/>
          <w:szCs w:val="23"/>
        </w:rPr>
        <w:t xml:space="preserve"> </w:t>
      </w:r>
    </w:p>
    <w:p w14:paraId="78F858CE" w14:textId="4F703275" w:rsidR="007B5A8E" w:rsidRPr="00F443D3" w:rsidRDefault="00646EE4" w:rsidP="00F443D3">
      <w:pPr>
        <w:rPr>
          <w:rFonts w:ascii="Times New Roman" w:eastAsia="Times New Roman" w:hAnsi="Times New Roman" w:cs="Times New Roman"/>
          <w:sz w:val="24"/>
          <w:szCs w:val="24"/>
        </w:rPr>
      </w:pPr>
      <w:r>
        <w:br w:type="page"/>
      </w:r>
    </w:p>
    <w:p w14:paraId="7FD4CC11" w14:textId="245B37B8" w:rsidR="007B5A8E" w:rsidRDefault="00EB5A8A" w:rsidP="00EB5A8A">
      <w:pPr>
        <w:pStyle w:val="Heading1"/>
        <w:spacing w:line="360" w:lineRule="auto"/>
      </w:pPr>
      <w:bookmarkStart w:id="1" w:name="_Toc235435348"/>
      <w:bookmarkStart w:id="2" w:name="_Toc237462042"/>
      <w:r>
        <w:lastRenderedPageBreak/>
        <w:t>EXECUTIVE SUMMARY</w:t>
      </w:r>
      <w:bookmarkEnd w:id="1"/>
      <w:bookmarkEnd w:id="2"/>
    </w:p>
    <w:p w14:paraId="70EBF4C6" w14:textId="62CA05DD" w:rsidR="007B5A8E" w:rsidRDefault="007B5A8E" w:rsidP="00EB5A8A">
      <w:pPr>
        <w:spacing w:line="360" w:lineRule="auto"/>
        <w:jc w:val="both"/>
        <w:rPr>
          <w:rFonts w:ascii="Arial" w:hAnsi="Arial" w:cs="Arial"/>
          <w:sz w:val="24"/>
          <w:szCs w:val="24"/>
        </w:rPr>
      </w:pPr>
      <w:r w:rsidRPr="00EB5A8A">
        <w:rPr>
          <w:rFonts w:ascii="Arial" w:hAnsi="Arial" w:cs="Arial"/>
          <w:sz w:val="24"/>
          <w:szCs w:val="24"/>
        </w:rPr>
        <w:t>The following report analyses Nothing Technology Limited's ("Nothing")</w:t>
      </w:r>
      <w:r w:rsidR="00EB5A8A">
        <w:rPr>
          <w:rFonts w:ascii="Arial" w:hAnsi="Arial" w:cs="Arial"/>
          <w:sz w:val="24"/>
          <w:szCs w:val="24"/>
        </w:rPr>
        <w:t xml:space="preserve"> </w:t>
      </w:r>
      <w:r w:rsidRPr="00EB5A8A">
        <w:rPr>
          <w:rFonts w:ascii="Arial" w:hAnsi="Arial" w:cs="Arial"/>
          <w:sz w:val="24"/>
          <w:szCs w:val="24"/>
        </w:rPr>
        <w:t>opportunity to enter Brazil, a new market for the firm with no significant operational presence beyond a regulatory register awaiting commercial launch. Using the framework of Bartlett and Ghoshal (1989), Nothing can be broadly characterized as pursuing a global strategy, in which they deliver standardized design, software and brand worldwide, but with some emerging characteristics of a transnational (for example localized manufacturing for India and market-specific retailers). The macro-environmental appraisal finds Brazil's political and economic conditions cyclically rather than structurally risky, but identifies the legal and fiscal environment, specifically Brazil's cascading import-tax regime and its tax-</w:t>
      </w:r>
      <w:r w:rsidR="00BF3D74" w:rsidRPr="00EB5A8A">
        <w:rPr>
          <w:rFonts w:ascii="Arial" w:hAnsi="Arial" w:cs="Arial"/>
          <w:sz w:val="24"/>
          <w:szCs w:val="24"/>
        </w:rPr>
        <w:t>favoured</w:t>
      </w:r>
      <w:r w:rsidRPr="00EB5A8A">
        <w:rPr>
          <w:rFonts w:ascii="Arial" w:hAnsi="Arial" w:cs="Arial"/>
          <w:sz w:val="24"/>
          <w:szCs w:val="24"/>
        </w:rPr>
        <w:t xml:space="preserve"> Manaus Free Trade Zone, as the decisive factor separating successful and unsuccessful entrants. Applying Dunning's (1988) eclectic (OLI) paradigm and its underlying industrial organization, internalization, location, product life cycle and oligopolistic reaction theories, the report concludes that Nothing has strong ownership and internalization advantages but currently lacks the locational scale to justify FDI in local manufacturing. Benchmarking against Xiaomi's own history in Brazil, a costly 2015 rush into local manufacturing followed by a 2016 exit and a more cautious 2019 return via an arm's-length distributor, and against HONOR, OPPO and Vivo's similarly staged 2024-2025 entries, the report recommends indirect exporting through a well-capitalized national distributor, supported by proactive IP registration, active currency-risk management, and a metrics-based trigger for later converting to Manaus-based assembly.</w:t>
      </w:r>
    </w:p>
    <w:p w14:paraId="35AB2339" w14:textId="77777777" w:rsidR="00EB5A8A" w:rsidRDefault="00EB5A8A" w:rsidP="00EB5A8A">
      <w:pPr>
        <w:spacing w:line="360" w:lineRule="auto"/>
        <w:jc w:val="both"/>
        <w:rPr>
          <w:rFonts w:ascii="Arial" w:hAnsi="Arial" w:cs="Arial"/>
          <w:sz w:val="24"/>
          <w:szCs w:val="24"/>
        </w:rPr>
      </w:pPr>
    </w:p>
    <w:p w14:paraId="34B8C0C7" w14:textId="77777777" w:rsidR="00EB5A8A" w:rsidRDefault="00EB5A8A" w:rsidP="00EB5A8A">
      <w:pPr>
        <w:spacing w:line="360" w:lineRule="auto"/>
        <w:jc w:val="both"/>
        <w:rPr>
          <w:rFonts w:ascii="Arial" w:hAnsi="Arial" w:cs="Arial"/>
          <w:sz w:val="24"/>
          <w:szCs w:val="24"/>
        </w:rPr>
      </w:pPr>
    </w:p>
    <w:p w14:paraId="597BF670" w14:textId="77777777" w:rsidR="00EB5A8A" w:rsidRDefault="00EB5A8A" w:rsidP="00EB5A8A">
      <w:pPr>
        <w:spacing w:line="360" w:lineRule="auto"/>
        <w:jc w:val="both"/>
        <w:rPr>
          <w:rFonts w:ascii="Arial" w:hAnsi="Arial" w:cs="Arial"/>
          <w:sz w:val="24"/>
          <w:szCs w:val="24"/>
        </w:rPr>
      </w:pPr>
    </w:p>
    <w:p w14:paraId="2E7C7ED1" w14:textId="77777777" w:rsidR="00EB5A8A" w:rsidRDefault="00EB5A8A" w:rsidP="00EB5A8A">
      <w:pPr>
        <w:spacing w:line="360" w:lineRule="auto"/>
        <w:jc w:val="both"/>
        <w:rPr>
          <w:rFonts w:ascii="Arial" w:hAnsi="Arial" w:cs="Arial"/>
          <w:sz w:val="24"/>
          <w:szCs w:val="24"/>
        </w:rPr>
      </w:pPr>
    </w:p>
    <w:p w14:paraId="6ED3721F" w14:textId="77777777" w:rsidR="00EB5A8A" w:rsidRDefault="00EB5A8A" w:rsidP="00EB5A8A">
      <w:pPr>
        <w:spacing w:line="360" w:lineRule="auto"/>
        <w:jc w:val="both"/>
        <w:rPr>
          <w:rFonts w:ascii="Arial" w:hAnsi="Arial" w:cs="Arial"/>
          <w:sz w:val="24"/>
          <w:szCs w:val="24"/>
        </w:rPr>
      </w:pPr>
    </w:p>
    <w:p w14:paraId="1DDFF1FD" w14:textId="77777777" w:rsidR="00945E8A" w:rsidRDefault="00945E8A" w:rsidP="00EB5A8A">
      <w:pPr>
        <w:spacing w:line="360" w:lineRule="auto"/>
        <w:jc w:val="both"/>
        <w:rPr>
          <w:rFonts w:ascii="Arial" w:hAnsi="Arial" w:cs="Arial"/>
          <w:sz w:val="24"/>
          <w:szCs w:val="24"/>
        </w:rPr>
      </w:pPr>
    </w:p>
    <w:p w14:paraId="335CF6BC" w14:textId="77777777" w:rsidR="00EB5A8A" w:rsidRDefault="00EB5A8A" w:rsidP="00EB5A8A">
      <w:pPr>
        <w:spacing w:line="360" w:lineRule="auto"/>
        <w:jc w:val="both"/>
        <w:rPr>
          <w:rFonts w:ascii="Arial" w:hAnsi="Arial" w:cs="Arial"/>
          <w:sz w:val="24"/>
          <w:szCs w:val="24"/>
        </w:rPr>
      </w:pPr>
    </w:p>
    <w:p w14:paraId="5A63C8B7" w14:textId="77777777" w:rsidR="000D616B" w:rsidRDefault="000D616B" w:rsidP="000D616B">
      <w:pPr>
        <w:pStyle w:val="Heading1"/>
        <w:spacing w:before="200" w:after="200" w:line="360" w:lineRule="auto"/>
      </w:pPr>
      <w:bookmarkStart w:id="3" w:name="_Toc235435349"/>
      <w:bookmarkStart w:id="4" w:name="_Toc237462043"/>
      <w:r>
        <w:rPr>
          <w:b/>
          <w:bCs/>
          <w:sz w:val="30"/>
          <w:szCs w:val="30"/>
        </w:rPr>
        <w:lastRenderedPageBreak/>
        <w:t>SECTION 1: STRATEGIC ANALYSIS</w:t>
      </w:r>
      <w:bookmarkEnd w:id="3"/>
      <w:bookmarkEnd w:id="4"/>
    </w:p>
    <w:p w14:paraId="4117FF07" w14:textId="77777777" w:rsidR="000D616B" w:rsidRPr="00811E3F" w:rsidRDefault="000D616B" w:rsidP="000D616B">
      <w:pPr>
        <w:pStyle w:val="Heading2"/>
        <w:spacing w:before="240" w:after="120" w:line="360" w:lineRule="auto"/>
        <w:rPr>
          <w:rFonts w:ascii="Arial" w:hAnsi="Arial" w:cs="Arial"/>
        </w:rPr>
      </w:pPr>
      <w:bookmarkStart w:id="5" w:name="_Toc235435350"/>
      <w:bookmarkStart w:id="6" w:name="_Toc237462044"/>
      <w:r w:rsidRPr="00811E3F">
        <w:rPr>
          <w:rFonts w:ascii="Arial" w:hAnsi="Arial" w:cs="Arial"/>
          <w:b/>
          <w:bCs/>
        </w:rPr>
        <w:t>1. Organizational Classification and Global Strategy</w:t>
      </w:r>
      <w:bookmarkEnd w:id="5"/>
      <w:bookmarkEnd w:id="6"/>
    </w:p>
    <w:p w14:paraId="509F949F" w14:textId="77777777" w:rsidR="000D616B" w:rsidRPr="00811E3F" w:rsidRDefault="000D616B" w:rsidP="000D616B">
      <w:pPr>
        <w:pStyle w:val="Heading3"/>
        <w:spacing w:line="360" w:lineRule="auto"/>
        <w:rPr>
          <w:rFonts w:ascii="Arial" w:hAnsi="Arial" w:cs="Arial"/>
        </w:rPr>
      </w:pPr>
      <w:bookmarkStart w:id="7" w:name="_Toc235435351"/>
      <w:bookmarkStart w:id="8" w:name="_Toc237462045"/>
      <w:r w:rsidRPr="00811E3F">
        <w:rPr>
          <w:rFonts w:ascii="Arial" w:hAnsi="Arial" w:cs="Arial"/>
        </w:rPr>
        <w:t>Strategic categorization</w:t>
      </w:r>
      <w:bookmarkEnd w:id="7"/>
      <w:bookmarkEnd w:id="8"/>
    </w:p>
    <w:p w14:paraId="74B85900" w14:textId="77777777" w:rsidR="003C006D" w:rsidRDefault="003C006D" w:rsidP="00811E3F">
      <w:pPr>
        <w:spacing w:line="360" w:lineRule="auto"/>
        <w:jc w:val="both"/>
        <w:rPr>
          <w:rFonts w:ascii="Arial" w:hAnsi="Arial" w:cs="Arial"/>
          <w:sz w:val="24"/>
          <w:szCs w:val="24"/>
        </w:rPr>
      </w:pPr>
      <w:r w:rsidRPr="00811E3F">
        <w:rPr>
          <w:rFonts w:ascii="Arial" w:hAnsi="Arial" w:cs="Arial"/>
          <w:sz w:val="24"/>
          <w:szCs w:val="24"/>
        </w:rPr>
        <w:t>Nothing Technology Limited is a London-headquartered consumer electronics challenger brand, founded in 2020 by Carl Pei, co-founder of OnePlus (Wikipedia, 2026), which has grown into a multinational enterprise selling smartphones, audio products and wearables across Europe, India, North America and, increasingly, Latin America, having sold over seven million devices and generated over $1 billion in lifetime sales (Storyboard18, 2025; Light Reading, 2025). Its internationalization maps onto Griffin and Pustay's (2020) three classic IB motivations: sales expansion, since a 67-million UK market cannot sustain venture-scale growth; resource acquisition, since the firm depends on Chinese and Indian manufacturing capacity it does not own; and risk diversification across imperfectly-correlated national business cycles.</w:t>
      </w:r>
    </w:p>
    <w:p w14:paraId="2750870D" w14:textId="77777777" w:rsidR="003957FA" w:rsidRDefault="00BB3C18" w:rsidP="003957FA">
      <w:pPr>
        <w:keepNext/>
        <w:spacing w:line="360" w:lineRule="auto"/>
        <w:jc w:val="center"/>
      </w:pPr>
      <w:r>
        <w:rPr>
          <w:noProof/>
        </w:rPr>
        <w:drawing>
          <wp:inline distT="0" distB="0" distL="0" distR="0" wp14:anchorId="42544B33" wp14:editId="36D5AB62">
            <wp:extent cx="4259580" cy="2323279"/>
            <wp:effectExtent l="0" t="0" r="762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70645" cy="2329314"/>
                    </a:xfrm>
                    <a:prstGeom prst="rect">
                      <a:avLst/>
                    </a:prstGeom>
                    <a:noFill/>
                    <a:ln>
                      <a:noFill/>
                    </a:ln>
                  </pic:spPr>
                </pic:pic>
              </a:graphicData>
            </a:graphic>
          </wp:inline>
        </w:drawing>
      </w:r>
    </w:p>
    <w:p w14:paraId="4C3580F9" w14:textId="2E94324F" w:rsidR="00BB3C18" w:rsidRPr="00811E3F" w:rsidRDefault="003957FA" w:rsidP="003957FA">
      <w:pPr>
        <w:pStyle w:val="Caption"/>
        <w:jc w:val="center"/>
        <w:rPr>
          <w:rFonts w:ascii="Arial" w:hAnsi="Arial" w:cs="Arial"/>
          <w:sz w:val="24"/>
          <w:szCs w:val="24"/>
        </w:rPr>
      </w:pPr>
      <w:r>
        <w:t xml:space="preserve">Figure </w:t>
      </w:r>
      <w:r w:rsidR="00253FC3">
        <w:fldChar w:fldCharType="begin"/>
      </w:r>
      <w:r w:rsidR="00253FC3">
        <w:instrText xml:space="preserve"> SEQ Figure \* ARABIC </w:instrText>
      </w:r>
      <w:r w:rsidR="00253FC3">
        <w:fldChar w:fldCharType="separate"/>
      </w:r>
      <w:r w:rsidR="0077341C">
        <w:rPr>
          <w:noProof/>
        </w:rPr>
        <w:t>1</w:t>
      </w:r>
      <w:r w:rsidR="00253FC3">
        <w:rPr>
          <w:noProof/>
        </w:rPr>
        <w:fldChar w:fldCharType="end"/>
      </w:r>
      <w:r>
        <w:t xml:space="preserve"> </w:t>
      </w:r>
      <w:r w:rsidRPr="003622D4">
        <w:t xml:space="preserve">NOTHING devices </w:t>
      </w:r>
      <w:r w:rsidR="00F638DA" w:rsidRPr="003622D4">
        <w:t>line-up</w:t>
      </w:r>
      <w:r w:rsidR="00A07935">
        <w:t xml:space="preserve"> by author</w:t>
      </w:r>
    </w:p>
    <w:p w14:paraId="3AC9A036" w14:textId="36D50A71" w:rsidR="00F658FC" w:rsidRDefault="000A0DD3" w:rsidP="00811E3F">
      <w:pPr>
        <w:spacing w:line="360" w:lineRule="auto"/>
        <w:jc w:val="both"/>
        <w:rPr>
          <w:rFonts w:ascii="Arial" w:hAnsi="Arial" w:cs="Arial"/>
          <w:sz w:val="24"/>
          <w:szCs w:val="24"/>
        </w:rPr>
      </w:pPr>
      <w:r w:rsidRPr="00811E3F">
        <w:rPr>
          <w:rFonts w:ascii="Arial" w:hAnsi="Arial" w:cs="Arial"/>
          <w:sz w:val="24"/>
          <w:szCs w:val="24"/>
        </w:rPr>
        <w:t>Bartlett and Ghoshal's (1989) integration-responsiveness framework classifies strategy along two axes, pressure for global integration (standardizing to capture scale and learning economies) and pressure for local responsiveness (adapting to national tastes and regulation), producing four types: global (high/low), multi</w:t>
      </w:r>
      <w:r w:rsidR="00AF26CE">
        <w:rPr>
          <w:rFonts w:ascii="Arial" w:hAnsi="Arial" w:cs="Arial"/>
          <w:sz w:val="24"/>
          <w:szCs w:val="24"/>
        </w:rPr>
        <w:t>national</w:t>
      </w:r>
      <w:r w:rsidRPr="00811E3F">
        <w:rPr>
          <w:rFonts w:ascii="Arial" w:hAnsi="Arial" w:cs="Arial"/>
          <w:sz w:val="24"/>
          <w:szCs w:val="24"/>
        </w:rPr>
        <w:t xml:space="preserve"> (low/high), international (low/low) and transnational (high/high) (Gamble, Peteraf and Thompson, 2015).</w:t>
      </w:r>
    </w:p>
    <w:p w14:paraId="6B4F9395" w14:textId="77777777" w:rsidR="00732226" w:rsidRDefault="00F658FC" w:rsidP="00732226">
      <w:pPr>
        <w:keepNext/>
        <w:spacing w:line="360" w:lineRule="auto"/>
        <w:jc w:val="center"/>
      </w:pPr>
      <w:r w:rsidRPr="00F658FC">
        <w:rPr>
          <w:rFonts w:ascii="Arial" w:hAnsi="Arial" w:cs="Arial"/>
          <w:noProof/>
          <w:sz w:val="24"/>
          <w:szCs w:val="24"/>
        </w:rPr>
        <w:lastRenderedPageBreak/>
        <w:drawing>
          <wp:inline distT="0" distB="0" distL="0" distR="0" wp14:anchorId="34F6C7CB" wp14:editId="7A5B7F59">
            <wp:extent cx="4267570" cy="2720576"/>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67570" cy="2720576"/>
                    </a:xfrm>
                    <a:prstGeom prst="rect">
                      <a:avLst/>
                    </a:prstGeom>
                  </pic:spPr>
                </pic:pic>
              </a:graphicData>
            </a:graphic>
          </wp:inline>
        </w:drawing>
      </w:r>
    </w:p>
    <w:p w14:paraId="6DAFCC8C" w14:textId="52636E7A" w:rsidR="00F658FC" w:rsidRDefault="00732226" w:rsidP="00732226">
      <w:pPr>
        <w:pStyle w:val="Caption"/>
        <w:jc w:val="center"/>
        <w:rPr>
          <w:rFonts w:ascii="Arial" w:hAnsi="Arial" w:cs="Arial"/>
          <w:sz w:val="24"/>
          <w:szCs w:val="24"/>
        </w:rPr>
      </w:pPr>
      <w:r>
        <w:t xml:space="preserve">Figure </w:t>
      </w:r>
      <w:r w:rsidR="00253FC3">
        <w:fldChar w:fldCharType="begin"/>
      </w:r>
      <w:r w:rsidR="00253FC3">
        <w:instrText xml:space="preserve"> SEQ Figure \* ARABIC </w:instrText>
      </w:r>
      <w:r w:rsidR="00253FC3">
        <w:fldChar w:fldCharType="separate"/>
      </w:r>
      <w:r w:rsidR="0077341C">
        <w:rPr>
          <w:noProof/>
        </w:rPr>
        <w:t>2</w:t>
      </w:r>
      <w:r w:rsidR="00253FC3">
        <w:rPr>
          <w:noProof/>
        </w:rPr>
        <w:fldChar w:fldCharType="end"/>
      </w:r>
      <w:r>
        <w:t xml:space="preserve"> </w:t>
      </w:r>
      <w:r w:rsidRPr="00732226">
        <w:rPr>
          <w:rFonts w:cstheme="minorHAnsi"/>
        </w:rPr>
        <w:t>Bartlett and Ghoshal's (1989) integration-responsiveness framework</w:t>
      </w:r>
    </w:p>
    <w:p w14:paraId="1DAF1E48" w14:textId="359FF91D" w:rsidR="0077341C" w:rsidRDefault="000A0DD3" w:rsidP="00811E3F">
      <w:pPr>
        <w:spacing w:line="360" w:lineRule="auto"/>
        <w:jc w:val="both"/>
        <w:rPr>
          <w:rFonts w:ascii="Arial" w:hAnsi="Arial" w:cs="Arial"/>
          <w:sz w:val="24"/>
          <w:szCs w:val="24"/>
        </w:rPr>
      </w:pPr>
      <w:r w:rsidRPr="00811E3F">
        <w:rPr>
          <w:rFonts w:ascii="Arial" w:hAnsi="Arial" w:cs="Arial"/>
          <w:sz w:val="24"/>
          <w:szCs w:val="24"/>
        </w:rPr>
        <w:t xml:space="preserve">Nothing is best classified as predominantly global with transnational characteristics at the margins: its design, Glyph interface and "Nothing OS" are created centrally in London (with Teenage Engineering) and diffused with minimal alteration worldwide, and pricing, specification and brand imagery are highly standardized, the integration-maximizing </w:t>
      </w:r>
      <w:r w:rsidR="00BF3D74" w:rsidRPr="00811E3F">
        <w:rPr>
          <w:rFonts w:ascii="Arial" w:hAnsi="Arial" w:cs="Arial"/>
          <w:sz w:val="24"/>
          <w:szCs w:val="24"/>
        </w:rPr>
        <w:t>behaviour</w:t>
      </w:r>
      <w:r w:rsidRPr="00811E3F">
        <w:rPr>
          <w:rFonts w:ascii="Arial" w:hAnsi="Arial" w:cs="Arial"/>
          <w:sz w:val="24"/>
          <w:szCs w:val="24"/>
        </w:rPr>
        <w:t xml:space="preserve"> the framework predicts of firms competing on unified brand rather than local customization (Hill, 2023; Wikipedia, 2026). A critical objection is worth raising here: a strict reading of "global strategy" typically presumes standardized, centrally-owned production alongside standardized branding, whereas Nothing owns no factories and instead coordinates through contract manufacturers it does not fully control, which is precisely why the classification is qualified rather than treated as a clean textbook case.</w:t>
      </w:r>
    </w:p>
    <w:p w14:paraId="7C9B53FA" w14:textId="77777777" w:rsidR="0077341C" w:rsidRDefault="0077341C" w:rsidP="0077341C">
      <w:pPr>
        <w:keepNext/>
        <w:spacing w:line="360" w:lineRule="auto"/>
        <w:jc w:val="center"/>
      </w:pPr>
      <w:r w:rsidRPr="0077341C">
        <w:rPr>
          <w:rFonts w:ascii="Arial" w:hAnsi="Arial" w:cs="Arial"/>
          <w:noProof/>
          <w:sz w:val="24"/>
          <w:szCs w:val="24"/>
        </w:rPr>
        <w:drawing>
          <wp:inline distT="0" distB="0" distL="0" distR="0" wp14:anchorId="5126FB27" wp14:editId="55A6AD56">
            <wp:extent cx="2712720" cy="1804989"/>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22358" cy="1811402"/>
                    </a:xfrm>
                    <a:prstGeom prst="rect">
                      <a:avLst/>
                    </a:prstGeom>
                  </pic:spPr>
                </pic:pic>
              </a:graphicData>
            </a:graphic>
          </wp:inline>
        </w:drawing>
      </w:r>
    </w:p>
    <w:p w14:paraId="31C8E438" w14:textId="7E17F78D" w:rsidR="0077341C" w:rsidRPr="00811E3F" w:rsidRDefault="0077341C" w:rsidP="0077341C">
      <w:pPr>
        <w:pStyle w:val="Caption"/>
        <w:jc w:val="center"/>
        <w:rPr>
          <w:rFonts w:ascii="Arial" w:hAnsi="Arial" w:cs="Arial"/>
          <w:sz w:val="24"/>
          <w:szCs w:val="24"/>
        </w:rPr>
      </w:pPr>
      <w:r>
        <w:t xml:space="preserve">Figure </w:t>
      </w:r>
      <w:r w:rsidR="00253FC3">
        <w:fldChar w:fldCharType="begin"/>
      </w:r>
      <w:r w:rsidR="00253FC3">
        <w:instrText xml:space="preserve"> SEQ Figure \* ARABIC </w:instrText>
      </w:r>
      <w:r w:rsidR="00253FC3">
        <w:fldChar w:fldCharType="separate"/>
      </w:r>
      <w:r>
        <w:rPr>
          <w:noProof/>
        </w:rPr>
        <w:t>3</w:t>
      </w:r>
      <w:r w:rsidR="00253FC3">
        <w:rPr>
          <w:noProof/>
        </w:rPr>
        <w:fldChar w:fldCharType="end"/>
      </w:r>
      <w:r>
        <w:t xml:space="preserve"> </w:t>
      </w:r>
      <w:r w:rsidRPr="005B424A">
        <w:t xml:space="preserve">Glyph interface </w:t>
      </w:r>
      <w:r>
        <w:t>of Nothing phone</w:t>
      </w:r>
    </w:p>
    <w:p w14:paraId="2B31A583" w14:textId="6A32CEDD" w:rsidR="000A0DD3" w:rsidRDefault="000A0DD3" w:rsidP="00811E3F">
      <w:pPr>
        <w:spacing w:line="360" w:lineRule="auto"/>
        <w:jc w:val="both"/>
        <w:rPr>
          <w:rFonts w:ascii="Arial" w:hAnsi="Arial" w:cs="Arial"/>
          <w:sz w:val="24"/>
          <w:szCs w:val="24"/>
        </w:rPr>
      </w:pPr>
      <w:r w:rsidRPr="00811E3F">
        <w:rPr>
          <w:rFonts w:ascii="Arial" w:hAnsi="Arial" w:cs="Arial"/>
          <w:sz w:val="24"/>
          <w:szCs w:val="24"/>
        </w:rPr>
        <w:lastRenderedPageBreak/>
        <w:t xml:space="preserve">Perlmutter's (1969) EPRG model classifies headquarters orientation as ethnocentric (home decisions imposed uniformly), polycentric (each market managed autonomously), regiocentric (regionally coordinated) or geocentric (worldwide, best-idea-from-anywhere). Nothing is predominantly ethnocentric on brand and design, all of which flow from London, but polycentric in channel execution, since retail partnerships are negotiated market-by-market; its regional website groupings suggest an emerging </w:t>
      </w:r>
      <w:r w:rsidR="00271C95">
        <w:rPr>
          <w:rFonts w:ascii="Arial" w:hAnsi="Arial" w:cs="Arial"/>
          <w:sz w:val="24"/>
          <w:szCs w:val="24"/>
        </w:rPr>
        <w:t>r</w:t>
      </w:r>
      <w:r w:rsidRPr="00811E3F">
        <w:rPr>
          <w:rFonts w:ascii="Arial" w:hAnsi="Arial" w:cs="Arial"/>
          <w:sz w:val="24"/>
          <w:szCs w:val="24"/>
        </w:rPr>
        <w:t>egiocentric layer short of Perlmutter's geocentric ideal.</w:t>
      </w:r>
    </w:p>
    <w:p w14:paraId="5370B1B8" w14:textId="77777777" w:rsidR="001A0FFE" w:rsidRDefault="00FC059E" w:rsidP="001A0FFE">
      <w:pPr>
        <w:keepNext/>
        <w:spacing w:line="360" w:lineRule="auto"/>
        <w:jc w:val="center"/>
      </w:pPr>
      <w:r w:rsidRPr="00FC059E">
        <w:rPr>
          <w:rFonts w:ascii="Arial" w:hAnsi="Arial" w:cs="Arial"/>
          <w:noProof/>
          <w:sz w:val="24"/>
          <w:szCs w:val="24"/>
        </w:rPr>
        <w:drawing>
          <wp:inline distT="0" distB="0" distL="0" distR="0" wp14:anchorId="78D34044" wp14:editId="1A685F69">
            <wp:extent cx="5341620" cy="27079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50928" cy="2712623"/>
                    </a:xfrm>
                    <a:prstGeom prst="rect">
                      <a:avLst/>
                    </a:prstGeom>
                  </pic:spPr>
                </pic:pic>
              </a:graphicData>
            </a:graphic>
          </wp:inline>
        </w:drawing>
      </w:r>
    </w:p>
    <w:p w14:paraId="5D528178" w14:textId="44CEAA31" w:rsidR="00FC059E" w:rsidRPr="00811E3F" w:rsidRDefault="001A0FFE" w:rsidP="001A0FFE">
      <w:pPr>
        <w:pStyle w:val="Caption"/>
        <w:jc w:val="center"/>
        <w:rPr>
          <w:rFonts w:ascii="Arial" w:hAnsi="Arial" w:cs="Arial"/>
          <w:sz w:val="24"/>
          <w:szCs w:val="24"/>
        </w:rPr>
      </w:pPr>
      <w:r>
        <w:t xml:space="preserve">Figure </w:t>
      </w:r>
      <w:r w:rsidR="00253FC3">
        <w:fldChar w:fldCharType="begin"/>
      </w:r>
      <w:r w:rsidR="00253FC3">
        <w:instrText xml:space="preserve"> SEQ Figure \* ARABIC </w:instrText>
      </w:r>
      <w:r w:rsidR="00253FC3">
        <w:fldChar w:fldCharType="separate"/>
      </w:r>
      <w:r w:rsidR="0077341C">
        <w:rPr>
          <w:noProof/>
        </w:rPr>
        <w:t>4</w:t>
      </w:r>
      <w:r w:rsidR="00253FC3">
        <w:rPr>
          <w:noProof/>
        </w:rPr>
        <w:fldChar w:fldCharType="end"/>
      </w:r>
      <w:r>
        <w:t xml:space="preserve"> </w:t>
      </w:r>
      <w:r w:rsidRPr="002B758B">
        <w:t>Perlmutter's (1969) EPRG model</w:t>
      </w:r>
    </w:p>
    <w:p w14:paraId="2AA758B9" w14:textId="77777777" w:rsidR="000A0DD3" w:rsidRPr="00811E3F" w:rsidRDefault="000A0DD3" w:rsidP="00811E3F">
      <w:pPr>
        <w:spacing w:line="360" w:lineRule="auto"/>
        <w:jc w:val="both"/>
        <w:rPr>
          <w:rFonts w:ascii="Arial" w:hAnsi="Arial" w:cs="Arial"/>
          <w:sz w:val="24"/>
          <w:szCs w:val="24"/>
        </w:rPr>
      </w:pPr>
      <w:r w:rsidRPr="00811E3F">
        <w:rPr>
          <w:rFonts w:ascii="Arial" w:hAnsi="Arial" w:cs="Arial"/>
          <w:sz w:val="24"/>
          <w:szCs w:val="24"/>
        </w:rPr>
        <w:t>This mixed picture is reinforced by two further departures from pure global strategy: manufacturing is deliberately fragmented, with Indian volumes increasingly produced domestically via Dixon Technologies and BYD India, while output for the UK, Europe and (prospectively) Brazil is manufactured in China and exported (Storyboard18, 2025; Canaltech, 2026); and route-to-market is locally adapted through market-specific retail partnerships layered onto a D2C base. This matches the "four Cs" of global manufacturing strategy: compatibility with a cost-and-flexibility strategy through outsourcing; configuration regionally centralized rather than fully centralized or dispersed; coordination managed contractually through EMS providers rather than ownership; and control exercised through design specification rather than direct command (Hill, 2023). Together these set up the report's central question: whether this balance should extend to Brazil unchanged or be adjusted.</w:t>
      </w:r>
    </w:p>
    <w:p w14:paraId="71038BA5" w14:textId="77777777" w:rsidR="000A0DD3" w:rsidRDefault="000A0DD3" w:rsidP="000A0DD3">
      <w:pPr>
        <w:spacing w:line="360" w:lineRule="auto"/>
        <w:jc w:val="both"/>
      </w:pPr>
    </w:p>
    <w:p w14:paraId="30DC0505" w14:textId="77777777" w:rsidR="00AE41B4" w:rsidRPr="00AE41B4" w:rsidRDefault="000A0DD3" w:rsidP="00AE41B4">
      <w:pPr>
        <w:pStyle w:val="Heading3"/>
        <w:spacing w:line="360" w:lineRule="auto"/>
        <w:rPr>
          <w:rFonts w:ascii="Arial" w:hAnsi="Arial" w:cs="Arial"/>
        </w:rPr>
      </w:pPr>
      <w:bookmarkStart w:id="9" w:name="_Toc235435352"/>
      <w:bookmarkStart w:id="10" w:name="_Toc237462046"/>
      <w:r w:rsidRPr="00AE41B4">
        <w:rPr>
          <w:rFonts w:ascii="Arial" w:hAnsi="Arial" w:cs="Arial"/>
        </w:rPr>
        <w:t>Global configuration and competitive advantage</w:t>
      </w:r>
      <w:bookmarkStart w:id="11" w:name="_Toc235435353"/>
      <w:bookmarkEnd w:id="9"/>
      <w:bookmarkEnd w:id="10"/>
    </w:p>
    <w:p w14:paraId="1B6BE493" w14:textId="48E1A064" w:rsidR="000A0DD3" w:rsidRDefault="000A0DD3" w:rsidP="00AE41B4">
      <w:pPr>
        <w:spacing w:line="360" w:lineRule="auto"/>
        <w:jc w:val="both"/>
        <w:rPr>
          <w:rFonts w:ascii="Arial" w:hAnsi="Arial" w:cs="Arial"/>
          <w:sz w:val="24"/>
          <w:szCs w:val="24"/>
        </w:rPr>
      </w:pPr>
      <w:r w:rsidRPr="00AE41B4">
        <w:rPr>
          <w:rFonts w:ascii="Arial" w:hAnsi="Arial" w:cs="Arial"/>
          <w:sz w:val="24"/>
          <w:szCs w:val="24"/>
        </w:rPr>
        <w:t>Toyota</w:t>
      </w:r>
      <w:r w:rsidR="002A1E31">
        <w:rPr>
          <w:rFonts w:ascii="Arial" w:hAnsi="Arial" w:cs="Arial"/>
          <w:sz w:val="24"/>
          <w:szCs w:val="24"/>
        </w:rPr>
        <w:t>’s</w:t>
      </w:r>
      <w:r w:rsidRPr="00AE41B4">
        <w:rPr>
          <w:rFonts w:ascii="Arial" w:hAnsi="Arial" w:cs="Arial"/>
          <w:sz w:val="24"/>
          <w:szCs w:val="24"/>
        </w:rPr>
        <w:t xml:space="preserve"> utilization of Porter</w:t>
      </w:r>
      <w:r w:rsidR="002A1E31">
        <w:rPr>
          <w:rFonts w:ascii="Arial" w:hAnsi="Arial" w:cs="Arial"/>
          <w:sz w:val="24"/>
          <w:szCs w:val="24"/>
        </w:rPr>
        <w:t>’</w:t>
      </w:r>
      <w:r w:rsidRPr="00AE41B4">
        <w:rPr>
          <w:rFonts w:ascii="Arial" w:hAnsi="Arial" w:cs="Arial"/>
          <w:sz w:val="24"/>
          <w:szCs w:val="24"/>
        </w:rPr>
        <w:t>s (1985) value chain model delineates between primary activities (inbound logistics, operations, outbound logistics, marketing and sales, service) versus support activities (procurement, technology development, HR, infrastructure), claiming advantage comes from configuring th</w:t>
      </w:r>
      <w:r w:rsidR="00895E43">
        <w:rPr>
          <w:rFonts w:ascii="Arial" w:hAnsi="Arial" w:cs="Arial"/>
          <w:sz w:val="24"/>
          <w:szCs w:val="24"/>
        </w:rPr>
        <w:t>ese</w:t>
      </w:r>
      <w:r w:rsidRPr="00AE41B4">
        <w:rPr>
          <w:rFonts w:ascii="Arial" w:hAnsi="Arial" w:cs="Arial"/>
          <w:sz w:val="24"/>
          <w:szCs w:val="24"/>
        </w:rPr>
        <w:t xml:space="preserve"> different than rivals. Nothing, for instance, outsources inbound logistics and operations to Chinese and Indian EMS partners while retaining marketing and after-sales service firm-controlled to protect brand equity; technology development and infrastructure are also located in London, procurement is outsourced to partners with superlative Shenzhen sourcing relationships</w:t>
      </w:r>
      <w:r w:rsidR="00DB7B83">
        <w:rPr>
          <w:rFonts w:ascii="Arial" w:hAnsi="Arial" w:cs="Arial"/>
          <w:sz w:val="24"/>
          <w:szCs w:val="24"/>
        </w:rPr>
        <w:t>.</w:t>
      </w:r>
      <w:r w:rsidRPr="00AE41B4">
        <w:rPr>
          <w:rFonts w:ascii="Arial" w:hAnsi="Arial" w:cs="Arial"/>
          <w:sz w:val="24"/>
          <w:szCs w:val="24"/>
        </w:rPr>
        <w:t xml:space="preserve"> This asset-light configuration is a core competency in itself, a distinctive combination of skills competitors cannot easily replicate rather than a mere cost-saving measure: it lets a firm with only a few hundred million dollars of funding compete against vertically-integrated Samsung by converting fixed costs to variable ones and capturing EMS partners' existing learning-curve reductions rather than building its own from zero (Tracxn, 2026). However, this same configuration carries a real vulnerability a purely </w:t>
      </w:r>
      <w:r w:rsidR="002D7BDC" w:rsidRPr="00AE41B4">
        <w:rPr>
          <w:rFonts w:ascii="Arial" w:hAnsi="Arial" w:cs="Arial"/>
          <w:sz w:val="24"/>
          <w:szCs w:val="24"/>
        </w:rPr>
        <w:t>favourable</w:t>
      </w:r>
      <w:r w:rsidRPr="00AE41B4">
        <w:rPr>
          <w:rFonts w:ascii="Arial" w:hAnsi="Arial" w:cs="Arial"/>
          <w:sz w:val="24"/>
          <w:szCs w:val="24"/>
        </w:rPr>
        <w:t xml:space="preserve"> reading would miss: not owning manufacturing also means not controlling it as Samsung does, exposing Nothing to supply disruption and reduced bargaining power during component scarcity. This configuration, and its trade-offs, is what has allowed Nothing to grow past $500 million in revenue while remaining a fraction of Samsung's size (Light Reading, 2025), and it will shape the options realistically open to the firm in Brazil.</w:t>
      </w:r>
    </w:p>
    <w:p w14:paraId="54E78A52" w14:textId="77777777" w:rsidR="00053716" w:rsidRDefault="00467288" w:rsidP="00053716">
      <w:pPr>
        <w:keepNext/>
        <w:spacing w:line="360" w:lineRule="auto"/>
        <w:jc w:val="center"/>
      </w:pPr>
      <w:r w:rsidRPr="00467288">
        <w:rPr>
          <w:rFonts w:ascii="Arial" w:hAnsi="Arial" w:cs="Arial"/>
          <w:noProof/>
          <w:sz w:val="24"/>
          <w:szCs w:val="24"/>
        </w:rPr>
        <w:drawing>
          <wp:inline distT="0" distB="0" distL="0" distR="0" wp14:anchorId="06AFCBDE" wp14:editId="6E5F739A">
            <wp:extent cx="3779520" cy="2165078"/>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80154" cy="2165441"/>
                    </a:xfrm>
                    <a:prstGeom prst="rect">
                      <a:avLst/>
                    </a:prstGeom>
                  </pic:spPr>
                </pic:pic>
              </a:graphicData>
            </a:graphic>
          </wp:inline>
        </w:drawing>
      </w:r>
    </w:p>
    <w:p w14:paraId="6C65F74A" w14:textId="6FC8EEDF" w:rsidR="00F773B4" w:rsidRPr="00F773B4" w:rsidRDefault="00053716" w:rsidP="00F773B4">
      <w:pPr>
        <w:pStyle w:val="Caption"/>
        <w:jc w:val="center"/>
      </w:pPr>
      <w:r>
        <w:t xml:space="preserve">Figure </w:t>
      </w:r>
      <w:r w:rsidR="00253FC3">
        <w:fldChar w:fldCharType="begin"/>
      </w:r>
      <w:r w:rsidR="00253FC3">
        <w:instrText xml:space="preserve"> SEQ Figure \* ARABIC </w:instrText>
      </w:r>
      <w:r w:rsidR="00253FC3">
        <w:fldChar w:fldCharType="separate"/>
      </w:r>
      <w:r w:rsidR="0077341C">
        <w:rPr>
          <w:noProof/>
        </w:rPr>
        <w:t>5</w:t>
      </w:r>
      <w:r w:rsidR="00253FC3">
        <w:rPr>
          <w:noProof/>
        </w:rPr>
        <w:fldChar w:fldCharType="end"/>
      </w:r>
      <w:r>
        <w:t xml:space="preserve"> </w:t>
      </w:r>
      <w:r w:rsidRPr="003327F6">
        <w:t>Porter’s value chain model</w:t>
      </w:r>
    </w:p>
    <w:p w14:paraId="152C9433" w14:textId="77777777" w:rsidR="000A0DD3" w:rsidRPr="00FA6676" w:rsidRDefault="000A0DD3" w:rsidP="000A0DD3">
      <w:pPr>
        <w:pStyle w:val="Heading2"/>
        <w:spacing w:before="240" w:after="120" w:line="360" w:lineRule="auto"/>
        <w:rPr>
          <w:rFonts w:ascii="Arial" w:hAnsi="Arial" w:cs="Arial"/>
        </w:rPr>
      </w:pPr>
      <w:bookmarkStart w:id="12" w:name="_Toc237462047"/>
      <w:r w:rsidRPr="00FA6676">
        <w:rPr>
          <w:rFonts w:ascii="Arial" w:hAnsi="Arial" w:cs="Arial"/>
          <w:b/>
          <w:bCs/>
        </w:rPr>
        <w:lastRenderedPageBreak/>
        <w:t>2. Macro-Environmental Appraisal and Market Attractiveness: Brazil</w:t>
      </w:r>
      <w:bookmarkEnd w:id="11"/>
      <w:bookmarkEnd w:id="12"/>
    </w:p>
    <w:p w14:paraId="6A3E363A" w14:textId="77777777" w:rsidR="000A0DD3" w:rsidRPr="00FA6676" w:rsidRDefault="000A0DD3" w:rsidP="000A0DD3">
      <w:pPr>
        <w:pStyle w:val="Heading3"/>
        <w:spacing w:line="360" w:lineRule="auto"/>
        <w:rPr>
          <w:rFonts w:ascii="Arial" w:hAnsi="Arial" w:cs="Arial"/>
        </w:rPr>
      </w:pPr>
      <w:bookmarkStart w:id="13" w:name="_Toc235435354"/>
      <w:bookmarkStart w:id="14" w:name="_Toc237462048"/>
      <w:r w:rsidRPr="00FA6676">
        <w:rPr>
          <w:rFonts w:ascii="Arial" w:hAnsi="Arial" w:cs="Arial"/>
        </w:rPr>
        <w:t>Why Brazil, and why now</w:t>
      </w:r>
      <w:bookmarkEnd w:id="13"/>
      <w:bookmarkEnd w:id="14"/>
    </w:p>
    <w:p w14:paraId="1994DA97" w14:textId="3D7392F7" w:rsidR="009F05DA" w:rsidRDefault="009F05DA" w:rsidP="00FA6676">
      <w:pPr>
        <w:pStyle w:val="NormalWeb"/>
        <w:spacing w:line="360" w:lineRule="auto"/>
        <w:jc w:val="both"/>
        <w:rPr>
          <w:rFonts w:ascii="Arial" w:hAnsi="Arial" w:cs="Arial"/>
        </w:rPr>
      </w:pPr>
      <w:r w:rsidRPr="00FA6676">
        <w:rPr>
          <w:rFonts w:ascii="Arial" w:hAnsi="Arial" w:cs="Arial"/>
        </w:rPr>
        <w:t xml:space="preserve">Nothing, for its part, has no meaningful presence in Brazil as of 1 June 2026 beyond informal </w:t>
      </w:r>
      <w:r w:rsidR="002D7BDC" w:rsidRPr="00FA6676">
        <w:rPr>
          <w:rFonts w:ascii="Arial" w:hAnsi="Arial" w:cs="Arial"/>
        </w:rPr>
        <w:t>Gray</w:t>
      </w:r>
      <w:r w:rsidRPr="00FA6676">
        <w:rPr>
          <w:rFonts w:ascii="Arial" w:hAnsi="Arial" w:cs="Arial"/>
        </w:rPr>
        <w:t>-market imports lacking ANATEL type-approval or even local pricing or an authorized channel (Canaltech, 2026). This changed in April of 2026, when the Phone (4a) became the first Nothing device approved by ANATEL, as new units intended for Brazil will be imported from China instead of being domestically assembled (Canaltech, 2026; Dry Telecom, 2026). This issue is a live one, rather than theoretical: no official price, launch date or retail partner has been announced.</w:t>
      </w:r>
    </w:p>
    <w:p w14:paraId="5C44EAA2" w14:textId="77777777" w:rsidR="00C32025" w:rsidRDefault="00353883" w:rsidP="00C32025">
      <w:pPr>
        <w:pStyle w:val="NormalWeb"/>
        <w:keepNext/>
        <w:spacing w:line="360" w:lineRule="auto"/>
        <w:jc w:val="center"/>
      </w:pPr>
      <w:r>
        <w:rPr>
          <w:noProof/>
        </w:rPr>
        <w:drawing>
          <wp:inline distT="0" distB="0" distL="0" distR="0" wp14:anchorId="07B417DE" wp14:editId="28624041">
            <wp:extent cx="2026285" cy="1348497"/>
            <wp:effectExtent l="0" t="0" r="0" b="4445"/>
            <wp:docPr id="5" name="Picture 5" descr="ANATEL Renewal update - Eleos Compli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TEL Renewal update - Eleos Complia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56092" cy="1368334"/>
                    </a:xfrm>
                    <a:prstGeom prst="rect">
                      <a:avLst/>
                    </a:prstGeom>
                    <a:noFill/>
                    <a:ln>
                      <a:noFill/>
                    </a:ln>
                  </pic:spPr>
                </pic:pic>
              </a:graphicData>
            </a:graphic>
          </wp:inline>
        </w:drawing>
      </w:r>
    </w:p>
    <w:p w14:paraId="446DD9F3" w14:textId="066AA725" w:rsidR="00353883" w:rsidRPr="00FA6676" w:rsidRDefault="00C32025" w:rsidP="00C32025">
      <w:pPr>
        <w:pStyle w:val="Caption"/>
        <w:jc w:val="center"/>
        <w:rPr>
          <w:rFonts w:ascii="Arial" w:hAnsi="Arial" w:cs="Arial"/>
        </w:rPr>
      </w:pPr>
      <w:r>
        <w:t xml:space="preserve">Figure </w:t>
      </w:r>
      <w:r w:rsidR="00253FC3">
        <w:fldChar w:fldCharType="begin"/>
      </w:r>
      <w:r w:rsidR="00253FC3">
        <w:instrText xml:space="preserve"> SEQ Figure \* ARABIC </w:instrText>
      </w:r>
      <w:r w:rsidR="00253FC3">
        <w:fldChar w:fldCharType="separate"/>
      </w:r>
      <w:r w:rsidR="0077341C">
        <w:rPr>
          <w:noProof/>
        </w:rPr>
        <w:t>6</w:t>
      </w:r>
      <w:r w:rsidR="00253FC3">
        <w:rPr>
          <w:noProof/>
        </w:rPr>
        <w:fldChar w:fldCharType="end"/>
      </w:r>
      <w:r>
        <w:t xml:space="preserve"> </w:t>
      </w:r>
      <w:r w:rsidRPr="00133E64">
        <w:t>Anatel (Agência Nacional de Telecomunicações)</w:t>
      </w:r>
    </w:p>
    <w:p w14:paraId="767237B1" w14:textId="77777777" w:rsidR="00FA6676" w:rsidRDefault="00E10F62" w:rsidP="00FA6676">
      <w:pPr>
        <w:pStyle w:val="Heading3"/>
        <w:spacing w:line="360" w:lineRule="auto"/>
        <w:rPr>
          <w:rFonts w:ascii="Arial" w:hAnsi="Arial" w:cs="Arial"/>
        </w:rPr>
      </w:pPr>
      <w:bookmarkStart w:id="15" w:name="_Toc235435355"/>
      <w:bookmarkStart w:id="16" w:name="_Toc237462049"/>
      <w:r w:rsidRPr="00FA6676">
        <w:rPr>
          <w:rFonts w:ascii="Arial" w:hAnsi="Arial" w:cs="Arial"/>
        </w:rPr>
        <w:t>Political environment</w:t>
      </w:r>
      <w:bookmarkEnd w:id="15"/>
      <w:bookmarkEnd w:id="16"/>
    </w:p>
    <w:p w14:paraId="5A969904" w14:textId="1B153719" w:rsidR="00E50C25" w:rsidRPr="00FA6676" w:rsidRDefault="00E50C25" w:rsidP="00FA6676">
      <w:pPr>
        <w:spacing w:line="360" w:lineRule="auto"/>
        <w:jc w:val="both"/>
        <w:rPr>
          <w:rFonts w:ascii="Arial" w:hAnsi="Arial" w:cs="Arial"/>
          <w:sz w:val="24"/>
          <w:szCs w:val="24"/>
        </w:rPr>
      </w:pPr>
      <w:r w:rsidRPr="00FA6676">
        <w:rPr>
          <w:rFonts w:ascii="Arial" w:hAnsi="Arial" w:cs="Arial"/>
          <w:sz w:val="24"/>
          <w:szCs w:val="24"/>
        </w:rPr>
        <w:t xml:space="preserve">Political risk </w:t>
      </w:r>
      <w:r w:rsidR="00712175">
        <w:rPr>
          <w:rFonts w:ascii="Arial" w:hAnsi="Arial" w:cs="Arial"/>
          <w:sz w:val="24"/>
          <w:szCs w:val="24"/>
        </w:rPr>
        <w:t>t</w:t>
      </w:r>
      <w:r w:rsidRPr="00FA6676">
        <w:rPr>
          <w:rFonts w:ascii="Arial" w:hAnsi="Arial" w:cs="Arial"/>
          <w:sz w:val="24"/>
          <w:szCs w:val="24"/>
        </w:rPr>
        <w:t>heory differentiates between systemic risk (system-wide change), procedural risk (bureaucratic friction), distributive risk (moving allocation of costs/benefits) and catastrophic risk (war, expropriation)</w:t>
      </w:r>
      <w:r w:rsidR="00BF1F43">
        <w:rPr>
          <w:rFonts w:ascii="Arial" w:hAnsi="Arial" w:cs="Arial"/>
          <w:sz w:val="24"/>
          <w:szCs w:val="24"/>
        </w:rPr>
        <w:t xml:space="preserve"> </w:t>
      </w:r>
      <w:r w:rsidR="00F12844">
        <w:rPr>
          <w:rFonts w:ascii="Arial" w:hAnsi="Arial" w:cs="Arial"/>
          <w:sz w:val="24"/>
          <w:szCs w:val="24"/>
        </w:rPr>
        <w:t>(</w:t>
      </w:r>
      <w:r w:rsidRPr="00FA6676">
        <w:rPr>
          <w:rFonts w:ascii="Arial" w:hAnsi="Arial" w:cs="Arial"/>
          <w:sz w:val="24"/>
          <w:szCs w:val="24"/>
        </w:rPr>
        <w:t>Wild &amp; Wild</w:t>
      </w:r>
      <w:r w:rsidR="000E2D6E">
        <w:rPr>
          <w:rFonts w:ascii="Arial" w:hAnsi="Arial" w:cs="Arial"/>
          <w:sz w:val="24"/>
          <w:szCs w:val="24"/>
        </w:rPr>
        <w:t>,</w:t>
      </w:r>
      <w:r w:rsidRPr="00FA6676">
        <w:rPr>
          <w:rFonts w:ascii="Arial" w:hAnsi="Arial" w:cs="Arial"/>
          <w:sz w:val="24"/>
          <w:szCs w:val="24"/>
        </w:rPr>
        <w:t xml:space="preserve"> 2023</w:t>
      </w:r>
      <w:r w:rsidR="00F12844">
        <w:rPr>
          <w:rFonts w:ascii="Arial" w:hAnsi="Arial" w:cs="Arial"/>
          <w:sz w:val="24"/>
          <w:szCs w:val="24"/>
        </w:rPr>
        <w:t>)</w:t>
      </w:r>
      <w:r w:rsidRPr="00FA6676">
        <w:rPr>
          <w:rFonts w:ascii="Arial" w:hAnsi="Arial" w:cs="Arial"/>
          <w:sz w:val="24"/>
          <w:szCs w:val="24"/>
        </w:rPr>
        <w:t>. Brazil maps onto the first two: a fragmented Congress and the 2026 election year typically bring fiscal loosening and policy uncertainty (Allianz Trade, 2026; DPAM Investments, 2025), a systemic risk, while bureaucratic customs administration is a chronic procedural drag regardless of who governs. Brazil is not exposed to catastrophic risk, an important qualification against treating "emerging market risk" as an undifferentiated category.</w:t>
      </w:r>
    </w:p>
    <w:p w14:paraId="54A13569" w14:textId="6183CB47" w:rsidR="002E23A3" w:rsidRPr="002E23A3" w:rsidRDefault="002E23A3" w:rsidP="00127C8E">
      <w:pPr>
        <w:pStyle w:val="NormalWeb"/>
        <w:spacing w:line="360" w:lineRule="auto"/>
        <w:jc w:val="both"/>
      </w:pPr>
      <w:bookmarkStart w:id="17" w:name="_Toc235435356"/>
      <w:r w:rsidRPr="002E23A3">
        <w:rPr>
          <w:rFonts w:ascii="Arial" w:hAnsi="Arial" w:cs="Arial"/>
        </w:rPr>
        <w:t>Another point is a Brazil-US tariff disagreement for 2025 that has seen a nationalist reaction Lula took advantage of domestically (DPAM Investments, 2025)</w:t>
      </w:r>
      <w:r w:rsidR="00217245">
        <w:rPr>
          <w:rFonts w:ascii="Arial" w:hAnsi="Arial" w:cs="Arial"/>
        </w:rPr>
        <w:t>.</w:t>
      </w:r>
      <w:r w:rsidRPr="002E23A3">
        <w:rPr>
          <w:rFonts w:ascii="Arial" w:hAnsi="Arial" w:cs="Arial"/>
        </w:rPr>
        <w:t xml:space="preserve"> </w:t>
      </w:r>
      <w:r w:rsidR="00127C8E" w:rsidRPr="00127C8E">
        <w:rPr>
          <w:rFonts w:ascii="Arial" w:hAnsi="Arial" w:cs="Arial"/>
        </w:rPr>
        <w:t xml:space="preserve">This reflects an anti-globalization sentiment in keeping with Brazil's history of safeguarding electronics production—an application of the infant-industry protection argument, which posits that </w:t>
      </w:r>
      <w:r w:rsidR="00127C8E" w:rsidRPr="00127C8E">
        <w:rPr>
          <w:rFonts w:ascii="Arial" w:hAnsi="Arial" w:cs="Arial"/>
        </w:rPr>
        <w:lastRenderedPageBreak/>
        <w:t>temporary import restrictions give a fledgling domestic industry room to achieve competitive scale. The UK–Brazil trading relationship, inherited from EU arrangements and rolled over post-Brexit (with Brazil also being a member of Mercosur), is in principle continuous. But critics argue these deals simply restate existing provisions rather than include new concessions (Collinson et al. 2020; OECD 2023)</w:t>
      </w:r>
      <w:r w:rsidR="00127C8E">
        <w:rPr>
          <w:rFonts w:ascii="Arial" w:hAnsi="Arial" w:cs="Arial"/>
        </w:rPr>
        <w:t xml:space="preserve">, </w:t>
      </w:r>
      <w:r w:rsidRPr="002E23A3">
        <w:rPr>
          <w:rFonts w:ascii="Arial" w:hAnsi="Arial" w:cs="Arial"/>
        </w:rPr>
        <w:t>mean</w:t>
      </w:r>
      <w:r w:rsidR="00F6116D">
        <w:rPr>
          <w:rFonts w:ascii="Arial" w:hAnsi="Arial" w:cs="Arial"/>
        </w:rPr>
        <w:t>ing</w:t>
      </w:r>
      <w:r w:rsidRPr="002E23A3">
        <w:rPr>
          <w:rFonts w:ascii="Arial" w:hAnsi="Arial" w:cs="Arial"/>
        </w:rPr>
        <w:t xml:space="preserve"> </w:t>
      </w:r>
      <w:r w:rsidR="00127C8E" w:rsidRPr="002E23A3">
        <w:rPr>
          <w:rFonts w:ascii="Arial" w:hAnsi="Arial" w:cs="Arial"/>
        </w:rPr>
        <w:t>Brazil’s</w:t>
      </w:r>
      <w:r w:rsidRPr="002E23A3">
        <w:rPr>
          <w:rFonts w:ascii="Arial" w:hAnsi="Arial" w:cs="Arial"/>
        </w:rPr>
        <w:t xml:space="preserve"> external tariff wall remains. On the one hand, Manaus fiscal incentives target investment; but on the other, multi-month lag between homologation and launch is a procedural disincentive foreign entrants will need to plan for.</w:t>
      </w:r>
    </w:p>
    <w:p w14:paraId="57C3B074" w14:textId="77777777" w:rsidR="00D52FDA" w:rsidRPr="003957FA" w:rsidRDefault="00D52FDA" w:rsidP="003957FA">
      <w:pPr>
        <w:pStyle w:val="Heading3"/>
        <w:spacing w:line="360" w:lineRule="auto"/>
        <w:rPr>
          <w:rFonts w:ascii="Arial" w:hAnsi="Arial" w:cs="Arial"/>
        </w:rPr>
      </w:pPr>
      <w:bookmarkStart w:id="18" w:name="_Toc237462050"/>
      <w:r w:rsidRPr="003957FA">
        <w:rPr>
          <w:rFonts w:ascii="Arial" w:hAnsi="Arial" w:cs="Arial"/>
        </w:rPr>
        <w:t>Economic environment</w:t>
      </w:r>
      <w:bookmarkEnd w:id="17"/>
      <w:bookmarkEnd w:id="18"/>
    </w:p>
    <w:p w14:paraId="27BE77B9" w14:textId="77777777" w:rsidR="00237CA3" w:rsidRDefault="00E827F2" w:rsidP="003957FA">
      <w:pPr>
        <w:spacing w:line="360" w:lineRule="auto"/>
        <w:jc w:val="both"/>
        <w:rPr>
          <w:rFonts w:ascii="Arial" w:hAnsi="Arial" w:cs="Arial"/>
          <w:sz w:val="24"/>
          <w:szCs w:val="24"/>
        </w:rPr>
      </w:pPr>
      <w:r w:rsidRPr="003957FA">
        <w:rPr>
          <w:rFonts w:ascii="Arial" w:hAnsi="Arial" w:cs="Arial"/>
          <w:sz w:val="24"/>
          <w:szCs w:val="24"/>
        </w:rPr>
        <w:t xml:space="preserve">Brazil is a mixed economy: market-driven consumer sectors coexist with state direction of strategic industries through tax policy rather than ownership. GDP growth is forecast at 1.6-2.2% for 2026, down from 2022-2024's 3%-plus, as high rates cool activity, while inflation eases toward 3.8-4.4% against a restrictive 14.75-15% Selic rate (OECD, 2026; Allianz Trade, 2026). </w:t>
      </w:r>
    </w:p>
    <w:p w14:paraId="16B75A0E" w14:textId="77777777" w:rsidR="00237CA3" w:rsidRDefault="00237CA3" w:rsidP="003957FA">
      <w:pPr>
        <w:spacing w:line="360" w:lineRule="auto"/>
        <w:jc w:val="both"/>
        <w:rPr>
          <w:rFonts w:ascii="Arial" w:hAnsi="Arial" w:cs="Arial"/>
          <w:sz w:val="24"/>
          <w:szCs w:val="24"/>
        </w:rPr>
      </w:pPr>
    </w:p>
    <w:p w14:paraId="7E798638" w14:textId="24B5EC2B" w:rsidR="00237CA3" w:rsidRDefault="00237CA3" w:rsidP="00A60CD2">
      <w:pPr>
        <w:spacing w:line="360" w:lineRule="auto"/>
        <w:jc w:val="center"/>
        <w:rPr>
          <w:rFonts w:ascii="Arial" w:hAnsi="Arial" w:cs="Arial"/>
          <w:sz w:val="24"/>
          <w:szCs w:val="24"/>
        </w:rPr>
      </w:pPr>
      <w:r w:rsidRPr="00237CA3">
        <w:rPr>
          <w:rFonts w:ascii="Arial" w:hAnsi="Arial" w:cs="Arial"/>
          <w:noProof/>
          <w:sz w:val="24"/>
          <w:szCs w:val="24"/>
        </w:rPr>
        <w:drawing>
          <wp:inline distT="0" distB="0" distL="0" distR="0" wp14:anchorId="7231EDFB" wp14:editId="308B64F5">
            <wp:extent cx="5303859" cy="27051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66129" cy="2736859"/>
                    </a:xfrm>
                    <a:prstGeom prst="rect">
                      <a:avLst/>
                    </a:prstGeom>
                  </pic:spPr>
                </pic:pic>
              </a:graphicData>
            </a:graphic>
          </wp:inline>
        </w:drawing>
      </w:r>
    </w:p>
    <w:p w14:paraId="4C28BF5E" w14:textId="13069472" w:rsidR="00E827F2" w:rsidRPr="003957FA" w:rsidRDefault="00E827F2" w:rsidP="003957FA">
      <w:pPr>
        <w:spacing w:line="360" w:lineRule="auto"/>
        <w:jc w:val="both"/>
        <w:rPr>
          <w:rFonts w:ascii="Arial" w:hAnsi="Arial" w:cs="Arial"/>
          <w:sz w:val="24"/>
          <w:szCs w:val="24"/>
        </w:rPr>
      </w:pPr>
      <w:r w:rsidRPr="003957FA">
        <w:rPr>
          <w:rFonts w:ascii="Arial" w:hAnsi="Arial" w:cs="Arial"/>
          <w:sz w:val="24"/>
          <w:szCs w:val="24"/>
        </w:rPr>
        <w:t xml:space="preserve">The market size hypothesis of FDI holds that entry scales with host-market size, since a larger market spreads fixed entry costs; Brazil, Latin America's largest economy and smartphone market, is attractive on this measure alone. By contrast, the differential-rates-of-return and diversification hypotheses are markedly less explanatory here, since both </w:t>
      </w:r>
      <w:r w:rsidRPr="003957FA">
        <w:rPr>
          <w:rFonts w:ascii="Arial" w:hAnsi="Arial" w:cs="Arial"/>
          <w:sz w:val="24"/>
          <w:szCs w:val="24"/>
        </w:rPr>
        <w:lastRenderedPageBreak/>
        <w:t>assume portfolio-style capital flows in frictionless markets rather than a brand-driven, differentiated product; market size, internalization and location capture Nothing's motive far better.</w:t>
      </w:r>
    </w:p>
    <w:p w14:paraId="29D0AD6E" w14:textId="3747BF5B" w:rsidR="00657A7D" w:rsidRPr="003957FA" w:rsidRDefault="00657A7D" w:rsidP="003957FA">
      <w:pPr>
        <w:spacing w:line="360" w:lineRule="auto"/>
        <w:jc w:val="both"/>
        <w:rPr>
          <w:rFonts w:ascii="Arial" w:hAnsi="Arial" w:cs="Arial"/>
          <w:sz w:val="24"/>
          <w:szCs w:val="24"/>
        </w:rPr>
      </w:pPr>
      <w:r w:rsidRPr="003957FA">
        <w:rPr>
          <w:rFonts w:ascii="Arial" w:hAnsi="Arial" w:cs="Arial"/>
          <w:sz w:val="24"/>
          <w:szCs w:val="24"/>
        </w:rPr>
        <w:t>Economic conditions cut two ways for demand. Low unemployment (5.5-6.1%) and rising real wages sustain a genuine "premiumization" trend</w:t>
      </w:r>
      <w:r w:rsidR="001B735C">
        <w:rPr>
          <w:rFonts w:ascii="Arial" w:hAnsi="Arial" w:cs="Arial"/>
          <w:sz w:val="24"/>
          <w:szCs w:val="24"/>
        </w:rPr>
        <w:t>;</w:t>
      </w:r>
      <w:r w:rsidRPr="003957FA">
        <w:rPr>
          <w:rFonts w:ascii="Arial" w:hAnsi="Arial" w:cs="Arial"/>
          <w:sz w:val="24"/>
          <w:szCs w:val="24"/>
        </w:rPr>
        <w:t xml:space="preserve"> average prices rose over 85% between Q1 2024 and Q1 2025 even as volumes softened (Accio, 2026; OECD, 2026), exactly Nothing's target segment. Conversely, high rates depress instalment-plan purchasing, the dominant financing method for mid-range handsets, so the restrictive Selic rate raises its effective cost (Allianz Trade, 2026). The real's depreciation pressure also raises the local-currency landed cost of dollar- or renminbi-priced imports; in international finance terms this is a transaction exposure, the risk that a cross-border commitment's value changes with the exchange rate before payment is settled, and it is a risk an export-based entry cannot escape structurally, only manage, through conservative pricing or forward contracts rather than passing it onto distributor margins unmanaged. Applying Hill's (2023) benefit-cost-risk framework, Brazil offers a large, resilient base at a moment of cyclical softening that </w:t>
      </w:r>
      <w:r w:rsidR="002D7BDC" w:rsidRPr="003957FA">
        <w:rPr>
          <w:rFonts w:ascii="Arial" w:hAnsi="Arial" w:cs="Arial"/>
          <w:sz w:val="24"/>
          <w:szCs w:val="24"/>
        </w:rPr>
        <w:t>favours</w:t>
      </w:r>
      <w:r w:rsidRPr="003957FA">
        <w:rPr>
          <w:rFonts w:ascii="Arial" w:hAnsi="Arial" w:cs="Arial"/>
          <w:sz w:val="24"/>
          <w:szCs w:val="24"/>
        </w:rPr>
        <w:t xml:space="preserve"> cautious, capital-light entry over immediate investment.</w:t>
      </w:r>
    </w:p>
    <w:p w14:paraId="1AC71E1B" w14:textId="77777777" w:rsidR="00C32025" w:rsidRDefault="00F40786" w:rsidP="00C32025">
      <w:pPr>
        <w:pStyle w:val="Heading3"/>
        <w:spacing w:line="360" w:lineRule="auto"/>
        <w:rPr>
          <w:rFonts w:ascii="Arial" w:hAnsi="Arial" w:cs="Arial"/>
        </w:rPr>
      </w:pPr>
      <w:bookmarkStart w:id="19" w:name="_Toc235435357"/>
      <w:bookmarkStart w:id="20" w:name="_Toc237462051"/>
      <w:r w:rsidRPr="00C32025">
        <w:rPr>
          <w:rFonts w:ascii="Arial" w:hAnsi="Arial" w:cs="Arial"/>
        </w:rPr>
        <w:t>Legal environment</w:t>
      </w:r>
      <w:bookmarkEnd w:id="19"/>
      <w:bookmarkEnd w:id="20"/>
    </w:p>
    <w:p w14:paraId="3DC261F5" w14:textId="620B260C" w:rsidR="000A30A4" w:rsidRPr="00C32025" w:rsidRDefault="000A30A4" w:rsidP="00C32025">
      <w:pPr>
        <w:spacing w:line="360" w:lineRule="auto"/>
        <w:jc w:val="both"/>
        <w:rPr>
          <w:rFonts w:ascii="Arial" w:hAnsi="Arial" w:cs="Arial"/>
          <w:sz w:val="24"/>
          <w:szCs w:val="24"/>
        </w:rPr>
      </w:pPr>
      <w:r w:rsidRPr="00C32025">
        <w:rPr>
          <w:rFonts w:ascii="Arial" w:hAnsi="Arial" w:cs="Arial"/>
          <w:sz w:val="24"/>
          <w:szCs w:val="24"/>
        </w:rPr>
        <w:t xml:space="preserve">Unlike the common law system of the UK, Brazil's civil law system, based on Portuguese and Roman-Germanic tradition, largely relies upon codified statute rather than case precedent to govern commercial obligations; </w:t>
      </w:r>
      <w:r w:rsidR="004F51A8" w:rsidRPr="00C32025">
        <w:rPr>
          <w:rFonts w:ascii="Arial" w:hAnsi="Arial" w:cs="Arial"/>
          <w:sz w:val="24"/>
          <w:szCs w:val="24"/>
        </w:rPr>
        <w:t>thus,</w:t>
      </w:r>
      <w:r w:rsidRPr="00C32025">
        <w:rPr>
          <w:rFonts w:ascii="Arial" w:hAnsi="Arial" w:cs="Arial"/>
          <w:sz w:val="24"/>
          <w:szCs w:val="24"/>
        </w:rPr>
        <w:t xml:space="preserve"> compliance instead hinges on correctly reading its voluminous codes </w:t>
      </w:r>
      <w:r w:rsidR="000C0E81">
        <w:rPr>
          <w:rFonts w:ascii="Arial" w:hAnsi="Arial" w:cs="Arial"/>
          <w:sz w:val="24"/>
          <w:szCs w:val="24"/>
        </w:rPr>
        <w:t>-</w:t>
      </w:r>
      <w:r w:rsidRPr="00C32025">
        <w:rPr>
          <w:rFonts w:ascii="Arial" w:hAnsi="Arial" w:cs="Arial"/>
          <w:sz w:val="24"/>
          <w:szCs w:val="24"/>
        </w:rPr>
        <w:t xml:space="preserve"> a genuine competence gap without local Brazilian counsel.</w:t>
      </w:r>
      <w:r w:rsidR="00355566">
        <w:rPr>
          <w:rFonts w:ascii="Arial" w:hAnsi="Arial" w:cs="Arial"/>
          <w:sz w:val="24"/>
          <w:szCs w:val="24"/>
        </w:rPr>
        <w:t xml:space="preserve"> </w:t>
      </w:r>
      <w:r w:rsidRPr="00C32025">
        <w:rPr>
          <w:rFonts w:ascii="Arial" w:hAnsi="Arial" w:cs="Arial"/>
          <w:sz w:val="24"/>
          <w:szCs w:val="24"/>
        </w:rPr>
        <w:br/>
        <w:t xml:space="preserve">Brazil's import-tax regime, the "Custo Brasil," cascades Import Duty (0-20% under Mercosur's common tariff), IPI, state-level ICMS, and PIS/COFINS cumulatively (Novatrade Brasil, 2026; BPC Partners, n.d.), price-affecting rather than quantity-affecting instruments, meaning there is no absolute import ceiling, only a persistent cost disadvantage relative to domestically-assembled rivals. These can add 40-100% to landed cost, and 2026 is a pilot year for a generational reform, described in Novatrade Brasil's (2026) analysis, replacing the cascade with a dual VAT by 2033; this transitional overlap means compliance costs are, if anything, temporarily higher than once the reform </w:t>
      </w:r>
      <w:r w:rsidRPr="00C32025">
        <w:rPr>
          <w:rFonts w:ascii="Arial" w:hAnsi="Arial" w:cs="Arial"/>
          <w:sz w:val="24"/>
          <w:szCs w:val="24"/>
        </w:rPr>
        <w:lastRenderedPageBreak/>
        <w:t>completes, an argument for building tax expertise into any distributor relationship now rather than treating it as a problem to defer.</w:t>
      </w:r>
    </w:p>
    <w:p w14:paraId="05968237" w14:textId="7F415076" w:rsidR="00332C0C" w:rsidRPr="00C32025" w:rsidRDefault="00332C0C" w:rsidP="00C32025">
      <w:pPr>
        <w:spacing w:line="360" w:lineRule="auto"/>
        <w:jc w:val="both"/>
        <w:rPr>
          <w:rFonts w:ascii="Arial" w:hAnsi="Arial" w:cs="Arial"/>
          <w:sz w:val="24"/>
          <w:szCs w:val="24"/>
        </w:rPr>
      </w:pPr>
      <w:r w:rsidRPr="00C32025">
        <w:rPr>
          <w:rFonts w:ascii="Arial" w:hAnsi="Arial" w:cs="Arial"/>
          <w:sz w:val="24"/>
          <w:szCs w:val="24"/>
        </w:rPr>
        <w:t xml:space="preserve">Critically, the tax code is not neutral between import and domestic assembly: the Manaus Free Trade Zone's IPI exemptions are why Samsung (34-39% share) and Motorola (20-25%) both </w:t>
      </w:r>
      <w:r w:rsidR="00307C72" w:rsidRPr="00C32025">
        <w:rPr>
          <w:rFonts w:ascii="Arial" w:hAnsi="Arial" w:cs="Arial"/>
          <w:sz w:val="24"/>
          <w:szCs w:val="24"/>
        </w:rPr>
        <w:t>manufactures</w:t>
      </w:r>
      <w:r w:rsidRPr="00C32025">
        <w:rPr>
          <w:rFonts w:ascii="Arial" w:hAnsi="Arial" w:cs="Arial"/>
          <w:sz w:val="24"/>
          <w:szCs w:val="24"/>
        </w:rPr>
        <w:t xml:space="preserve"> domestically, while Nothing's filing confirms it will import from China at launch (Canaltech, 2026; Omdia, 2025), a structural exposure </w:t>
      </w:r>
      <w:r w:rsidR="00E803CC" w:rsidRPr="00C32025">
        <w:rPr>
          <w:rFonts w:ascii="Arial" w:hAnsi="Arial" w:cs="Arial"/>
          <w:sz w:val="24"/>
          <w:szCs w:val="24"/>
        </w:rPr>
        <w:t>the entry-mode section address</w:t>
      </w:r>
      <w:r w:rsidRPr="00C32025">
        <w:rPr>
          <w:rFonts w:ascii="Arial" w:hAnsi="Arial" w:cs="Arial"/>
          <w:sz w:val="24"/>
          <w:szCs w:val="24"/>
        </w:rPr>
        <w:t>. A counterpoint, however: local assembly is not universally required for viability, as the benchmarking below shows several recent entrants competing on brand and channel strength alone rather than on manufacturing cost, suggesting Manaus shapes the ceiling on long-run profitability more than whether entry is possible at all, an important distinction, since treating the tax gap as an absolute barrier would understate what challenger brands have already achieved without it.</w:t>
      </w:r>
    </w:p>
    <w:p w14:paraId="7A0E381E" w14:textId="58240EB4" w:rsidR="00332C0C" w:rsidRDefault="00332C0C" w:rsidP="00C32025">
      <w:pPr>
        <w:spacing w:line="360" w:lineRule="auto"/>
        <w:jc w:val="both"/>
        <w:rPr>
          <w:rFonts w:ascii="Arial" w:hAnsi="Arial" w:cs="Arial"/>
          <w:sz w:val="24"/>
          <w:szCs w:val="24"/>
        </w:rPr>
      </w:pPr>
      <w:r w:rsidRPr="00C32025">
        <w:rPr>
          <w:rFonts w:ascii="Arial" w:hAnsi="Arial" w:cs="Arial"/>
          <w:sz w:val="24"/>
          <w:szCs w:val="24"/>
        </w:rPr>
        <w:t xml:space="preserve">On IP, Nothing's Glyph trademark and design patents should be filed with Brazil's INPI before launch, since no global protection exists and country-by-country registration is required (Wild and Wild, 2023); this is a real, low-cost-to-mitigate risk given </w:t>
      </w:r>
      <w:r w:rsidR="002D7BDC" w:rsidRPr="00C32025">
        <w:rPr>
          <w:rFonts w:ascii="Arial" w:hAnsi="Arial" w:cs="Arial"/>
          <w:sz w:val="24"/>
          <w:szCs w:val="24"/>
        </w:rPr>
        <w:t>Gray</w:t>
      </w:r>
      <w:r w:rsidRPr="00C32025">
        <w:rPr>
          <w:rFonts w:ascii="Arial" w:hAnsi="Arial" w:cs="Arial"/>
          <w:sz w:val="24"/>
          <w:szCs w:val="24"/>
        </w:rPr>
        <w:t>-market importers and copycat "</w:t>
      </w:r>
      <w:r w:rsidR="002D7BDC" w:rsidRPr="00C32025">
        <w:rPr>
          <w:rFonts w:ascii="Arial" w:hAnsi="Arial" w:cs="Arial"/>
          <w:sz w:val="24"/>
          <w:szCs w:val="24"/>
        </w:rPr>
        <w:t>recolour</w:t>
      </w:r>
      <w:r w:rsidRPr="00C32025">
        <w:rPr>
          <w:rFonts w:ascii="Arial" w:hAnsi="Arial" w:cs="Arial"/>
          <w:sz w:val="24"/>
          <w:szCs w:val="24"/>
        </w:rPr>
        <w:t>" sellers already active locally. The Código de Defesa do Consumidor imposes warranty obligations stricter than UK minimums, which will bind any distributor Nothing appoints on the brand's behalf.</w:t>
      </w:r>
    </w:p>
    <w:p w14:paraId="2E0FE673" w14:textId="77777777" w:rsidR="00010647" w:rsidRPr="00C32025" w:rsidRDefault="00010647" w:rsidP="00C32025">
      <w:pPr>
        <w:spacing w:line="360" w:lineRule="auto"/>
        <w:jc w:val="both"/>
        <w:rPr>
          <w:rFonts w:ascii="Arial" w:hAnsi="Arial" w:cs="Arial"/>
          <w:sz w:val="24"/>
          <w:szCs w:val="24"/>
        </w:rPr>
      </w:pPr>
    </w:p>
    <w:p w14:paraId="22124CED" w14:textId="77777777" w:rsidR="00840BFF" w:rsidRPr="00C32025" w:rsidRDefault="00840BFF" w:rsidP="00840BFF">
      <w:pPr>
        <w:pStyle w:val="Heading3"/>
        <w:spacing w:line="360" w:lineRule="auto"/>
        <w:rPr>
          <w:rFonts w:ascii="Arial" w:hAnsi="Arial" w:cs="Arial"/>
        </w:rPr>
      </w:pPr>
      <w:bookmarkStart w:id="21" w:name="_Toc235435358"/>
      <w:bookmarkStart w:id="22" w:name="_Toc237462052"/>
      <w:r w:rsidRPr="00C32025">
        <w:rPr>
          <w:rFonts w:ascii="Arial" w:hAnsi="Arial" w:cs="Arial"/>
        </w:rPr>
        <w:t>Cultural environment</w:t>
      </w:r>
      <w:bookmarkEnd w:id="21"/>
      <w:bookmarkEnd w:id="22"/>
    </w:p>
    <w:p w14:paraId="10193008" w14:textId="583AC102" w:rsidR="00A346A3" w:rsidRDefault="00A346A3" w:rsidP="00C32025">
      <w:pPr>
        <w:spacing w:line="360" w:lineRule="auto"/>
        <w:jc w:val="both"/>
        <w:rPr>
          <w:rFonts w:ascii="Arial" w:hAnsi="Arial" w:cs="Arial"/>
          <w:sz w:val="24"/>
          <w:szCs w:val="24"/>
        </w:rPr>
      </w:pPr>
      <w:r w:rsidRPr="00C32025">
        <w:rPr>
          <w:rFonts w:ascii="Arial" w:hAnsi="Arial" w:cs="Arial"/>
          <w:sz w:val="24"/>
          <w:szCs w:val="24"/>
        </w:rPr>
        <w:t>Hofstede's (2001) model measures cultures on dimensions including power distance, individualism and uncertainty avoidance, reasoning that th</w:t>
      </w:r>
      <w:r w:rsidR="00BE1F82">
        <w:rPr>
          <w:rFonts w:ascii="Arial" w:hAnsi="Arial" w:cs="Arial"/>
          <w:sz w:val="24"/>
          <w:szCs w:val="24"/>
        </w:rPr>
        <w:t>ese</w:t>
      </w:r>
      <w:r w:rsidR="00FC68A9">
        <w:rPr>
          <w:rFonts w:ascii="Arial" w:hAnsi="Arial" w:cs="Arial"/>
          <w:sz w:val="24"/>
          <w:szCs w:val="24"/>
        </w:rPr>
        <w:t xml:space="preserve"> </w:t>
      </w:r>
      <w:r w:rsidR="00FC68A9" w:rsidRPr="00FC68A9">
        <w:rPr>
          <w:rFonts w:ascii="Arial" w:hAnsi="Arial" w:cs="Arial"/>
          <w:sz w:val="24"/>
          <w:szCs w:val="24"/>
        </w:rPr>
        <w:t>dimensions</w:t>
      </w:r>
      <w:r w:rsidRPr="00C32025">
        <w:rPr>
          <w:rFonts w:ascii="Arial" w:hAnsi="Arial" w:cs="Arial"/>
          <w:sz w:val="24"/>
          <w:szCs w:val="24"/>
        </w:rPr>
        <w:t xml:space="preserve"> shape how authority, risk and relationships are handled commercially. Brazil scores high on power distance and moderate-to-high on collectivism relative to the UK, and high on uncertainty avoidance, suggesting strong weight on warranty assurance and established reputation, a real tension for a design-led challenger brand whose proposition rests on novelty rather than incumbent reassurance (Hofstede, 2001; Hofstede Insights, 2022). A limitation worth noting critically: these are modal national tendencies, not a direct prediction of how Nothing's specific, design-conscious target segment will respond, so scores should inform rather than dictate strategy.</w:t>
      </w:r>
    </w:p>
    <w:tbl>
      <w:tblPr>
        <w:tblStyle w:val="TableGrid"/>
        <w:tblW w:w="8063" w:type="dxa"/>
        <w:jc w:val="center"/>
        <w:tblLook w:val="04A0" w:firstRow="1" w:lastRow="0" w:firstColumn="1" w:lastColumn="0" w:noHBand="0" w:noVBand="1"/>
      </w:tblPr>
      <w:tblGrid>
        <w:gridCol w:w="4435"/>
        <w:gridCol w:w="1103"/>
        <w:gridCol w:w="2525"/>
      </w:tblGrid>
      <w:tr w:rsidR="00B2414A" w:rsidRPr="00B2414A" w14:paraId="1AEFAFC0" w14:textId="77777777" w:rsidTr="00B2414A">
        <w:trPr>
          <w:trHeight w:val="435"/>
          <w:jc w:val="center"/>
        </w:trPr>
        <w:tc>
          <w:tcPr>
            <w:tcW w:w="0" w:type="auto"/>
            <w:hideMark/>
          </w:tcPr>
          <w:p w14:paraId="169E239A"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b/>
                <w:bCs/>
                <w:sz w:val="24"/>
                <w:szCs w:val="24"/>
              </w:rPr>
              <w:lastRenderedPageBreak/>
              <w:t>Dimension</w:t>
            </w:r>
          </w:p>
        </w:tc>
        <w:tc>
          <w:tcPr>
            <w:tcW w:w="0" w:type="auto"/>
            <w:hideMark/>
          </w:tcPr>
          <w:p w14:paraId="4BC87CFF"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b/>
                <w:bCs/>
                <w:sz w:val="24"/>
                <w:szCs w:val="24"/>
              </w:rPr>
              <w:t>Brazil</w:t>
            </w:r>
          </w:p>
        </w:tc>
        <w:tc>
          <w:tcPr>
            <w:tcW w:w="0" w:type="auto"/>
            <w:hideMark/>
          </w:tcPr>
          <w:p w14:paraId="6570295D"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b/>
                <w:bCs/>
                <w:sz w:val="24"/>
                <w:szCs w:val="24"/>
              </w:rPr>
              <w:t>United Kingdom</w:t>
            </w:r>
          </w:p>
        </w:tc>
      </w:tr>
      <w:tr w:rsidR="00B2414A" w:rsidRPr="00B2414A" w14:paraId="14B0DDDC" w14:textId="77777777" w:rsidTr="00B2414A">
        <w:trPr>
          <w:trHeight w:val="435"/>
          <w:jc w:val="center"/>
        </w:trPr>
        <w:tc>
          <w:tcPr>
            <w:tcW w:w="0" w:type="auto"/>
            <w:hideMark/>
          </w:tcPr>
          <w:p w14:paraId="78361FDB"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b/>
                <w:bCs/>
                <w:sz w:val="24"/>
                <w:szCs w:val="24"/>
              </w:rPr>
              <w:t>Power Distance (PDI)</w:t>
            </w:r>
          </w:p>
        </w:tc>
        <w:tc>
          <w:tcPr>
            <w:tcW w:w="0" w:type="auto"/>
            <w:hideMark/>
          </w:tcPr>
          <w:p w14:paraId="4F70FCDC"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sz w:val="24"/>
                <w:szCs w:val="24"/>
              </w:rPr>
              <w:t>69</w:t>
            </w:r>
          </w:p>
        </w:tc>
        <w:tc>
          <w:tcPr>
            <w:tcW w:w="0" w:type="auto"/>
            <w:hideMark/>
          </w:tcPr>
          <w:p w14:paraId="3CA157C4"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sz w:val="24"/>
                <w:szCs w:val="24"/>
              </w:rPr>
              <w:t>35</w:t>
            </w:r>
          </w:p>
        </w:tc>
      </w:tr>
      <w:tr w:rsidR="00B2414A" w:rsidRPr="00B2414A" w14:paraId="1D300E18" w14:textId="77777777" w:rsidTr="00B2414A">
        <w:trPr>
          <w:trHeight w:val="435"/>
          <w:jc w:val="center"/>
        </w:trPr>
        <w:tc>
          <w:tcPr>
            <w:tcW w:w="0" w:type="auto"/>
            <w:hideMark/>
          </w:tcPr>
          <w:p w14:paraId="603C0AB9"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b/>
                <w:bCs/>
                <w:sz w:val="24"/>
                <w:szCs w:val="24"/>
              </w:rPr>
              <w:t>Individualism (IDV)</w:t>
            </w:r>
          </w:p>
        </w:tc>
        <w:tc>
          <w:tcPr>
            <w:tcW w:w="0" w:type="auto"/>
            <w:hideMark/>
          </w:tcPr>
          <w:p w14:paraId="7A74582F"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sz w:val="24"/>
                <w:szCs w:val="24"/>
              </w:rPr>
              <w:t>38</w:t>
            </w:r>
          </w:p>
        </w:tc>
        <w:tc>
          <w:tcPr>
            <w:tcW w:w="0" w:type="auto"/>
            <w:hideMark/>
          </w:tcPr>
          <w:p w14:paraId="5C680260"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sz w:val="24"/>
                <w:szCs w:val="24"/>
              </w:rPr>
              <w:t>89</w:t>
            </w:r>
          </w:p>
        </w:tc>
      </w:tr>
      <w:tr w:rsidR="00B2414A" w:rsidRPr="00B2414A" w14:paraId="2F26D63A" w14:textId="77777777" w:rsidTr="00B2414A">
        <w:trPr>
          <w:trHeight w:val="435"/>
          <w:jc w:val="center"/>
        </w:trPr>
        <w:tc>
          <w:tcPr>
            <w:tcW w:w="0" w:type="auto"/>
            <w:hideMark/>
          </w:tcPr>
          <w:p w14:paraId="579973CD"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b/>
                <w:bCs/>
                <w:sz w:val="24"/>
                <w:szCs w:val="24"/>
              </w:rPr>
              <w:t>Masculinity (MAS)</w:t>
            </w:r>
          </w:p>
        </w:tc>
        <w:tc>
          <w:tcPr>
            <w:tcW w:w="0" w:type="auto"/>
            <w:hideMark/>
          </w:tcPr>
          <w:p w14:paraId="34FC6B72"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sz w:val="24"/>
                <w:szCs w:val="24"/>
              </w:rPr>
              <w:t>49</w:t>
            </w:r>
          </w:p>
        </w:tc>
        <w:tc>
          <w:tcPr>
            <w:tcW w:w="0" w:type="auto"/>
            <w:hideMark/>
          </w:tcPr>
          <w:p w14:paraId="52B2C470"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sz w:val="24"/>
                <w:szCs w:val="24"/>
              </w:rPr>
              <w:t>66</w:t>
            </w:r>
          </w:p>
        </w:tc>
      </w:tr>
      <w:tr w:rsidR="00B2414A" w:rsidRPr="00B2414A" w14:paraId="6139464F" w14:textId="77777777" w:rsidTr="00B2414A">
        <w:trPr>
          <w:trHeight w:val="435"/>
          <w:jc w:val="center"/>
        </w:trPr>
        <w:tc>
          <w:tcPr>
            <w:tcW w:w="0" w:type="auto"/>
            <w:hideMark/>
          </w:tcPr>
          <w:p w14:paraId="7FF54B3B"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b/>
                <w:bCs/>
                <w:sz w:val="24"/>
                <w:szCs w:val="24"/>
              </w:rPr>
              <w:t>Uncertainty Avoidance (UAI)</w:t>
            </w:r>
          </w:p>
        </w:tc>
        <w:tc>
          <w:tcPr>
            <w:tcW w:w="0" w:type="auto"/>
            <w:hideMark/>
          </w:tcPr>
          <w:p w14:paraId="00540050"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sz w:val="24"/>
                <w:szCs w:val="24"/>
              </w:rPr>
              <w:t>76</w:t>
            </w:r>
          </w:p>
        </w:tc>
        <w:tc>
          <w:tcPr>
            <w:tcW w:w="0" w:type="auto"/>
            <w:hideMark/>
          </w:tcPr>
          <w:p w14:paraId="319CA380"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sz w:val="24"/>
                <w:szCs w:val="24"/>
              </w:rPr>
              <w:t>35</w:t>
            </w:r>
          </w:p>
        </w:tc>
      </w:tr>
      <w:tr w:rsidR="00B2414A" w:rsidRPr="00B2414A" w14:paraId="289D29CA" w14:textId="77777777" w:rsidTr="00B2414A">
        <w:trPr>
          <w:trHeight w:val="435"/>
          <w:jc w:val="center"/>
        </w:trPr>
        <w:tc>
          <w:tcPr>
            <w:tcW w:w="0" w:type="auto"/>
            <w:hideMark/>
          </w:tcPr>
          <w:p w14:paraId="6D4B20A2"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b/>
                <w:bCs/>
                <w:sz w:val="24"/>
                <w:szCs w:val="24"/>
              </w:rPr>
              <w:t>Long-Term Orientation (LTO)</w:t>
            </w:r>
          </w:p>
        </w:tc>
        <w:tc>
          <w:tcPr>
            <w:tcW w:w="0" w:type="auto"/>
            <w:hideMark/>
          </w:tcPr>
          <w:p w14:paraId="762FE22E"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sz w:val="24"/>
                <w:szCs w:val="24"/>
              </w:rPr>
              <w:t>44</w:t>
            </w:r>
          </w:p>
        </w:tc>
        <w:tc>
          <w:tcPr>
            <w:tcW w:w="0" w:type="auto"/>
            <w:hideMark/>
          </w:tcPr>
          <w:p w14:paraId="2604FE51"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sz w:val="24"/>
                <w:szCs w:val="24"/>
              </w:rPr>
              <w:t>51</w:t>
            </w:r>
          </w:p>
        </w:tc>
      </w:tr>
      <w:tr w:rsidR="00B2414A" w:rsidRPr="00B2414A" w14:paraId="2BAA8BC2" w14:textId="77777777" w:rsidTr="00B2414A">
        <w:trPr>
          <w:trHeight w:val="19"/>
          <w:jc w:val="center"/>
        </w:trPr>
        <w:tc>
          <w:tcPr>
            <w:tcW w:w="0" w:type="auto"/>
            <w:hideMark/>
          </w:tcPr>
          <w:p w14:paraId="30590559"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b/>
                <w:bCs/>
                <w:sz w:val="24"/>
                <w:szCs w:val="24"/>
              </w:rPr>
              <w:t>Indulgence (IVR)</w:t>
            </w:r>
          </w:p>
        </w:tc>
        <w:tc>
          <w:tcPr>
            <w:tcW w:w="0" w:type="auto"/>
            <w:hideMark/>
          </w:tcPr>
          <w:p w14:paraId="622EEE70" w14:textId="77777777" w:rsidR="00B2414A" w:rsidRPr="00B2414A" w:rsidRDefault="00B2414A" w:rsidP="00B2414A">
            <w:pPr>
              <w:spacing w:after="480"/>
              <w:rPr>
                <w:rFonts w:ascii="Times New Roman" w:eastAsia="Times New Roman" w:hAnsi="Times New Roman" w:cs="Times New Roman"/>
                <w:sz w:val="24"/>
                <w:szCs w:val="24"/>
              </w:rPr>
            </w:pPr>
            <w:r w:rsidRPr="00B2414A">
              <w:rPr>
                <w:rFonts w:ascii="Times New Roman" w:eastAsia="Times New Roman" w:hAnsi="Times New Roman" w:cs="Times New Roman"/>
                <w:sz w:val="24"/>
                <w:szCs w:val="24"/>
              </w:rPr>
              <w:t>59</w:t>
            </w:r>
          </w:p>
        </w:tc>
        <w:tc>
          <w:tcPr>
            <w:tcW w:w="0" w:type="auto"/>
            <w:hideMark/>
          </w:tcPr>
          <w:p w14:paraId="3D7E26FD" w14:textId="77777777" w:rsidR="00B2414A" w:rsidRPr="00B2414A" w:rsidRDefault="00B2414A" w:rsidP="00E46896">
            <w:pPr>
              <w:keepNext/>
              <w:spacing w:after="480"/>
              <w:rPr>
                <w:rFonts w:ascii="Times New Roman" w:eastAsia="Times New Roman" w:hAnsi="Times New Roman" w:cs="Times New Roman"/>
                <w:sz w:val="24"/>
                <w:szCs w:val="24"/>
              </w:rPr>
            </w:pPr>
            <w:r w:rsidRPr="00B2414A">
              <w:rPr>
                <w:rFonts w:ascii="Times New Roman" w:eastAsia="Times New Roman" w:hAnsi="Times New Roman" w:cs="Times New Roman"/>
                <w:sz w:val="24"/>
                <w:szCs w:val="24"/>
              </w:rPr>
              <w:t>69</w:t>
            </w:r>
          </w:p>
        </w:tc>
      </w:tr>
    </w:tbl>
    <w:p w14:paraId="437B0C27" w14:textId="5E90A8B2" w:rsidR="00B2414A" w:rsidRDefault="00E46896" w:rsidP="00E46896">
      <w:pPr>
        <w:pStyle w:val="Caption"/>
        <w:jc w:val="center"/>
        <w:rPr>
          <w:rFonts w:ascii="Arial" w:hAnsi="Arial" w:cs="Arial"/>
          <w:sz w:val="24"/>
          <w:szCs w:val="24"/>
        </w:rPr>
      </w:pPr>
      <w:r>
        <w:t xml:space="preserve">Table </w:t>
      </w:r>
      <w:r w:rsidR="00253FC3">
        <w:fldChar w:fldCharType="begin"/>
      </w:r>
      <w:r w:rsidR="00253FC3">
        <w:instrText xml:space="preserve"> SEQ Table \* ARABIC </w:instrText>
      </w:r>
      <w:r w:rsidR="00253FC3">
        <w:fldChar w:fldCharType="separate"/>
      </w:r>
      <w:r>
        <w:rPr>
          <w:noProof/>
        </w:rPr>
        <w:t>1</w:t>
      </w:r>
      <w:r w:rsidR="00253FC3">
        <w:rPr>
          <w:noProof/>
        </w:rPr>
        <w:fldChar w:fldCharType="end"/>
      </w:r>
      <w:r>
        <w:t xml:space="preserve"> </w:t>
      </w:r>
      <w:r w:rsidRPr="00870897">
        <w:t>Hofstede's (2001) model</w:t>
      </w:r>
      <w:r w:rsidR="00942B93">
        <w:t xml:space="preserve"> for Brazil and </w:t>
      </w:r>
      <w:r w:rsidR="00A16EB8">
        <w:t>United Kingdom</w:t>
      </w:r>
    </w:p>
    <w:p w14:paraId="1D7601A5" w14:textId="5924C3A0" w:rsidR="0030183F" w:rsidRPr="00C32025" w:rsidRDefault="0030183F" w:rsidP="00C32025">
      <w:pPr>
        <w:spacing w:line="360" w:lineRule="auto"/>
        <w:jc w:val="both"/>
        <w:rPr>
          <w:rFonts w:ascii="Arial" w:hAnsi="Arial" w:cs="Arial"/>
          <w:sz w:val="24"/>
          <w:szCs w:val="24"/>
        </w:rPr>
      </w:pPr>
      <w:r w:rsidRPr="00C32025">
        <w:rPr>
          <w:rFonts w:ascii="Arial" w:hAnsi="Arial" w:cs="Arial"/>
          <w:sz w:val="24"/>
          <w:szCs w:val="24"/>
        </w:rPr>
        <w:t xml:space="preserve">These traits should shape segmentation, targeting and positioning (STP): segmentation groups buyers by shared needs (geographic, demographic, socio-economic, psychographic, </w:t>
      </w:r>
      <w:r w:rsidR="002D7BDC" w:rsidRPr="00C32025">
        <w:rPr>
          <w:rFonts w:ascii="Arial" w:hAnsi="Arial" w:cs="Arial"/>
          <w:sz w:val="24"/>
          <w:szCs w:val="24"/>
        </w:rPr>
        <w:t>behavioural</w:t>
      </w:r>
      <w:r w:rsidRPr="00C32025">
        <w:rPr>
          <w:rFonts w:ascii="Arial" w:hAnsi="Arial" w:cs="Arial"/>
          <w:sz w:val="24"/>
          <w:szCs w:val="24"/>
        </w:rPr>
        <w:t xml:space="preserve">); targeting evaluates segment size, growth and fit; positioning defines desired perception relative to rivals (Kotler et al., 2013). Socio-economic (Brazil's </w:t>
      </w:r>
      <w:r w:rsidR="002D7BDC" w:rsidRPr="00A60FC4">
        <w:rPr>
          <w:rFonts w:ascii="Arial" w:hAnsi="Arial" w:cs="Arial"/>
          <w:sz w:val="24"/>
          <w:szCs w:val="24"/>
        </w:rPr>
        <w:t>preimmunizing</w:t>
      </w:r>
      <w:r w:rsidR="00A60FC4" w:rsidRPr="00A60FC4">
        <w:rPr>
          <w:rFonts w:ascii="Arial" w:hAnsi="Arial" w:cs="Arial"/>
          <w:sz w:val="24"/>
          <w:szCs w:val="24"/>
        </w:rPr>
        <w:t xml:space="preserve"> middle</w:t>
      </w:r>
      <w:r w:rsidR="00A60FC4" w:rsidRPr="00A60FC4">
        <w:rPr>
          <w:sz w:val="24"/>
          <w:szCs w:val="24"/>
        </w:rPr>
        <w:t xml:space="preserve"> </w:t>
      </w:r>
      <w:r w:rsidRPr="00C32025">
        <w:rPr>
          <w:rFonts w:ascii="Arial" w:hAnsi="Arial" w:cs="Arial"/>
          <w:sz w:val="24"/>
          <w:szCs w:val="24"/>
        </w:rPr>
        <w:t>class) and psychographic/</w:t>
      </w:r>
      <w:r w:rsidR="002D7BDC" w:rsidRPr="00C32025">
        <w:rPr>
          <w:rFonts w:ascii="Arial" w:hAnsi="Arial" w:cs="Arial"/>
          <w:sz w:val="24"/>
          <w:szCs w:val="24"/>
        </w:rPr>
        <w:t>behavioural</w:t>
      </w:r>
      <w:r w:rsidRPr="00C32025">
        <w:rPr>
          <w:rFonts w:ascii="Arial" w:hAnsi="Arial" w:cs="Arial"/>
          <w:sz w:val="24"/>
          <w:szCs w:val="24"/>
        </w:rPr>
        <w:t xml:space="preserve"> bases fit Nothing better than pure demographics (Baines, Fill and Page, 2008); UK-specific tools like ACORN or MOSAIC have no Brazilian equivalent available here, so segmentation should instead </w:t>
      </w:r>
      <w:r w:rsidRPr="00E803CC">
        <w:rPr>
          <w:rFonts w:ascii="Arial" w:hAnsi="Arial" w:cs="Arial"/>
          <w:sz w:val="24"/>
          <w:szCs w:val="24"/>
        </w:rPr>
        <w:t>draw</w:t>
      </w:r>
      <w:r w:rsidRPr="00C32025">
        <w:rPr>
          <w:rFonts w:ascii="Arial" w:hAnsi="Arial" w:cs="Arial"/>
          <w:sz w:val="24"/>
          <w:szCs w:val="24"/>
        </w:rPr>
        <w:t xml:space="preserve"> on IBGE census data rather than importing a UK classification wholesale. The target segment is sizeable, growing and compatible with Nothing's design competence, satisfying Kotler et al.'s (2013) targeting criteria; positioning should rest on design uniqueness between Apple (premium, closed) and Samsung/Motorola (mass-market, local), a space presently uncontested in Brazil, though this positioning is only defensible if it is paired with the warranty and after-sales reassurance Brazil's high uncertainty-avoidance score above suggests buyers will demand regardless of how differentiated the design proposition is.</w:t>
      </w:r>
    </w:p>
    <w:p w14:paraId="6CC06DA8" w14:textId="7C05DE70" w:rsidR="00D7368B" w:rsidRPr="00C32025" w:rsidRDefault="00D7368B" w:rsidP="00C32025">
      <w:pPr>
        <w:pStyle w:val="NormalWeb"/>
        <w:spacing w:line="360" w:lineRule="auto"/>
        <w:jc w:val="both"/>
        <w:rPr>
          <w:rFonts w:ascii="Arial" w:hAnsi="Arial" w:cs="Arial"/>
        </w:rPr>
      </w:pPr>
      <w:r w:rsidRPr="00C32025">
        <w:rPr>
          <w:rFonts w:ascii="Arial" w:hAnsi="Arial" w:cs="Arial"/>
        </w:rPr>
        <w:lastRenderedPageBreak/>
        <w:t>There will inevitably have to be adjustments here and there: Portuguese marketing effort must be completely localized (as opposed to merely adapting English-market material), pricing has to take account of "export price escalation", where the summation of various taxes, currency conversion and distributor margins results in prices for consumers well above ex-factory levels. The social-media</w:t>
      </w:r>
      <w:r w:rsidR="00CE15E7">
        <w:rPr>
          <w:rFonts w:ascii="Arial" w:hAnsi="Arial" w:cs="Arial"/>
        </w:rPr>
        <w:t>-</w:t>
      </w:r>
      <w:r w:rsidRPr="00C32025">
        <w:rPr>
          <w:rFonts w:ascii="Arial" w:hAnsi="Arial" w:cs="Arial"/>
        </w:rPr>
        <w:t xml:space="preserve">driven native brand discovery may play well with Nothing's community-centric (Wikipedia, 2026) design push </w:t>
      </w:r>
      <w:r w:rsidR="00DB6373">
        <w:rPr>
          <w:rFonts w:ascii="Arial" w:hAnsi="Arial" w:cs="Arial"/>
        </w:rPr>
        <w:t>-</w:t>
      </w:r>
      <w:r w:rsidRPr="00C32025">
        <w:rPr>
          <w:rFonts w:ascii="Arial" w:hAnsi="Arial" w:cs="Arial"/>
        </w:rPr>
        <w:t xml:space="preserve"> pragmatically speaking this means the Brazilian launch should leverage community and social content over traditional retail advertising playing to an existing strength.</w:t>
      </w:r>
    </w:p>
    <w:p w14:paraId="2C73AA3B" w14:textId="77777777" w:rsidR="00010647" w:rsidRPr="00010647" w:rsidRDefault="00606C8F" w:rsidP="00010647">
      <w:pPr>
        <w:pStyle w:val="Heading3"/>
        <w:spacing w:line="360" w:lineRule="auto"/>
        <w:rPr>
          <w:rFonts w:ascii="Arial" w:hAnsi="Arial" w:cs="Arial"/>
        </w:rPr>
      </w:pPr>
      <w:bookmarkStart w:id="23" w:name="_Toc235435359"/>
      <w:bookmarkStart w:id="24" w:name="_Toc237462053"/>
      <w:r w:rsidRPr="00010647">
        <w:rPr>
          <w:rFonts w:ascii="Arial" w:hAnsi="Arial" w:cs="Arial"/>
        </w:rPr>
        <w:t>Synthesis through Dunning's eclectic (OLI) paradigm</w:t>
      </w:r>
      <w:bookmarkEnd w:id="23"/>
      <w:bookmarkEnd w:id="24"/>
    </w:p>
    <w:p w14:paraId="6BC08BD8" w14:textId="3E8F8310" w:rsidR="00AB3178" w:rsidRDefault="00AB3178" w:rsidP="00010647">
      <w:pPr>
        <w:spacing w:line="360" w:lineRule="auto"/>
        <w:jc w:val="both"/>
        <w:rPr>
          <w:rFonts w:ascii="Arial" w:hAnsi="Arial" w:cs="Arial"/>
          <w:sz w:val="24"/>
          <w:szCs w:val="24"/>
        </w:rPr>
      </w:pPr>
      <w:r w:rsidRPr="00010647">
        <w:rPr>
          <w:rFonts w:ascii="Arial" w:hAnsi="Arial" w:cs="Arial"/>
          <w:sz w:val="24"/>
          <w:szCs w:val="24"/>
        </w:rPr>
        <w:t xml:space="preserve">Dunning (1988) brought together three distinct explanations for FDI in his eclectic paradigm. The industrial organization perspective (Hymer, 1976) postulates that foreign firms face a liability of foreignness </w:t>
      </w:r>
      <w:r w:rsidR="002E6AD7" w:rsidRPr="00010647">
        <w:rPr>
          <w:rFonts w:ascii="Arial" w:hAnsi="Arial" w:cs="Arial"/>
          <w:sz w:val="24"/>
          <w:szCs w:val="24"/>
        </w:rPr>
        <w:t>to perceive</w:t>
      </w:r>
      <w:r w:rsidRPr="00010647">
        <w:rPr>
          <w:rFonts w:ascii="Arial" w:hAnsi="Arial" w:cs="Arial"/>
          <w:sz w:val="24"/>
          <w:szCs w:val="24"/>
        </w:rPr>
        <w:t xml:space="preserve"> the more informed local </w:t>
      </w:r>
      <w:r w:rsidR="00010647" w:rsidRPr="00010647">
        <w:rPr>
          <w:rFonts w:ascii="Arial" w:hAnsi="Arial" w:cs="Arial"/>
          <w:sz w:val="24"/>
          <w:szCs w:val="24"/>
        </w:rPr>
        <w:t>incumbent’s</w:t>
      </w:r>
      <w:r w:rsidRPr="00010647">
        <w:rPr>
          <w:rFonts w:ascii="Arial" w:hAnsi="Arial" w:cs="Arial"/>
          <w:sz w:val="24"/>
          <w:szCs w:val="24"/>
        </w:rPr>
        <w:t xml:space="preserve"> attacks</w:t>
      </w:r>
      <w:r w:rsidR="002E6AD7">
        <w:rPr>
          <w:rFonts w:ascii="Arial" w:hAnsi="Arial" w:cs="Arial"/>
          <w:sz w:val="24"/>
          <w:szCs w:val="24"/>
        </w:rPr>
        <w:t>,</w:t>
      </w:r>
      <w:r w:rsidRPr="00010647">
        <w:rPr>
          <w:rFonts w:ascii="Arial" w:hAnsi="Arial" w:cs="Arial"/>
          <w:sz w:val="24"/>
          <w:szCs w:val="24"/>
        </w:rPr>
        <w:t xml:space="preserve"> thus entry is only possible with compensating firm-specific ownership advantages.</w:t>
      </w:r>
      <w:r w:rsidR="00010647">
        <w:rPr>
          <w:rFonts w:ascii="Arial" w:hAnsi="Arial" w:cs="Arial"/>
          <w:sz w:val="24"/>
          <w:szCs w:val="24"/>
        </w:rPr>
        <w:t xml:space="preserve"> </w:t>
      </w:r>
      <w:r w:rsidRPr="00010647">
        <w:rPr>
          <w:rFonts w:ascii="Arial" w:hAnsi="Arial" w:cs="Arial"/>
          <w:sz w:val="24"/>
          <w:szCs w:val="24"/>
        </w:rPr>
        <w:t xml:space="preserve">The internalization hypothesis (Buckley and Casson, 1976) holds that firms control transactions directly, rather than through market mechanisms like licensing, when market transaction costs, monitoring, bargaining, IP leakage risk, exceed internal coordination costs. The location hypothesis explains FDI location through immobile factor advantages, cheap </w:t>
      </w:r>
      <w:r w:rsidR="002E3C28" w:rsidRPr="00010647">
        <w:rPr>
          <w:rFonts w:ascii="Arial" w:hAnsi="Arial" w:cs="Arial"/>
          <w:sz w:val="24"/>
          <w:szCs w:val="24"/>
        </w:rPr>
        <w:t>labour</w:t>
      </w:r>
      <w:r w:rsidRPr="00010647">
        <w:rPr>
          <w:rFonts w:ascii="Arial" w:hAnsi="Arial" w:cs="Arial"/>
          <w:sz w:val="24"/>
          <w:szCs w:val="24"/>
        </w:rPr>
        <w:t>, tax incentives, market access, capturable only by operating there rather than exporting. Dunning's synthesis holds FDI occurs only where all three conditions align simultaneously (Daniels et al., 2022), a rule this report now applies leg by leg to Nothing's specific position in Brazil.</w:t>
      </w:r>
    </w:p>
    <w:p w14:paraId="63E44DEC" w14:textId="77777777" w:rsidR="000730BA" w:rsidRDefault="00241DCA" w:rsidP="000730BA">
      <w:pPr>
        <w:keepNext/>
        <w:spacing w:line="360" w:lineRule="auto"/>
        <w:jc w:val="center"/>
      </w:pPr>
      <w:r w:rsidRPr="00D43943">
        <w:rPr>
          <w:noProof/>
        </w:rPr>
        <w:lastRenderedPageBreak/>
        <w:drawing>
          <wp:inline distT="0" distB="0" distL="0" distR="0" wp14:anchorId="14675A7D" wp14:editId="5C072BAD">
            <wp:extent cx="4937760" cy="247982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62601" cy="2492297"/>
                    </a:xfrm>
                    <a:prstGeom prst="rect">
                      <a:avLst/>
                    </a:prstGeom>
                  </pic:spPr>
                </pic:pic>
              </a:graphicData>
            </a:graphic>
          </wp:inline>
        </w:drawing>
      </w:r>
    </w:p>
    <w:p w14:paraId="72A9AA5E" w14:textId="04A46532" w:rsidR="00241DCA" w:rsidRPr="00010647" w:rsidRDefault="000730BA" w:rsidP="000730BA">
      <w:pPr>
        <w:pStyle w:val="Caption"/>
        <w:jc w:val="center"/>
        <w:rPr>
          <w:rFonts w:ascii="Arial" w:hAnsi="Arial" w:cs="Arial"/>
          <w:sz w:val="24"/>
          <w:szCs w:val="24"/>
        </w:rPr>
      </w:pPr>
      <w:r>
        <w:t xml:space="preserve">Figure </w:t>
      </w:r>
      <w:r w:rsidR="00253FC3">
        <w:fldChar w:fldCharType="begin"/>
      </w:r>
      <w:r w:rsidR="00253FC3">
        <w:instrText xml:space="preserve"> SEQ Figure \* ARABIC </w:instrText>
      </w:r>
      <w:r w:rsidR="00253FC3">
        <w:fldChar w:fldCharType="separate"/>
      </w:r>
      <w:r w:rsidR="0077341C">
        <w:rPr>
          <w:noProof/>
        </w:rPr>
        <w:t>7</w:t>
      </w:r>
      <w:r w:rsidR="00253FC3">
        <w:rPr>
          <w:noProof/>
        </w:rPr>
        <w:fldChar w:fldCharType="end"/>
      </w:r>
      <w:r>
        <w:t xml:space="preserve"> </w:t>
      </w:r>
      <w:r w:rsidRPr="00FC7271">
        <w:t>Dunning's (1988) eclectic paradigm</w:t>
      </w:r>
    </w:p>
    <w:p w14:paraId="50A60112" w14:textId="0940FF4B" w:rsidR="00172C0D" w:rsidRPr="00010647" w:rsidRDefault="00172C0D" w:rsidP="001441B5">
      <w:pPr>
        <w:spacing w:line="360" w:lineRule="auto"/>
        <w:jc w:val="both"/>
        <w:rPr>
          <w:rFonts w:ascii="Arial" w:hAnsi="Arial" w:cs="Arial"/>
          <w:sz w:val="24"/>
          <w:szCs w:val="24"/>
        </w:rPr>
      </w:pPr>
      <w:r w:rsidRPr="00010647">
        <w:rPr>
          <w:rFonts w:ascii="Arial" w:hAnsi="Arial" w:cs="Arial"/>
          <w:sz w:val="24"/>
          <w:szCs w:val="24"/>
        </w:rPr>
        <w:t xml:space="preserve">There </w:t>
      </w:r>
      <w:r w:rsidR="00EA1640">
        <w:rPr>
          <w:rFonts w:ascii="Arial" w:hAnsi="Arial" w:cs="Arial"/>
          <w:sz w:val="24"/>
          <w:szCs w:val="24"/>
        </w:rPr>
        <w:t>are</w:t>
      </w:r>
      <w:r w:rsidRPr="00010647">
        <w:rPr>
          <w:rFonts w:ascii="Arial" w:hAnsi="Arial" w:cs="Arial"/>
          <w:sz w:val="24"/>
          <w:szCs w:val="24"/>
        </w:rPr>
        <w:t xml:space="preserve"> obvious ownership advantages</w:t>
      </w:r>
      <w:r w:rsidR="00C25142">
        <w:rPr>
          <w:rFonts w:ascii="Arial" w:hAnsi="Arial" w:cs="Arial"/>
          <w:sz w:val="24"/>
          <w:szCs w:val="24"/>
        </w:rPr>
        <w:t>:</w:t>
      </w:r>
      <w:r w:rsidRPr="00010647">
        <w:rPr>
          <w:rFonts w:ascii="Arial" w:hAnsi="Arial" w:cs="Arial"/>
          <w:sz w:val="24"/>
          <w:szCs w:val="24"/>
        </w:rPr>
        <w:t xml:space="preserve"> Nothing's protected brand (Low, 2021), Nothing OS</w:t>
      </w:r>
      <w:r w:rsidR="002E6AD7">
        <w:rPr>
          <w:rFonts w:ascii="Arial" w:hAnsi="Arial" w:cs="Arial"/>
          <w:sz w:val="24"/>
          <w:szCs w:val="24"/>
        </w:rPr>
        <w:t xml:space="preserve"> </w:t>
      </w:r>
      <w:r w:rsidRPr="00010647">
        <w:rPr>
          <w:rFonts w:ascii="Arial" w:hAnsi="Arial" w:cs="Arial"/>
          <w:sz w:val="24"/>
          <w:szCs w:val="24"/>
        </w:rPr>
        <w:t xml:space="preserve">(Howell, 2021) and the established manufacturing relationships (Wikipedia, 2026; Storyboard18, 2025) </w:t>
      </w:r>
      <w:r w:rsidR="001441B5" w:rsidRPr="001441B5">
        <w:rPr>
          <w:rFonts w:ascii="Arial" w:hAnsi="Arial" w:cs="Arial"/>
          <w:sz w:val="24"/>
          <w:szCs w:val="24"/>
        </w:rPr>
        <w:t>are precisely the firm-specific assets Hymer's theory identifies as necessary before competing against entrenched incumbents on their own ground</w:t>
      </w:r>
      <w:r w:rsidRPr="00010647">
        <w:rPr>
          <w:rFonts w:ascii="Arial" w:hAnsi="Arial" w:cs="Arial"/>
          <w:sz w:val="24"/>
          <w:szCs w:val="24"/>
        </w:rPr>
        <w:t xml:space="preserve">. Internalization advantages support the in-house avoidance of brand-dilution predicaments that plague many licensees of design, such as Burberry (Daniels et al., 2022), because a licensee never faces an incentive to protect long-run brand equity on their balance sheet </w:t>
      </w:r>
      <w:r w:rsidR="00D223C7" w:rsidRPr="00D223C7">
        <w:rPr>
          <w:rFonts w:ascii="Arial" w:eastAsia="Times New Roman" w:hAnsi="Arial" w:cs="Arial"/>
          <w:sz w:val="24"/>
          <w:szCs w:val="24"/>
          <w:lang w:eastAsia="en-GB"/>
        </w:rPr>
        <w:t>compared to the owner. Furthermore, a design-led challenger brand has more to lose from a diluted over-saturation represented by licenses than likely competitors competing solely on price.</w:t>
      </w:r>
      <w:r w:rsidR="00D223C7">
        <w:rPr>
          <w:rFonts w:ascii="Arial" w:hAnsi="Arial" w:cs="Arial"/>
          <w:sz w:val="24"/>
          <w:szCs w:val="24"/>
        </w:rPr>
        <w:t xml:space="preserve"> </w:t>
      </w:r>
      <w:r w:rsidRPr="00010647">
        <w:rPr>
          <w:rFonts w:ascii="Arial" w:hAnsi="Arial" w:cs="Arial"/>
          <w:sz w:val="24"/>
          <w:szCs w:val="24"/>
        </w:rPr>
        <w:t>Location advantages</w:t>
      </w:r>
      <w:r w:rsidR="00D56F1B">
        <w:rPr>
          <w:rFonts w:ascii="Arial" w:hAnsi="Arial" w:cs="Arial"/>
          <w:sz w:val="24"/>
          <w:szCs w:val="24"/>
        </w:rPr>
        <w:t>,</w:t>
      </w:r>
      <w:r w:rsidRPr="00010647">
        <w:rPr>
          <w:rFonts w:ascii="Arial" w:hAnsi="Arial" w:cs="Arial"/>
          <w:sz w:val="24"/>
          <w:szCs w:val="24"/>
        </w:rPr>
        <w:t xml:space="preserve"> </w:t>
      </w:r>
      <w:r w:rsidR="006479E8">
        <w:rPr>
          <w:rFonts w:ascii="Arial" w:hAnsi="Arial" w:cs="Arial"/>
          <w:sz w:val="24"/>
          <w:szCs w:val="24"/>
        </w:rPr>
        <w:t>h</w:t>
      </w:r>
      <w:r w:rsidRPr="00010647">
        <w:rPr>
          <w:rFonts w:ascii="Arial" w:hAnsi="Arial" w:cs="Arial"/>
          <w:sz w:val="24"/>
          <w:szCs w:val="24"/>
        </w:rPr>
        <w:t>owever, currently favor exporting: Manaus's IPI exemption is real, but capturing it requires committed local investment an unproven, newly-certifying entrant has not earned the right to make (BPC Partners, n.d.; Omdia, 2025); claiming a location advantage that has not actually been earned yet would be a premature application of the theory, not a correct one.</w:t>
      </w:r>
    </w:p>
    <w:p w14:paraId="0B3D0E61" w14:textId="25134D1B" w:rsidR="005E56D3" w:rsidRDefault="005E56D3" w:rsidP="00010647">
      <w:pPr>
        <w:spacing w:line="360" w:lineRule="auto"/>
        <w:jc w:val="both"/>
        <w:rPr>
          <w:rFonts w:ascii="Arial" w:hAnsi="Arial" w:cs="Arial"/>
          <w:sz w:val="24"/>
          <w:szCs w:val="24"/>
        </w:rPr>
      </w:pPr>
      <w:r w:rsidRPr="00010647">
        <w:rPr>
          <w:rFonts w:ascii="Arial" w:hAnsi="Arial" w:cs="Arial"/>
          <w:sz w:val="24"/>
          <w:szCs w:val="24"/>
        </w:rPr>
        <w:t xml:space="preserve">Porter's (1990) Diamond of National Advantage evaluates location suitability across factor conditions, demand conditions, related and supporting industries, and firm rivalry. Applied to Brazil's electronics cluster, factor conditions </w:t>
      </w:r>
      <w:r w:rsidR="00EA0B9B" w:rsidRPr="00010647">
        <w:rPr>
          <w:rFonts w:ascii="Arial" w:hAnsi="Arial" w:cs="Arial"/>
          <w:sz w:val="24"/>
          <w:szCs w:val="24"/>
        </w:rPr>
        <w:t>favour</w:t>
      </w:r>
      <w:r w:rsidRPr="00010647">
        <w:rPr>
          <w:rFonts w:ascii="Arial" w:hAnsi="Arial" w:cs="Arial"/>
          <w:sz w:val="24"/>
          <w:szCs w:val="24"/>
        </w:rPr>
        <w:t xml:space="preserve"> Manaus specifically (trained workforce, tax-advantaged infrastructure); demand conditions are strong given premiumization; supporting industries exist via Foxconn's Apple-built supplier ecosystem; but rivalry is intense, with Samsung and Motorola entrenched. The Diamond therefore </w:t>
      </w:r>
      <w:r w:rsidRPr="00010647">
        <w:rPr>
          <w:rFonts w:ascii="Arial" w:hAnsi="Arial" w:cs="Arial"/>
          <w:sz w:val="24"/>
          <w:szCs w:val="24"/>
        </w:rPr>
        <w:lastRenderedPageBreak/>
        <w:t xml:space="preserve">suggests Manaus is </w:t>
      </w:r>
      <w:r w:rsidR="002D7BDC" w:rsidRPr="00010647">
        <w:rPr>
          <w:rFonts w:ascii="Arial" w:hAnsi="Arial" w:cs="Arial"/>
          <w:sz w:val="24"/>
          <w:szCs w:val="24"/>
        </w:rPr>
        <w:t>favourable</w:t>
      </w:r>
      <w:r w:rsidRPr="00010647">
        <w:rPr>
          <w:rFonts w:ascii="Arial" w:hAnsi="Arial" w:cs="Arial"/>
          <w:sz w:val="24"/>
          <w:szCs w:val="24"/>
        </w:rPr>
        <w:t xml:space="preserve"> for electronics assembly generally, but not yet for Nothing specifically, since it lacks the local scale its rivals hold, a distinction a less critical reading might miss by treating "</w:t>
      </w:r>
      <w:r w:rsidR="002D7BDC" w:rsidRPr="00010647">
        <w:rPr>
          <w:rFonts w:ascii="Arial" w:hAnsi="Arial" w:cs="Arial"/>
          <w:sz w:val="24"/>
          <w:szCs w:val="24"/>
        </w:rPr>
        <w:t>favourable</w:t>
      </w:r>
      <w:r w:rsidRPr="00010647">
        <w:rPr>
          <w:rFonts w:ascii="Arial" w:hAnsi="Arial" w:cs="Arial"/>
          <w:sz w:val="24"/>
          <w:szCs w:val="24"/>
        </w:rPr>
        <w:t xml:space="preserve"> location" as firm-independent. </w:t>
      </w:r>
    </w:p>
    <w:p w14:paraId="152DFA16" w14:textId="77777777" w:rsidR="00657848" w:rsidRDefault="00152258" w:rsidP="00657848">
      <w:pPr>
        <w:keepNext/>
        <w:spacing w:line="360" w:lineRule="auto"/>
        <w:jc w:val="center"/>
      </w:pPr>
      <w:r>
        <w:rPr>
          <w:noProof/>
        </w:rPr>
        <w:drawing>
          <wp:inline distT="0" distB="0" distL="0" distR="0" wp14:anchorId="7B468157" wp14:editId="1B2502EC">
            <wp:extent cx="4472940" cy="2516029"/>
            <wp:effectExtent l="0" t="0" r="3810" b="0"/>
            <wp:docPr id="10" name="Picture 10" descr="Michael E Porter's Diamond Model explains The Competitive Advantage of  N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hael E Porter's Diamond Model explains The Competitive Advantage of  Nation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84640" cy="2522610"/>
                    </a:xfrm>
                    <a:prstGeom prst="rect">
                      <a:avLst/>
                    </a:prstGeom>
                    <a:noFill/>
                    <a:ln>
                      <a:noFill/>
                    </a:ln>
                  </pic:spPr>
                </pic:pic>
              </a:graphicData>
            </a:graphic>
          </wp:inline>
        </w:drawing>
      </w:r>
    </w:p>
    <w:p w14:paraId="53487C9C" w14:textId="6154E2AE" w:rsidR="00152258" w:rsidRPr="00010647" w:rsidRDefault="00657848" w:rsidP="00657848">
      <w:pPr>
        <w:pStyle w:val="Caption"/>
        <w:jc w:val="center"/>
        <w:rPr>
          <w:rFonts w:ascii="Arial" w:hAnsi="Arial" w:cs="Arial"/>
          <w:sz w:val="24"/>
          <w:szCs w:val="24"/>
        </w:rPr>
      </w:pPr>
      <w:r>
        <w:t xml:space="preserve">Figure </w:t>
      </w:r>
      <w:r w:rsidR="00253FC3">
        <w:fldChar w:fldCharType="begin"/>
      </w:r>
      <w:r w:rsidR="00253FC3">
        <w:instrText xml:space="preserve"> SEQ Figure \* ARABIC </w:instrText>
      </w:r>
      <w:r w:rsidR="00253FC3">
        <w:fldChar w:fldCharType="separate"/>
      </w:r>
      <w:r w:rsidR="0077341C">
        <w:rPr>
          <w:noProof/>
        </w:rPr>
        <w:t>8</w:t>
      </w:r>
      <w:r w:rsidR="00253FC3">
        <w:rPr>
          <w:noProof/>
        </w:rPr>
        <w:fldChar w:fldCharType="end"/>
      </w:r>
      <w:r>
        <w:t xml:space="preserve"> </w:t>
      </w:r>
      <w:r w:rsidRPr="002E4BD5">
        <w:t>Porter's diamond of competitive advantage</w:t>
      </w:r>
    </w:p>
    <w:p w14:paraId="4D56ED25" w14:textId="77777777" w:rsidR="00996E26" w:rsidRPr="00010647" w:rsidRDefault="00996E26" w:rsidP="00010647">
      <w:pPr>
        <w:spacing w:line="360" w:lineRule="auto"/>
        <w:jc w:val="both"/>
        <w:rPr>
          <w:rFonts w:ascii="Arial" w:hAnsi="Arial" w:cs="Arial"/>
          <w:sz w:val="24"/>
          <w:szCs w:val="24"/>
        </w:rPr>
      </w:pPr>
      <w:r w:rsidRPr="00010647">
        <w:rPr>
          <w:rFonts w:ascii="Arial" w:hAnsi="Arial" w:cs="Arial"/>
          <w:sz w:val="24"/>
          <w:szCs w:val="24"/>
        </w:rPr>
        <w:t>Vernon's (1966) product life cycle hypothesis adds a temporal dimension: products move through introduction, growth, maturity and decline, with production shifting toward lower-cost locations as they standardize. Smartphones are mature globally, exactly the stage at which Vernon predicts Manaus-style relocation, explaining Samsung and Motorola's local assembly; but Nothing, lacking Brazilian sales history, is still at the market-entry rather than cost-optimization stage of its own cycle in this specific market. Knickerbocker's (1973) oligopolistic reaction hypothesis holds that entry by one multinational triggers imitative, defensive entry by rivals protecting relative position; this fits HONOR, OPPO and vivo's rapid 2024-2025 Brazilian entries (Omdia, 2025; Canalys, 2025), suggesting Nothing's own move is also a defensive, share-protecting one within a wider wave of challenger entrants, not a standalone decision.</w:t>
      </w:r>
    </w:p>
    <w:p w14:paraId="0EE91ACF" w14:textId="0086693E" w:rsidR="00FD490E" w:rsidRPr="00010647" w:rsidRDefault="00FD490E" w:rsidP="00010647">
      <w:pPr>
        <w:spacing w:line="360" w:lineRule="auto"/>
        <w:jc w:val="both"/>
        <w:rPr>
          <w:rFonts w:ascii="Arial" w:hAnsi="Arial" w:cs="Arial"/>
          <w:sz w:val="24"/>
          <w:szCs w:val="24"/>
        </w:rPr>
      </w:pPr>
      <w:r w:rsidRPr="00010647">
        <w:rPr>
          <w:rFonts w:ascii="Arial" w:hAnsi="Arial" w:cs="Arial"/>
          <w:sz w:val="24"/>
          <w:szCs w:val="24"/>
        </w:rPr>
        <w:t xml:space="preserve">By contrast, classical comparative and absolute advantage theories (Smith, 1776; Ricardo, 1817), which explain trade through national factor endowments, offer limited insight here: this is a firm-specific, intra-industry decision competing on differentiation, not one driven by a national cost advantage in smartphone production, so applying country-level trade theory would mischaracterize what is a firm-level choice. Under Dunning's rule, </w:t>
      </w:r>
      <w:r w:rsidRPr="00010647">
        <w:rPr>
          <w:rFonts w:ascii="Arial" w:hAnsi="Arial" w:cs="Arial"/>
          <w:sz w:val="24"/>
          <w:szCs w:val="24"/>
        </w:rPr>
        <w:lastRenderedPageBreak/>
        <w:t xml:space="preserve">internalization gains exist but locational factors do not yet </w:t>
      </w:r>
      <w:r w:rsidR="006C3056" w:rsidRPr="00010647">
        <w:rPr>
          <w:rFonts w:ascii="Arial" w:hAnsi="Arial" w:cs="Arial"/>
          <w:sz w:val="24"/>
          <w:szCs w:val="24"/>
        </w:rPr>
        <w:t>favour</w:t>
      </w:r>
      <w:r w:rsidRPr="00010647">
        <w:rPr>
          <w:rFonts w:ascii="Arial" w:hAnsi="Arial" w:cs="Arial"/>
          <w:sz w:val="24"/>
          <w:szCs w:val="24"/>
        </w:rPr>
        <w:t xml:space="preserve"> foreign production, so exporting with internalized brand control, precisely what Nothing's filing signals, is the theory-consistent path.</w:t>
      </w:r>
    </w:p>
    <w:p w14:paraId="0FF556A6" w14:textId="77777777" w:rsidR="00805E22" w:rsidRPr="001441B5" w:rsidRDefault="00805E22" w:rsidP="00805E22">
      <w:pPr>
        <w:pStyle w:val="Heading2"/>
        <w:spacing w:before="240" w:after="120" w:line="360" w:lineRule="auto"/>
        <w:rPr>
          <w:rFonts w:ascii="Arial" w:hAnsi="Arial" w:cs="Arial"/>
        </w:rPr>
      </w:pPr>
      <w:bookmarkStart w:id="25" w:name="_Toc235435360"/>
      <w:bookmarkStart w:id="26" w:name="_Toc237462054"/>
      <w:r w:rsidRPr="001441B5">
        <w:rPr>
          <w:rFonts w:ascii="Arial" w:hAnsi="Arial" w:cs="Arial"/>
          <w:b/>
          <w:bCs/>
        </w:rPr>
        <w:t>3. Entry Mode Strategy and Strategic Synthesis</w:t>
      </w:r>
      <w:bookmarkEnd w:id="25"/>
      <w:bookmarkEnd w:id="26"/>
    </w:p>
    <w:p w14:paraId="5209E376" w14:textId="77777777" w:rsidR="00805E22" w:rsidRPr="001441B5" w:rsidRDefault="00805E22" w:rsidP="00805E22">
      <w:pPr>
        <w:pStyle w:val="Heading3"/>
        <w:spacing w:line="360" w:lineRule="auto"/>
        <w:rPr>
          <w:rFonts w:ascii="Arial" w:hAnsi="Arial" w:cs="Arial"/>
        </w:rPr>
      </w:pPr>
      <w:bookmarkStart w:id="27" w:name="_Toc235435361"/>
      <w:bookmarkStart w:id="28" w:name="_Toc237462055"/>
      <w:r w:rsidRPr="001441B5">
        <w:rPr>
          <w:rFonts w:ascii="Arial" w:hAnsi="Arial" w:cs="Arial"/>
        </w:rPr>
        <w:t>Historical pattern recognition</w:t>
      </w:r>
      <w:bookmarkEnd w:id="27"/>
      <w:bookmarkEnd w:id="28"/>
    </w:p>
    <w:p w14:paraId="7D470919" w14:textId="26AA8478" w:rsidR="00730706" w:rsidRPr="001441B5" w:rsidRDefault="00730706" w:rsidP="001441B5">
      <w:pPr>
        <w:spacing w:line="360" w:lineRule="auto"/>
        <w:jc w:val="both"/>
        <w:rPr>
          <w:rFonts w:ascii="Arial" w:hAnsi="Arial" w:cs="Arial"/>
          <w:sz w:val="24"/>
          <w:szCs w:val="24"/>
        </w:rPr>
      </w:pPr>
      <w:r w:rsidRPr="001441B5">
        <w:rPr>
          <w:rFonts w:ascii="Arial" w:hAnsi="Arial" w:cs="Arial"/>
          <w:sz w:val="24"/>
          <w:szCs w:val="24"/>
        </w:rPr>
        <w:t xml:space="preserve">Nothing's expansion has followed a consistent pattern: exporting, layered with indirect-export retail partnerships, increasingly supplemented by contract manufacturing in strategically important markets. In 2021-2022 it entered 41 countries via direct D2C export, avoiding markets like the US and Canada where it lacked carrier relationships (Android Central, 2022). It later added retail partnerships, Flipkart and Croma in India, Best Buy in North America, without surrendering brand ownership (Storyboard18, 2025), and only in India has it moved into contract manufacturing, reportedly evaluating a ₹1,000 crore joint venture there (Storyboard18, 2025). This reflects centrally-coordinated global sourcing and a consistent make-or-buy decision </w:t>
      </w:r>
      <w:r w:rsidR="006C3056" w:rsidRPr="001441B5">
        <w:rPr>
          <w:rFonts w:ascii="Arial" w:hAnsi="Arial" w:cs="Arial"/>
          <w:sz w:val="24"/>
          <w:szCs w:val="24"/>
        </w:rPr>
        <w:t>favouring</w:t>
      </w:r>
      <w:r w:rsidRPr="001441B5">
        <w:rPr>
          <w:rFonts w:ascii="Arial" w:hAnsi="Arial" w:cs="Arial"/>
          <w:sz w:val="24"/>
          <w:szCs w:val="24"/>
        </w:rPr>
        <w:t xml:space="preserve"> buy: Nothing has never licensed, franchised, or owned foreign manufacturing, illustrating Hill's (2023) proposition that firms whose advantage rests on brand and design, rather than easily-imitated processes, can safely use indirect channels without the control risk licensing would carry.</w:t>
      </w:r>
    </w:p>
    <w:p w14:paraId="0C7C507A" w14:textId="77777777" w:rsidR="006E1A34" w:rsidRPr="001441B5" w:rsidRDefault="006E1A34" w:rsidP="001441B5">
      <w:pPr>
        <w:pStyle w:val="Heading3"/>
        <w:spacing w:line="360" w:lineRule="auto"/>
        <w:rPr>
          <w:rFonts w:ascii="Arial" w:hAnsi="Arial" w:cs="Arial"/>
        </w:rPr>
      </w:pPr>
      <w:bookmarkStart w:id="29" w:name="_Toc235435362"/>
      <w:bookmarkStart w:id="30" w:name="_Toc237462056"/>
      <w:r w:rsidRPr="001441B5">
        <w:rPr>
          <w:rFonts w:ascii="Arial" w:hAnsi="Arial" w:cs="Arial"/>
        </w:rPr>
        <w:t>Benchmarking against comparable entrants</w:t>
      </w:r>
      <w:bookmarkEnd w:id="29"/>
      <w:bookmarkEnd w:id="30"/>
    </w:p>
    <w:p w14:paraId="3EFB19BB" w14:textId="172774D4" w:rsidR="00E135D0" w:rsidRPr="001441B5" w:rsidRDefault="00E135D0" w:rsidP="001441B5">
      <w:pPr>
        <w:spacing w:line="360" w:lineRule="auto"/>
        <w:jc w:val="both"/>
        <w:rPr>
          <w:rFonts w:ascii="Arial" w:hAnsi="Arial" w:cs="Arial"/>
          <w:sz w:val="24"/>
          <w:szCs w:val="24"/>
        </w:rPr>
      </w:pPr>
      <w:r w:rsidRPr="001441B5">
        <w:rPr>
          <w:rFonts w:ascii="Arial" w:hAnsi="Arial" w:cs="Arial"/>
          <w:sz w:val="24"/>
          <w:szCs w:val="24"/>
        </w:rPr>
        <w:t>Xiaomi's own Brazilian history offers a directly comparable case. In 2015, Xiaomi launched with immediate local manufacturing via Foxconn near São Paulo, pursuing an online-first model similar in spirit to Nothing's own, a decision to commit to FDI-level production before building the sales history that would normally justify it (</w:t>
      </w:r>
      <w:r w:rsidR="00C76047" w:rsidRPr="001441B5">
        <w:rPr>
          <w:rFonts w:ascii="Arial" w:hAnsi="Arial" w:cs="Arial"/>
          <w:sz w:val="24"/>
          <w:szCs w:val="24"/>
        </w:rPr>
        <w:t>Notebookcheck</w:t>
      </w:r>
      <w:r w:rsidRPr="001441B5">
        <w:rPr>
          <w:rFonts w:ascii="Arial" w:hAnsi="Arial" w:cs="Arial"/>
          <w:sz w:val="24"/>
          <w:szCs w:val="24"/>
        </w:rPr>
        <w:t>, 2015). When Brazil's economy deteriorated, Xiaomi exited entirely in late 2016 (HandWiki, 2026), later re-entering from 2019 at arm's length through distributor DL Eletrônicos, the same route HONOR chose for its January 2025 launch (GSMArena, 2019; Omdia, 2025; Forum Macao, 2025); OPPO (via distributor Multi, 2024) and vivo ("JOVI," 2025) followed the same low-commitment pattern (Omdia, 2025; Canalys, 2025).</w:t>
      </w:r>
    </w:p>
    <w:p w14:paraId="4B70A940" w14:textId="151F5C29" w:rsidR="005D1FF1" w:rsidRDefault="00674373" w:rsidP="001441B5">
      <w:pPr>
        <w:spacing w:line="360" w:lineRule="auto"/>
        <w:jc w:val="both"/>
        <w:rPr>
          <w:rFonts w:ascii="Arial" w:hAnsi="Arial" w:cs="Arial"/>
          <w:sz w:val="24"/>
          <w:szCs w:val="24"/>
        </w:rPr>
      </w:pPr>
      <w:r w:rsidRPr="001441B5">
        <w:rPr>
          <w:rFonts w:ascii="Arial" w:hAnsi="Arial" w:cs="Arial"/>
          <w:sz w:val="24"/>
          <w:szCs w:val="24"/>
        </w:rPr>
        <w:t xml:space="preserve">Xiaomi's trajectory offers both a lesson to avoid and a model to copy within one company's history: committing to local manufacturing ahead of validated demand left it with sunk </w:t>
      </w:r>
      <w:r w:rsidRPr="001441B5">
        <w:rPr>
          <w:rFonts w:ascii="Arial" w:hAnsi="Arial" w:cs="Arial"/>
          <w:sz w:val="24"/>
          <w:szCs w:val="24"/>
        </w:rPr>
        <w:lastRenderedPageBreak/>
        <w:t>capital exactly when conditions turned, a risk Nothing, with a far smaller balance sheet, can even less afford; its current distributor-based approach, now independently adopted by three further entrants, is the model to replicate. This gives Nothing's entry-mode decision a stronger evidential basis than analogy alone.</w:t>
      </w:r>
    </w:p>
    <w:p w14:paraId="1DD6B5F5" w14:textId="77777777" w:rsidR="00C76047" w:rsidRPr="001441B5" w:rsidRDefault="00C76047" w:rsidP="001441B5">
      <w:pPr>
        <w:spacing w:line="360" w:lineRule="auto"/>
        <w:jc w:val="both"/>
        <w:rPr>
          <w:rFonts w:ascii="Arial" w:hAnsi="Arial" w:cs="Arial"/>
          <w:sz w:val="24"/>
          <w:szCs w:val="24"/>
        </w:rPr>
      </w:pPr>
    </w:p>
    <w:p w14:paraId="7EBFFF2E" w14:textId="77777777" w:rsidR="001441B5" w:rsidRPr="001441B5" w:rsidRDefault="004B13D6" w:rsidP="001441B5">
      <w:pPr>
        <w:pStyle w:val="Heading3"/>
        <w:spacing w:line="360" w:lineRule="auto"/>
        <w:rPr>
          <w:rFonts w:ascii="Arial" w:hAnsi="Arial" w:cs="Arial"/>
        </w:rPr>
      </w:pPr>
      <w:bookmarkStart w:id="31" w:name="_Toc235435363"/>
      <w:bookmarkStart w:id="32" w:name="_Toc237462057"/>
      <w:r w:rsidRPr="001441B5">
        <w:rPr>
          <w:rFonts w:ascii="Arial" w:hAnsi="Arial" w:cs="Arial"/>
        </w:rPr>
        <w:t>Strategic fit and justification for Brazil</w:t>
      </w:r>
      <w:bookmarkEnd w:id="31"/>
      <w:bookmarkEnd w:id="32"/>
    </w:p>
    <w:p w14:paraId="577C12E2" w14:textId="0DCCD531" w:rsidR="00EB2C9D" w:rsidRPr="001441B5" w:rsidRDefault="00D12EA9" w:rsidP="001441B5">
      <w:pPr>
        <w:spacing w:line="360" w:lineRule="auto"/>
        <w:jc w:val="both"/>
        <w:rPr>
          <w:rFonts w:ascii="Arial" w:hAnsi="Arial" w:cs="Arial"/>
          <w:sz w:val="24"/>
          <w:szCs w:val="24"/>
        </w:rPr>
      </w:pPr>
      <w:r w:rsidRPr="00D12EA9">
        <w:rPr>
          <w:rFonts w:ascii="Arial" w:hAnsi="Arial" w:cs="Arial"/>
          <w:sz w:val="24"/>
          <w:szCs w:val="24"/>
        </w:rPr>
        <w:t>The export-plus-retail model suits Brazil short-term, but the tax system penalizes imports relative to domestic assembly:</w:t>
      </w:r>
      <w:r w:rsidRPr="00D12EA9">
        <w:rPr>
          <w:sz w:val="24"/>
          <w:szCs w:val="24"/>
        </w:rPr>
        <w:t xml:space="preserve"> </w:t>
      </w:r>
      <w:r w:rsidR="00EB2C9D" w:rsidRPr="001441B5">
        <w:rPr>
          <w:rFonts w:ascii="Arial" w:hAnsi="Arial" w:cs="Arial"/>
          <w:sz w:val="24"/>
          <w:szCs w:val="24"/>
        </w:rPr>
        <w:t>Samsung and Motorola's combined 55-64% share rests on decades of Manaus investment (Omdia, 2025; Accio, 2026), leaving Nothing's locally damaged import price tag verdict in landed-cost-disadvantage territory. However, three elements continue to count against stage-setting. First, risk: uncertainty surrounding an election year and currency volatility are both impractical reasons for making any early commitment and low-cost exit (the flexibility Xiaomi did not have in 2016) is maintained by exporting (Wild &amp; Wild, 2023). Second, resource allocation: Nothing's lifetime funding of about $450M is chicken feed for Xiaomi or Samsung (Tracxn, 2026), and an ill-timed Manaus investment could rehash the margin overextension when Phone pricing outstripped cost base (Mohammed, 2025). Third, control versus flexibility: a distributor arrangement provides customs expertise without subsidiary fixed costs, though this must be weighed against reduced control over retail execution and consumer data, a genuine trade-off rather than a free option.</w:t>
      </w:r>
    </w:p>
    <w:p w14:paraId="752A490B" w14:textId="77777777" w:rsidR="00D75C3C" w:rsidRDefault="00D75C3C" w:rsidP="001441B5">
      <w:pPr>
        <w:spacing w:line="360" w:lineRule="auto"/>
        <w:jc w:val="both"/>
        <w:rPr>
          <w:rFonts w:ascii="Arial" w:hAnsi="Arial" w:cs="Arial"/>
          <w:sz w:val="24"/>
          <w:szCs w:val="24"/>
        </w:rPr>
      </w:pPr>
      <w:r w:rsidRPr="001441B5">
        <w:rPr>
          <w:rFonts w:ascii="Arial" w:hAnsi="Arial" w:cs="Arial"/>
          <w:sz w:val="24"/>
          <w:szCs w:val="24"/>
        </w:rPr>
        <w:t>This environment is well read through VUCA (volatility, uncertainty, complexity, ambiguity) (Bennett and Lemoine, 2014): Brazil shows volatility in rates and currency, uncertainty around the election, complexity in its tax cascade, and ambiguity in Nothing's own timeline, four distinct problems that a single "risky market" label would otherwise collapse into one.</w:t>
      </w:r>
    </w:p>
    <w:p w14:paraId="37E64B88" w14:textId="77777777" w:rsidR="005B6FA7" w:rsidRDefault="00977A83" w:rsidP="005B6FA7">
      <w:pPr>
        <w:keepNext/>
        <w:spacing w:line="360" w:lineRule="auto"/>
        <w:jc w:val="center"/>
      </w:pPr>
      <w:r w:rsidRPr="00C750E5">
        <w:rPr>
          <w:noProof/>
        </w:rPr>
        <w:lastRenderedPageBreak/>
        <w:drawing>
          <wp:inline distT="0" distB="0" distL="0" distR="0" wp14:anchorId="0AB23D60" wp14:editId="72E94BF0">
            <wp:extent cx="4213860" cy="130486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254610" cy="1317487"/>
                    </a:xfrm>
                    <a:prstGeom prst="rect">
                      <a:avLst/>
                    </a:prstGeom>
                  </pic:spPr>
                </pic:pic>
              </a:graphicData>
            </a:graphic>
          </wp:inline>
        </w:drawing>
      </w:r>
    </w:p>
    <w:p w14:paraId="29B5E467" w14:textId="02026365" w:rsidR="00977A83" w:rsidRPr="001441B5" w:rsidRDefault="005B6FA7" w:rsidP="005B6FA7">
      <w:pPr>
        <w:pStyle w:val="Caption"/>
        <w:jc w:val="center"/>
        <w:rPr>
          <w:rFonts w:ascii="Arial" w:hAnsi="Arial" w:cs="Arial"/>
          <w:sz w:val="24"/>
          <w:szCs w:val="24"/>
        </w:rPr>
      </w:pPr>
      <w:r>
        <w:t xml:space="preserve">Figure </w:t>
      </w:r>
      <w:r w:rsidR="00253FC3">
        <w:fldChar w:fldCharType="begin"/>
      </w:r>
      <w:r w:rsidR="00253FC3">
        <w:instrText xml:space="preserve"> SEQ Figure \* ARABIC </w:instrText>
      </w:r>
      <w:r w:rsidR="00253FC3">
        <w:fldChar w:fldCharType="separate"/>
      </w:r>
      <w:r w:rsidR="0077341C">
        <w:rPr>
          <w:noProof/>
        </w:rPr>
        <w:t>9</w:t>
      </w:r>
      <w:r w:rsidR="00253FC3">
        <w:rPr>
          <w:noProof/>
        </w:rPr>
        <w:fldChar w:fldCharType="end"/>
      </w:r>
      <w:r>
        <w:t xml:space="preserve"> VUCA </w:t>
      </w:r>
      <w:r w:rsidRPr="00BD1613">
        <w:t>framework</w:t>
      </w:r>
    </w:p>
    <w:p w14:paraId="7455EF7B" w14:textId="77777777" w:rsidR="002D0D3C" w:rsidRDefault="002D0D3C" w:rsidP="001441B5">
      <w:pPr>
        <w:spacing w:line="360" w:lineRule="auto"/>
        <w:jc w:val="both"/>
        <w:rPr>
          <w:rFonts w:ascii="Arial" w:hAnsi="Arial" w:cs="Arial"/>
          <w:sz w:val="24"/>
          <w:szCs w:val="24"/>
        </w:rPr>
      </w:pPr>
      <w:r w:rsidRPr="001441B5">
        <w:rPr>
          <w:rFonts w:ascii="Arial" w:hAnsi="Arial" w:cs="Arial"/>
          <w:sz w:val="24"/>
          <w:szCs w:val="24"/>
        </w:rPr>
        <w:t>Cynefin's distinction between complicated problems (solvable through expert analysis, cause and effect knowable in advance) and complex problems (requiring experimentation, since cause and effect are only clear in retrospect) (Snowden and Boone, 2007) sharpens this further: tax compliance is complicated and solvable via a partner, while building Brazilian brand trust is genuinely complex, requiring probe-sense-respond experimentation rather than upfront planning, since no amount of prior analysis can substitute for observing how Brazilian consumers actually respond to the brand once it launches.</w:t>
      </w:r>
    </w:p>
    <w:p w14:paraId="58374CC2" w14:textId="77777777" w:rsidR="00B41123" w:rsidRDefault="00B41123" w:rsidP="001441B5">
      <w:pPr>
        <w:spacing w:line="360" w:lineRule="auto"/>
        <w:jc w:val="both"/>
        <w:rPr>
          <w:rFonts w:ascii="Arial" w:hAnsi="Arial" w:cs="Arial"/>
          <w:sz w:val="24"/>
          <w:szCs w:val="24"/>
        </w:rPr>
      </w:pPr>
    </w:p>
    <w:p w14:paraId="7E067A8D" w14:textId="77777777" w:rsidR="00F51CFA" w:rsidRDefault="00B41123" w:rsidP="00F51CFA">
      <w:pPr>
        <w:keepNext/>
        <w:spacing w:line="360" w:lineRule="auto"/>
        <w:jc w:val="center"/>
      </w:pPr>
      <w:r w:rsidRPr="009835A3">
        <w:rPr>
          <w:noProof/>
        </w:rPr>
        <w:drawing>
          <wp:inline distT="0" distB="0" distL="0" distR="0" wp14:anchorId="111CE6B7" wp14:editId="1CCBBA2C">
            <wp:extent cx="2590800" cy="223714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596536" cy="2242101"/>
                    </a:xfrm>
                    <a:prstGeom prst="rect">
                      <a:avLst/>
                    </a:prstGeom>
                  </pic:spPr>
                </pic:pic>
              </a:graphicData>
            </a:graphic>
          </wp:inline>
        </w:drawing>
      </w:r>
    </w:p>
    <w:p w14:paraId="7D697704" w14:textId="5B266946" w:rsidR="00B41123" w:rsidRPr="001441B5" w:rsidRDefault="00F51CFA" w:rsidP="00F51CFA">
      <w:pPr>
        <w:pStyle w:val="Caption"/>
        <w:jc w:val="center"/>
        <w:rPr>
          <w:rFonts w:ascii="Arial" w:hAnsi="Arial" w:cs="Arial"/>
          <w:sz w:val="24"/>
          <w:szCs w:val="24"/>
        </w:rPr>
      </w:pPr>
      <w:r>
        <w:t xml:space="preserve">Figure </w:t>
      </w:r>
      <w:r w:rsidR="00253FC3">
        <w:fldChar w:fldCharType="begin"/>
      </w:r>
      <w:r w:rsidR="00253FC3">
        <w:instrText xml:space="preserve"> SEQ Figure \* ARABIC </w:instrText>
      </w:r>
      <w:r w:rsidR="00253FC3">
        <w:fldChar w:fldCharType="separate"/>
      </w:r>
      <w:r w:rsidR="0077341C">
        <w:rPr>
          <w:noProof/>
        </w:rPr>
        <w:t>10</w:t>
      </w:r>
      <w:r w:rsidR="00253FC3">
        <w:rPr>
          <w:noProof/>
        </w:rPr>
        <w:fldChar w:fldCharType="end"/>
      </w:r>
      <w:r>
        <w:t xml:space="preserve"> </w:t>
      </w:r>
      <w:r w:rsidRPr="001136B2">
        <w:t>cynefin framework</w:t>
      </w:r>
    </w:p>
    <w:p w14:paraId="50122C7D" w14:textId="77777777" w:rsidR="00944B22" w:rsidRPr="001441B5" w:rsidRDefault="00944B22" w:rsidP="001441B5">
      <w:pPr>
        <w:spacing w:line="360" w:lineRule="auto"/>
        <w:jc w:val="both"/>
        <w:rPr>
          <w:rFonts w:ascii="Arial" w:hAnsi="Arial" w:cs="Arial"/>
          <w:sz w:val="24"/>
          <w:szCs w:val="24"/>
        </w:rPr>
      </w:pPr>
      <w:r w:rsidRPr="001441B5">
        <w:rPr>
          <w:rFonts w:ascii="Arial" w:hAnsi="Arial" w:cs="Arial"/>
          <w:sz w:val="24"/>
          <w:szCs w:val="24"/>
        </w:rPr>
        <w:t>This maps onto Heifetz's (1994) technical-versus-adaptive challenge distinction: the distributor resolves the technical challenge, while adaptively learning an unfamiliar market requires organizational learning Nothing's UK- and India-honed management has not yet built for Latin America, a genuine capability gap rather than a mere resourcing question.</w:t>
      </w:r>
    </w:p>
    <w:p w14:paraId="74DD779E" w14:textId="01E7EFEA" w:rsidR="00F32E85" w:rsidRDefault="00944B22" w:rsidP="001441B5">
      <w:pPr>
        <w:spacing w:line="360" w:lineRule="auto"/>
        <w:jc w:val="both"/>
        <w:rPr>
          <w:rFonts w:ascii="Arial" w:hAnsi="Arial" w:cs="Arial"/>
          <w:sz w:val="24"/>
          <w:szCs w:val="24"/>
        </w:rPr>
      </w:pPr>
      <w:r w:rsidRPr="001441B5">
        <w:rPr>
          <w:rFonts w:ascii="Arial" w:hAnsi="Arial" w:cs="Arial"/>
          <w:sz w:val="24"/>
          <w:szCs w:val="24"/>
        </w:rPr>
        <w:lastRenderedPageBreak/>
        <w:t xml:space="preserve">Long-term fit </w:t>
      </w:r>
      <w:r w:rsidR="002D7BDC" w:rsidRPr="001441B5">
        <w:rPr>
          <w:rFonts w:ascii="Arial" w:hAnsi="Arial" w:cs="Arial"/>
          <w:sz w:val="24"/>
          <w:szCs w:val="24"/>
        </w:rPr>
        <w:t>favours</w:t>
      </w:r>
      <w:r w:rsidRPr="001441B5">
        <w:rPr>
          <w:rFonts w:ascii="Arial" w:hAnsi="Arial" w:cs="Arial"/>
          <w:sz w:val="24"/>
          <w:szCs w:val="24"/>
        </w:rPr>
        <w:t xml:space="preserve"> staging, though not costlessly: permanent direct export leaves Nothing structurally uncompetitive on cost indefinitely, while immediate Manaus FDI would repeat the mismatch between commitment and market knowledge that both the location test and Xiaomi's experience warn against (Dunning, 1988). There is also a defensive rationale under Knickerbocker's (1973) logic: entering now, cautiously, secures a foothold before rivals further entrench their own distributor relationships.</w:t>
      </w:r>
    </w:p>
    <w:p w14:paraId="4E6B5AB3" w14:textId="77777777" w:rsidR="00C76047" w:rsidRPr="001441B5" w:rsidRDefault="00C76047" w:rsidP="001441B5">
      <w:pPr>
        <w:spacing w:line="360" w:lineRule="auto"/>
        <w:jc w:val="both"/>
        <w:rPr>
          <w:rFonts w:ascii="Arial" w:hAnsi="Arial" w:cs="Arial"/>
          <w:sz w:val="24"/>
          <w:szCs w:val="24"/>
        </w:rPr>
      </w:pPr>
    </w:p>
    <w:p w14:paraId="6726C0E5" w14:textId="77777777" w:rsidR="00CF5840" w:rsidRPr="001441B5" w:rsidRDefault="00CF5840" w:rsidP="00CF5840">
      <w:pPr>
        <w:pStyle w:val="Heading3"/>
        <w:spacing w:line="360" w:lineRule="auto"/>
        <w:rPr>
          <w:rFonts w:ascii="Arial" w:hAnsi="Arial" w:cs="Arial"/>
        </w:rPr>
      </w:pPr>
      <w:bookmarkStart w:id="33" w:name="_Toc235435364"/>
      <w:bookmarkStart w:id="34" w:name="_Toc237462058"/>
      <w:r w:rsidRPr="001441B5">
        <w:rPr>
          <w:rFonts w:ascii="Arial" w:hAnsi="Arial" w:cs="Arial"/>
        </w:rPr>
        <w:t>Recommendations</w:t>
      </w:r>
      <w:bookmarkEnd w:id="33"/>
      <w:bookmarkEnd w:id="34"/>
    </w:p>
    <w:p w14:paraId="2721B57D" w14:textId="77777777" w:rsidR="00AD2816" w:rsidRPr="001441B5" w:rsidRDefault="00AD2816" w:rsidP="001441B5">
      <w:pPr>
        <w:spacing w:line="360" w:lineRule="auto"/>
        <w:jc w:val="both"/>
        <w:rPr>
          <w:rFonts w:ascii="Arial" w:hAnsi="Arial" w:cs="Arial"/>
          <w:sz w:val="24"/>
          <w:szCs w:val="24"/>
        </w:rPr>
      </w:pPr>
      <w:r w:rsidRPr="001441B5">
        <w:rPr>
          <w:rFonts w:ascii="Arial" w:hAnsi="Arial" w:cs="Arial"/>
          <w:sz w:val="24"/>
          <w:szCs w:val="24"/>
        </w:rPr>
        <w:t>This report makes four related recommendations rather than one, since distinct decisions across financing, legal protection and timing should not be collapsed together.</w:t>
      </w:r>
    </w:p>
    <w:p w14:paraId="533C3488" w14:textId="2F098B3B" w:rsidR="00AD2816" w:rsidRPr="001441B5" w:rsidRDefault="00AD2816" w:rsidP="001441B5">
      <w:pPr>
        <w:spacing w:line="360" w:lineRule="auto"/>
        <w:jc w:val="both"/>
        <w:rPr>
          <w:rFonts w:ascii="Arial" w:hAnsi="Arial" w:cs="Arial"/>
          <w:sz w:val="24"/>
          <w:szCs w:val="24"/>
        </w:rPr>
      </w:pPr>
      <w:r w:rsidRPr="001441B5">
        <w:rPr>
          <w:rFonts w:ascii="Arial" w:hAnsi="Arial" w:cs="Arial"/>
          <w:sz w:val="24"/>
          <w:szCs w:val="24"/>
        </w:rPr>
        <w:t>First,</w:t>
      </w:r>
      <w:r w:rsidR="000E7F17">
        <w:rPr>
          <w:rFonts w:ascii="Arial" w:hAnsi="Arial" w:cs="Arial"/>
          <w:sz w:val="24"/>
          <w:szCs w:val="24"/>
        </w:rPr>
        <w:t xml:space="preserve"> </w:t>
      </w:r>
      <w:r w:rsidRPr="000E7F17">
        <w:rPr>
          <w:rFonts w:ascii="Arial" w:hAnsi="Arial" w:cs="Arial"/>
          <w:sz w:val="24"/>
          <w:szCs w:val="24"/>
        </w:rPr>
        <w:t>Nothing</w:t>
      </w:r>
      <w:r w:rsidR="000E7F17">
        <w:rPr>
          <w:rFonts w:ascii="Arial" w:hAnsi="Arial" w:cs="Arial"/>
          <w:sz w:val="24"/>
          <w:szCs w:val="24"/>
        </w:rPr>
        <w:t xml:space="preserve"> </w:t>
      </w:r>
      <w:r w:rsidRPr="001441B5">
        <w:rPr>
          <w:rFonts w:ascii="Arial" w:hAnsi="Arial" w:cs="Arial"/>
          <w:sz w:val="24"/>
          <w:szCs w:val="24"/>
        </w:rPr>
        <w:t>should enter via indirect exporting through a single, well-capitalized distributor, mirroring DL Eletrônicos' role for Xiaomi and HONOR, retaining full internalization of brand and design while outsourcing customs and logistics where local knowledge is decisive.</w:t>
      </w:r>
    </w:p>
    <w:p w14:paraId="1BA010FC" w14:textId="338324B0" w:rsidR="008B25F8" w:rsidRPr="001441B5" w:rsidRDefault="008B25F8" w:rsidP="001441B5">
      <w:pPr>
        <w:spacing w:line="360" w:lineRule="auto"/>
        <w:jc w:val="both"/>
        <w:rPr>
          <w:rFonts w:ascii="Arial" w:hAnsi="Arial" w:cs="Arial"/>
          <w:sz w:val="24"/>
          <w:szCs w:val="24"/>
        </w:rPr>
      </w:pPr>
      <w:r w:rsidRPr="001441B5">
        <w:rPr>
          <w:rFonts w:ascii="Arial" w:hAnsi="Arial" w:cs="Arial"/>
          <w:sz w:val="24"/>
          <w:szCs w:val="24"/>
        </w:rPr>
        <w:t xml:space="preserve">Second, </w:t>
      </w:r>
      <w:r w:rsidR="00F51CFA">
        <w:rPr>
          <w:rFonts w:ascii="Arial" w:hAnsi="Arial" w:cs="Arial"/>
          <w:sz w:val="24"/>
          <w:szCs w:val="24"/>
        </w:rPr>
        <w:t>“</w:t>
      </w:r>
      <w:r w:rsidRPr="001441B5">
        <w:rPr>
          <w:rFonts w:ascii="Arial" w:hAnsi="Arial" w:cs="Arial"/>
          <w:sz w:val="24"/>
          <w:szCs w:val="24"/>
        </w:rPr>
        <w:t>Nothing</w:t>
      </w:r>
      <w:r w:rsidR="00F51CFA">
        <w:rPr>
          <w:rFonts w:ascii="Arial" w:hAnsi="Arial" w:cs="Arial"/>
          <w:sz w:val="24"/>
          <w:szCs w:val="24"/>
        </w:rPr>
        <w:t>”</w:t>
      </w:r>
      <w:r w:rsidRPr="001441B5">
        <w:rPr>
          <w:rFonts w:ascii="Arial" w:hAnsi="Arial" w:cs="Arial"/>
          <w:sz w:val="24"/>
          <w:szCs w:val="24"/>
        </w:rPr>
        <w:t xml:space="preserve"> should file INPI trademark and design-patent protection before any launch announcement and budget for active enforcement against existing gray-market resellers, a comparatively low-cost step given the immediacy of the brand-dilution risk identified above.</w:t>
      </w:r>
    </w:p>
    <w:p w14:paraId="66B864EB" w14:textId="336F6EBF" w:rsidR="008B25F8" w:rsidRPr="001441B5" w:rsidRDefault="008B25F8" w:rsidP="001441B5">
      <w:pPr>
        <w:spacing w:line="360" w:lineRule="auto"/>
        <w:jc w:val="both"/>
        <w:rPr>
          <w:rFonts w:ascii="Arial" w:hAnsi="Arial" w:cs="Arial"/>
          <w:sz w:val="24"/>
          <w:szCs w:val="24"/>
        </w:rPr>
      </w:pPr>
      <w:r w:rsidRPr="001441B5">
        <w:rPr>
          <w:rFonts w:ascii="Arial" w:hAnsi="Arial" w:cs="Arial"/>
          <w:sz w:val="24"/>
          <w:szCs w:val="24"/>
        </w:rPr>
        <w:t>Third,</w:t>
      </w:r>
      <w:r w:rsidR="000E7F17">
        <w:rPr>
          <w:rFonts w:ascii="Arial" w:hAnsi="Arial" w:cs="Arial"/>
          <w:sz w:val="24"/>
          <w:szCs w:val="24"/>
        </w:rPr>
        <w:t xml:space="preserve"> </w:t>
      </w:r>
      <w:r w:rsidRPr="001441B5">
        <w:rPr>
          <w:rFonts w:ascii="Arial" w:hAnsi="Arial" w:cs="Arial"/>
          <w:sz w:val="24"/>
          <w:szCs w:val="24"/>
        </w:rPr>
        <w:t>Nothing should manage real-currency exposure explicitly through conservative local pricing and forward contracts agreed with its distributor, since this exposure is structural to an export-based model, not a one-off risk.</w:t>
      </w:r>
    </w:p>
    <w:p w14:paraId="5E50BAF9" w14:textId="7EF8D0BE" w:rsidR="0013602C" w:rsidRDefault="008B25F8" w:rsidP="001441B5">
      <w:pPr>
        <w:spacing w:line="360" w:lineRule="auto"/>
        <w:jc w:val="both"/>
        <w:rPr>
          <w:rFonts w:ascii="Arial" w:hAnsi="Arial" w:cs="Arial"/>
          <w:sz w:val="24"/>
          <w:szCs w:val="24"/>
        </w:rPr>
      </w:pPr>
      <w:r w:rsidRPr="001441B5">
        <w:rPr>
          <w:rFonts w:ascii="Arial" w:hAnsi="Arial" w:cs="Arial"/>
          <w:sz w:val="24"/>
          <w:szCs w:val="24"/>
        </w:rPr>
        <w:t>Fourth, Nothing should treat the distributor model as a two-to-three-year validation phase with a pre-agreed, metrics-based trigger, sustained quarterly sell-through above a defined threshold, or market share sustained over two years, for graduating to Manaus assembly, contingent on the 2026 tax reform preserving a meaningful incentive, as early indications suggest (Novatrade Brasil, 2026). Validate first, localize later is consistent with Nothing's staged pattern in every market to date, and with Xiaomi's own history in this exact one.</w:t>
      </w:r>
    </w:p>
    <w:p w14:paraId="6981FB16" w14:textId="77777777" w:rsidR="006C3056" w:rsidRPr="001441B5" w:rsidRDefault="006C3056" w:rsidP="001441B5">
      <w:pPr>
        <w:spacing w:line="360" w:lineRule="auto"/>
        <w:jc w:val="both"/>
        <w:rPr>
          <w:rFonts w:ascii="Arial" w:hAnsi="Arial" w:cs="Arial"/>
          <w:sz w:val="24"/>
          <w:szCs w:val="24"/>
        </w:rPr>
      </w:pPr>
    </w:p>
    <w:p w14:paraId="0E73F890" w14:textId="5A21CB81" w:rsidR="00737EE4" w:rsidRDefault="00737EE4" w:rsidP="00737EE4">
      <w:pPr>
        <w:pStyle w:val="Heading1"/>
        <w:spacing w:before="200" w:after="200" w:line="360" w:lineRule="auto"/>
        <w:rPr>
          <w:b/>
          <w:bCs/>
          <w:sz w:val="30"/>
          <w:szCs w:val="30"/>
        </w:rPr>
      </w:pPr>
      <w:bookmarkStart w:id="35" w:name="_Toc235435365"/>
      <w:bookmarkStart w:id="36" w:name="_Toc237462059"/>
      <w:r>
        <w:rPr>
          <w:b/>
          <w:bCs/>
          <w:sz w:val="30"/>
          <w:szCs w:val="30"/>
        </w:rPr>
        <w:lastRenderedPageBreak/>
        <w:t>SECTION 2: REFLECTIVE ACCOUNT (Gibbs Reflective Cycle)</w:t>
      </w:r>
      <w:bookmarkEnd w:id="35"/>
      <w:bookmarkEnd w:id="36"/>
    </w:p>
    <w:p w14:paraId="5C0E8BB9" w14:textId="77777777" w:rsidR="003805ED" w:rsidRDefault="003805ED" w:rsidP="003805ED">
      <w:pPr>
        <w:keepNext/>
        <w:jc w:val="center"/>
      </w:pPr>
      <w:r>
        <w:rPr>
          <w:noProof/>
        </w:rPr>
        <w:drawing>
          <wp:inline distT="0" distB="0" distL="0" distR="0" wp14:anchorId="392C3693" wp14:editId="70366B88">
            <wp:extent cx="3383280" cy="3383280"/>
            <wp:effectExtent l="0" t="0" r="762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383280" cy="3383280"/>
                    </a:xfrm>
                    <a:prstGeom prst="rect">
                      <a:avLst/>
                    </a:prstGeom>
                  </pic:spPr>
                </pic:pic>
              </a:graphicData>
            </a:graphic>
          </wp:inline>
        </w:drawing>
      </w:r>
    </w:p>
    <w:p w14:paraId="35131C2A" w14:textId="342486C6" w:rsidR="003805ED" w:rsidRDefault="003805ED" w:rsidP="003805ED">
      <w:pPr>
        <w:pStyle w:val="Caption"/>
        <w:jc w:val="center"/>
      </w:pPr>
      <w:r>
        <w:t xml:space="preserve">Figure </w:t>
      </w:r>
      <w:r w:rsidR="00F61FD3">
        <w:fldChar w:fldCharType="begin"/>
      </w:r>
      <w:r w:rsidR="00F61FD3">
        <w:instrText xml:space="preserve"> SEQ Figure \* ARABIC </w:instrText>
      </w:r>
      <w:r w:rsidR="00F61FD3">
        <w:fldChar w:fldCharType="separate"/>
      </w:r>
      <w:r w:rsidR="0077341C">
        <w:rPr>
          <w:noProof/>
        </w:rPr>
        <w:t>11</w:t>
      </w:r>
      <w:r w:rsidR="00F61FD3">
        <w:rPr>
          <w:noProof/>
        </w:rPr>
        <w:fldChar w:fldCharType="end"/>
      </w:r>
      <w:r>
        <w:t xml:space="preserve"> </w:t>
      </w:r>
      <w:r w:rsidRPr="008927B7">
        <w:t>Gibbs Reflective Cycle</w:t>
      </w:r>
      <w:r>
        <w:t xml:space="preserve"> by author</w:t>
      </w:r>
    </w:p>
    <w:p w14:paraId="4ECAFB11" w14:textId="77777777" w:rsidR="003805ED" w:rsidRDefault="003805ED" w:rsidP="003805ED"/>
    <w:p w14:paraId="547099E1" w14:textId="77777777" w:rsidR="00646EE4" w:rsidRPr="00646EE4" w:rsidRDefault="007D54E2" w:rsidP="00646EE4">
      <w:pPr>
        <w:pStyle w:val="Heading2"/>
        <w:spacing w:line="360" w:lineRule="auto"/>
        <w:rPr>
          <w:rFonts w:ascii="Arial" w:hAnsi="Arial" w:cs="Arial"/>
        </w:rPr>
      </w:pPr>
      <w:bookmarkStart w:id="37" w:name="_Toc235435366"/>
      <w:bookmarkStart w:id="38" w:name="_Toc237462060"/>
      <w:r w:rsidRPr="00646EE4">
        <w:rPr>
          <w:rFonts w:ascii="Arial" w:hAnsi="Arial" w:cs="Arial"/>
        </w:rPr>
        <w:t>Description</w:t>
      </w:r>
      <w:bookmarkEnd w:id="37"/>
      <w:bookmarkEnd w:id="38"/>
    </w:p>
    <w:p w14:paraId="24B9E424" w14:textId="362780B3" w:rsidR="00920A95" w:rsidRPr="00646EE4" w:rsidRDefault="00920A95" w:rsidP="00646EE4">
      <w:pPr>
        <w:spacing w:line="360" w:lineRule="auto"/>
        <w:jc w:val="both"/>
        <w:rPr>
          <w:rFonts w:ascii="Arial" w:hAnsi="Arial" w:cs="Arial"/>
          <w:sz w:val="24"/>
          <w:szCs w:val="24"/>
        </w:rPr>
      </w:pPr>
      <w:r w:rsidRPr="00646EE4">
        <w:rPr>
          <w:rFonts w:ascii="Arial" w:hAnsi="Arial" w:cs="Arial"/>
          <w:sz w:val="24"/>
          <w:szCs w:val="24"/>
        </w:rPr>
        <w:t xml:space="preserve">This </w:t>
      </w:r>
      <w:r w:rsidR="007F499A">
        <w:rPr>
          <w:rFonts w:ascii="Arial" w:hAnsi="Arial" w:cs="Arial"/>
          <w:sz w:val="24"/>
          <w:szCs w:val="24"/>
        </w:rPr>
        <w:t xml:space="preserve">assessment </w:t>
      </w:r>
      <w:r w:rsidRPr="00646EE4">
        <w:rPr>
          <w:rFonts w:ascii="Arial" w:hAnsi="Arial" w:cs="Arial"/>
          <w:sz w:val="24"/>
          <w:szCs w:val="24"/>
        </w:rPr>
        <w:t>required selecting a multinational firm with no significant presence in a target country and applying strategic classification, macro-environmental appraisal, Dunning's eclectic paradigm, and entry-mode theory to produce an evidence-based recommendation. For the brand, I originally was going to go for Canada but research was not needed as early investigation of Nothing Technology Limited clearly showed that they are already carried through Best Buy Canada, and have a localized site itself</w:t>
      </w:r>
      <w:r w:rsidR="00823155">
        <w:rPr>
          <w:rFonts w:ascii="Arial" w:hAnsi="Arial" w:cs="Arial"/>
          <w:sz w:val="24"/>
          <w:szCs w:val="24"/>
        </w:rPr>
        <w:t>,</w:t>
      </w:r>
      <w:r w:rsidRPr="00646EE4">
        <w:rPr>
          <w:rFonts w:ascii="Arial" w:hAnsi="Arial" w:cs="Arial"/>
          <w:sz w:val="24"/>
          <w:szCs w:val="24"/>
        </w:rPr>
        <w:t xml:space="preserve"> </w:t>
      </w:r>
      <w:r w:rsidR="00B6148C">
        <w:rPr>
          <w:rFonts w:ascii="Arial" w:hAnsi="Arial" w:cs="Arial"/>
          <w:sz w:val="24"/>
          <w:szCs w:val="24"/>
        </w:rPr>
        <w:t>thus</w:t>
      </w:r>
      <w:r w:rsidRPr="00646EE4">
        <w:rPr>
          <w:rFonts w:ascii="Arial" w:hAnsi="Arial" w:cs="Arial"/>
          <w:sz w:val="24"/>
          <w:szCs w:val="24"/>
        </w:rPr>
        <w:t xml:space="preserve"> </w:t>
      </w:r>
      <w:r w:rsidR="00823155" w:rsidRPr="00646EE4">
        <w:rPr>
          <w:rFonts w:ascii="Arial" w:hAnsi="Arial" w:cs="Arial"/>
          <w:sz w:val="24"/>
          <w:szCs w:val="24"/>
        </w:rPr>
        <w:t>fail</w:t>
      </w:r>
      <w:r w:rsidR="00823155">
        <w:rPr>
          <w:rFonts w:ascii="Arial" w:hAnsi="Arial" w:cs="Arial"/>
          <w:sz w:val="24"/>
          <w:szCs w:val="24"/>
        </w:rPr>
        <w:t>ing</w:t>
      </w:r>
      <w:r w:rsidR="00823155" w:rsidRPr="00646EE4">
        <w:rPr>
          <w:rFonts w:ascii="Arial" w:hAnsi="Arial" w:cs="Arial"/>
          <w:sz w:val="24"/>
          <w:szCs w:val="24"/>
        </w:rPr>
        <w:t xml:space="preserve"> the</w:t>
      </w:r>
      <w:r w:rsidRPr="00646EE4">
        <w:rPr>
          <w:rFonts w:ascii="Arial" w:hAnsi="Arial" w:cs="Arial"/>
          <w:sz w:val="24"/>
          <w:szCs w:val="24"/>
        </w:rPr>
        <w:t xml:space="preserve"> "no significant presence" condition. I made a couple more passes, running for South Korea before going with Brazil after an April 2026 filing at ANATEL indicated it might soon see an entry but hadn't yet.</w:t>
      </w:r>
    </w:p>
    <w:p w14:paraId="43B59B8A" w14:textId="77777777" w:rsidR="003E6144" w:rsidRPr="00646EE4" w:rsidRDefault="003E6144" w:rsidP="003E6144">
      <w:pPr>
        <w:pStyle w:val="Heading2"/>
        <w:spacing w:line="360" w:lineRule="auto"/>
        <w:rPr>
          <w:rFonts w:ascii="Arial" w:hAnsi="Arial" w:cs="Arial"/>
        </w:rPr>
      </w:pPr>
      <w:bookmarkStart w:id="39" w:name="_Toc235435367"/>
      <w:bookmarkStart w:id="40" w:name="_Toc237462061"/>
      <w:r w:rsidRPr="00646EE4">
        <w:rPr>
          <w:rFonts w:ascii="Arial" w:hAnsi="Arial" w:cs="Arial"/>
        </w:rPr>
        <w:t>Feelings</w:t>
      </w:r>
      <w:bookmarkEnd w:id="39"/>
      <w:bookmarkEnd w:id="40"/>
    </w:p>
    <w:p w14:paraId="301201A6" w14:textId="615C8ABE" w:rsidR="009F2B5D" w:rsidRPr="00646EE4" w:rsidRDefault="009F2B5D" w:rsidP="009F2B5D">
      <w:pPr>
        <w:spacing w:line="360" w:lineRule="auto"/>
        <w:jc w:val="both"/>
        <w:rPr>
          <w:rFonts w:ascii="Arial" w:hAnsi="Arial" w:cs="Arial"/>
          <w:sz w:val="24"/>
          <w:szCs w:val="24"/>
        </w:rPr>
      </w:pPr>
      <w:r w:rsidRPr="00646EE4">
        <w:rPr>
          <w:rFonts w:ascii="Arial" w:hAnsi="Arial" w:cs="Arial"/>
          <w:sz w:val="24"/>
          <w:szCs w:val="24"/>
        </w:rPr>
        <w:t>My initial reaction to the Canada problem was mild frustration, having already begun structuring the as</w:t>
      </w:r>
      <w:r w:rsidR="00997F75">
        <w:rPr>
          <w:rFonts w:ascii="Arial" w:hAnsi="Arial" w:cs="Arial"/>
          <w:sz w:val="24"/>
          <w:szCs w:val="24"/>
        </w:rPr>
        <w:t>sessment</w:t>
      </w:r>
      <w:r w:rsidRPr="00646EE4">
        <w:rPr>
          <w:rFonts w:ascii="Arial" w:hAnsi="Arial" w:cs="Arial"/>
          <w:sz w:val="24"/>
          <w:szCs w:val="24"/>
        </w:rPr>
        <w:t xml:space="preserve"> around it</w:t>
      </w:r>
      <w:r w:rsidR="00330C25">
        <w:rPr>
          <w:rFonts w:ascii="Arial" w:hAnsi="Arial" w:cs="Arial"/>
          <w:sz w:val="24"/>
          <w:szCs w:val="24"/>
        </w:rPr>
        <w:t>.</w:t>
      </w:r>
      <w:r w:rsidRPr="00646EE4">
        <w:rPr>
          <w:rFonts w:ascii="Arial" w:hAnsi="Arial" w:cs="Arial"/>
          <w:sz w:val="24"/>
          <w:szCs w:val="24"/>
        </w:rPr>
        <w:t xml:space="preserve"> </w:t>
      </w:r>
      <w:r w:rsidR="00330C25" w:rsidRPr="00330C25">
        <w:rPr>
          <w:rFonts w:ascii="Arial" w:hAnsi="Arial" w:cs="Arial"/>
          <w:sz w:val="24"/>
          <w:szCs w:val="24"/>
        </w:rPr>
        <w:t>However, this gave way to a more useful realization</w:t>
      </w:r>
      <w:r w:rsidRPr="00646EE4">
        <w:rPr>
          <w:rFonts w:ascii="Arial" w:hAnsi="Arial" w:cs="Arial"/>
          <w:sz w:val="24"/>
          <w:szCs w:val="24"/>
        </w:rPr>
        <w:t xml:space="preserve">: </w:t>
      </w:r>
      <w:r w:rsidRPr="00646EE4">
        <w:rPr>
          <w:rFonts w:ascii="Arial" w:hAnsi="Arial" w:cs="Arial"/>
          <w:sz w:val="24"/>
          <w:szCs w:val="24"/>
        </w:rPr>
        <w:lastRenderedPageBreak/>
        <w:t xml:space="preserve">verifying a factual premise before </w:t>
      </w:r>
      <w:r w:rsidR="002D7BDC" w:rsidRPr="00646EE4">
        <w:rPr>
          <w:rFonts w:ascii="Arial" w:hAnsi="Arial" w:cs="Arial"/>
          <w:sz w:val="24"/>
          <w:szCs w:val="24"/>
        </w:rPr>
        <w:t>analysing</w:t>
      </w:r>
      <w:r w:rsidRPr="00646EE4">
        <w:rPr>
          <w:rFonts w:ascii="Arial" w:hAnsi="Arial" w:cs="Arial"/>
          <w:sz w:val="24"/>
          <w:szCs w:val="24"/>
        </w:rPr>
        <w:t xml:space="preserve"> it is itself a research skill. Widening the theoretical scope to draw on FDI, trade, marketing, value chain and leadership frameworks across the whole module initially felt overwhelming given how many overlapping models exist, but this settled into confidence that weaker-fitting theories could serve as contrast cases. Revising again for analytical depth, critical balance and concision was, in a different way, the most useful stage, forcing me to notice how many original points had been asserted rather than argued, and how much could be said more economically than I first assumed.</w:t>
      </w:r>
    </w:p>
    <w:p w14:paraId="272E16B6" w14:textId="77777777" w:rsidR="0091585D" w:rsidRPr="00646EE4" w:rsidRDefault="0091585D" w:rsidP="0091585D">
      <w:pPr>
        <w:pStyle w:val="Heading2"/>
        <w:spacing w:line="360" w:lineRule="auto"/>
        <w:rPr>
          <w:rFonts w:ascii="Arial" w:hAnsi="Arial" w:cs="Arial"/>
        </w:rPr>
      </w:pPr>
      <w:bookmarkStart w:id="41" w:name="_Toc235435368"/>
      <w:bookmarkStart w:id="42" w:name="_Toc237462062"/>
      <w:r w:rsidRPr="00646EE4">
        <w:rPr>
          <w:rFonts w:ascii="Arial" w:hAnsi="Arial" w:cs="Arial"/>
        </w:rPr>
        <w:t>Evaluation</w:t>
      </w:r>
      <w:bookmarkEnd w:id="41"/>
      <w:bookmarkEnd w:id="42"/>
    </w:p>
    <w:p w14:paraId="45993D6F" w14:textId="36C71DC0" w:rsidR="00445779" w:rsidRPr="00646EE4" w:rsidRDefault="00445779" w:rsidP="00445779">
      <w:pPr>
        <w:spacing w:line="360" w:lineRule="auto"/>
        <w:jc w:val="both"/>
        <w:rPr>
          <w:rFonts w:ascii="Arial" w:hAnsi="Arial" w:cs="Arial"/>
          <w:sz w:val="24"/>
          <w:szCs w:val="24"/>
        </w:rPr>
      </w:pPr>
      <w:r w:rsidRPr="00646EE4">
        <w:rPr>
          <w:rFonts w:ascii="Arial" w:hAnsi="Arial" w:cs="Arial"/>
          <w:sz w:val="24"/>
          <w:szCs w:val="24"/>
        </w:rPr>
        <w:t xml:space="preserve">Cross-referencing multiple independent sources before committing to the Brazil premise went well, and the Week 3 Siemens case under Peter Löscher usefully framed integration and responsiveness as a spectrum rather than four fixed boxes. More difficult was </w:t>
      </w:r>
      <w:r w:rsidR="00962485" w:rsidRPr="00962485">
        <w:rPr>
          <w:rFonts w:ascii="Arial" w:hAnsi="Arial" w:cs="Arial"/>
          <w:sz w:val="24"/>
          <w:szCs w:val="24"/>
        </w:rPr>
        <w:t>Synthesizing material across the module without it reading like a checklist proved more difficult. During revision, I had to ensure every theory named was explained</w:t>
      </w:r>
      <w:r w:rsidRPr="00646EE4">
        <w:rPr>
          <w:rFonts w:ascii="Arial" w:hAnsi="Arial" w:cs="Arial"/>
          <w:sz w:val="24"/>
          <w:szCs w:val="24"/>
        </w:rPr>
        <w:t xml:space="preserve">, not just cited, while keeping the whole report within a strict word limit. The brief's instruction to focus on what is "most relevant" was harder to </w:t>
      </w:r>
      <w:r w:rsidR="00962485" w:rsidRPr="00646EE4">
        <w:rPr>
          <w:rFonts w:ascii="Arial" w:hAnsi="Arial" w:cs="Arial"/>
          <w:sz w:val="24"/>
          <w:szCs w:val="24"/>
        </w:rPr>
        <w:t>honour</w:t>
      </w:r>
      <w:r w:rsidRPr="00646EE4">
        <w:rPr>
          <w:rFonts w:ascii="Arial" w:hAnsi="Arial" w:cs="Arial"/>
          <w:sz w:val="24"/>
          <w:szCs w:val="24"/>
        </w:rPr>
        <w:t xml:space="preserve"> as scope widened, since breadth pulls toward comprehensiveness while relevance and concision both pull toward selectivity; the discipline I adopted was letting one theory carry the main explanatory weight per subsection and using others only to qualify or contrast.</w:t>
      </w:r>
    </w:p>
    <w:p w14:paraId="3C15935D" w14:textId="77777777" w:rsidR="00E82E92" w:rsidRPr="00646EE4" w:rsidRDefault="00E82E92" w:rsidP="00E82E92">
      <w:pPr>
        <w:pStyle w:val="Heading2"/>
        <w:spacing w:line="360" w:lineRule="auto"/>
        <w:rPr>
          <w:rFonts w:ascii="Arial" w:hAnsi="Arial" w:cs="Arial"/>
        </w:rPr>
      </w:pPr>
      <w:bookmarkStart w:id="43" w:name="_Toc235435369"/>
      <w:bookmarkStart w:id="44" w:name="_Toc237462063"/>
      <w:r w:rsidRPr="00646EE4">
        <w:rPr>
          <w:rFonts w:ascii="Arial" w:hAnsi="Arial" w:cs="Arial"/>
        </w:rPr>
        <w:t>Analysis</w:t>
      </w:r>
      <w:bookmarkEnd w:id="43"/>
      <w:bookmarkEnd w:id="44"/>
    </w:p>
    <w:p w14:paraId="414CA733" w14:textId="77777777" w:rsidR="00E8244B" w:rsidRPr="00646EE4" w:rsidRDefault="00E8244B" w:rsidP="00E8244B">
      <w:pPr>
        <w:spacing w:line="360" w:lineRule="auto"/>
        <w:jc w:val="both"/>
        <w:rPr>
          <w:rFonts w:ascii="Arial" w:hAnsi="Arial" w:cs="Arial"/>
          <w:sz w:val="24"/>
          <w:szCs w:val="24"/>
        </w:rPr>
      </w:pPr>
      <w:r w:rsidRPr="00646EE4">
        <w:rPr>
          <w:rFonts w:ascii="Arial" w:hAnsi="Arial" w:cs="Arial"/>
          <w:sz w:val="24"/>
          <w:szCs w:val="24"/>
        </w:rPr>
        <w:t xml:space="preserve">Most of the module's FDI theories, industrial organization, internalization, location, product life cycle, oligopolistic reaction, are not independent explanations but different lenses on one decision, which Dunning's (1988) paradigm was built to integrate; recognizing this let me organize the macro-environmental section around OLI as the spine rather than treating each theory as a separate section. Revising for critical balance also showed me that my first draft presented several theories as applying cleanly when they needed an explicit limit stated, Hofstede's national scores applied to one consumer segment, or Porter's Diamond's verdict treated as firm-independent, to be genuinely critical rather than descriptive. Cynefin's complicated-versus-complex distinction similarly </w:t>
      </w:r>
      <w:r w:rsidRPr="00646EE4">
        <w:rPr>
          <w:rFonts w:ascii="Arial" w:hAnsi="Arial" w:cs="Arial"/>
          <w:sz w:val="24"/>
          <w:szCs w:val="24"/>
        </w:rPr>
        <w:lastRenderedPageBreak/>
        <w:t>gave me vocabulary for explaining staged entry as a theoretically-grounded response to uncertainty rather than a risk-averse default.</w:t>
      </w:r>
    </w:p>
    <w:p w14:paraId="40184B3B" w14:textId="77777777" w:rsidR="007F5722" w:rsidRPr="00646EE4" w:rsidRDefault="007F5722" w:rsidP="007F5722">
      <w:pPr>
        <w:pStyle w:val="Heading2"/>
        <w:spacing w:line="360" w:lineRule="auto"/>
        <w:rPr>
          <w:rFonts w:ascii="Arial" w:hAnsi="Arial" w:cs="Arial"/>
        </w:rPr>
      </w:pPr>
      <w:bookmarkStart w:id="45" w:name="_Toc235435370"/>
      <w:bookmarkStart w:id="46" w:name="_Toc237462064"/>
      <w:r w:rsidRPr="00646EE4">
        <w:rPr>
          <w:rFonts w:ascii="Arial" w:hAnsi="Arial" w:cs="Arial"/>
        </w:rPr>
        <w:t>Conclusion</w:t>
      </w:r>
      <w:bookmarkEnd w:id="45"/>
      <w:bookmarkEnd w:id="46"/>
    </w:p>
    <w:p w14:paraId="5DBD6720" w14:textId="528D647A" w:rsidR="00E45D80" w:rsidRPr="00E45D80" w:rsidRDefault="00E45D80" w:rsidP="00E45D80">
      <w:pPr>
        <w:spacing w:line="360" w:lineRule="auto"/>
        <w:jc w:val="both"/>
        <w:rPr>
          <w:rFonts w:ascii="Arial" w:hAnsi="Arial" w:cs="Arial"/>
          <w:sz w:val="24"/>
          <w:szCs w:val="24"/>
        </w:rPr>
      </w:pPr>
      <w:bookmarkStart w:id="47" w:name="_Toc235435371"/>
      <w:r w:rsidRPr="00E45D80">
        <w:rPr>
          <w:rFonts w:ascii="Arial" w:hAnsi="Arial" w:cs="Arial"/>
          <w:sz w:val="24"/>
          <w:szCs w:val="24"/>
        </w:rPr>
        <w:t xml:space="preserve">I learned that a well-evidenced, narrow factual claim is more useful than a broad, weak one, and that demonstrating understanding of a theory requires explaining its mechanism before applying it. I also learned that genuinely critical writing means actively seeking the contrasting case or the limitation of my own argument, and that word-count discipline is itself an analytical skill, forcing a choice about which point is doing real work rather than allowing every point equal space. A further lesson came from revising the same report across several rounds of feedback rather than writing it once: each round targeted a different weakness, structure, then theory coverage, then critical depth, then concision, and these are genuinely different skills that improve separately rather than a single "good writing" ability that either is or is not present. This matters beyond this </w:t>
      </w:r>
      <w:r w:rsidR="00584A76">
        <w:rPr>
          <w:rFonts w:ascii="Arial" w:hAnsi="Arial" w:cs="Arial"/>
          <w:sz w:val="24"/>
          <w:szCs w:val="24"/>
        </w:rPr>
        <w:t>assessmen</w:t>
      </w:r>
      <w:r w:rsidRPr="00E45D80">
        <w:rPr>
          <w:rFonts w:ascii="Arial" w:hAnsi="Arial" w:cs="Arial"/>
          <w:sz w:val="24"/>
          <w:szCs w:val="24"/>
        </w:rPr>
        <w:t>t, since the workplace analyses this module is preparing me for are rarely written once and submitted; they are drafted, challenged and cut, and treating a first draft as a starting point rather than a finished argument is a professional habit worth carrying forward.</w:t>
      </w:r>
    </w:p>
    <w:p w14:paraId="3C7C30DA" w14:textId="5F4E6674" w:rsidR="00646EE4" w:rsidRPr="00646EE4" w:rsidRDefault="00442E7F" w:rsidP="00646EE4">
      <w:pPr>
        <w:pStyle w:val="Heading2"/>
        <w:spacing w:line="360" w:lineRule="auto"/>
        <w:rPr>
          <w:rFonts w:ascii="Arial" w:hAnsi="Arial" w:cs="Arial"/>
        </w:rPr>
      </w:pPr>
      <w:bookmarkStart w:id="48" w:name="_Toc237462065"/>
      <w:r w:rsidRPr="00646EE4">
        <w:rPr>
          <w:rFonts w:ascii="Arial" w:hAnsi="Arial" w:cs="Arial"/>
        </w:rPr>
        <w:t>Action plan</w:t>
      </w:r>
      <w:bookmarkEnd w:id="47"/>
      <w:bookmarkEnd w:id="48"/>
    </w:p>
    <w:p w14:paraId="2C3C4D0C" w14:textId="1A5F7ADB" w:rsidR="0050212F" w:rsidRDefault="0050212F" w:rsidP="0050212F">
      <w:pPr>
        <w:spacing w:line="360" w:lineRule="auto"/>
        <w:jc w:val="both"/>
        <w:rPr>
          <w:rFonts w:ascii="Arial" w:eastAsia="Times New Roman" w:hAnsi="Arial" w:cs="Arial"/>
          <w:color w:val="000000"/>
          <w:sz w:val="24"/>
          <w:szCs w:val="24"/>
        </w:rPr>
      </w:pPr>
      <w:r w:rsidRPr="0050212F">
        <w:rPr>
          <w:rFonts w:ascii="Arial" w:eastAsia="Times New Roman" w:hAnsi="Arial" w:cs="Arial"/>
          <w:color w:val="000000"/>
          <w:sz w:val="24"/>
          <w:szCs w:val="24"/>
        </w:rPr>
        <w:t>In future ass</w:t>
      </w:r>
      <w:r w:rsidR="00C51476">
        <w:rPr>
          <w:rFonts w:ascii="Arial" w:eastAsia="Times New Roman" w:hAnsi="Arial" w:cs="Arial"/>
          <w:color w:val="000000"/>
          <w:sz w:val="24"/>
          <w:szCs w:val="24"/>
        </w:rPr>
        <w:t>essment</w:t>
      </w:r>
      <w:r w:rsidRPr="0050212F">
        <w:rPr>
          <w:rFonts w:ascii="Arial" w:eastAsia="Times New Roman" w:hAnsi="Arial" w:cs="Arial"/>
          <w:color w:val="000000"/>
          <w:sz w:val="24"/>
          <w:szCs w:val="24"/>
        </w:rPr>
        <w:t>s, I will build in an explicit fact-verification step before finalizing a company-country pairing. I will also draft each paragraph in a point-evidence-explanation-link structure from the outset, and set a running word budget per section as I draft, rather than adding depth first and cutting for length afterward. More specifically, I will build a short self-review checklist to run before submission: is every named theory explained rather than just cited, does each major section contain at least one explicit contrasting view, does any paragraph end on a bare citation rather than on analysis, and is the word count per section within budget, since this ass</w:t>
      </w:r>
      <w:r w:rsidR="00584A76">
        <w:rPr>
          <w:rFonts w:ascii="Arial" w:eastAsia="Times New Roman" w:hAnsi="Arial" w:cs="Arial"/>
          <w:color w:val="000000"/>
          <w:sz w:val="24"/>
          <w:szCs w:val="24"/>
        </w:rPr>
        <w:t>ess</w:t>
      </w:r>
      <w:r w:rsidR="00D601F5">
        <w:rPr>
          <w:rFonts w:ascii="Arial" w:eastAsia="Times New Roman" w:hAnsi="Arial" w:cs="Arial"/>
          <w:color w:val="000000"/>
          <w:sz w:val="24"/>
          <w:szCs w:val="24"/>
        </w:rPr>
        <w:t>ment</w:t>
      </w:r>
      <w:r w:rsidRPr="0050212F">
        <w:rPr>
          <w:rFonts w:ascii="Arial" w:eastAsia="Times New Roman" w:hAnsi="Arial" w:cs="Arial"/>
          <w:color w:val="000000"/>
          <w:sz w:val="24"/>
          <w:szCs w:val="24"/>
        </w:rPr>
        <w:t xml:space="preserve"> showed </w:t>
      </w:r>
      <w:r w:rsidR="00D601F5" w:rsidRPr="0050212F">
        <w:rPr>
          <w:rFonts w:ascii="Arial" w:eastAsia="Times New Roman" w:hAnsi="Arial" w:cs="Arial"/>
          <w:color w:val="000000"/>
          <w:sz w:val="24"/>
          <w:szCs w:val="24"/>
        </w:rPr>
        <w:t>me</w:t>
      </w:r>
      <w:r w:rsidR="00A106AB">
        <w:rPr>
          <w:rFonts w:ascii="Arial" w:eastAsia="Times New Roman" w:hAnsi="Arial" w:cs="Arial"/>
          <w:color w:val="000000"/>
          <w:sz w:val="24"/>
          <w:szCs w:val="24"/>
        </w:rPr>
        <w:t xml:space="preserve"> that</w:t>
      </w:r>
      <w:r w:rsidRPr="0050212F">
        <w:rPr>
          <w:rFonts w:ascii="Arial" w:eastAsia="Times New Roman" w:hAnsi="Arial" w:cs="Arial"/>
          <w:color w:val="000000"/>
          <w:sz w:val="24"/>
          <w:szCs w:val="24"/>
        </w:rPr>
        <w:t xml:space="preserve"> each is easy to miss when reviewing for content alone. I will also try to seek feedback earlier in the drafting process, since the most useful improvements this time, critical balance and the benchmarking comparison, came from feedback I would ideally want time to act on twice, not once.</w:t>
      </w:r>
    </w:p>
    <w:p w14:paraId="31AF4DF1" w14:textId="77777777" w:rsidR="00C025CF" w:rsidRDefault="00C025CF" w:rsidP="005B2E4C">
      <w:pPr>
        <w:pStyle w:val="NormalWeb"/>
      </w:pPr>
    </w:p>
    <w:p w14:paraId="2F8F19FB" w14:textId="77777777" w:rsidR="00811E3F" w:rsidRDefault="00811E3F" w:rsidP="00811E3F">
      <w:pPr>
        <w:pStyle w:val="Heading1"/>
        <w:spacing w:before="200" w:after="200" w:line="360" w:lineRule="auto"/>
      </w:pPr>
      <w:bookmarkStart w:id="49" w:name="_Toc235435372"/>
      <w:bookmarkStart w:id="50" w:name="_Toc237462066"/>
      <w:r>
        <w:rPr>
          <w:b/>
          <w:bCs/>
          <w:sz w:val="30"/>
          <w:szCs w:val="30"/>
        </w:rPr>
        <w:lastRenderedPageBreak/>
        <w:t>REFERENCE LIST</w:t>
      </w:r>
      <w:bookmarkEnd w:id="49"/>
      <w:bookmarkEnd w:id="50"/>
    </w:p>
    <w:p w14:paraId="1FE46FC7" w14:textId="77777777" w:rsidR="00811E3F" w:rsidRDefault="00811E3F" w:rsidP="00811E3F">
      <w:pPr>
        <w:spacing w:line="360" w:lineRule="auto"/>
        <w:ind w:left="720" w:hanging="720"/>
      </w:pPr>
      <w:r>
        <w:t xml:space="preserve">Accio, 2026. Best-Selling Smartphones in Brazil: 2026 Market Leaders. [online] Available at: </w:t>
      </w:r>
      <w:hyperlink r:id="rId23" w:history="1">
        <w:r>
          <w:rPr>
            <w:color w:val="0563C1"/>
            <w:u w:val="single"/>
          </w:rPr>
          <w:t>https://www.accio.com/business/best-selling-phone-in-brazil</w:t>
        </w:r>
      </w:hyperlink>
      <w:r>
        <w:t xml:space="preserve"> (Accessed: 17 July 2026).</w:t>
      </w:r>
    </w:p>
    <w:p w14:paraId="19A0E49C" w14:textId="77777777" w:rsidR="00811E3F" w:rsidRDefault="00811E3F" w:rsidP="00811E3F">
      <w:pPr>
        <w:spacing w:line="360" w:lineRule="auto"/>
        <w:ind w:left="720" w:hanging="720"/>
      </w:pPr>
      <w:r>
        <w:t xml:space="preserve">Allianz Trade, 2026. Brazil Country Risk Report. [online] Available at: </w:t>
      </w:r>
      <w:hyperlink r:id="rId24" w:history="1">
        <w:r>
          <w:rPr>
            <w:color w:val="0563C1"/>
            <w:u w:val="single"/>
          </w:rPr>
          <w:t>https://www.allianz-trade.com/en_global/economic-research/country-reports/Brazil.html</w:t>
        </w:r>
      </w:hyperlink>
      <w:r>
        <w:t xml:space="preserve"> (Accessed: 17 July 2026).</w:t>
      </w:r>
    </w:p>
    <w:p w14:paraId="4C6EFACE" w14:textId="77777777" w:rsidR="00811E3F" w:rsidRDefault="00811E3F" w:rsidP="00811E3F">
      <w:pPr>
        <w:spacing w:line="360" w:lineRule="auto"/>
        <w:ind w:left="720" w:hanging="720"/>
      </w:pPr>
      <w:r>
        <w:t xml:space="preserve">Android Central, 2022. What countries will the Nothing phone (1) be available in? [online] Available at: </w:t>
      </w:r>
      <w:hyperlink r:id="rId25" w:history="1">
        <w:r>
          <w:rPr>
            <w:color w:val="0563C1"/>
            <w:u w:val="single"/>
          </w:rPr>
          <w:t>https://www.androidcentral.com/phones/what-countries-will-the-nothing-phone-1-be-available-in</w:t>
        </w:r>
      </w:hyperlink>
      <w:r>
        <w:t xml:space="preserve"> (Accessed: 17 July 2026).</w:t>
      </w:r>
    </w:p>
    <w:p w14:paraId="58988B46" w14:textId="77777777" w:rsidR="00811E3F" w:rsidRDefault="00811E3F" w:rsidP="00811E3F">
      <w:pPr>
        <w:spacing w:line="360" w:lineRule="auto"/>
        <w:ind w:left="720" w:hanging="720"/>
      </w:pPr>
      <w:r>
        <w:t>Baines, P., Fill, C. and Page, K., 2008. Marketing. Oxford: Oxford University Press.</w:t>
      </w:r>
    </w:p>
    <w:p w14:paraId="6F23DF7B" w14:textId="77777777" w:rsidR="00811E3F" w:rsidRDefault="00811E3F" w:rsidP="00811E3F">
      <w:pPr>
        <w:spacing w:line="360" w:lineRule="auto"/>
        <w:ind w:left="720" w:hanging="720"/>
      </w:pPr>
      <w:r>
        <w:t>Bartlett, C.A. and Ghoshal, S., 1989. Managing Across Borders: The Transnational Solution. Boston: Harvard Business School Press.</w:t>
      </w:r>
    </w:p>
    <w:p w14:paraId="4E4176D5" w14:textId="77777777" w:rsidR="00811E3F" w:rsidRDefault="00811E3F" w:rsidP="00811E3F">
      <w:pPr>
        <w:spacing w:line="360" w:lineRule="auto"/>
        <w:ind w:left="720" w:hanging="720"/>
      </w:pPr>
      <w:r>
        <w:t>Bennett, N. and Lemoine, G.J., 2014. What VUCA really means for you. Harvard Business Review, 92(1/2), p.27.</w:t>
      </w:r>
    </w:p>
    <w:p w14:paraId="40789AAD" w14:textId="77777777" w:rsidR="00811E3F" w:rsidRDefault="00811E3F" w:rsidP="00811E3F">
      <w:pPr>
        <w:spacing w:line="360" w:lineRule="auto"/>
        <w:ind w:left="720" w:hanging="720"/>
      </w:pPr>
      <w:r>
        <w:t xml:space="preserve">BPC Partners, n.d. Exports to Brazil: Importation taxes in Brazil. [online] Available at: </w:t>
      </w:r>
      <w:hyperlink r:id="rId26" w:history="1">
        <w:r>
          <w:rPr>
            <w:color w:val="0563C1"/>
            <w:u w:val="single"/>
          </w:rPr>
          <w:t>https://bpc-partners.com/brazilian-taxes-what-you-need-to-know/exports-to-brazil/</w:t>
        </w:r>
      </w:hyperlink>
      <w:r>
        <w:t xml:space="preserve"> (Accessed: 17 July 2026).</w:t>
      </w:r>
    </w:p>
    <w:p w14:paraId="6DD2BBC2" w14:textId="77777777" w:rsidR="00811E3F" w:rsidRDefault="00811E3F" w:rsidP="00811E3F">
      <w:pPr>
        <w:spacing w:line="360" w:lineRule="auto"/>
        <w:ind w:left="720" w:hanging="720"/>
      </w:pPr>
      <w:r>
        <w:t>Buckley, P.J. and Casson, M., 1976. The Future of the Multinational Enterprise. London: Macmillan.</w:t>
      </w:r>
    </w:p>
    <w:p w14:paraId="4879E44F" w14:textId="77777777" w:rsidR="00811E3F" w:rsidRDefault="00811E3F" w:rsidP="00811E3F">
      <w:pPr>
        <w:spacing w:line="360" w:lineRule="auto"/>
        <w:ind w:left="720" w:hanging="720"/>
      </w:pPr>
      <w:r>
        <w:t xml:space="preserve">Canaltech, 2026. Nothing está vindo para o Brasil; 1º celular da marca é homologado na Anatel. [online] Available at: </w:t>
      </w:r>
      <w:hyperlink r:id="rId27" w:history="1">
        <w:r>
          <w:rPr>
            <w:color w:val="0563C1"/>
            <w:u w:val="single"/>
          </w:rPr>
          <w:t>https://canaltech.com.br/smartphone/nothing-esta-vindo-para-o-brasil-1o-celular-da-marca-e-homologado-na-anatel/</w:t>
        </w:r>
      </w:hyperlink>
      <w:r>
        <w:t xml:space="preserve"> (Accessed: 17 July 2026).</w:t>
      </w:r>
    </w:p>
    <w:p w14:paraId="073874A8" w14:textId="77777777" w:rsidR="00811E3F" w:rsidRDefault="00811E3F" w:rsidP="00811E3F">
      <w:pPr>
        <w:spacing w:line="360" w:lineRule="auto"/>
        <w:ind w:left="720" w:hanging="720"/>
      </w:pPr>
      <w:r>
        <w:t xml:space="preserve">Canalys, 2025. New entrants disrupt Brazil's smartphone market. [online] Available at: </w:t>
      </w:r>
      <w:hyperlink r:id="rId28" w:history="1">
        <w:r>
          <w:rPr>
            <w:color w:val="0563C1"/>
            <w:u w:val="single"/>
          </w:rPr>
          <w:t>https://www.canalys.com/insights/new-entrants-disrupt-brazil-s-smartphone-market</w:t>
        </w:r>
      </w:hyperlink>
      <w:r>
        <w:t xml:space="preserve"> (Accessed: 17 July 2026).</w:t>
      </w:r>
    </w:p>
    <w:p w14:paraId="1BE00F39" w14:textId="77777777" w:rsidR="00811E3F" w:rsidRDefault="00811E3F" w:rsidP="00811E3F">
      <w:pPr>
        <w:spacing w:line="360" w:lineRule="auto"/>
        <w:ind w:left="720" w:hanging="720"/>
      </w:pPr>
      <w:r>
        <w:t>Collinson, S., Narula, R. and Rugman, A.M., 2020. International Business. 8th ed. Essex: Pearson Education Limited.</w:t>
      </w:r>
    </w:p>
    <w:p w14:paraId="7DB4CE67" w14:textId="77777777" w:rsidR="00811E3F" w:rsidRDefault="00811E3F" w:rsidP="00811E3F">
      <w:pPr>
        <w:spacing w:line="360" w:lineRule="auto"/>
        <w:ind w:left="720" w:hanging="720"/>
      </w:pPr>
      <w:r>
        <w:t>Daniels, J.D., Radebaugh, L.H., Sullivan, D.P. and Click, R.W., 2022. International Business: Environments and Operations. 17th ed. Essex: Pearson Education Limited.</w:t>
      </w:r>
    </w:p>
    <w:p w14:paraId="1C5F3750" w14:textId="77777777" w:rsidR="00811E3F" w:rsidRDefault="00811E3F" w:rsidP="00811E3F">
      <w:pPr>
        <w:spacing w:line="360" w:lineRule="auto"/>
        <w:ind w:left="720" w:hanging="720"/>
      </w:pPr>
      <w:r>
        <w:lastRenderedPageBreak/>
        <w:t xml:space="preserve">DPAM Investments, 2025. Can Brazil balance politics and inflation ahead of the 2026 election? [online] Available at: </w:t>
      </w:r>
      <w:hyperlink r:id="rId29" w:history="1">
        <w:r>
          <w:rPr>
            <w:color w:val="0563C1"/>
            <w:u w:val="single"/>
          </w:rPr>
          <w:t>https://www.dpaminvestments.com/professional-intermediary/ch/en/angle/can-brazil-balance-politics-and-inflation</w:t>
        </w:r>
      </w:hyperlink>
      <w:r>
        <w:t xml:space="preserve"> (Accessed: 17 July 2026).</w:t>
      </w:r>
    </w:p>
    <w:p w14:paraId="0BD9AF23" w14:textId="77777777" w:rsidR="00811E3F" w:rsidRDefault="00811E3F" w:rsidP="00811E3F">
      <w:pPr>
        <w:spacing w:line="360" w:lineRule="auto"/>
        <w:ind w:left="720" w:hanging="720"/>
      </w:pPr>
      <w:r>
        <w:t xml:space="preserve">Dry Telecom, 2026. Nothing Phone 4a no Brasil: Preço, Data de Lançamento e Vale a Pena Comprar? [online] Available at: </w:t>
      </w:r>
      <w:hyperlink r:id="rId30" w:history="1">
        <w:r>
          <w:rPr>
            <w:color w:val="0563C1"/>
            <w:u w:val="single"/>
          </w:rPr>
          <w:t>https://drytelecom.com.br/artigo/nothing-phone-4a-no-brasil-preo-data-de-lanamento-e-vale-a-pena-comprar</w:t>
        </w:r>
      </w:hyperlink>
      <w:r>
        <w:t xml:space="preserve"> (Accessed: 17 July 2026).</w:t>
      </w:r>
    </w:p>
    <w:p w14:paraId="39209899" w14:textId="77777777" w:rsidR="00811E3F" w:rsidRDefault="00811E3F" w:rsidP="00811E3F">
      <w:pPr>
        <w:spacing w:line="360" w:lineRule="auto"/>
        <w:ind w:left="720" w:hanging="720"/>
      </w:pPr>
      <w:r>
        <w:t>Dunning, J.H., 1988. The eclectic paradigm of international production: A restatement and some possible extensions. Journal of International Business Studies, 19(1), pp.1-31.</w:t>
      </w:r>
    </w:p>
    <w:p w14:paraId="328AF8FA" w14:textId="77777777" w:rsidR="00811E3F" w:rsidRDefault="00811E3F" w:rsidP="00811E3F">
      <w:pPr>
        <w:spacing w:line="360" w:lineRule="auto"/>
        <w:ind w:left="720" w:hanging="720"/>
      </w:pPr>
      <w:r>
        <w:t xml:space="preserve">Forum Macao, 2025. Honor starts operations in Brazil. [online] Available at: </w:t>
      </w:r>
      <w:hyperlink r:id="rId31" w:history="1">
        <w:r>
          <w:rPr>
            <w:color w:val="0563C1"/>
            <w:u w:val="single"/>
          </w:rPr>
          <w:t>https://www.forumchinaplp.org.mo/en/economic_trade/view/8596</w:t>
        </w:r>
      </w:hyperlink>
      <w:r>
        <w:t xml:space="preserve"> (Accessed: 17 July 2026).</w:t>
      </w:r>
    </w:p>
    <w:p w14:paraId="187E6F08" w14:textId="77777777" w:rsidR="00811E3F" w:rsidRDefault="00811E3F" w:rsidP="00811E3F">
      <w:pPr>
        <w:spacing w:line="360" w:lineRule="auto"/>
        <w:ind w:left="720" w:hanging="720"/>
      </w:pPr>
      <w:r>
        <w:t>Gamble, J.E., Peteraf, M.A. and Thompson, A.A., 2015. Essentials of Strategic Management: The Quest for Competitive Advantage. 5th ed. New York: McGraw-Hill Education.</w:t>
      </w:r>
    </w:p>
    <w:p w14:paraId="45764213" w14:textId="77777777" w:rsidR="00811E3F" w:rsidRDefault="00811E3F" w:rsidP="00811E3F">
      <w:pPr>
        <w:spacing w:line="360" w:lineRule="auto"/>
        <w:ind w:left="720" w:hanging="720"/>
      </w:pPr>
      <w:r>
        <w:t>Gibbs, G., 1988. Learning by Doing: A Guide to Teaching and Learning Methods. Oxford: Further Education Unit, Oxford Polytechnic.</w:t>
      </w:r>
    </w:p>
    <w:p w14:paraId="64D1A745" w14:textId="77777777" w:rsidR="00811E3F" w:rsidRDefault="00811E3F" w:rsidP="00811E3F">
      <w:pPr>
        <w:spacing w:line="360" w:lineRule="auto"/>
        <w:ind w:left="720" w:hanging="720"/>
      </w:pPr>
      <w:r>
        <w:t>Griffin, R.W. and Pustay, M.W., 2020. International Business: A Managerial Perspective. Global ed., 9th ed. Harlow: Pearson.</w:t>
      </w:r>
    </w:p>
    <w:p w14:paraId="5A0AF023" w14:textId="77777777" w:rsidR="00811E3F" w:rsidRDefault="00811E3F" w:rsidP="00811E3F">
      <w:pPr>
        <w:spacing w:line="360" w:lineRule="auto"/>
        <w:ind w:left="720" w:hanging="720"/>
      </w:pPr>
      <w:r>
        <w:t xml:space="preserve">GSMArena, 2019. Xiaomi planning a return to Brazil. [online] Available at: </w:t>
      </w:r>
      <w:hyperlink r:id="rId32" w:history="1">
        <w:r>
          <w:rPr>
            <w:color w:val="0563C1"/>
            <w:u w:val="single"/>
          </w:rPr>
          <w:t>https://m.gsmarena.com/xiaomi_planning_a_return_to_brazil-news-36280.php</w:t>
        </w:r>
      </w:hyperlink>
      <w:r>
        <w:t xml:space="preserve"> (Accessed: 17 July 2026).</w:t>
      </w:r>
    </w:p>
    <w:p w14:paraId="70AB4208" w14:textId="77777777" w:rsidR="00811E3F" w:rsidRDefault="00811E3F" w:rsidP="00811E3F">
      <w:pPr>
        <w:spacing w:line="360" w:lineRule="auto"/>
        <w:ind w:left="720" w:hanging="720"/>
      </w:pPr>
      <w:r>
        <w:t xml:space="preserve">HandWiki, 2026. Company: Xiaomi. [online] Available at: </w:t>
      </w:r>
      <w:hyperlink r:id="rId33" w:history="1">
        <w:r>
          <w:rPr>
            <w:color w:val="0563C1"/>
            <w:u w:val="single"/>
          </w:rPr>
          <w:t>https://handwiki.org/wiki/Company:Xiaomi</w:t>
        </w:r>
      </w:hyperlink>
      <w:r>
        <w:t xml:space="preserve"> (Accessed: 17 July 2026).</w:t>
      </w:r>
    </w:p>
    <w:p w14:paraId="75112C82" w14:textId="77777777" w:rsidR="00811E3F" w:rsidRDefault="00811E3F" w:rsidP="00811E3F">
      <w:pPr>
        <w:spacing w:line="360" w:lineRule="auto"/>
        <w:ind w:left="720" w:hanging="720"/>
      </w:pPr>
      <w:r>
        <w:t>Heifetz, R.A., 1994. Leadership Without Easy Answers. Cambridge, MA: Belknap Press of Harvard University Press.</w:t>
      </w:r>
    </w:p>
    <w:p w14:paraId="2EE55DF4" w14:textId="77777777" w:rsidR="00811E3F" w:rsidRDefault="00811E3F" w:rsidP="00811E3F">
      <w:pPr>
        <w:spacing w:line="360" w:lineRule="auto"/>
        <w:ind w:left="720" w:hanging="720"/>
      </w:pPr>
      <w:r>
        <w:t>Hill, C.W.L., 2023. International Business: Competing in the Global Marketplace. 14th ed. New York: McGraw-Hill.</w:t>
      </w:r>
    </w:p>
    <w:p w14:paraId="305234AE" w14:textId="77777777" w:rsidR="00811E3F" w:rsidRDefault="00811E3F" w:rsidP="00811E3F">
      <w:pPr>
        <w:spacing w:line="360" w:lineRule="auto"/>
        <w:ind w:left="720" w:hanging="720"/>
      </w:pPr>
      <w:r>
        <w:t>Hofstede, G., 2001. Culture's Consequences: Comparing Values, Behaviors, Institutions, and Organizations Across Nations. 2nd ed. Thousand Oaks: Sage Publications.</w:t>
      </w:r>
    </w:p>
    <w:p w14:paraId="5CBBC549" w14:textId="77777777" w:rsidR="00811E3F" w:rsidRDefault="00811E3F" w:rsidP="00811E3F">
      <w:pPr>
        <w:spacing w:line="360" w:lineRule="auto"/>
        <w:ind w:left="720" w:hanging="720"/>
      </w:pPr>
      <w:r>
        <w:lastRenderedPageBreak/>
        <w:t xml:space="preserve">Hofstede Insights, 2022. Country Comparison Tool. [online] Available at: </w:t>
      </w:r>
      <w:hyperlink r:id="rId34" w:history="1">
        <w:r>
          <w:rPr>
            <w:color w:val="0563C1"/>
            <w:u w:val="single"/>
          </w:rPr>
          <w:t>https://www.hofstede-insights.com/fi/product/compare-countries/</w:t>
        </w:r>
      </w:hyperlink>
      <w:r>
        <w:t xml:space="preserve"> (Accessed: 17 July 2026).</w:t>
      </w:r>
    </w:p>
    <w:p w14:paraId="2A8C65B3" w14:textId="77777777" w:rsidR="00811E3F" w:rsidRDefault="00811E3F" w:rsidP="00811E3F">
      <w:pPr>
        <w:spacing w:line="360" w:lineRule="auto"/>
        <w:ind w:left="720" w:hanging="720"/>
      </w:pPr>
      <w:r>
        <w:t>Hymer, S.H., 1976. The International Operations of National Firms: A Study of Direct Foreign Investment. Cambridge, MA: MIT Press.</w:t>
      </w:r>
    </w:p>
    <w:p w14:paraId="6726583F" w14:textId="77777777" w:rsidR="00811E3F" w:rsidRDefault="00811E3F" w:rsidP="00811E3F">
      <w:pPr>
        <w:spacing w:line="360" w:lineRule="auto"/>
        <w:ind w:left="720" w:hanging="720"/>
      </w:pPr>
      <w:r>
        <w:t>Jobber, D., 1998. Principles and Practice of Marketing. London: McGraw-Hill.</w:t>
      </w:r>
    </w:p>
    <w:p w14:paraId="45144905" w14:textId="77777777" w:rsidR="00811E3F" w:rsidRDefault="00811E3F" w:rsidP="00811E3F">
      <w:pPr>
        <w:spacing w:line="360" w:lineRule="auto"/>
        <w:ind w:left="720" w:hanging="720"/>
      </w:pPr>
      <w:r>
        <w:t>Knickerbocker, F.T., 1973. Oligopolistic Reaction and Multinational Enterprise. Boston: Division of Research, Harvard Business School.</w:t>
      </w:r>
    </w:p>
    <w:p w14:paraId="36422061" w14:textId="77777777" w:rsidR="00811E3F" w:rsidRDefault="00811E3F" w:rsidP="00811E3F">
      <w:pPr>
        <w:spacing w:line="360" w:lineRule="auto"/>
        <w:ind w:left="720" w:hanging="720"/>
      </w:pPr>
      <w:r>
        <w:t>Kotler, P., Keller, K.L., Brady, M., Goodman, M. and Hansen, T., 2013. Marketing Management. 2nd European ed. Harlow: Pearson.</w:t>
      </w:r>
    </w:p>
    <w:p w14:paraId="21E101BB" w14:textId="77777777" w:rsidR="00811E3F" w:rsidRDefault="00811E3F" w:rsidP="00811E3F">
      <w:pPr>
        <w:spacing w:line="360" w:lineRule="auto"/>
        <w:ind w:left="720" w:hanging="720"/>
      </w:pPr>
      <w:r>
        <w:t xml:space="preserve">Light Reading, 2025. Nothing is onto something. [online] Available at: </w:t>
      </w:r>
      <w:hyperlink r:id="rId35" w:history="1">
        <w:r>
          <w:rPr>
            <w:color w:val="0563C1"/>
            <w:u w:val="single"/>
          </w:rPr>
          <w:t>https://www.lightreading.com/smartphones-devices/nothing-is-onto-something</w:t>
        </w:r>
      </w:hyperlink>
      <w:r>
        <w:t xml:space="preserve"> (Accessed: 17 July 2026).</w:t>
      </w:r>
    </w:p>
    <w:p w14:paraId="500C2A44" w14:textId="77777777" w:rsidR="00811E3F" w:rsidRDefault="00811E3F" w:rsidP="00811E3F">
      <w:pPr>
        <w:spacing w:line="360" w:lineRule="auto"/>
        <w:ind w:left="720" w:hanging="720"/>
      </w:pPr>
      <w:r>
        <w:t>McDonald, M., 2004. Market Segmentation: How to Do It, How to Profit from It. Oxford: Butterworth-Heinemann.</w:t>
      </w:r>
    </w:p>
    <w:p w14:paraId="7DBE498B" w14:textId="77777777" w:rsidR="00811E3F" w:rsidRDefault="00811E3F" w:rsidP="00811E3F">
      <w:pPr>
        <w:spacing w:line="360" w:lineRule="auto"/>
        <w:ind w:left="720" w:hanging="720"/>
      </w:pPr>
      <w:r>
        <w:t xml:space="preserve">Mohammed, S., 2025. The Nothing Phone Saga: A Business Strategy Case Study. [online] Medium. Available at: </w:t>
      </w:r>
      <w:hyperlink r:id="rId36" w:history="1">
        <w:r>
          <w:rPr>
            <w:color w:val="0563C1"/>
            <w:u w:val="single"/>
          </w:rPr>
          <w:t>https://shahmm.medium.com/the-nothing-phone-saga-a-business-strategy-case-study-97d1494a168e</w:t>
        </w:r>
      </w:hyperlink>
      <w:r>
        <w:t xml:space="preserve"> (Accessed: 17 July 2026).</w:t>
      </w:r>
    </w:p>
    <w:p w14:paraId="08184758" w14:textId="77777777" w:rsidR="00811E3F" w:rsidRDefault="00811E3F" w:rsidP="00811E3F">
      <w:pPr>
        <w:spacing w:line="360" w:lineRule="auto"/>
        <w:ind w:left="720" w:hanging="720"/>
      </w:pPr>
      <w:r>
        <w:t xml:space="preserve">Notebookcheck, 2015. Xiaomi announces new CFO and expansion in Brazil. [online] Available at: </w:t>
      </w:r>
      <w:hyperlink r:id="rId37" w:history="1">
        <w:r>
          <w:rPr>
            <w:color w:val="0563C1"/>
            <w:u w:val="single"/>
          </w:rPr>
          <w:t>https://www.notebookcheck.net/Xiaomi-announces-new-CFO-and-expansion-in-Brazil.145888.0.html</w:t>
        </w:r>
      </w:hyperlink>
      <w:r>
        <w:t xml:space="preserve"> (Accessed: 17 July 2026).</w:t>
      </w:r>
    </w:p>
    <w:p w14:paraId="2675B989" w14:textId="77777777" w:rsidR="00811E3F" w:rsidRDefault="00811E3F" w:rsidP="00811E3F">
      <w:pPr>
        <w:spacing w:line="360" w:lineRule="auto"/>
        <w:ind w:left="720" w:hanging="720"/>
      </w:pPr>
      <w:r>
        <w:t xml:space="preserve">Novatrade Brasil, 2026. Brazil Import Duties 2026: Full Cost Breakdown + Tax Reform. [online] Available at: </w:t>
      </w:r>
      <w:hyperlink r:id="rId38" w:history="1">
        <w:r>
          <w:rPr>
            <w:color w:val="0563C1"/>
            <w:u w:val="single"/>
          </w:rPr>
          <w:t>https://novatradebrasil.com/en/import-duties-taxes-brazil/</w:t>
        </w:r>
      </w:hyperlink>
      <w:r>
        <w:t xml:space="preserve"> (Accessed: 17 July 2026).</w:t>
      </w:r>
    </w:p>
    <w:p w14:paraId="0D5B89F3" w14:textId="77777777" w:rsidR="00811E3F" w:rsidRDefault="00811E3F" w:rsidP="00811E3F">
      <w:pPr>
        <w:spacing w:line="360" w:lineRule="auto"/>
        <w:ind w:left="720" w:hanging="720"/>
      </w:pPr>
      <w:r>
        <w:t xml:space="preserve">OECD, 2026. Brazil: OECD Economic Outlook, Volume 2026 Issue 1. [online] Available at: </w:t>
      </w:r>
      <w:hyperlink r:id="rId39" w:history="1">
        <w:r>
          <w:rPr>
            <w:color w:val="0563C1"/>
            <w:u w:val="single"/>
          </w:rPr>
          <w:t>https://www.oecd.org/en/publications/2026/06/oecd-economic-outlook-volume-2026-issue-1_8be0dba6/full-report/brazil_f971a312.html</w:t>
        </w:r>
      </w:hyperlink>
      <w:r>
        <w:t xml:space="preserve"> (Accessed: 17 July 2026).</w:t>
      </w:r>
    </w:p>
    <w:p w14:paraId="0BC7E634" w14:textId="77777777" w:rsidR="00811E3F" w:rsidRDefault="00811E3F" w:rsidP="00811E3F">
      <w:pPr>
        <w:spacing w:line="360" w:lineRule="auto"/>
        <w:ind w:left="720" w:hanging="720"/>
      </w:pPr>
      <w:r>
        <w:t xml:space="preserve">Omdia (Informa), 2025. Brazil smartphone market in 2025. [online] Available at: </w:t>
      </w:r>
      <w:hyperlink r:id="rId40" w:history="1">
        <w:r>
          <w:rPr>
            <w:color w:val="0563C1"/>
            <w:u w:val="single"/>
          </w:rPr>
          <w:t>https://omdia.tech.informa.com/blogs/2025/april/brazil-smartphone-market-in-2025</w:t>
        </w:r>
      </w:hyperlink>
      <w:r>
        <w:t xml:space="preserve"> (Accessed: 17 July 2026).</w:t>
      </w:r>
    </w:p>
    <w:p w14:paraId="0ED711D7" w14:textId="77777777" w:rsidR="00811E3F" w:rsidRDefault="00811E3F" w:rsidP="00811E3F">
      <w:pPr>
        <w:spacing w:line="360" w:lineRule="auto"/>
        <w:ind w:left="720" w:hanging="720"/>
      </w:pPr>
      <w:r>
        <w:lastRenderedPageBreak/>
        <w:t>Perlmutter, H.V., 1969. The tortuous evolution of the multinational corporation. Columbia Journal of World Business, 4(1), pp.9-18.</w:t>
      </w:r>
    </w:p>
    <w:p w14:paraId="6BD41A61" w14:textId="77777777" w:rsidR="00811E3F" w:rsidRDefault="00811E3F" w:rsidP="00811E3F">
      <w:pPr>
        <w:spacing w:line="360" w:lineRule="auto"/>
        <w:ind w:left="720" w:hanging="720"/>
      </w:pPr>
      <w:r>
        <w:t>Porter, M.E., 1985. Competitive Advantage: Creating and Sustaining Superior Performance. New York: Free Press.</w:t>
      </w:r>
    </w:p>
    <w:p w14:paraId="4304DAB2" w14:textId="77777777" w:rsidR="00811E3F" w:rsidRDefault="00811E3F" w:rsidP="00811E3F">
      <w:pPr>
        <w:spacing w:line="360" w:lineRule="auto"/>
        <w:ind w:left="720" w:hanging="720"/>
      </w:pPr>
      <w:r>
        <w:t>Porter, M.E., 1990. The Competitive Advantage of Nations. New York: Free Press.</w:t>
      </w:r>
    </w:p>
    <w:p w14:paraId="2C46C864" w14:textId="77777777" w:rsidR="00811E3F" w:rsidRDefault="00811E3F" w:rsidP="00811E3F">
      <w:pPr>
        <w:spacing w:line="360" w:lineRule="auto"/>
        <w:ind w:left="720" w:hanging="720"/>
      </w:pPr>
      <w:r>
        <w:t>Ricardo, D., 1817. On the Principles of Political Economy and Taxation. London: John Murray.</w:t>
      </w:r>
    </w:p>
    <w:p w14:paraId="3282631F" w14:textId="77777777" w:rsidR="00811E3F" w:rsidRDefault="00811E3F" w:rsidP="00811E3F">
      <w:pPr>
        <w:spacing w:line="360" w:lineRule="auto"/>
        <w:ind w:left="720" w:hanging="720"/>
      </w:pPr>
      <w:r>
        <w:t>Smith, A., 1776. An Inquiry into the Nature and Causes of the Wealth of Nations. London: W. Strahan and T. Cadell.</w:t>
      </w:r>
    </w:p>
    <w:p w14:paraId="4F2157FB" w14:textId="77777777" w:rsidR="00811E3F" w:rsidRDefault="00811E3F" w:rsidP="00811E3F">
      <w:pPr>
        <w:spacing w:line="360" w:lineRule="auto"/>
        <w:ind w:left="720" w:hanging="720"/>
      </w:pPr>
      <w:r>
        <w:t>Snowden, D.J. and Boone, M.E., 2007. A leader's framework for decision making. Harvard Business Review, 85(11), pp.68-76.</w:t>
      </w:r>
    </w:p>
    <w:p w14:paraId="4D39091B" w14:textId="77777777" w:rsidR="00811E3F" w:rsidRDefault="00811E3F" w:rsidP="00811E3F">
      <w:pPr>
        <w:spacing w:line="360" w:lineRule="auto"/>
        <w:ind w:left="720" w:hanging="720"/>
      </w:pPr>
      <w:r>
        <w:t xml:space="preserve">Storyboard18, 2025. Nothing plans Rs 1,000 Crore JV; plans to make India global manufacturing hub. [online] Available at: </w:t>
      </w:r>
      <w:hyperlink r:id="rId41" w:history="1">
        <w:r>
          <w:rPr>
            <w:color w:val="0563C1"/>
            <w:u w:val="single"/>
          </w:rPr>
          <w:t>https://www.storyboard18.com/brand-marketing/nothing-plans-rs-1000-crore-jv-plans-to-make-india-global-manufacturing-hub-61644.htm</w:t>
        </w:r>
      </w:hyperlink>
      <w:r>
        <w:t xml:space="preserve"> (Accessed: 17 July 2026).</w:t>
      </w:r>
    </w:p>
    <w:p w14:paraId="201F313E" w14:textId="77777777" w:rsidR="00811E3F" w:rsidRDefault="00811E3F" w:rsidP="00811E3F">
      <w:pPr>
        <w:spacing w:line="360" w:lineRule="auto"/>
        <w:ind w:left="720" w:hanging="720"/>
      </w:pPr>
      <w:r>
        <w:t xml:space="preserve">Tracxn, 2026. Nothing: 2026 Company Profile, Team, Funding, Competitors &amp; Financials. [online] Available at: </w:t>
      </w:r>
      <w:hyperlink r:id="rId42" w:history="1">
        <w:r>
          <w:rPr>
            <w:color w:val="0563C1"/>
            <w:u w:val="single"/>
          </w:rPr>
          <w:t>https://tracxn.com/d/companies/nothing/</w:t>
        </w:r>
      </w:hyperlink>
      <w:r>
        <w:t xml:space="preserve"> (Accessed: 17 July 2026).</w:t>
      </w:r>
    </w:p>
    <w:p w14:paraId="67B0E898" w14:textId="77777777" w:rsidR="00811E3F" w:rsidRDefault="00811E3F" w:rsidP="00811E3F">
      <w:pPr>
        <w:spacing w:line="360" w:lineRule="auto"/>
        <w:ind w:left="720" w:hanging="720"/>
      </w:pPr>
      <w:r>
        <w:t>Vernon, R., 1966. International investment and international trade in the product cycle. Quarterly Journal of Economics, 80(2), pp.190-207.</w:t>
      </w:r>
    </w:p>
    <w:p w14:paraId="08D7FD98" w14:textId="77777777" w:rsidR="00811E3F" w:rsidRDefault="00811E3F" w:rsidP="00811E3F">
      <w:pPr>
        <w:spacing w:line="360" w:lineRule="auto"/>
        <w:ind w:left="720" w:hanging="720"/>
      </w:pPr>
      <w:r>
        <w:t xml:space="preserve">Wikipedia, 2026. Nothing (company). [online] Wikipedia. Available at: </w:t>
      </w:r>
      <w:hyperlink r:id="rId43" w:history="1">
        <w:r>
          <w:rPr>
            <w:color w:val="0563C1"/>
            <w:u w:val="single"/>
          </w:rPr>
          <w:t>https://en.wikipedia.org/wiki/Nothing_(company)</w:t>
        </w:r>
      </w:hyperlink>
      <w:r>
        <w:t xml:space="preserve"> (Accessed: 17 July 2026).</w:t>
      </w:r>
    </w:p>
    <w:p w14:paraId="612852AF" w14:textId="77777777" w:rsidR="00811E3F" w:rsidRDefault="00811E3F" w:rsidP="00811E3F">
      <w:pPr>
        <w:spacing w:line="360" w:lineRule="auto"/>
        <w:ind w:left="720" w:hanging="720"/>
      </w:pPr>
      <w:r>
        <w:t>Wild, J.J. and Wild, K.L., 2023. International Business: The Challenges of Globalization. 10th ed. Essex: Pearson Education Limited.</w:t>
      </w:r>
    </w:p>
    <w:p w14:paraId="217684BA" w14:textId="77777777" w:rsidR="00C025CF" w:rsidRDefault="00C025CF" w:rsidP="005B2E4C">
      <w:pPr>
        <w:pStyle w:val="NormalWeb"/>
      </w:pPr>
    </w:p>
    <w:p w14:paraId="463B1DF9" w14:textId="77777777" w:rsidR="005B2E4C" w:rsidRDefault="005B2E4C" w:rsidP="00E50C25">
      <w:pPr>
        <w:pStyle w:val="NormalWeb"/>
      </w:pPr>
    </w:p>
    <w:p w14:paraId="2568C8F9" w14:textId="77777777" w:rsidR="00E50C25" w:rsidRPr="00EB5A8A" w:rsidRDefault="00E50C25" w:rsidP="00EB5A8A">
      <w:pPr>
        <w:spacing w:line="360" w:lineRule="auto"/>
        <w:jc w:val="both"/>
        <w:rPr>
          <w:rFonts w:ascii="Arial" w:hAnsi="Arial" w:cs="Arial"/>
          <w:sz w:val="24"/>
          <w:szCs w:val="24"/>
        </w:rPr>
      </w:pPr>
    </w:p>
    <w:p w14:paraId="3803E672" w14:textId="77777777" w:rsidR="00894C68" w:rsidRDefault="00894C68"/>
    <w:sectPr w:rsidR="00894C68" w:rsidSect="00F443D3">
      <w:footerReference w:type="default" r:id="rId4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A8ACD" w14:textId="77777777" w:rsidR="00F85588" w:rsidRDefault="00F85588" w:rsidP="00F443D3">
      <w:pPr>
        <w:spacing w:after="0" w:line="240" w:lineRule="auto"/>
      </w:pPr>
      <w:r>
        <w:separator/>
      </w:r>
    </w:p>
  </w:endnote>
  <w:endnote w:type="continuationSeparator" w:id="0">
    <w:p w14:paraId="093D2432" w14:textId="77777777" w:rsidR="00F85588" w:rsidRDefault="00F85588" w:rsidP="00F443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7912471"/>
      <w:docPartObj>
        <w:docPartGallery w:val="Page Numbers (Bottom of Page)"/>
        <w:docPartUnique/>
      </w:docPartObj>
    </w:sdtPr>
    <w:sdtEndPr>
      <w:rPr>
        <w:noProof/>
      </w:rPr>
    </w:sdtEndPr>
    <w:sdtContent>
      <w:p w14:paraId="2307B423" w14:textId="19FF0A3F" w:rsidR="00F443D3" w:rsidRDefault="00F443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D4E2C1" w14:textId="77777777" w:rsidR="00F443D3" w:rsidRDefault="00F443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92C09" w14:textId="77777777" w:rsidR="00F85588" w:rsidRDefault="00F85588" w:rsidP="00F443D3">
      <w:pPr>
        <w:spacing w:after="0" w:line="240" w:lineRule="auto"/>
      </w:pPr>
      <w:r>
        <w:separator/>
      </w:r>
    </w:p>
  </w:footnote>
  <w:footnote w:type="continuationSeparator" w:id="0">
    <w:p w14:paraId="09748E42" w14:textId="77777777" w:rsidR="00F85588" w:rsidRDefault="00F85588" w:rsidP="00F443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2B6535"/>
    <w:multiLevelType w:val="hybridMultilevel"/>
    <w:tmpl w:val="EDAA5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9C755DB"/>
    <w:multiLevelType w:val="hybridMultilevel"/>
    <w:tmpl w:val="DD5ED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E254E83"/>
    <w:multiLevelType w:val="hybridMultilevel"/>
    <w:tmpl w:val="8E26F1B0"/>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1"/>
  </w:num>
  <w:num w:numId="2">
    <w:abstractNumId w:val="0"/>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D61"/>
    <w:rsid w:val="00002349"/>
    <w:rsid w:val="000030D7"/>
    <w:rsid w:val="00010647"/>
    <w:rsid w:val="0004135A"/>
    <w:rsid w:val="00053716"/>
    <w:rsid w:val="000730BA"/>
    <w:rsid w:val="000A0DD3"/>
    <w:rsid w:val="000A30A4"/>
    <w:rsid w:val="000C0CD3"/>
    <w:rsid w:val="000C0E81"/>
    <w:rsid w:val="000D616B"/>
    <w:rsid w:val="000E2D6E"/>
    <w:rsid w:val="000E7F17"/>
    <w:rsid w:val="00127C8E"/>
    <w:rsid w:val="00127EA3"/>
    <w:rsid w:val="0013602C"/>
    <w:rsid w:val="001441B5"/>
    <w:rsid w:val="00152258"/>
    <w:rsid w:val="00172C0D"/>
    <w:rsid w:val="001A0FFE"/>
    <w:rsid w:val="001B735C"/>
    <w:rsid w:val="00217245"/>
    <w:rsid w:val="00232AFD"/>
    <w:rsid w:val="00237CA3"/>
    <w:rsid w:val="00241DCA"/>
    <w:rsid w:val="00247369"/>
    <w:rsid w:val="00253FC3"/>
    <w:rsid w:val="00271C95"/>
    <w:rsid w:val="00273B0C"/>
    <w:rsid w:val="00275B4F"/>
    <w:rsid w:val="002A1E31"/>
    <w:rsid w:val="002B1334"/>
    <w:rsid w:val="002D0D3C"/>
    <w:rsid w:val="002D7BDC"/>
    <w:rsid w:val="002E23A3"/>
    <w:rsid w:val="002E3C28"/>
    <w:rsid w:val="002E6AD7"/>
    <w:rsid w:val="0030183F"/>
    <w:rsid w:val="00307C72"/>
    <w:rsid w:val="00330C25"/>
    <w:rsid w:val="00332C0C"/>
    <w:rsid w:val="00342355"/>
    <w:rsid w:val="003524AD"/>
    <w:rsid w:val="00353883"/>
    <w:rsid w:val="00355566"/>
    <w:rsid w:val="00376BBD"/>
    <w:rsid w:val="003805ED"/>
    <w:rsid w:val="003957FA"/>
    <w:rsid w:val="003C006D"/>
    <w:rsid w:val="003E6144"/>
    <w:rsid w:val="00442E7F"/>
    <w:rsid w:val="00445779"/>
    <w:rsid w:val="00467288"/>
    <w:rsid w:val="004B13D6"/>
    <w:rsid w:val="004C65D2"/>
    <w:rsid w:val="004D7D13"/>
    <w:rsid w:val="004F51A8"/>
    <w:rsid w:val="0050212F"/>
    <w:rsid w:val="00510219"/>
    <w:rsid w:val="00536742"/>
    <w:rsid w:val="00572A60"/>
    <w:rsid w:val="00584A76"/>
    <w:rsid w:val="005B2E4C"/>
    <w:rsid w:val="005B6FA7"/>
    <w:rsid w:val="005C591C"/>
    <w:rsid w:val="005C5FA5"/>
    <w:rsid w:val="005D1FF1"/>
    <w:rsid w:val="005E56D3"/>
    <w:rsid w:val="00605E99"/>
    <w:rsid w:val="00606C8F"/>
    <w:rsid w:val="00612EFA"/>
    <w:rsid w:val="00641CF7"/>
    <w:rsid w:val="00646EE4"/>
    <w:rsid w:val="006479E8"/>
    <w:rsid w:val="00655092"/>
    <w:rsid w:val="00657848"/>
    <w:rsid w:val="00657A7D"/>
    <w:rsid w:val="006712A0"/>
    <w:rsid w:val="00674373"/>
    <w:rsid w:val="006C3056"/>
    <w:rsid w:val="006D7050"/>
    <w:rsid w:val="006E1A34"/>
    <w:rsid w:val="00704ACE"/>
    <w:rsid w:val="00712175"/>
    <w:rsid w:val="00725DB1"/>
    <w:rsid w:val="00730706"/>
    <w:rsid w:val="00732101"/>
    <w:rsid w:val="00732226"/>
    <w:rsid w:val="00737EE4"/>
    <w:rsid w:val="0077341C"/>
    <w:rsid w:val="00787181"/>
    <w:rsid w:val="007B0113"/>
    <w:rsid w:val="007B5A8E"/>
    <w:rsid w:val="007B5EB4"/>
    <w:rsid w:val="007D54E2"/>
    <w:rsid w:val="007F499A"/>
    <w:rsid w:val="007F5722"/>
    <w:rsid w:val="00805E22"/>
    <w:rsid w:val="00811E3F"/>
    <w:rsid w:val="00823155"/>
    <w:rsid w:val="00840BFF"/>
    <w:rsid w:val="00867417"/>
    <w:rsid w:val="0087133A"/>
    <w:rsid w:val="00894C68"/>
    <w:rsid w:val="00895E43"/>
    <w:rsid w:val="008B25F8"/>
    <w:rsid w:val="0091585D"/>
    <w:rsid w:val="00920A95"/>
    <w:rsid w:val="00942B93"/>
    <w:rsid w:val="00944B22"/>
    <w:rsid w:val="00945E8A"/>
    <w:rsid w:val="00962485"/>
    <w:rsid w:val="00977A83"/>
    <w:rsid w:val="0098659C"/>
    <w:rsid w:val="00996E26"/>
    <w:rsid w:val="00997F75"/>
    <w:rsid w:val="009F05DA"/>
    <w:rsid w:val="009F2B5D"/>
    <w:rsid w:val="00A07935"/>
    <w:rsid w:val="00A106AB"/>
    <w:rsid w:val="00A16EB8"/>
    <w:rsid w:val="00A346A3"/>
    <w:rsid w:val="00A60CD2"/>
    <w:rsid w:val="00A60FC4"/>
    <w:rsid w:val="00AA3CA8"/>
    <w:rsid w:val="00AB3178"/>
    <w:rsid w:val="00AC5D61"/>
    <w:rsid w:val="00AD2816"/>
    <w:rsid w:val="00AE41B4"/>
    <w:rsid w:val="00AF26CE"/>
    <w:rsid w:val="00B117B6"/>
    <w:rsid w:val="00B2414A"/>
    <w:rsid w:val="00B41123"/>
    <w:rsid w:val="00B6148C"/>
    <w:rsid w:val="00B8708E"/>
    <w:rsid w:val="00BB3C18"/>
    <w:rsid w:val="00BE1F82"/>
    <w:rsid w:val="00BF1F43"/>
    <w:rsid w:val="00BF3D74"/>
    <w:rsid w:val="00C025CF"/>
    <w:rsid w:val="00C25142"/>
    <w:rsid w:val="00C27822"/>
    <w:rsid w:val="00C32025"/>
    <w:rsid w:val="00C4431A"/>
    <w:rsid w:val="00C51476"/>
    <w:rsid w:val="00C76047"/>
    <w:rsid w:val="00CE15E7"/>
    <w:rsid w:val="00CF5840"/>
    <w:rsid w:val="00D12EA9"/>
    <w:rsid w:val="00D223C7"/>
    <w:rsid w:val="00D52FDA"/>
    <w:rsid w:val="00D56F1B"/>
    <w:rsid w:val="00D601F5"/>
    <w:rsid w:val="00D7368B"/>
    <w:rsid w:val="00D75C3C"/>
    <w:rsid w:val="00DB099C"/>
    <w:rsid w:val="00DB6373"/>
    <w:rsid w:val="00DB7B83"/>
    <w:rsid w:val="00E10F62"/>
    <w:rsid w:val="00E135D0"/>
    <w:rsid w:val="00E45170"/>
    <w:rsid w:val="00E45D80"/>
    <w:rsid w:val="00E46896"/>
    <w:rsid w:val="00E50C25"/>
    <w:rsid w:val="00E803CC"/>
    <w:rsid w:val="00E8244B"/>
    <w:rsid w:val="00E827F2"/>
    <w:rsid w:val="00E82E92"/>
    <w:rsid w:val="00EA0B9B"/>
    <w:rsid w:val="00EA1640"/>
    <w:rsid w:val="00EB2C9D"/>
    <w:rsid w:val="00EB5A8A"/>
    <w:rsid w:val="00F12844"/>
    <w:rsid w:val="00F32E85"/>
    <w:rsid w:val="00F40786"/>
    <w:rsid w:val="00F443D3"/>
    <w:rsid w:val="00F51CFA"/>
    <w:rsid w:val="00F6116D"/>
    <w:rsid w:val="00F61FD3"/>
    <w:rsid w:val="00F638DA"/>
    <w:rsid w:val="00F658FC"/>
    <w:rsid w:val="00F773B4"/>
    <w:rsid w:val="00F85588"/>
    <w:rsid w:val="00FA6676"/>
    <w:rsid w:val="00FC059E"/>
    <w:rsid w:val="00FC68A9"/>
    <w:rsid w:val="00FD49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D2292"/>
  <w15:chartTrackingRefBased/>
  <w15:docId w15:val="{8953AA6F-C495-492C-ACF0-ABF525031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link w:val="Heading1Char"/>
    <w:uiPriority w:val="9"/>
    <w:qFormat/>
    <w:rsid w:val="00EB5A8A"/>
    <w:pPr>
      <w:spacing w:after="0" w:line="240" w:lineRule="auto"/>
      <w:outlineLvl w:val="0"/>
    </w:pPr>
    <w:rPr>
      <w:rFonts w:ascii="Arial" w:eastAsia="Arial" w:hAnsi="Arial" w:cs="Arial"/>
      <w:color w:val="2E74B5"/>
      <w:sz w:val="32"/>
      <w:szCs w:val="32"/>
    </w:rPr>
  </w:style>
  <w:style w:type="paragraph" w:styleId="Heading2">
    <w:name w:val="heading 2"/>
    <w:basedOn w:val="Normal"/>
    <w:next w:val="Normal"/>
    <w:link w:val="Heading2Char"/>
    <w:uiPriority w:val="9"/>
    <w:unhideWhenUsed/>
    <w:qFormat/>
    <w:rsid w:val="000D61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D616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B5A8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EB5A8A"/>
    <w:rPr>
      <w:rFonts w:ascii="Arial" w:eastAsia="Arial" w:hAnsi="Arial" w:cs="Arial"/>
      <w:color w:val="2E74B5"/>
      <w:sz w:val="32"/>
      <w:szCs w:val="32"/>
    </w:rPr>
  </w:style>
  <w:style w:type="character" w:customStyle="1" w:styleId="Heading2Char">
    <w:name w:val="Heading 2 Char"/>
    <w:basedOn w:val="DefaultParagraphFont"/>
    <w:link w:val="Heading2"/>
    <w:uiPriority w:val="9"/>
    <w:rsid w:val="000D616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D616B"/>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3957F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443D3"/>
    <w:pPr>
      <w:keepNext/>
      <w:keepLines/>
      <w:spacing w:before="240" w:line="259" w:lineRule="auto"/>
      <w:outlineLvl w:val="9"/>
    </w:pPr>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F443D3"/>
    <w:pPr>
      <w:spacing w:after="100"/>
    </w:pPr>
  </w:style>
  <w:style w:type="paragraph" w:styleId="TOC2">
    <w:name w:val="toc 2"/>
    <w:basedOn w:val="Normal"/>
    <w:next w:val="Normal"/>
    <w:autoRedefine/>
    <w:uiPriority w:val="39"/>
    <w:unhideWhenUsed/>
    <w:rsid w:val="00F443D3"/>
    <w:pPr>
      <w:spacing w:after="100"/>
      <w:ind w:left="220"/>
    </w:pPr>
  </w:style>
  <w:style w:type="paragraph" w:styleId="TOC3">
    <w:name w:val="toc 3"/>
    <w:basedOn w:val="Normal"/>
    <w:next w:val="Normal"/>
    <w:autoRedefine/>
    <w:uiPriority w:val="39"/>
    <w:unhideWhenUsed/>
    <w:rsid w:val="00F443D3"/>
    <w:pPr>
      <w:spacing w:after="100"/>
      <w:ind w:left="440"/>
    </w:pPr>
  </w:style>
  <w:style w:type="character" w:styleId="Hyperlink">
    <w:name w:val="Hyperlink"/>
    <w:basedOn w:val="DefaultParagraphFont"/>
    <w:uiPriority w:val="99"/>
    <w:unhideWhenUsed/>
    <w:rsid w:val="00F443D3"/>
    <w:rPr>
      <w:color w:val="0563C1" w:themeColor="hyperlink"/>
      <w:u w:val="single"/>
    </w:rPr>
  </w:style>
  <w:style w:type="paragraph" w:styleId="Header">
    <w:name w:val="header"/>
    <w:basedOn w:val="Normal"/>
    <w:link w:val="HeaderChar"/>
    <w:uiPriority w:val="99"/>
    <w:unhideWhenUsed/>
    <w:rsid w:val="00F443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43D3"/>
  </w:style>
  <w:style w:type="paragraph" w:styleId="Footer">
    <w:name w:val="footer"/>
    <w:basedOn w:val="Normal"/>
    <w:link w:val="FooterChar"/>
    <w:uiPriority w:val="99"/>
    <w:unhideWhenUsed/>
    <w:rsid w:val="00F443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43D3"/>
  </w:style>
  <w:style w:type="character" w:styleId="Strong">
    <w:name w:val="Strong"/>
    <w:basedOn w:val="DefaultParagraphFont"/>
    <w:uiPriority w:val="22"/>
    <w:qFormat/>
    <w:rsid w:val="00B2414A"/>
    <w:rPr>
      <w:b/>
      <w:bCs/>
    </w:rPr>
  </w:style>
  <w:style w:type="table" w:styleId="TableGrid">
    <w:name w:val="Table Grid"/>
    <w:basedOn w:val="TableNormal"/>
    <w:uiPriority w:val="39"/>
    <w:rsid w:val="00B241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link w:val="TitleChar"/>
    <w:uiPriority w:val="10"/>
    <w:qFormat/>
    <w:rsid w:val="00002349"/>
    <w:pPr>
      <w:spacing w:before="200" w:after="300" w:line="240" w:lineRule="auto"/>
    </w:pPr>
    <w:rPr>
      <w:rFonts w:ascii="Calibri" w:eastAsia="Calibri" w:hAnsi="Calibri" w:cs="Calibri"/>
      <w:b/>
      <w:bCs/>
      <w:color w:val="1F3864"/>
      <w:sz w:val="32"/>
      <w:szCs w:val="32"/>
    </w:rPr>
  </w:style>
  <w:style w:type="character" w:customStyle="1" w:styleId="TitleChar">
    <w:name w:val="Title Char"/>
    <w:basedOn w:val="DefaultParagraphFont"/>
    <w:link w:val="Title"/>
    <w:uiPriority w:val="10"/>
    <w:rsid w:val="00002349"/>
    <w:rPr>
      <w:rFonts w:ascii="Calibri" w:eastAsia="Calibri" w:hAnsi="Calibri" w:cs="Calibri"/>
      <w:b/>
      <w:bCs/>
      <w:color w:val="1F3864"/>
      <w:sz w:val="32"/>
      <w:szCs w:val="32"/>
    </w:rPr>
  </w:style>
  <w:style w:type="paragraph" w:styleId="ListParagraph">
    <w:name w:val="List Paragraph"/>
    <w:qFormat/>
    <w:rsid w:val="00002349"/>
    <w:pPr>
      <w:spacing w:after="0" w:line="240" w:lineRule="auto"/>
    </w:pPr>
    <w:rPr>
      <w:rFonts w:ascii="Arial" w:eastAsia="Arial" w:hAnsi="Arial" w:cs="Arial"/>
      <w:color w:val="4040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3281">
      <w:bodyDiv w:val="1"/>
      <w:marLeft w:val="0"/>
      <w:marRight w:val="0"/>
      <w:marTop w:val="0"/>
      <w:marBottom w:val="0"/>
      <w:divBdr>
        <w:top w:val="none" w:sz="0" w:space="0" w:color="auto"/>
        <w:left w:val="none" w:sz="0" w:space="0" w:color="auto"/>
        <w:bottom w:val="none" w:sz="0" w:space="0" w:color="auto"/>
        <w:right w:val="none" w:sz="0" w:space="0" w:color="auto"/>
      </w:divBdr>
    </w:div>
    <w:div w:id="126822644">
      <w:bodyDiv w:val="1"/>
      <w:marLeft w:val="0"/>
      <w:marRight w:val="0"/>
      <w:marTop w:val="0"/>
      <w:marBottom w:val="0"/>
      <w:divBdr>
        <w:top w:val="none" w:sz="0" w:space="0" w:color="auto"/>
        <w:left w:val="none" w:sz="0" w:space="0" w:color="auto"/>
        <w:bottom w:val="none" w:sz="0" w:space="0" w:color="auto"/>
        <w:right w:val="none" w:sz="0" w:space="0" w:color="auto"/>
      </w:divBdr>
    </w:div>
    <w:div w:id="265115133">
      <w:bodyDiv w:val="1"/>
      <w:marLeft w:val="0"/>
      <w:marRight w:val="0"/>
      <w:marTop w:val="0"/>
      <w:marBottom w:val="0"/>
      <w:divBdr>
        <w:top w:val="none" w:sz="0" w:space="0" w:color="auto"/>
        <w:left w:val="none" w:sz="0" w:space="0" w:color="auto"/>
        <w:bottom w:val="none" w:sz="0" w:space="0" w:color="auto"/>
        <w:right w:val="none" w:sz="0" w:space="0" w:color="auto"/>
      </w:divBdr>
    </w:div>
    <w:div w:id="510998337">
      <w:bodyDiv w:val="1"/>
      <w:marLeft w:val="0"/>
      <w:marRight w:val="0"/>
      <w:marTop w:val="0"/>
      <w:marBottom w:val="0"/>
      <w:divBdr>
        <w:top w:val="none" w:sz="0" w:space="0" w:color="auto"/>
        <w:left w:val="none" w:sz="0" w:space="0" w:color="auto"/>
        <w:bottom w:val="none" w:sz="0" w:space="0" w:color="auto"/>
        <w:right w:val="none" w:sz="0" w:space="0" w:color="auto"/>
      </w:divBdr>
    </w:div>
    <w:div w:id="565187554">
      <w:bodyDiv w:val="1"/>
      <w:marLeft w:val="0"/>
      <w:marRight w:val="0"/>
      <w:marTop w:val="0"/>
      <w:marBottom w:val="0"/>
      <w:divBdr>
        <w:top w:val="none" w:sz="0" w:space="0" w:color="auto"/>
        <w:left w:val="none" w:sz="0" w:space="0" w:color="auto"/>
        <w:bottom w:val="none" w:sz="0" w:space="0" w:color="auto"/>
        <w:right w:val="none" w:sz="0" w:space="0" w:color="auto"/>
      </w:divBdr>
    </w:div>
    <w:div w:id="639725499">
      <w:bodyDiv w:val="1"/>
      <w:marLeft w:val="0"/>
      <w:marRight w:val="0"/>
      <w:marTop w:val="0"/>
      <w:marBottom w:val="0"/>
      <w:divBdr>
        <w:top w:val="none" w:sz="0" w:space="0" w:color="auto"/>
        <w:left w:val="none" w:sz="0" w:space="0" w:color="auto"/>
        <w:bottom w:val="none" w:sz="0" w:space="0" w:color="auto"/>
        <w:right w:val="none" w:sz="0" w:space="0" w:color="auto"/>
      </w:divBdr>
    </w:div>
    <w:div w:id="670988799">
      <w:bodyDiv w:val="1"/>
      <w:marLeft w:val="0"/>
      <w:marRight w:val="0"/>
      <w:marTop w:val="0"/>
      <w:marBottom w:val="0"/>
      <w:divBdr>
        <w:top w:val="none" w:sz="0" w:space="0" w:color="auto"/>
        <w:left w:val="none" w:sz="0" w:space="0" w:color="auto"/>
        <w:bottom w:val="none" w:sz="0" w:space="0" w:color="auto"/>
        <w:right w:val="none" w:sz="0" w:space="0" w:color="auto"/>
      </w:divBdr>
    </w:div>
    <w:div w:id="752120183">
      <w:bodyDiv w:val="1"/>
      <w:marLeft w:val="0"/>
      <w:marRight w:val="0"/>
      <w:marTop w:val="0"/>
      <w:marBottom w:val="0"/>
      <w:divBdr>
        <w:top w:val="none" w:sz="0" w:space="0" w:color="auto"/>
        <w:left w:val="none" w:sz="0" w:space="0" w:color="auto"/>
        <w:bottom w:val="none" w:sz="0" w:space="0" w:color="auto"/>
        <w:right w:val="none" w:sz="0" w:space="0" w:color="auto"/>
      </w:divBdr>
    </w:div>
    <w:div w:id="1009404318">
      <w:bodyDiv w:val="1"/>
      <w:marLeft w:val="0"/>
      <w:marRight w:val="0"/>
      <w:marTop w:val="0"/>
      <w:marBottom w:val="0"/>
      <w:divBdr>
        <w:top w:val="none" w:sz="0" w:space="0" w:color="auto"/>
        <w:left w:val="none" w:sz="0" w:space="0" w:color="auto"/>
        <w:bottom w:val="none" w:sz="0" w:space="0" w:color="auto"/>
        <w:right w:val="none" w:sz="0" w:space="0" w:color="auto"/>
      </w:divBdr>
    </w:div>
    <w:div w:id="1247685934">
      <w:bodyDiv w:val="1"/>
      <w:marLeft w:val="0"/>
      <w:marRight w:val="0"/>
      <w:marTop w:val="0"/>
      <w:marBottom w:val="0"/>
      <w:divBdr>
        <w:top w:val="none" w:sz="0" w:space="0" w:color="auto"/>
        <w:left w:val="none" w:sz="0" w:space="0" w:color="auto"/>
        <w:bottom w:val="none" w:sz="0" w:space="0" w:color="auto"/>
        <w:right w:val="none" w:sz="0" w:space="0" w:color="auto"/>
      </w:divBdr>
    </w:div>
    <w:div w:id="1279797390">
      <w:bodyDiv w:val="1"/>
      <w:marLeft w:val="0"/>
      <w:marRight w:val="0"/>
      <w:marTop w:val="0"/>
      <w:marBottom w:val="0"/>
      <w:divBdr>
        <w:top w:val="none" w:sz="0" w:space="0" w:color="auto"/>
        <w:left w:val="none" w:sz="0" w:space="0" w:color="auto"/>
        <w:bottom w:val="none" w:sz="0" w:space="0" w:color="auto"/>
        <w:right w:val="none" w:sz="0" w:space="0" w:color="auto"/>
      </w:divBdr>
    </w:div>
    <w:div w:id="1625845740">
      <w:bodyDiv w:val="1"/>
      <w:marLeft w:val="0"/>
      <w:marRight w:val="0"/>
      <w:marTop w:val="0"/>
      <w:marBottom w:val="0"/>
      <w:divBdr>
        <w:top w:val="none" w:sz="0" w:space="0" w:color="auto"/>
        <w:left w:val="none" w:sz="0" w:space="0" w:color="auto"/>
        <w:bottom w:val="none" w:sz="0" w:space="0" w:color="auto"/>
        <w:right w:val="none" w:sz="0" w:space="0" w:color="auto"/>
      </w:divBdr>
    </w:div>
    <w:div w:id="1674380850">
      <w:bodyDiv w:val="1"/>
      <w:marLeft w:val="0"/>
      <w:marRight w:val="0"/>
      <w:marTop w:val="0"/>
      <w:marBottom w:val="0"/>
      <w:divBdr>
        <w:top w:val="none" w:sz="0" w:space="0" w:color="auto"/>
        <w:left w:val="none" w:sz="0" w:space="0" w:color="auto"/>
        <w:bottom w:val="none" w:sz="0" w:space="0" w:color="auto"/>
        <w:right w:val="none" w:sz="0" w:space="0" w:color="auto"/>
      </w:divBdr>
    </w:div>
    <w:div w:id="1893034452">
      <w:bodyDiv w:val="1"/>
      <w:marLeft w:val="0"/>
      <w:marRight w:val="0"/>
      <w:marTop w:val="0"/>
      <w:marBottom w:val="0"/>
      <w:divBdr>
        <w:top w:val="none" w:sz="0" w:space="0" w:color="auto"/>
        <w:left w:val="none" w:sz="0" w:space="0" w:color="auto"/>
        <w:bottom w:val="none" w:sz="0" w:space="0" w:color="auto"/>
        <w:right w:val="none" w:sz="0" w:space="0" w:color="auto"/>
      </w:divBdr>
    </w:div>
    <w:div w:id="1910379033">
      <w:bodyDiv w:val="1"/>
      <w:marLeft w:val="0"/>
      <w:marRight w:val="0"/>
      <w:marTop w:val="0"/>
      <w:marBottom w:val="0"/>
      <w:divBdr>
        <w:top w:val="none" w:sz="0" w:space="0" w:color="auto"/>
        <w:left w:val="none" w:sz="0" w:space="0" w:color="auto"/>
        <w:bottom w:val="none" w:sz="0" w:space="0" w:color="auto"/>
        <w:right w:val="none" w:sz="0" w:space="0" w:color="auto"/>
      </w:divBdr>
    </w:div>
    <w:div w:id="2019458118">
      <w:bodyDiv w:val="1"/>
      <w:marLeft w:val="0"/>
      <w:marRight w:val="0"/>
      <w:marTop w:val="0"/>
      <w:marBottom w:val="0"/>
      <w:divBdr>
        <w:top w:val="none" w:sz="0" w:space="0" w:color="auto"/>
        <w:left w:val="none" w:sz="0" w:space="0" w:color="auto"/>
        <w:bottom w:val="none" w:sz="0" w:space="0" w:color="auto"/>
        <w:right w:val="none" w:sz="0" w:space="0" w:color="auto"/>
      </w:divBdr>
    </w:div>
    <w:div w:id="2082216344">
      <w:bodyDiv w:val="1"/>
      <w:marLeft w:val="0"/>
      <w:marRight w:val="0"/>
      <w:marTop w:val="0"/>
      <w:marBottom w:val="0"/>
      <w:divBdr>
        <w:top w:val="none" w:sz="0" w:space="0" w:color="auto"/>
        <w:left w:val="none" w:sz="0" w:space="0" w:color="auto"/>
        <w:bottom w:val="none" w:sz="0" w:space="0" w:color="auto"/>
        <w:right w:val="none" w:sz="0" w:space="0" w:color="auto"/>
      </w:divBdr>
    </w:div>
    <w:div w:id="2083983080">
      <w:bodyDiv w:val="1"/>
      <w:marLeft w:val="0"/>
      <w:marRight w:val="0"/>
      <w:marTop w:val="0"/>
      <w:marBottom w:val="0"/>
      <w:divBdr>
        <w:top w:val="none" w:sz="0" w:space="0" w:color="auto"/>
        <w:left w:val="none" w:sz="0" w:space="0" w:color="auto"/>
        <w:bottom w:val="none" w:sz="0" w:space="0" w:color="auto"/>
        <w:right w:val="none" w:sz="0" w:space="0" w:color="auto"/>
      </w:divBdr>
    </w:div>
    <w:div w:id="2121485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bpc-partners.com/brazilian-taxes-what-you-need-to-know/exports-to-brazil/" TargetMode="External"/><Relationship Id="rId39" Type="http://schemas.openxmlformats.org/officeDocument/2006/relationships/hyperlink" Target="https://www.oecd.org/en/publications/2026/06/oecd-economic-outlook-volume-2026-issue-1_8be0dba6/full-report/brazil_f971a312.html" TargetMode="External"/><Relationship Id="rId21" Type="http://schemas.openxmlformats.org/officeDocument/2006/relationships/image" Target="media/image12.png"/><Relationship Id="rId34" Type="http://schemas.openxmlformats.org/officeDocument/2006/relationships/hyperlink" Target="https://www.hofstede-insights.com/fi/product/compare-countries/" TargetMode="External"/><Relationship Id="rId42" Type="http://schemas.openxmlformats.org/officeDocument/2006/relationships/hyperlink" Target="https://tracxn.com/d/companies/nothin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hyperlink" Target="https://www.dpaminvestments.com/professional-intermediary/ch/en/angle/can-brazil-balance-politics-and-infl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allianz-trade.com/en_global/economic-research/country-reports/Brazil.html" TargetMode="External"/><Relationship Id="rId32" Type="http://schemas.openxmlformats.org/officeDocument/2006/relationships/hyperlink" Target="https://m.gsmarena.com/xiaomi_planning_a_return_to_brazil-news-36280.php" TargetMode="External"/><Relationship Id="rId37" Type="http://schemas.openxmlformats.org/officeDocument/2006/relationships/hyperlink" Target="https://www.notebookcheck.net/Xiaomi-announces-new-CFO-and-expansion-in-Brazil.145888.0.html" TargetMode="External"/><Relationship Id="rId40" Type="http://schemas.openxmlformats.org/officeDocument/2006/relationships/hyperlink" Target="https://omdia.tech.informa.com/blogs/2025/april/brazil-smartphone-market-in-2025"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accio.com/business/best-selling-phone-in-brazil" TargetMode="External"/><Relationship Id="rId28" Type="http://schemas.openxmlformats.org/officeDocument/2006/relationships/hyperlink" Target="https://www.canalys.com/insights/new-entrants-disrupt-brazil-s-smartphone-market" TargetMode="External"/><Relationship Id="rId36" Type="http://schemas.openxmlformats.org/officeDocument/2006/relationships/hyperlink" Target="https://shahmm.medium.com/the-nothing-phone-saga-a-business-strategy-case-study-97d1494a168e" TargetMode="External"/><Relationship Id="rId10" Type="http://schemas.openxmlformats.org/officeDocument/2006/relationships/hyperlink" Target="https://qwen.ai/home" TargetMode="External"/><Relationship Id="rId19" Type="http://schemas.openxmlformats.org/officeDocument/2006/relationships/image" Target="media/image10.jpeg"/><Relationship Id="rId31" Type="http://schemas.openxmlformats.org/officeDocument/2006/relationships/hyperlink" Target="https://www.forumchinaplp.org.mo/en/economic_trade/view/8596"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gemini.google.com/app"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canaltech.com.br/smartphone/nothing-esta-vindo-para-o-brasil-1o-celular-da-marca-e-homologado-na-anatel/" TargetMode="External"/><Relationship Id="rId30" Type="http://schemas.openxmlformats.org/officeDocument/2006/relationships/hyperlink" Target="https://drytelecom.com.br/artigo/nothing-phone-4a-no-brasil-preo-data-de-lanamento-e-vale-a-pena-comprar" TargetMode="External"/><Relationship Id="rId35" Type="http://schemas.openxmlformats.org/officeDocument/2006/relationships/hyperlink" Target="https://www.lightreading.com/smartphones-devices/nothing-is-onto-something" TargetMode="External"/><Relationship Id="rId43" Type="http://schemas.openxmlformats.org/officeDocument/2006/relationships/hyperlink" Target="https://en.wikipedia.org/wiki/Nothing_(company)"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androidcentral.com/phones/what-countries-will-the-nothing-phone-1-be-available-in" TargetMode="External"/><Relationship Id="rId33" Type="http://schemas.openxmlformats.org/officeDocument/2006/relationships/hyperlink" Target="https://handwiki.org/wiki/Company:Xiaomi" TargetMode="External"/><Relationship Id="rId38" Type="http://schemas.openxmlformats.org/officeDocument/2006/relationships/hyperlink" Target="https://novatradebrasil.com/en/import-duties-taxes-brazil/" TargetMode="External"/><Relationship Id="rId46"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hyperlink" Target="https://www.storyboard18.com/brand-marketing/nothing-plans-rs-1000-crore-jv-plans-to-make-india-global-manufacturing-hub-61644.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998E08-8A05-42D2-AF74-A7C1321761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618</TotalTime>
  <Pages>27</Pages>
  <Words>7248</Words>
  <Characters>41317</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ABDULLA AL MAMUN</dc:creator>
  <cp:keywords/>
  <dc:description/>
  <cp:lastModifiedBy>MD ABDULLA AL MAMUN</cp:lastModifiedBy>
  <cp:revision>180</cp:revision>
  <dcterms:created xsi:type="dcterms:W3CDTF">2026-08-05T18:52:00Z</dcterms:created>
  <dcterms:modified xsi:type="dcterms:W3CDTF">2026-08-12T20:21:00Z</dcterms:modified>
</cp:coreProperties>
</file>