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AA632" w14:textId="77777777" w:rsidR="004B4B82" w:rsidRDefault="00E12204">
      <w:r>
        <w:rPr>
          <w:noProof/>
        </w:rPr>
        <w:drawing>
          <wp:anchor distT="0" distB="0" distL="114300" distR="114300" simplePos="0" relativeHeight="251658240" behindDoc="0" locked="0" layoutInCell="1" allowOverlap="1" wp14:anchorId="722167A7" wp14:editId="46DCEE05">
            <wp:simplePos x="0" y="0"/>
            <wp:positionH relativeFrom="margin">
              <wp:posOffset>-422666</wp:posOffset>
            </wp:positionH>
            <wp:positionV relativeFrom="paragraph">
              <wp:posOffset>391</wp:posOffset>
            </wp:positionV>
            <wp:extent cx="2600325" cy="914400"/>
            <wp:effectExtent l="0" t="0" r="9525" b="0"/>
            <wp:wrapSquare wrapText="bothSides"/>
            <wp:docPr id="26572125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pic:spPr>
                </pic:pic>
              </a:graphicData>
            </a:graphic>
            <wp14:sizeRelH relativeFrom="margin">
              <wp14:pctWidth>0</wp14:pctWidth>
            </wp14:sizeRelH>
            <wp14:sizeRelV relativeFrom="margin">
              <wp14:pctHeight>0</wp14:pctHeight>
            </wp14:sizeRelV>
          </wp:anchor>
        </w:drawing>
      </w:r>
      <w:r>
        <w:t xml:space="preserve">                                                                                                                                                                                                                                                                                     </w:t>
      </w:r>
    </w:p>
    <w:p w14:paraId="780D403D" w14:textId="60D9331C" w:rsidR="00A64108" w:rsidRDefault="00E12204">
      <w:r>
        <w:t xml:space="preserve">                                                                                                                                                                                                                                                                                                          </w:t>
      </w:r>
    </w:p>
    <w:p w14:paraId="469EFFB3" w14:textId="77777777" w:rsidR="00A64108" w:rsidRDefault="00A64108"/>
    <w:p w14:paraId="6FAC46AD" w14:textId="77777777" w:rsidR="00A64108" w:rsidRDefault="00A64108"/>
    <w:p w14:paraId="14D2153E" w14:textId="77777777" w:rsidR="004B4B82" w:rsidRDefault="004B4B82"/>
    <w:p w14:paraId="5456C77B" w14:textId="77777777" w:rsidR="004B4B82" w:rsidRDefault="004B4B82"/>
    <w:p w14:paraId="00BBA42B" w14:textId="77777777" w:rsidR="00D62235" w:rsidRDefault="00D62235"/>
    <w:p w14:paraId="3E94B525" w14:textId="77777777" w:rsidR="00D62235" w:rsidRDefault="00D62235"/>
    <w:p w14:paraId="238EE52D" w14:textId="77777777" w:rsidR="00D62235" w:rsidRDefault="00D62235"/>
    <w:p w14:paraId="19F7824F" w14:textId="77777777" w:rsidR="00D62235" w:rsidRDefault="00D62235"/>
    <w:p w14:paraId="35ABAE4B" w14:textId="77777777" w:rsidR="00D62235" w:rsidRDefault="00D62235"/>
    <w:p w14:paraId="3B25DA8B" w14:textId="77777777" w:rsidR="00D62235" w:rsidRDefault="00D62235"/>
    <w:p w14:paraId="000A86F3" w14:textId="77777777" w:rsidR="00D62235" w:rsidRDefault="00D62235"/>
    <w:p w14:paraId="0FB9A32F" w14:textId="77777777" w:rsidR="00D62235" w:rsidRDefault="00D62235"/>
    <w:p w14:paraId="591C170F" w14:textId="77777777" w:rsidR="00D62235" w:rsidRPr="00D21F12" w:rsidRDefault="00D62235">
      <w:pPr>
        <w:rPr>
          <w:sz w:val="32"/>
          <w:szCs w:val="32"/>
        </w:rPr>
      </w:pPr>
    </w:p>
    <w:p w14:paraId="29698187" w14:textId="77777777" w:rsidR="00D21F12" w:rsidRPr="00D21F12" w:rsidRDefault="00D21F12">
      <w:pPr>
        <w:rPr>
          <w:sz w:val="32"/>
          <w:szCs w:val="32"/>
        </w:rPr>
      </w:pPr>
    </w:p>
    <w:p w14:paraId="2F664F02" w14:textId="77777777" w:rsidR="00A64108" w:rsidRDefault="00A64108" w:rsidP="00A64108">
      <w:pPr>
        <w:tabs>
          <w:tab w:val="left" w:pos="6540"/>
        </w:tabs>
        <w:rPr>
          <w:rFonts w:cs="Arial"/>
          <w:sz w:val="40"/>
          <w:szCs w:val="40"/>
        </w:rPr>
      </w:pPr>
      <w:r w:rsidRPr="00D21F12">
        <w:rPr>
          <w:rFonts w:cs="Arial"/>
          <w:b/>
          <w:bCs/>
          <w:sz w:val="40"/>
          <w:szCs w:val="40"/>
        </w:rPr>
        <w:t>Student ID</w:t>
      </w:r>
      <w:r w:rsidRPr="00D21F12">
        <w:rPr>
          <w:rFonts w:cs="Arial"/>
          <w:sz w:val="40"/>
          <w:szCs w:val="40"/>
        </w:rPr>
        <w:t xml:space="preserve">: 2231782 </w:t>
      </w:r>
    </w:p>
    <w:p w14:paraId="0119B802" w14:textId="12EEB827" w:rsidR="00D21F12" w:rsidRPr="00DD569A" w:rsidRDefault="00E35B8B" w:rsidP="00A64108">
      <w:pPr>
        <w:tabs>
          <w:tab w:val="left" w:pos="6540"/>
        </w:tabs>
        <w:rPr>
          <w:rFonts w:cs="Arial"/>
          <w:sz w:val="40"/>
          <w:szCs w:val="40"/>
        </w:rPr>
      </w:pPr>
      <w:r>
        <w:rPr>
          <w:rFonts w:cs="Arial"/>
          <w:b/>
          <w:bCs/>
          <w:sz w:val="40"/>
          <w:szCs w:val="40"/>
        </w:rPr>
        <w:t xml:space="preserve">Student Name: </w:t>
      </w:r>
      <w:r w:rsidR="00DD569A">
        <w:rPr>
          <w:rFonts w:cs="Arial"/>
          <w:sz w:val="40"/>
          <w:szCs w:val="40"/>
        </w:rPr>
        <w:t>Paula Andrea Latorre</w:t>
      </w:r>
    </w:p>
    <w:p w14:paraId="1356DFCC" w14:textId="2B9B204A" w:rsidR="00A64108" w:rsidRPr="00D21F12" w:rsidRDefault="00A64108" w:rsidP="004B4B82">
      <w:pPr>
        <w:tabs>
          <w:tab w:val="left" w:pos="6540"/>
        </w:tabs>
        <w:rPr>
          <w:rFonts w:cs="Arial"/>
          <w:sz w:val="40"/>
          <w:szCs w:val="40"/>
        </w:rPr>
      </w:pPr>
      <w:r w:rsidRPr="00D21F12">
        <w:rPr>
          <w:rFonts w:cs="Arial"/>
          <w:b/>
          <w:bCs/>
          <w:sz w:val="40"/>
          <w:szCs w:val="40"/>
        </w:rPr>
        <w:t xml:space="preserve">Module </w:t>
      </w:r>
      <w:r w:rsidR="00E35B8B">
        <w:rPr>
          <w:rFonts w:cs="Arial"/>
          <w:b/>
          <w:bCs/>
          <w:sz w:val="40"/>
          <w:szCs w:val="40"/>
        </w:rPr>
        <w:t>N</w:t>
      </w:r>
      <w:r w:rsidRPr="00D21F12">
        <w:rPr>
          <w:rFonts w:cs="Arial"/>
          <w:b/>
          <w:bCs/>
          <w:sz w:val="40"/>
          <w:szCs w:val="40"/>
        </w:rPr>
        <w:t>ame</w:t>
      </w:r>
      <w:r w:rsidR="00E35B8B">
        <w:rPr>
          <w:rFonts w:cs="Arial"/>
          <w:b/>
          <w:bCs/>
          <w:sz w:val="40"/>
          <w:szCs w:val="40"/>
        </w:rPr>
        <w:t>:</w:t>
      </w:r>
      <w:r w:rsidR="00E35B8B">
        <w:rPr>
          <w:rFonts w:cs="Arial"/>
          <w:sz w:val="40"/>
          <w:szCs w:val="40"/>
        </w:rPr>
        <w:t xml:space="preserve"> </w:t>
      </w:r>
      <w:r w:rsidRPr="00D21F12">
        <w:rPr>
          <w:rFonts w:cs="Arial"/>
          <w:sz w:val="40"/>
          <w:szCs w:val="40"/>
        </w:rPr>
        <w:t xml:space="preserve"> </w:t>
      </w:r>
      <w:r w:rsidR="004306C0" w:rsidRPr="004306C0">
        <w:rPr>
          <w:rFonts w:cs="Arial"/>
          <w:sz w:val="40"/>
          <w:szCs w:val="40"/>
        </w:rPr>
        <w:t>Population Health and Digital Health Promotion</w:t>
      </w:r>
    </w:p>
    <w:p w14:paraId="06D4636A" w14:textId="35D7CCD3" w:rsidR="00A64108" w:rsidRPr="00214810" w:rsidRDefault="00A64108" w:rsidP="004B4B82">
      <w:pPr>
        <w:tabs>
          <w:tab w:val="left" w:pos="6540"/>
        </w:tabs>
        <w:rPr>
          <w:rFonts w:cs="Arial"/>
          <w:sz w:val="40"/>
          <w:szCs w:val="40"/>
          <w:lang w:val="fr-FR"/>
        </w:rPr>
      </w:pPr>
      <w:r w:rsidRPr="00214810">
        <w:rPr>
          <w:rFonts w:cs="Arial"/>
          <w:b/>
          <w:bCs/>
          <w:sz w:val="40"/>
          <w:szCs w:val="40"/>
          <w:lang w:val="fr-FR"/>
        </w:rPr>
        <w:t xml:space="preserve">Module </w:t>
      </w:r>
      <w:r w:rsidR="00E35B8B" w:rsidRPr="00214810">
        <w:rPr>
          <w:rFonts w:cs="Arial"/>
          <w:b/>
          <w:bCs/>
          <w:sz w:val="40"/>
          <w:szCs w:val="40"/>
          <w:lang w:val="fr-FR"/>
        </w:rPr>
        <w:t>C</w:t>
      </w:r>
      <w:r w:rsidRPr="00214810">
        <w:rPr>
          <w:rFonts w:cs="Arial"/>
          <w:b/>
          <w:bCs/>
          <w:sz w:val="40"/>
          <w:szCs w:val="40"/>
          <w:lang w:val="fr-FR"/>
        </w:rPr>
        <w:t>ode</w:t>
      </w:r>
      <w:r w:rsidR="00E35B8B" w:rsidRPr="00214810">
        <w:rPr>
          <w:rFonts w:cs="Arial"/>
          <w:b/>
          <w:bCs/>
          <w:sz w:val="40"/>
          <w:szCs w:val="40"/>
          <w:lang w:val="fr-FR"/>
        </w:rPr>
        <w:t>:</w:t>
      </w:r>
      <w:r w:rsidRPr="00214810">
        <w:rPr>
          <w:rFonts w:cs="Arial"/>
          <w:sz w:val="40"/>
          <w:szCs w:val="40"/>
          <w:lang w:val="fr-FR"/>
        </w:rPr>
        <w:t xml:space="preserve"> </w:t>
      </w:r>
      <w:r w:rsidR="0019436E" w:rsidRPr="00214810">
        <w:rPr>
          <w:rFonts w:cs="Arial"/>
          <w:sz w:val="40"/>
          <w:szCs w:val="40"/>
          <w:lang w:val="fr-FR"/>
        </w:rPr>
        <w:t>LCHS7009</w:t>
      </w:r>
    </w:p>
    <w:p w14:paraId="609AA525" w14:textId="6065508A" w:rsidR="00DA22F5" w:rsidRDefault="00A64108" w:rsidP="004B4B82">
      <w:pPr>
        <w:tabs>
          <w:tab w:val="left" w:pos="6540"/>
        </w:tabs>
        <w:rPr>
          <w:rFonts w:cs="Arial"/>
          <w:sz w:val="40"/>
          <w:szCs w:val="40"/>
          <w:lang w:val="fr-FR"/>
        </w:rPr>
      </w:pPr>
      <w:r w:rsidRPr="00D21F12">
        <w:rPr>
          <w:rFonts w:cs="Arial"/>
          <w:b/>
          <w:bCs/>
          <w:sz w:val="40"/>
          <w:szCs w:val="40"/>
          <w:lang w:val="fr-FR"/>
        </w:rPr>
        <w:t xml:space="preserve">Lecturer’s </w:t>
      </w:r>
      <w:r w:rsidR="00E35B8B">
        <w:rPr>
          <w:rFonts w:cs="Arial"/>
          <w:b/>
          <w:bCs/>
          <w:sz w:val="40"/>
          <w:szCs w:val="40"/>
          <w:lang w:val="fr-FR"/>
        </w:rPr>
        <w:t>N</w:t>
      </w:r>
      <w:r w:rsidRPr="00D21F12">
        <w:rPr>
          <w:rFonts w:cs="Arial"/>
          <w:b/>
          <w:bCs/>
          <w:sz w:val="40"/>
          <w:szCs w:val="40"/>
          <w:lang w:val="fr-FR"/>
        </w:rPr>
        <w:t>ame</w:t>
      </w:r>
      <w:r w:rsidR="00E35B8B">
        <w:rPr>
          <w:rFonts w:cs="Arial"/>
          <w:b/>
          <w:bCs/>
          <w:sz w:val="40"/>
          <w:szCs w:val="40"/>
          <w:lang w:val="fr-FR"/>
        </w:rPr>
        <w:t>:</w:t>
      </w:r>
      <w:r w:rsidR="00C553BA">
        <w:rPr>
          <w:rFonts w:cs="Arial"/>
          <w:b/>
          <w:bCs/>
          <w:sz w:val="40"/>
          <w:szCs w:val="40"/>
          <w:lang w:val="fr-FR"/>
        </w:rPr>
        <w:t xml:space="preserve"> </w:t>
      </w:r>
      <w:r w:rsidR="00214810" w:rsidRPr="00214810">
        <w:rPr>
          <w:rFonts w:cs="Arial"/>
          <w:sz w:val="40"/>
          <w:szCs w:val="40"/>
          <w:lang w:val="fr-FR"/>
        </w:rPr>
        <w:t>Diola Bijlhout`</w:t>
      </w:r>
    </w:p>
    <w:p w14:paraId="00D8EE70" w14:textId="77777777" w:rsidR="00137532" w:rsidRDefault="00137532" w:rsidP="004B4B82">
      <w:pPr>
        <w:tabs>
          <w:tab w:val="left" w:pos="6540"/>
        </w:tabs>
        <w:rPr>
          <w:rFonts w:cs="Arial"/>
          <w:sz w:val="40"/>
          <w:szCs w:val="40"/>
          <w:lang w:val="fr-FR"/>
        </w:rPr>
      </w:pPr>
    </w:p>
    <w:p w14:paraId="3A1D1CB7" w14:textId="77777777" w:rsidR="00137532" w:rsidRDefault="00137532" w:rsidP="004B4B82">
      <w:pPr>
        <w:tabs>
          <w:tab w:val="left" w:pos="6540"/>
        </w:tabs>
        <w:rPr>
          <w:rFonts w:cs="Arial"/>
          <w:sz w:val="40"/>
          <w:szCs w:val="40"/>
          <w:lang w:val="fr-FR"/>
        </w:rPr>
      </w:pPr>
    </w:p>
    <w:p w14:paraId="7481C28C" w14:textId="77777777" w:rsidR="00137532" w:rsidRDefault="00137532" w:rsidP="004B4B82">
      <w:pPr>
        <w:tabs>
          <w:tab w:val="left" w:pos="6540"/>
        </w:tabs>
        <w:rPr>
          <w:rFonts w:cs="Arial"/>
          <w:sz w:val="40"/>
          <w:szCs w:val="40"/>
          <w:lang w:val="fr-FR"/>
        </w:rPr>
      </w:pPr>
    </w:p>
    <w:p w14:paraId="68BEECB5" w14:textId="77777777" w:rsidR="004510E7" w:rsidRPr="00E16893" w:rsidRDefault="004510E7" w:rsidP="004510E7">
      <w:pPr>
        <w:pStyle w:val="Title"/>
        <w:rPr>
          <w:lang w:val="fr-FR"/>
        </w:rPr>
      </w:pPr>
    </w:p>
    <w:p w14:paraId="6B422399" w14:textId="2332A3B4" w:rsidR="00137532" w:rsidRDefault="004510E7" w:rsidP="004510E7">
      <w:pPr>
        <w:pStyle w:val="Title"/>
        <w:jc w:val="center"/>
      </w:pPr>
      <w:r w:rsidRPr="004510E7">
        <w:lastRenderedPageBreak/>
        <w:t>Can Digital Technology Help Tackle Adult Obesity? A Critical Review of the NHS Digital Weight Management Programme</w:t>
      </w:r>
    </w:p>
    <w:p w14:paraId="2F072B47" w14:textId="77777777" w:rsidR="004510E7" w:rsidRDefault="004510E7" w:rsidP="004510E7"/>
    <w:p w14:paraId="3AC0CE5A" w14:textId="77777777" w:rsidR="004510E7" w:rsidRDefault="004510E7" w:rsidP="004510E7"/>
    <w:p w14:paraId="7517FE39" w14:textId="044DE06E" w:rsidR="00E977D0" w:rsidRDefault="00CA718A" w:rsidP="004510E7">
      <w:r>
        <w:rPr>
          <w:noProof/>
        </w:rPr>
        <w:drawing>
          <wp:inline distT="0" distB="0" distL="0" distR="0" wp14:anchorId="3A597A4D" wp14:editId="760D5FA9">
            <wp:extent cx="2876689" cy="2074545"/>
            <wp:effectExtent l="0" t="0" r="0" b="1905"/>
            <wp:docPr id="492157233" name="Picture 1" descr="Lose weight - Better Health -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se weight - Better Health - NH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8240" cy="2118933"/>
                    </a:xfrm>
                    <a:prstGeom prst="rect">
                      <a:avLst/>
                    </a:prstGeom>
                    <a:noFill/>
                    <a:ln>
                      <a:noFill/>
                    </a:ln>
                  </pic:spPr>
                </pic:pic>
              </a:graphicData>
            </a:graphic>
          </wp:inline>
        </w:drawing>
      </w:r>
      <w:r w:rsidR="004E403C">
        <w:rPr>
          <w:noProof/>
        </w:rPr>
        <w:t xml:space="preserve">   </w:t>
      </w:r>
      <w:r w:rsidR="004E403C" w:rsidRPr="00E977D0">
        <w:rPr>
          <w:noProof/>
        </w:rPr>
        <w:drawing>
          <wp:inline distT="0" distB="0" distL="0" distR="0" wp14:anchorId="4441B7D4" wp14:editId="0B03AFB4">
            <wp:extent cx="2723808" cy="2022359"/>
            <wp:effectExtent l="0" t="0" r="635" b="0"/>
            <wp:docPr id="133187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77344" name=""/>
                    <pic:cNvPicPr/>
                  </pic:nvPicPr>
                  <pic:blipFill>
                    <a:blip r:embed="rId9"/>
                    <a:stretch>
                      <a:fillRect/>
                    </a:stretch>
                  </pic:blipFill>
                  <pic:spPr>
                    <a:xfrm>
                      <a:off x="0" y="0"/>
                      <a:ext cx="2770702" cy="2057177"/>
                    </a:xfrm>
                    <a:prstGeom prst="rect">
                      <a:avLst/>
                    </a:prstGeom>
                  </pic:spPr>
                </pic:pic>
              </a:graphicData>
            </a:graphic>
          </wp:inline>
        </w:drawing>
      </w:r>
      <w:r w:rsidR="00EF0D34">
        <w:t xml:space="preserve">                   </w:t>
      </w:r>
    </w:p>
    <w:p w14:paraId="497173B5" w14:textId="7F0DB21A" w:rsidR="00E977D0" w:rsidRDefault="00FF10A4" w:rsidP="00FF10A4">
      <w:pPr>
        <w:jc w:val="right"/>
        <w:rPr>
          <w:b/>
          <w:bCs/>
          <w:i/>
          <w:iCs/>
          <w:sz w:val="20"/>
          <w:szCs w:val="20"/>
        </w:rPr>
      </w:pPr>
      <w:r w:rsidRPr="00FF10A4">
        <w:rPr>
          <w:b/>
          <w:bCs/>
          <w:i/>
          <w:iCs/>
          <w:sz w:val="20"/>
          <w:szCs w:val="20"/>
        </w:rPr>
        <w:t>(Health Survey for England, 2024)</w:t>
      </w:r>
    </w:p>
    <w:p w14:paraId="1D57F1BA" w14:textId="77777777" w:rsidR="00FF10A4" w:rsidRDefault="00FF10A4" w:rsidP="00FF10A4">
      <w:pPr>
        <w:jc w:val="right"/>
        <w:rPr>
          <w:b/>
          <w:bCs/>
          <w:i/>
          <w:iCs/>
          <w:sz w:val="20"/>
          <w:szCs w:val="20"/>
        </w:rPr>
      </w:pPr>
    </w:p>
    <w:p w14:paraId="48996FDD" w14:textId="46DFE053" w:rsidR="00FF10A4" w:rsidRDefault="00B604BC" w:rsidP="003D0FBE">
      <w:pPr>
        <w:pStyle w:val="Heading1"/>
        <w:rPr>
          <w:i/>
          <w:iCs/>
          <w:color w:val="215E99" w:themeColor="text2" w:themeTint="BF"/>
          <w:sz w:val="24"/>
          <w:szCs w:val="24"/>
        </w:rPr>
      </w:pPr>
      <w:r w:rsidRPr="00D119CC">
        <w:rPr>
          <w:i/>
          <w:iCs/>
          <w:color w:val="215E99" w:themeColor="text2" w:themeTint="BF"/>
          <w:sz w:val="24"/>
          <w:szCs w:val="24"/>
        </w:rPr>
        <w:t>"Digital health technologies are transforming the way public health interventions are delivered, offering scalable and cost-effective approaches to preventing chronic diseases. However, are they sufficient to tackle the obesity epidemic?"</w:t>
      </w:r>
    </w:p>
    <w:p w14:paraId="299137C6" w14:textId="77777777" w:rsidR="00AF6CE8" w:rsidRPr="00AF6CE8" w:rsidRDefault="00AF6CE8" w:rsidP="00AF6CE8">
      <w:r w:rsidRPr="00AF6CE8">
        <w:t>Adult obesity is currently identified as the most significant public health challenge in England. The Health Survey for England reports that 30% of adults are obese and that 66% are obese or overweight which consequently increases their likelihood of developing CVD, type 2 diabetes and certain types of cancer (NHS England, 2024). The cost to the NHS is similarly substantial and the focus therefore remains on prevention.</w:t>
      </w:r>
    </w:p>
    <w:p w14:paraId="43156A24" w14:textId="77777777" w:rsidR="00AF6CE8" w:rsidRPr="00AF6CE8" w:rsidRDefault="00AF6CE8" w:rsidP="00AF6CE8">
      <w:r w:rsidRPr="00AF6CE8">
        <w:t>One digital intervention that aims to combat this issue is the NHS Digital Weight Management Programme, which is an optional 12-week, free online programme accessible via mobile and desktop. It provides calorie and activity monitoring, personal goal setting, behavioural coaching and other self-monitoring strategies (NHS England, 2024).</w:t>
      </w:r>
    </w:p>
    <w:p w14:paraId="02308482" w14:textId="66B74AD4" w:rsidR="00E16893" w:rsidRDefault="00E16893" w:rsidP="00E16893">
      <w:r w:rsidRPr="00E16893">
        <w:t xml:space="preserve">Data are suggesting digital interventions have a positive impact on weight management. The NHS Digital Weight Management Programme’s success found a clinically significant average weight loss in those participants who finished the programme. “When engaged, digital health </w:t>
      </w:r>
      <w:r w:rsidRPr="00E16893">
        <w:lastRenderedPageBreak/>
        <w:t>programs are able to promote healthy behaviours” (Taylor et al. 2024). Research suggests that mobile health (mHealth) applications used to support weight loss if self-monitoring and personalized feedback are provided can significantly improve results (</w:t>
      </w:r>
      <w:r w:rsidR="00B26586" w:rsidRPr="00E16893">
        <w:t>Hutcheson</w:t>
      </w:r>
      <w:r w:rsidRPr="00E16893">
        <w:t xml:space="preserve"> et al. 2021).</w:t>
      </w:r>
    </w:p>
    <w:p w14:paraId="4A9569D6" w14:textId="731F0BAA" w:rsidR="00B26586" w:rsidRDefault="00B26586" w:rsidP="00E16893">
      <w:r w:rsidRPr="00B26586">
        <w:t>Nevertheless, in spite of these advantages, the program still presents some considerable drawbacks. Though the applicability and affordability of digital programs is unquestionable, the challenge lies in making users involved on a permanent basis due to an extremely high percentage of dropouts from people enrolled to it (Taylor et al. 2024). Furthermore, the absence of necessary technical capabilities might limit its efficiency for older people and individuals deprived of computer skills thus leading to greater disparities in health conditions between the population groups (NICE, 2022). In particular, Barrett et al. (2026) indicate that the demands of people from ethnic minorities in terms of program customization go beyond that provided by the program practically rendering its application ineffective.</w:t>
      </w:r>
    </w:p>
    <w:p w14:paraId="1F4190BD" w14:textId="77777777" w:rsidR="00805409" w:rsidRPr="00805409" w:rsidRDefault="00805409" w:rsidP="00805409">
      <w:r w:rsidRPr="00805409">
        <w:t>To maximise effectiveness, digital weight management programmes need to be in addition to, and not a substitute for, in-person health services. Enhancing digital skills, increasing AI-driven personalised care and support, and adapting interventions for people from a range of cultural backgrounds will help boost longer term engagement and tackle health disparities (Barrett et al., 2026). As such, the NHS Digital Weight Management Programme is a promising and evidence-based health promotion initiative, but its long-term impact hinges on sustained engagement and equitable access for all.</w:t>
      </w:r>
    </w:p>
    <w:p w14:paraId="22A508DD" w14:textId="77777777" w:rsidR="00805409" w:rsidRPr="00E16893" w:rsidRDefault="00805409" w:rsidP="00E16893"/>
    <w:p w14:paraId="2930A5F7" w14:textId="77777777" w:rsidR="00976636" w:rsidRDefault="00976636" w:rsidP="00976636"/>
    <w:p w14:paraId="01968CBB" w14:textId="77777777" w:rsidR="005B4E79" w:rsidRDefault="005B4E79" w:rsidP="00976636"/>
    <w:p w14:paraId="5BD11B9F" w14:textId="77777777" w:rsidR="005B4E79" w:rsidRDefault="005B4E79" w:rsidP="00976636"/>
    <w:p w14:paraId="05D066B1" w14:textId="77777777" w:rsidR="005B4E79" w:rsidRDefault="005B4E79" w:rsidP="00976636"/>
    <w:p w14:paraId="519D7406" w14:textId="77777777" w:rsidR="005B4E79" w:rsidRDefault="005B4E79" w:rsidP="00976636"/>
    <w:p w14:paraId="5BDFB235" w14:textId="77777777" w:rsidR="005B4E79" w:rsidRDefault="005B4E79" w:rsidP="00976636"/>
    <w:p w14:paraId="2264C202" w14:textId="77777777" w:rsidR="005B4E79" w:rsidRDefault="005B4E79" w:rsidP="00976636"/>
    <w:p w14:paraId="02AA85F5" w14:textId="77777777" w:rsidR="005B4E79" w:rsidRDefault="005B4E79" w:rsidP="00976636"/>
    <w:p w14:paraId="0A5D9E4A" w14:textId="77777777" w:rsidR="005B4E79" w:rsidRDefault="005B4E79" w:rsidP="00976636"/>
    <w:p w14:paraId="203AD011" w14:textId="77777777" w:rsidR="005B4E79" w:rsidRDefault="005B4E79" w:rsidP="00976636"/>
    <w:p w14:paraId="1FDD87C7" w14:textId="77777777" w:rsidR="005B4E79" w:rsidRDefault="005B4E79" w:rsidP="00976636"/>
    <w:p w14:paraId="1686E9A0" w14:textId="77777777" w:rsidR="005B4E79" w:rsidRDefault="005B4E79" w:rsidP="00976636"/>
    <w:p w14:paraId="2FA880F6" w14:textId="77777777" w:rsidR="005B4E79" w:rsidRDefault="005B4E79" w:rsidP="00976636"/>
    <w:p w14:paraId="1A0B8F44" w14:textId="77777777" w:rsidR="00112E74" w:rsidRDefault="00112E74" w:rsidP="00976636"/>
    <w:p w14:paraId="06C89B88" w14:textId="77777777" w:rsidR="00112E74" w:rsidRDefault="00112E74" w:rsidP="00976636"/>
    <w:p w14:paraId="712751C3" w14:textId="77777777" w:rsidR="00112E74" w:rsidRDefault="00112E74" w:rsidP="00976636"/>
    <w:p w14:paraId="132145D8" w14:textId="77777777" w:rsidR="00112E74" w:rsidRDefault="00112E74" w:rsidP="00112E74">
      <w:pPr>
        <w:pStyle w:val="Title"/>
        <w:jc w:val="center"/>
        <w:rPr>
          <w:b w:val="0"/>
          <w:bCs/>
        </w:rPr>
      </w:pPr>
      <w:r w:rsidRPr="00E129C7">
        <w:rPr>
          <w:bCs/>
        </w:rPr>
        <w:lastRenderedPageBreak/>
        <w:t xml:space="preserve">Can Artificial Intelligence Transform Obesity Prevention? Designing </w:t>
      </w:r>
      <w:r w:rsidRPr="00E129C7">
        <w:rPr>
          <w:bCs/>
          <w:i/>
          <w:iCs/>
        </w:rPr>
        <w:t>HealthyLife AI</w:t>
      </w:r>
      <w:r w:rsidRPr="00E129C7">
        <w:rPr>
          <w:bCs/>
        </w:rPr>
        <w:t xml:space="preserve"> for Digital Health Promotion</w:t>
      </w:r>
    </w:p>
    <w:p w14:paraId="7E812E2E" w14:textId="77777777" w:rsidR="00112E74" w:rsidRPr="00A27515" w:rsidRDefault="00112E74" w:rsidP="00112E74">
      <w:r>
        <w:rPr>
          <w:noProof/>
        </w:rPr>
        <w:drawing>
          <wp:inline distT="0" distB="0" distL="0" distR="0" wp14:anchorId="6EFA3B02" wp14:editId="10B6A90D">
            <wp:extent cx="5731510" cy="3516923"/>
            <wp:effectExtent l="0" t="0" r="2540" b="7620"/>
            <wp:docPr id="140908020" name="Picture 1" descr="Una persona sosteniendo un teléfono inteligente en la ma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a persona sosteniendo un teléfono inteligente en la man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6246" cy="3519829"/>
                    </a:xfrm>
                    <a:prstGeom prst="rect">
                      <a:avLst/>
                    </a:prstGeom>
                    <a:noFill/>
                    <a:ln>
                      <a:noFill/>
                    </a:ln>
                  </pic:spPr>
                </pic:pic>
              </a:graphicData>
            </a:graphic>
          </wp:inline>
        </w:drawing>
      </w:r>
    </w:p>
    <w:p w14:paraId="3CD59C30" w14:textId="77777777" w:rsidR="00112E74" w:rsidRPr="008C28BF" w:rsidRDefault="00112E74" w:rsidP="00112E74">
      <w:pPr>
        <w:jc w:val="right"/>
        <w:rPr>
          <w:b/>
          <w:bCs/>
          <w:i/>
          <w:iCs/>
          <w:sz w:val="20"/>
          <w:szCs w:val="20"/>
        </w:rPr>
      </w:pPr>
      <w:r w:rsidRPr="008C28BF">
        <w:rPr>
          <w:b/>
          <w:bCs/>
          <w:i/>
          <w:iCs/>
          <w:sz w:val="20"/>
          <w:szCs w:val="20"/>
        </w:rPr>
        <w:t>(Smith, 2024)</w:t>
      </w:r>
    </w:p>
    <w:p w14:paraId="69D5B27B" w14:textId="77777777" w:rsidR="00112E74" w:rsidRDefault="00112E74" w:rsidP="00112E74">
      <w:r>
        <w:t>In England, obesity is one of the top public health issues. Almost 30% of adults in England are classified as obese, and 66% are classified as overweight or living with obesity (NHS England 2024). Living with obesity is linked to the development of type 2 diabetes, obesity-related cardiovascular diseases and some forms of cancer. Obesity also strains the financial resources of the NHS. Although digital weight management programs have shown some success in the short term, long-term user engagement is one of the biggest challenges these programs face (Taylor et al. 2024).</w:t>
      </w:r>
    </w:p>
    <w:p w14:paraId="462CF8BE" w14:textId="77777777" w:rsidR="00112E74" w:rsidRDefault="00112E74" w:rsidP="00112E74"/>
    <w:p w14:paraId="0C361DC8" w14:textId="464F659E" w:rsidR="00112E74" w:rsidRDefault="00112E74" w:rsidP="00112E74">
      <w:r>
        <w:t>I have developed HealthyLife AI to cope with the gaps that the programs mentioned above have. HealthyLife AI is a digital health application that employs AI, wearable tech, and behaviour support. Unlike digital weight management programs, HealthyLife AI would change its suggestions to fit the user’s progress, eating patterns, physical activity, and level of motivation. The application would sync to users’ smartwatches and fitness trackers to</w:t>
      </w:r>
    </w:p>
    <w:p w14:paraId="7D6A7519" w14:textId="77777777" w:rsidR="00861E1C" w:rsidRDefault="00861E1C" w:rsidP="00861E1C">
      <w:r>
        <w:lastRenderedPageBreak/>
        <w:t>ensure they met their daily goals, providing feedback as well as suggestions through notifications. Users would, also, receive culturally relevant nutrition support, virtual health care support, and game-based activities to encourage healthy behaviours.</w:t>
      </w:r>
    </w:p>
    <w:p w14:paraId="781B32B8" w14:textId="77777777" w:rsidR="00861E1C" w:rsidRDefault="00861E1C" w:rsidP="00861E1C">
      <w:r>
        <w:t>HealthyLife AI is targeted towards behavioural changes for healthy living and not just the loss of weight. Use of techniques for design of digital health interventions (like goal setting and user self-monitoring) has shown to lead to better health outcomes. Similarly, AI design can lead to a more motivated user by personalizing the interventions.</w:t>
      </w:r>
    </w:p>
    <w:p w14:paraId="4675B9C0" w14:textId="77777777" w:rsidR="00861E1C" w:rsidRDefault="00861E1C" w:rsidP="00861E1C"/>
    <w:p w14:paraId="2D63CCCC" w14:textId="77777777" w:rsidR="00861E1C" w:rsidRDefault="00861E1C" w:rsidP="00861E1C">
      <w:r>
        <w:t>Each of the advantages described above has challenges. Privacy and data governance will be key concerns as large volumes of personal health data would be generated for use of AI (World Health Organization, 2021). The design of a health intervention using AI, will also be based on the use of smartphones and possibly wearable devices. This will lead to a health technology intervention digital divide with your potential users who have a low socio-economic status and/or a low digital literacy. The users who are excluded will also be older, as they are less likely to have access to the technology. In addition, design of the health interventions will be limited due to the AI algorithms as they may be trained using biased datasets.</w:t>
      </w:r>
    </w:p>
    <w:p w14:paraId="68B483FA" w14:textId="77777777" w:rsidR="00861E1C" w:rsidRDefault="00861E1C" w:rsidP="00861E1C">
      <w:r w:rsidRPr="00657CC2">
        <w:t>More data protection, stronger AI governance, UK GDPR compliance, and auditing algorithms to reduce bias would help alleviate some of these constraints. The ability to give wearable technology, digital literacy and the integration of healthyLife AI with NHS Primary care would improve accessibility and fairness. With the assistance of AI, HealthyLife can aid digital health by changing behaviours through evidence-based methods. The positive outcomes of healthyLife AI would be based upon the ethical implementation and use of healthyLife AI as well as ensuring that all users have equal access to healthyLife AI.</w:t>
      </w:r>
    </w:p>
    <w:p w14:paraId="73F72A64" w14:textId="77777777" w:rsidR="00861E1C" w:rsidRDefault="00861E1C" w:rsidP="00861E1C"/>
    <w:p w14:paraId="7938B3FA" w14:textId="77777777" w:rsidR="00861E1C" w:rsidRDefault="00861E1C" w:rsidP="00861E1C"/>
    <w:p w14:paraId="10008635" w14:textId="77777777" w:rsidR="00861E1C" w:rsidRDefault="00861E1C" w:rsidP="00861E1C"/>
    <w:p w14:paraId="6F99BEA1" w14:textId="77777777" w:rsidR="00861E1C" w:rsidRDefault="00861E1C" w:rsidP="00861E1C"/>
    <w:p w14:paraId="5A9D05DC" w14:textId="77777777" w:rsidR="00861E1C" w:rsidRDefault="00861E1C" w:rsidP="00861E1C"/>
    <w:p w14:paraId="183E7CF1" w14:textId="77777777" w:rsidR="00861E1C" w:rsidRDefault="00861E1C" w:rsidP="00861E1C"/>
    <w:p w14:paraId="6A179F74" w14:textId="77777777" w:rsidR="00861E1C" w:rsidRDefault="00861E1C" w:rsidP="00861E1C"/>
    <w:p w14:paraId="52FDD0E7" w14:textId="77777777" w:rsidR="00861E1C" w:rsidRDefault="00861E1C" w:rsidP="00861E1C"/>
    <w:p w14:paraId="3DB5AAE9" w14:textId="77777777" w:rsidR="00861E1C" w:rsidRDefault="00861E1C" w:rsidP="00112E74"/>
    <w:p w14:paraId="05B72031" w14:textId="347934F7" w:rsidR="00BB50D4" w:rsidRDefault="00BB50D4" w:rsidP="00BB50D4">
      <w:pPr>
        <w:pStyle w:val="Heading2"/>
        <w:rPr>
          <w:b/>
          <w:bCs/>
          <w:color w:val="000000" w:themeColor="text1"/>
        </w:rPr>
      </w:pPr>
      <w:r>
        <w:rPr>
          <w:b/>
          <w:bCs/>
          <w:color w:val="000000" w:themeColor="text1"/>
        </w:rPr>
        <w:lastRenderedPageBreak/>
        <w:t>References</w:t>
      </w:r>
      <w:r w:rsidR="007F5679">
        <w:rPr>
          <w:b/>
          <w:bCs/>
          <w:color w:val="000000" w:themeColor="text1"/>
        </w:rPr>
        <w:t xml:space="preserve"> (Blog 1)</w:t>
      </w:r>
      <w:r>
        <w:rPr>
          <w:b/>
          <w:bCs/>
          <w:color w:val="000000" w:themeColor="text1"/>
        </w:rPr>
        <w:t xml:space="preserve"> </w:t>
      </w:r>
    </w:p>
    <w:p w14:paraId="70C99F99" w14:textId="13DDC6E0" w:rsidR="00827472" w:rsidRPr="00827472" w:rsidRDefault="00827472" w:rsidP="00827472">
      <w:r w:rsidRPr="00827472">
        <w:t xml:space="preserve">Barrett, S., </w:t>
      </w:r>
      <w:r w:rsidRPr="00827472">
        <w:rPr>
          <w:i/>
          <w:iCs/>
        </w:rPr>
        <w:t>et al.</w:t>
      </w:r>
      <w:r w:rsidRPr="00827472">
        <w:t xml:space="preserve"> (2026) ‘Evaluation of the experience of people referred under the NHS enhanced service incentive for obesity to the NHS Digital Weight Management Programme: a mixed method study’, </w:t>
      </w:r>
      <w:r w:rsidRPr="00827472">
        <w:rPr>
          <w:i/>
          <w:iCs/>
        </w:rPr>
        <w:t>BMC Public Health</w:t>
      </w:r>
      <w:r w:rsidRPr="00827472">
        <w:t xml:space="preserve">, 26. Available at: </w:t>
      </w:r>
      <w:hyperlink r:id="rId11" w:tgtFrame="_new" w:history="1">
        <w:r w:rsidRPr="00827472">
          <w:rPr>
            <w:rStyle w:val="Hyperlink"/>
          </w:rPr>
          <w:t>https://link.springer.com/article/10.1186/s12889-026-26203-z</w:t>
        </w:r>
      </w:hyperlink>
      <w:r w:rsidRPr="00827472">
        <w:t xml:space="preserve"> (Accessed: </w:t>
      </w:r>
      <w:r>
        <w:t>01</w:t>
      </w:r>
      <w:r w:rsidRPr="00827472">
        <w:t xml:space="preserve"> July 2026).</w:t>
      </w:r>
    </w:p>
    <w:p w14:paraId="01FCA6C0" w14:textId="77777777" w:rsidR="00827472" w:rsidRPr="00827472" w:rsidRDefault="00827472" w:rsidP="00827472">
      <w:r w:rsidRPr="00827472">
        <w:t xml:space="preserve">Hutchesson, M.J., Rollo, M.E., Krukowski, R.A., Ells, L.J., Harvey, J., Morgan, P.J., Callister, R. and Collins, C.E. (2021) ‘eHealth interventions for the prevention and treatment of overweight and obesity in adults: A systematic review’, </w:t>
      </w:r>
      <w:r w:rsidRPr="00827472">
        <w:rPr>
          <w:i/>
          <w:iCs/>
        </w:rPr>
        <w:t>Journal of Human Nutrition and Dietetics</w:t>
      </w:r>
      <w:r w:rsidRPr="00827472">
        <w:t>, 34(2), pp. 463–480.</w:t>
      </w:r>
    </w:p>
    <w:p w14:paraId="5495B218" w14:textId="2F85F9AD" w:rsidR="00827472" w:rsidRPr="00827472" w:rsidRDefault="00827472" w:rsidP="00827472">
      <w:r w:rsidRPr="00827472">
        <w:t xml:space="preserve">National Institute for Health and Care Excellence (NICE) (2022) </w:t>
      </w:r>
      <w:r w:rsidRPr="00827472">
        <w:rPr>
          <w:i/>
          <w:iCs/>
        </w:rPr>
        <w:t>Behaviour change: digital and mobile health interventions</w:t>
      </w:r>
      <w:r w:rsidRPr="00827472">
        <w:t xml:space="preserve">. London: NICE. Available at: </w:t>
      </w:r>
      <w:hyperlink r:id="rId12" w:tgtFrame="_new" w:history="1">
        <w:r w:rsidRPr="00827472">
          <w:rPr>
            <w:rStyle w:val="Hyperlink"/>
          </w:rPr>
          <w:t>https://www.nice.org.uk</w:t>
        </w:r>
      </w:hyperlink>
      <w:r w:rsidRPr="00827472">
        <w:t xml:space="preserve"> (Accessed: </w:t>
      </w:r>
      <w:r>
        <w:t>02</w:t>
      </w:r>
      <w:r w:rsidRPr="00827472">
        <w:t xml:space="preserve"> July 2026).</w:t>
      </w:r>
    </w:p>
    <w:p w14:paraId="0DDE3238" w14:textId="369E8387" w:rsidR="00827472" w:rsidRPr="00827472" w:rsidRDefault="00827472" w:rsidP="00827472">
      <w:r w:rsidRPr="00827472">
        <w:t xml:space="preserve">NHS England (2024) </w:t>
      </w:r>
      <w:r w:rsidRPr="00827472">
        <w:rPr>
          <w:i/>
          <w:iCs/>
        </w:rPr>
        <w:t>The NHS Digital Weight Management Programme</w:t>
      </w:r>
      <w:r w:rsidRPr="00827472">
        <w:t xml:space="preserve">. Available at: </w:t>
      </w:r>
      <w:hyperlink r:id="rId13" w:tgtFrame="_new" w:history="1">
        <w:r w:rsidRPr="00827472">
          <w:rPr>
            <w:rStyle w:val="Hyperlink"/>
          </w:rPr>
          <w:t>https://www.england.nhs.uk/digital-weight-management/</w:t>
        </w:r>
      </w:hyperlink>
      <w:r w:rsidRPr="00827472">
        <w:t xml:space="preserve"> (Accessed: </w:t>
      </w:r>
      <w:r>
        <w:t>1</w:t>
      </w:r>
      <w:r w:rsidRPr="00827472">
        <w:t xml:space="preserve">0 July 2026). </w:t>
      </w:r>
    </w:p>
    <w:p w14:paraId="2343FF2B" w14:textId="6FCB1C1A" w:rsidR="00D437C4" w:rsidRDefault="00827472" w:rsidP="00827472">
      <w:r w:rsidRPr="00827472">
        <w:t xml:space="preserve">Taylor, K., </w:t>
      </w:r>
      <w:r w:rsidRPr="00827472">
        <w:rPr>
          <w:i/>
          <w:iCs/>
        </w:rPr>
        <w:t>et al.</w:t>
      </w:r>
      <w:r w:rsidRPr="00827472">
        <w:t xml:space="preserve"> (2024) ‘Early outcomes of referrals to the English National Health Service Digital Weight Management Programme’, </w:t>
      </w:r>
      <w:r w:rsidRPr="00827472">
        <w:rPr>
          <w:i/>
          <w:iCs/>
        </w:rPr>
        <w:t>Obesity</w:t>
      </w:r>
      <w:r w:rsidRPr="00827472">
        <w:t xml:space="preserve">, 32(6), pp. 1246–1255. Available at: </w:t>
      </w:r>
      <w:hyperlink r:id="rId14" w:tgtFrame="_new" w:history="1">
        <w:r w:rsidRPr="00827472">
          <w:rPr>
            <w:rStyle w:val="Hyperlink"/>
          </w:rPr>
          <w:t>https://pubmed.ncbi.nlm.nih.gov/38644161/</w:t>
        </w:r>
      </w:hyperlink>
      <w:r w:rsidRPr="00827472">
        <w:t xml:space="preserve"> (Accessed: 20 July 2026)</w:t>
      </w:r>
    </w:p>
    <w:p w14:paraId="39D4D1D7" w14:textId="7A25BBD0" w:rsidR="00D437C4" w:rsidRPr="00343AB7" w:rsidRDefault="00D437C4" w:rsidP="00343AB7">
      <w:pPr>
        <w:pStyle w:val="Heading2"/>
        <w:rPr>
          <w:b/>
          <w:bCs/>
          <w:color w:val="000000" w:themeColor="text1"/>
        </w:rPr>
      </w:pPr>
      <w:r w:rsidRPr="00343AB7">
        <w:rPr>
          <w:b/>
          <w:bCs/>
          <w:color w:val="000000" w:themeColor="text1"/>
        </w:rPr>
        <w:t>References</w:t>
      </w:r>
      <w:r w:rsidRPr="00343AB7">
        <w:rPr>
          <w:b/>
          <w:bCs/>
          <w:color w:val="000000" w:themeColor="text1"/>
        </w:rPr>
        <w:t xml:space="preserve"> (Blog 2)</w:t>
      </w:r>
    </w:p>
    <w:p w14:paraId="3482EC83" w14:textId="77777777" w:rsidR="00D437C4" w:rsidRPr="00BF136C" w:rsidRDefault="00D437C4" w:rsidP="00D437C4">
      <w:r w:rsidRPr="00BF136C">
        <w:t xml:space="preserve">Hutchesson, M.J., Rollo, M.E., Krukowski, R.A., Ells, L.J., Harvey, J., Morgan, P.J., Callister, R. and Collins, C.E. (2021) ‘eHealth interventions for the prevention and treatment of overweight and obesity in adults: A systematic review’, </w:t>
      </w:r>
      <w:r w:rsidRPr="00BF136C">
        <w:rPr>
          <w:i/>
          <w:iCs/>
        </w:rPr>
        <w:t>Journal of Human Nutrition and Dietetics</w:t>
      </w:r>
      <w:r w:rsidRPr="00BF136C">
        <w:t>, 34(2), pp. 463–480.</w:t>
      </w:r>
    </w:p>
    <w:p w14:paraId="1DB83B67" w14:textId="77777777" w:rsidR="00D437C4" w:rsidRPr="00BF136C" w:rsidRDefault="00D437C4" w:rsidP="00D437C4">
      <w:r w:rsidRPr="00BF136C">
        <w:t xml:space="preserve">National Institute for Health and Care Excellence (NICE) (2022) </w:t>
      </w:r>
      <w:r w:rsidRPr="00BF136C">
        <w:rPr>
          <w:i/>
          <w:iCs/>
        </w:rPr>
        <w:t>Behaviour change: digital and mobile health interventions</w:t>
      </w:r>
      <w:r w:rsidRPr="00BF136C">
        <w:t xml:space="preserve">. London: NICE. Available at: </w:t>
      </w:r>
      <w:hyperlink r:id="rId15" w:tgtFrame="_new" w:history="1">
        <w:r w:rsidRPr="00BF136C">
          <w:rPr>
            <w:rStyle w:val="Hyperlink"/>
          </w:rPr>
          <w:t>https://www.nice.org.uk</w:t>
        </w:r>
      </w:hyperlink>
      <w:r w:rsidRPr="00BF136C">
        <w:t xml:space="preserve"> (Accessed: </w:t>
      </w:r>
      <w:r>
        <w:t xml:space="preserve">11 </w:t>
      </w:r>
      <w:r w:rsidRPr="00BF136C">
        <w:t>July 2026).</w:t>
      </w:r>
    </w:p>
    <w:p w14:paraId="3FCBA1C7" w14:textId="77777777" w:rsidR="00D437C4" w:rsidRPr="00BF136C" w:rsidRDefault="00D437C4" w:rsidP="00D437C4">
      <w:r w:rsidRPr="00BF136C">
        <w:t xml:space="preserve">NHS England (2024) </w:t>
      </w:r>
      <w:r w:rsidRPr="00BF136C">
        <w:rPr>
          <w:i/>
          <w:iCs/>
        </w:rPr>
        <w:t>The NHS Digital Weight Management Programme</w:t>
      </w:r>
      <w:r w:rsidRPr="00BF136C">
        <w:t xml:space="preserve">. Available at: </w:t>
      </w:r>
      <w:hyperlink r:id="rId16" w:tgtFrame="_new" w:history="1">
        <w:r w:rsidRPr="00BF136C">
          <w:rPr>
            <w:rStyle w:val="Hyperlink"/>
          </w:rPr>
          <w:t>https://www.england.nhs.uk/digital-weight-management/</w:t>
        </w:r>
      </w:hyperlink>
      <w:r w:rsidRPr="00BF136C">
        <w:t xml:space="preserve"> (Accessed: </w:t>
      </w:r>
      <w:r>
        <w:t>14</w:t>
      </w:r>
      <w:r w:rsidRPr="00BF136C">
        <w:t xml:space="preserve"> July 2026).</w:t>
      </w:r>
    </w:p>
    <w:p w14:paraId="020A3473" w14:textId="77777777" w:rsidR="00D437C4" w:rsidRPr="00BF136C" w:rsidRDefault="00D437C4" w:rsidP="00D437C4">
      <w:r w:rsidRPr="00BF136C">
        <w:t xml:space="preserve">Taylor, K., </w:t>
      </w:r>
      <w:r w:rsidRPr="00BF136C">
        <w:rPr>
          <w:i/>
          <w:iCs/>
        </w:rPr>
        <w:t>et al.</w:t>
      </w:r>
      <w:r w:rsidRPr="00BF136C">
        <w:t xml:space="preserve"> (2024) ‘Early outcomes of referrals to the English National Health Service Digital Weight Management Programme’, </w:t>
      </w:r>
      <w:r w:rsidRPr="00BF136C">
        <w:rPr>
          <w:i/>
          <w:iCs/>
        </w:rPr>
        <w:t>Obesity</w:t>
      </w:r>
      <w:r w:rsidRPr="00BF136C">
        <w:t>, 32(6), pp. 1246–1255.</w:t>
      </w:r>
    </w:p>
    <w:p w14:paraId="5C8ADB7E" w14:textId="77777777" w:rsidR="00D437C4" w:rsidRPr="00BF136C" w:rsidRDefault="00D437C4" w:rsidP="00D437C4">
      <w:r w:rsidRPr="00BF136C">
        <w:t xml:space="preserve">World Health Organization (2021) </w:t>
      </w:r>
      <w:r w:rsidRPr="00BF136C">
        <w:rPr>
          <w:i/>
          <w:iCs/>
        </w:rPr>
        <w:t>Ethics and governance of artificial intelligence for health</w:t>
      </w:r>
      <w:r w:rsidRPr="00BF136C">
        <w:t xml:space="preserve">. Geneva: World Health Organization. Available at: </w:t>
      </w:r>
      <w:hyperlink r:id="rId17" w:tgtFrame="_new" w:history="1">
        <w:r w:rsidRPr="00BF136C">
          <w:rPr>
            <w:rStyle w:val="Hyperlink"/>
          </w:rPr>
          <w:t>https://www.who.int/publications/i/item/9789240029200</w:t>
        </w:r>
      </w:hyperlink>
      <w:r w:rsidRPr="00BF136C">
        <w:t xml:space="preserve"> (Accessed: </w:t>
      </w:r>
      <w:r>
        <w:t>20</w:t>
      </w:r>
      <w:r w:rsidRPr="00BF136C">
        <w:t xml:space="preserve"> July 2026).</w:t>
      </w:r>
    </w:p>
    <w:p w14:paraId="627FF484" w14:textId="67295F13" w:rsidR="00812C5F" w:rsidRPr="00812C5F" w:rsidRDefault="00D437C4" w:rsidP="00812C5F">
      <w:r w:rsidRPr="00F177E8">
        <w:t xml:space="preserve">Smith, J. (2024) </w:t>
      </w:r>
      <w:r w:rsidRPr="00F177E8">
        <w:rPr>
          <w:i/>
          <w:iCs/>
        </w:rPr>
        <w:t>Health app on smartphone</w:t>
      </w:r>
      <w:r w:rsidRPr="00F177E8">
        <w:t xml:space="preserve"> [Photograph]. </w:t>
      </w:r>
      <w:proofErr w:type="spellStart"/>
      <w:r w:rsidRPr="00F177E8">
        <w:t>Unsplash</w:t>
      </w:r>
      <w:proofErr w:type="spellEnd"/>
      <w:r w:rsidRPr="00F177E8">
        <w:t>. Available at: URL (Accessed: 2</w:t>
      </w:r>
      <w:r>
        <w:t>0</w:t>
      </w:r>
      <w:r w:rsidRPr="00F177E8">
        <w:t xml:space="preserve"> July 2026).</w:t>
      </w:r>
    </w:p>
    <w:sectPr w:rsidR="00812C5F" w:rsidRPr="00812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17B"/>
    <w:rsid w:val="0000579E"/>
    <w:rsid w:val="00112E74"/>
    <w:rsid w:val="00137532"/>
    <w:rsid w:val="001658E9"/>
    <w:rsid w:val="0019436E"/>
    <w:rsid w:val="001B063C"/>
    <w:rsid w:val="00214810"/>
    <w:rsid w:val="00343AB7"/>
    <w:rsid w:val="00356AEE"/>
    <w:rsid w:val="003D0FBE"/>
    <w:rsid w:val="0041317B"/>
    <w:rsid w:val="004306C0"/>
    <w:rsid w:val="004510E7"/>
    <w:rsid w:val="004B4B82"/>
    <w:rsid w:val="004E403C"/>
    <w:rsid w:val="00573494"/>
    <w:rsid w:val="005B4E79"/>
    <w:rsid w:val="007F5679"/>
    <w:rsid w:val="00805409"/>
    <w:rsid w:val="00812C5F"/>
    <w:rsid w:val="00827472"/>
    <w:rsid w:val="00861E1C"/>
    <w:rsid w:val="008B552D"/>
    <w:rsid w:val="00976636"/>
    <w:rsid w:val="00A64108"/>
    <w:rsid w:val="00AA61BC"/>
    <w:rsid w:val="00AA7867"/>
    <w:rsid w:val="00AC4824"/>
    <w:rsid w:val="00AF6CE8"/>
    <w:rsid w:val="00B2509E"/>
    <w:rsid w:val="00B26586"/>
    <w:rsid w:val="00B604BC"/>
    <w:rsid w:val="00BB4643"/>
    <w:rsid w:val="00BB50D4"/>
    <w:rsid w:val="00C17EFC"/>
    <w:rsid w:val="00C553BA"/>
    <w:rsid w:val="00CA718A"/>
    <w:rsid w:val="00D119CC"/>
    <w:rsid w:val="00D21F12"/>
    <w:rsid w:val="00D437C4"/>
    <w:rsid w:val="00D62235"/>
    <w:rsid w:val="00DA22F5"/>
    <w:rsid w:val="00DD569A"/>
    <w:rsid w:val="00E12204"/>
    <w:rsid w:val="00E16893"/>
    <w:rsid w:val="00E35B8B"/>
    <w:rsid w:val="00E977D0"/>
    <w:rsid w:val="00EF0D34"/>
    <w:rsid w:val="00FF1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C4EB2"/>
  <w15:chartTrackingRefBased/>
  <w15:docId w15:val="{A5621F97-814A-49F8-9986-34A08C65B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1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31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1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1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131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1317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1317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1317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1317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1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31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17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17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1317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1317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1317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1317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1317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510E7"/>
    <w:pPr>
      <w:spacing w:after="80" w:line="240" w:lineRule="auto"/>
      <w:contextualSpacing/>
    </w:pPr>
    <w:rPr>
      <w:rFonts w:eastAsiaTheme="majorEastAsia" w:cstheme="majorBidi"/>
      <w:b/>
      <w:color w:val="156082" w:themeColor="accent1"/>
      <w:spacing w:val="-10"/>
      <w:kern w:val="28"/>
      <w:sz w:val="56"/>
      <w:szCs w:val="56"/>
    </w:rPr>
  </w:style>
  <w:style w:type="character" w:customStyle="1" w:styleId="TitleChar">
    <w:name w:val="Title Char"/>
    <w:basedOn w:val="DefaultParagraphFont"/>
    <w:link w:val="Title"/>
    <w:uiPriority w:val="10"/>
    <w:rsid w:val="004510E7"/>
    <w:rPr>
      <w:rFonts w:eastAsiaTheme="majorEastAsia" w:cstheme="majorBidi"/>
      <w:b/>
      <w:color w:val="156082" w:themeColor="accent1"/>
      <w:spacing w:val="-10"/>
      <w:kern w:val="28"/>
      <w:sz w:val="56"/>
      <w:szCs w:val="56"/>
    </w:rPr>
  </w:style>
  <w:style w:type="paragraph" w:styleId="Subtitle">
    <w:name w:val="Subtitle"/>
    <w:basedOn w:val="Normal"/>
    <w:next w:val="Normal"/>
    <w:link w:val="SubtitleChar"/>
    <w:uiPriority w:val="11"/>
    <w:qFormat/>
    <w:rsid w:val="0041317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17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131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317B"/>
    <w:rPr>
      <w:i/>
      <w:iCs/>
      <w:color w:val="404040" w:themeColor="text1" w:themeTint="BF"/>
    </w:rPr>
  </w:style>
  <w:style w:type="paragraph" w:styleId="ListParagraph">
    <w:name w:val="List Paragraph"/>
    <w:basedOn w:val="Normal"/>
    <w:uiPriority w:val="34"/>
    <w:qFormat/>
    <w:rsid w:val="0041317B"/>
    <w:pPr>
      <w:ind w:left="720"/>
      <w:contextualSpacing/>
    </w:pPr>
  </w:style>
  <w:style w:type="character" w:styleId="IntenseEmphasis">
    <w:name w:val="Intense Emphasis"/>
    <w:basedOn w:val="DefaultParagraphFont"/>
    <w:uiPriority w:val="21"/>
    <w:qFormat/>
    <w:rsid w:val="0041317B"/>
    <w:rPr>
      <w:i/>
      <w:iCs/>
      <w:color w:val="0F4761" w:themeColor="accent1" w:themeShade="BF"/>
    </w:rPr>
  </w:style>
  <w:style w:type="paragraph" w:styleId="IntenseQuote">
    <w:name w:val="Intense Quote"/>
    <w:basedOn w:val="Normal"/>
    <w:next w:val="Normal"/>
    <w:link w:val="IntenseQuoteChar"/>
    <w:uiPriority w:val="30"/>
    <w:qFormat/>
    <w:rsid w:val="004131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17B"/>
    <w:rPr>
      <w:i/>
      <w:iCs/>
      <w:color w:val="0F4761" w:themeColor="accent1" w:themeShade="BF"/>
    </w:rPr>
  </w:style>
  <w:style w:type="character" w:styleId="IntenseReference">
    <w:name w:val="Intense Reference"/>
    <w:basedOn w:val="DefaultParagraphFont"/>
    <w:uiPriority w:val="32"/>
    <w:qFormat/>
    <w:rsid w:val="0041317B"/>
    <w:rPr>
      <w:b/>
      <w:bCs/>
      <w:smallCaps/>
      <w:color w:val="0F4761" w:themeColor="accent1" w:themeShade="BF"/>
      <w:spacing w:val="5"/>
    </w:rPr>
  </w:style>
  <w:style w:type="character" w:styleId="Hyperlink">
    <w:name w:val="Hyperlink"/>
    <w:basedOn w:val="DefaultParagraphFont"/>
    <w:uiPriority w:val="99"/>
    <w:unhideWhenUsed/>
    <w:rsid w:val="00827472"/>
    <w:rPr>
      <w:color w:val="467886" w:themeColor="hyperlink"/>
      <w:u w:val="single"/>
    </w:rPr>
  </w:style>
  <w:style w:type="character" w:styleId="UnresolvedMention">
    <w:name w:val="Unresolved Mention"/>
    <w:basedOn w:val="DefaultParagraphFont"/>
    <w:uiPriority w:val="99"/>
    <w:semiHidden/>
    <w:unhideWhenUsed/>
    <w:rsid w:val="00827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ngland.nhs.uk/digital-weight-managemen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nice.org.uk" TargetMode="External"/><Relationship Id="rId17" Type="http://schemas.openxmlformats.org/officeDocument/2006/relationships/hyperlink" Target="https://www.who.int/publications/i/item/9789240029200" TargetMode="External"/><Relationship Id="rId2" Type="http://schemas.openxmlformats.org/officeDocument/2006/relationships/customXml" Target="../customXml/item2.xml"/><Relationship Id="rId16" Type="http://schemas.openxmlformats.org/officeDocument/2006/relationships/hyperlink" Target="https://www.england.nhs.uk/digital-weight-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article/10.1186/s12889-026-26203-z?utm_source=chatgpt.com" TargetMode="External"/><Relationship Id="rId5" Type="http://schemas.openxmlformats.org/officeDocument/2006/relationships/settings" Target="settings.xml"/><Relationship Id="rId15" Type="http://schemas.openxmlformats.org/officeDocument/2006/relationships/hyperlink" Target="https://www.nice.org.uk"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pubmed.ncbi.nlm.nih.gov/38644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4c2d44543864d33d5ae424bbd8791f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35bc93f2d0aa29775d5c7e2f16e780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EFB9E6-79E7-4CB3-BB4B-0B408D478EBE}">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60A1D183-D202-4775-8102-E929F13CCD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0C8827-708B-46E1-A0EF-6EF45DB510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6</Pages>
  <Words>1488</Words>
  <Characters>8483</Characters>
  <Application>Microsoft Office Word</Application>
  <DocSecurity>0</DocSecurity>
  <Lines>70</Lines>
  <Paragraphs>19</Paragraphs>
  <ScaleCrop>false</ScaleCrop>
  <Company/>
  <LinksUpToDate>false</LinksUpToDate>
  <CharactersWithSpaces>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Andrea Latorre Restrepo (2231782)</dc:creator>
  <cp:keywords/>
  <dc:description/>
  <cp:lastModifiedBy>Paula Andrea Latorre Restrepo (2231782)</cp:lastModifiedBy>
  <cp:revision>40</cp:revision>
  <dcterms:created xsi:type="dcterms:W3CDTF">2026-07-20T08:47:00Z</dcterms:created>
  <dcterms:modified xsi:type="dcterms:W3CDTF">2026-07-24T09:33:00Z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