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F17A6" w14:textId="77777777" w:rsidR="00597769" w:rsidRPr="00C03A91" w:rsidRDefault="00597769" w:rsidP="00597769">
      <w:pPr>
        <w:spacing w:line="360" w:lineRule="auto"/>
        <w:rPr>
          <w:rFonts w:ascii="Arial" w:hAnsi="Arial" w:cs="Arial"/>
        </w:rPr>
      </w:pPr>
    </w:p>
    <w:p w14:paraId="670B0C4D" w14:textId="77777777" w:rsidR="00597769" w:rsidRPr="00C03A91" w:rsidRDefault="00597769" w:rsidP="00597769">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4FBF235D" wp14:editId="72BC7DED">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E3CD60" w14:textId="77777777" w:rsidR="00597769" w:rsidRPr="00C03A91" w:rsidRDefault="00597769" w:rsidP="00597769">
      <w:pPr>
        <w:spacing w:line="360" w:lineRule="auto"/>
        <w:rPr>
          <w:rFonts w:ascii="Arial" w:hAnsi="Arial" w:cs="Arial"/>
          <w:szCs w:val="24"/>
        </w:rPr>
      </w:pPr>
    </w:p>
    <w:p w14:paraId="174AA8D4" w14:textId="77777777" w:rsidR="00597769" w:rsidRPr="00C03A91" w:rsidRDefault="00597769" w:rsidP="00597769">
      <w:pPr>
        <w:spacing w:line="360" w:lineRule="auto"/>
        <w:rPr>
          <w:rFonts w:ascii="Arial" w:hAnsi="Arial" w:cs="Arial"/>
          <w:szCs w:val="24"/>
        </w:rPr>
      </w:pPr>
    </w:p>
    <w:p w14:paraId="263B9566" w14:textId="77777777" w:rsidR="00597769" w:rsidRPr="00C03A91" w:rsidRDefault="00597769" w:rsidP="00597769">
      <w:pPr>
        <w:spacing w:line="360" w:lineRule="auto"/>
        <w:rPr>
          <w:rFonts w:ascii="Arial" w:hAnsi="Arial" w:cs="Arial"/>
          <w:szCs w:val="24"/>
        </w:rPr>
      </w:pPr>
    </w:p>
    <w:p w14:paraId="56DF2F5D" w14:textId="77777777" w:rsidR="00597769" w:rsidRPr="00C03A91" w:rsidRDefault="00597769" w:rsidP="00597769">
      <w:pPr>
        <w:tabs>
          <w:tab w:val="left" w:pos="6540"/>
        </w:tabs>
        <w:spacing w:line="360" w:lineRule="auto"/>
        <w:rPr>
          <w:rFonts w:ascii="Arial" w:hAnsi="Arial" w:cs="Arial"/>
          <w:sz w:val="28"/>
          <w:szCs w:val="28"/>
        </w:rPr>
      </w:pPr>
    </w:p>
    <w:p w14:paraId="07AD0B84" w14:textId="3862DD63" w:rsidR="00914B1F" w:rsidRPr="00E577E6" w:rsidRDefault="00597769" w:rsidP="00914B1F">
      <w:pPr>
        <w:tabs>
          <w:tab w:val="left" w:pos="6540"/>
        </w:tabs>
        <w:spacing w:line="360" w:lineRule="auto"/>
        <w:rPr>
          <w:rFonts w:ascii="Arial" w:hAnsi="Arial" w:cs="Arial"/>
          <w:sz w:val="28"/>
          <w:szCs w:val="28"/>
        </w:rPr>
      </w:pPr>
      <w:r w:rsidRPr="00E577E6">
        <w:rPr>
          <w:rFonts w:ascii="Arial" w:hAnsi="Arial" w:cs="Arial"/>
          <w:b/>
          <w:bCs/>
          <w:sz w:val="28"/>
          <w:szCs w:val="28"/>
        </w:rPr>
        <w:t>Student name</w:t>
      </w:r>
      <w:r w:rsidRPr="00E577E6">
        <w:rPr>
          <w:rFonts w:ascii="Arial" w:hAnsi="Arial" w:cs="Arial"/>
          <w:sz w:val="28"/>
          <w:szCs w:val="28"/>
        </w:rPr>
        <w:t>:</w:t>
      </w:r>
      <w:r w:rsidR="00602EC4" w:rsidRPr="00E577E6">
        <w:rPr>
          <w:rFonts w:ascii="Arial" w:hAnsi="Arial" w:cs="Arial"/>
          <w:sz w:val="28"/>
          <w:szCs w:val="28"/>
        </w:rPr>
        <w:t xml:space="preserve"> </w:t>
      </w:r>
      <w:r w:rsidR="007213A6" w:rsidRPr="00E577E6">
        <w:rPr>
          <w:rFonts w:ascii="Arial" w:hAnsi="Arial" w:cs="Arial"/>
          <w:sz w:val="28"/>
          <w:szCs w:val="28"/>
        </w:rPr>
        <w:t xml:space="preserve">Gloria </w:t>
      </w:r>
      <w:r w:rsidR="00914B1F" w:rsidRPr="00E577E6">
        <w:rPr>
          <w:rFonts w:ascii="Arial" w:hAnsi="Arial" w:cs="Arial"/>
          <w:sz w:val="28"/>
          <w:szCs w:val="28"/>
        </w:rPr>
        <w:t>Abimbola Oke</w:t>
      </w:r>
    </w:p>
    <w:p w14:paraId="79BE96A1" w14:textId="3AA855D8" w:rsidR="00597769" w:rsidRPr="00AF00B4" w:rsidRDefault="00597769" w:rsidP="00597769">
      <w:pPr>
        <w:tabs>
          <w:tab w:val="left" w:pos="6540"/>
        </w:tabs>
        <w:spacing w:line="360" w:lineRule="auto"/>
        <w:rPr>
          <w:rFonts w:ascii="Arial" w:hAnsi="Arial" w:cs="Arial"/>
          <w:sz w:val="28"/>
          <w:szCs w:val="28"/>
        </w:rPr>
      </w:pPr>
      <w:r w:rsidRPr="00AF00B4">
        <w:rPr>
          <w:rFonts w:ascii="Arial" w:hAnsi="Arial" w:cs="Arial"/>
          <w:b/>
          <w:bCs/>
          <w:sz w:val="28"/>
          <w:szCs w:val="28"/>
        </w:rPr>
        <w:t>Student ID</w:t>
      </w:r>
      <w:r w:rsidRPr="00AF00B4">
        <w:rPr>
          <w:rFonts w:ascii="Arial" w:hAnsi="Arial" w:cs="Arial"/>
          <w:sz w:val="28"/>
          <w:szCs w:val="28"/>
        </w:rPr>
        <w:t>:</w:t>
      </w:r>
      <w:r w:rsidR="00914B1F" w:rsidRPr="00AF00B4">
        <w:rPr>
          <w:rFonts w:ascii="Arial" w:hAnsi="Arial" w:cs="Arial"/>
          <w:sz w:val="28"/>
          <w:szCs w:val="28"/>
        </w:rPr>
        <w:t xml:space="preserve"> 2417815</w:t>
      </w:r>
    </w:p>
    <w:p w14:paraId="1FA59F84" w14:textId="77777777" w:rsidR="00597769" w:rsidRPr="00AF00B4" w:rsidRDefault="00597769" w:rsidP="00597769">
      <w:pPr>
        <w:tabs>
          <w:tab w:val="left" w:pos="6540"/>
        </w:tabs>
        <w:spacing w:line="360" w:lineRule="auto"/>
        <w:rPr>
          <w:rFonts w:ascii="Arial" w:hAnsi="Arial" w:cs="Arial"/>
          <w:sz w:val="28"/>
          <w:szCs w:val="28"/>
        </w:rPr>
      </w:pPr>
    </w:p>
    <w:p w14:paraId="2FE55CB4" w14:textId="72B3A4E4" w:rsidR="00597769" w:rsidRPr="00AF00B4" w:rsidRDefault="00597769" w:rsidP="00597769">
      <w:pPr>
        <w:tabs>
          <w:tab w:val="left" w:pos="6540"/>
        </w:tabs>
        <w:spacing w:line="360" w:lineRule="auto"/>
        <w:rPr>
          <w:rFonts w:ascii="Arial" w:hAnsi="Arial" w:cs="Arial"/>
          <w:sz w:val="28"/>
          <w:szCs w:val="28"/>
        </w:rPr>
      </w:pPr>
      <w:r w:rsidRPr="00AF00B4">
        <w:rPr>
          <w:rFonts w:ascii="Arial" w:hAnsi="Arial" w:cs="Arial"/>
          <w:b/>
          <w:bCs/>
          <w:sz w:val="28"/>
          <w:szCs w:val="28"/>
        </w:rPr>
        <w:t>Module name</w:t>
      </w:r>
      <w:r w:rsidRPr="00AF00B4">
        <w:rPr>
          <w:rFonts w:ascii="Arial" w:hAnsi="Arial" w:cs="Arial"/>
          <w:sz w:val="28"/>
          <w:szCs w:val="28"/>
        </w:rPr>
        <w:t xml:space="preserve">: </w:t>
      </w:r>
      <w:r w:rsidR="00B730C6" w:rsidRPr="00AF00B4">
        <w:rPr>
          <w:rFonts w:ascii="Arial" w:hAnsi="Arial" w:cs="Arial"/>
          <w:sz w:val="28"/>
          <w:szCs w:val="28"/>
        </w:rPr>
        <w:t>Introdu</w:t>
      </w:r>
      <w:r w:rsidR="00AF00B4" w:rsidRPr="00AF00B4">
        <w:rPr>
          <w:rFonts w:ascii="Arial" w:hAnsi="Arial" w:cs="Arial"/>
          <w:sz w:val="28"/>
          <w:szCs w:val="28"/>
        </w:rPr>
        <w:t>ct</w:t>
      </w:r>
      <w:r w:rsidR="00AF00B4">
        <w:rPr>
          <w:rFonts w:ascii="Arial" w:hAnsi="Arial" w:cs="Arial"/>
          <w:sz w:val="28"/>
          <w:szCs w:val="28"/>
        </w:rPr>
        <w:t>ion to Physiology</w:t>
      </w:r>
    </w:p>
    <w:p w14:paraId="0D221F63" w14:textId="10EBA11B" w:rsidR="00597769" w:rsidRPr="00E577E6" w:rsidRDefault="00597769" w:rsidP="00597769">
      <w:pPr>
        <w:tabs>
          <w:tab w:val="left" w:pos="6540"/>
        </w:tabs>
        <w:spacing w:line="360" w:lineRule="auto"/>
        <w:rPr>
          <w:rFonts w:ascii="Arial" w:hAnsi="Arial" w:cs="Arial"/>
          <w:sz w:val="28"/>
          <w:szCs w:val="28"/>
        </w:rPr>
      </w:pPr>
      <w:r w:rsidRPr="00E577E6">
        <w:rPr>
          <w:rFonts w:ascii="Arial" w:hAnsi="Arial" w:cs="Arial"/>
          <w:b/>
          <w:bCs/>
          <w:sz w:val="28"/>
          <w:szCs w:val="28"/>
        </w:rPr>
        <w:t>Module code</w:t>
      </w:r>
      <w:r w:rsidRPr="00E577E6">
        <w:rPr>
          <w:rFonts w:ascii="Arial" w:hAnsi="Arial" w:cs="Arial"/>
          <w:sz w:val="28"/>
          <w:szCs w:val="28"/>
        </w:rPr>
        <w:t>:</w:t>
      </w:r>
      <w:r w:rsidR="000E543E" w:rsidRPr="00E577E6">
        <w:rPr>
          <w:rFonts w:ascii="Arial" w:hAnsi="Arial" w:cs="Arial"/>
          <w:sz w:val="28"/>
          <w:szCs w:val="28"/>
        </w:rPr>
        <w:t xml:space="preserve"> BMHP5023</w:t>
      </w:r>
    </w:p>
    <w:p w14:paraId="711AE311" w14:textId="26DF4099" w:rsidR="00597769" w:rsidRPr="00640F60" w:rsidRDefault="00597769" w:rsidP="00597769">
      <w:pPr>
        <w:tabs>
          <w:tab w:val="left" w:pos="6540"/>
        </w:tabs>
        <w:spacing w:line="360" w:lineRule="auto"/>
        <w:rPr>
          <w:rFonts w:ascii="Arial" w:hAnsi="Arial" w:cs="Arial"/>
          <w:sz w:val="28"/>
          <w:szCs w:val="28"/>
        </w:rPr>
      </w:pPr>
      <w:r w:rsidRPr="00640F60">
        <w:rPr>
          <w:rFonts w:ascii="Arial" w:hAnsi="Arial" w:cs="Arial"/>
          <w:b/>
          <w:bCs/>
          <w:sz w:val="28"/>
          <w:szCs w:val="28"/>
        </w:rPr>
        <w:t>Lecturer name</w:t>
      </w:r>
      <w:r w:rsidRPr="00640F60">
        <w:rPr>
          <w:rFonts w:ascii="Arial" w:hAnsi="Arial" w:cs="Arial"/>
          <w:sz w:val="28"/>
          <w:szCs w:val="28"/>
        </w:rPr>
        <w:t>:</w:t>
      </w:r>
      <w:r w:rsidR="00573D74" w:rsidRPr="00640F60">
        <w:rPr>
          <w:rFonts w:ascii="Arial" w:hAnsi="Arial" w:cs="Arial"/>
          <w:sz w:val="28"/>
          <w:szCs w:val="28"/>
        </w:rPr>
        <w:t xml:space="preserve"> Dr S</w:t>
      </w:r>
      <w:r w:rsidR="00640F60" w:rsidRPr="00640F60">
        <w:rPr>
          <w:rFonts w:ascii="Arial" w:hAnsi="Arial" w:cs="Arial"/>
          <w:sz w:val="28"/>
          <w:szCs w:val="28"/>
        </w:rPr>
        <w:t>oban Sadi</w:t>
      </w:r>
      <w:r w:rsidR="00640F60">
        <w:rPr>
          <w:rFonts w:ascii="Arial" w:hAnsi="Arial" w:cs="Arial"/>
          <w:sz w:val="28"/>
          <w:szCs w:val="28"/>
        </w:rPr>
        <w:t>q</w:t>
      </w:r>
    </w:p>
    <w:p w14:paraId="2F85F5AB" w14:textId="77777777" w:rsidR="00597769" w:rsidRPr="00640F60" w:rsidRDefault="00597769" w:rsidP="00597769">
      <w:pPr>
        <w:tabs>
          <w:tab w:val="left" w:pos="6540"/>
        </w:tabs>
        <w:spacing w:line="360" w:lineRule="auto"/>
        <w:rPr>
          <w:rFonts w:ascii="Arial" w:hAnsi="Arial" w:cs="Arial"/>
          <w:b/>
          <w:bCs/>
          <w:sz w:val="28"/>
          <w:szCs w:val="28"/>
        </w:rPr>
      </w:pPr>
    </w:p>
    <w:p w14:paraId="412E6994" w14:textId="0ADD315C" w:rsidR="00597769" w:rsidRPr="00C03A91" w:rsidRDefault="00597769" w:rsidP="00597769">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AC32CE">
        <w:rPr>
          <w:rFonts w:ascii="Arial" w:hAnsi="Arial" w:cs="Arial"/>
          <w:b/>
          <w:bCs/>
          <w:sz w:val="28"/>
          <w:szCs w:val="28"/>
        </w:rPr>
        <w:t xml:space="preserve"> </w:t>
      </w:r>
      <w:r w:rsidR="00820599">
        <w:rPr>
          <w:rFonts w:ascii="Arial" w:hAnsi="Arial" w:cs="Arial"/>
          <w:b/>
          <w:bCs/>
          <w:sz w:val="28"/>
          <w:szCs w:val="28"/>
        </w:rPr>
        <w:t>CASE STUDY</w:t>
      </w:r>
      <w:r w:rsidR="00AC32CE">
        <w:rPr>
          <w:rFonts w:ascii="Arial" w:hAnsi="Arial" w:cs="Arial"/>
          <w:b/>
          <w:bCs/>
          <w:sz w:val="28"/>
          <w:szCs w:val="28"/>
        </w:rPr>
        <w:t xml:space="preserve">2, </w:t>
      </w:r>
      <w:r w:rsidR="00007DDE">
        <w:rPr>
          <w:rFonts w:ascii="Arial" w:hAnsi="Arial" w:cs="Arial"/>
          <w:b/>
          <w:bCs/>
          <w:sz w:val="28"/>
          <w:szCs w:val="28"/>
        </w:rPr>
        <w:t>A</w:t>
      </w:r>
      <w:r w:rsidR="00701803">
        <w:rPr>
          <w:rFonts w:ascii="Arial" w:hAnsi="Arial" w:cs="Arial"/>
          <w:b/>
          <w:bCs/>
          <w:sz w:val="28"/>
          <w:szCs w:val="28"/>
        </w:rPr>
        <w:t xml:space="preserve"> Report on A</w:t>
      </w:r>
      <w:r w:rsidR="009E2B7B">
        <w:rPr>
          <w:rFonts w:ascii="Arial" w:hAnsi="Arial" w:cs="Arial"/>
          <w:b/>
          <w:bCs/>
          <w:sz w:val="28"/>
          <w:szCs w:val="28"/>
        </w:rPr>
        <w:t>STHMA</w:t>
      </w:r>
      <w:r w:rsidR="00B463AF">
        <w:rPr>
          <w:rFonts w:ascii="Arial" w:hAnsi="Arial" w:cs="Arial"/>
          <w:b/>
          <w:bCs/>
          <w:sz w:val="28"/>
          <w:szCs w:val="28"/>
        </w:rPr>
        <w:t>.</w:t>
      </w:r>
    </w:p>
    <w:p w14:paraId="2C951F0B" w14:textId="77777777" w:rsidR="00597769" w:rsidRPr="00C03A91" w:rsidRDefault="00597769" w:rsidP="00597769">
      <w:pPr>
        <w:tabs>
          <w:tab w:val="left" w:pos="6540"/>
        </w:tabs>
        <w:spacing w:line="360" w:lineRule="auto"/>
        <w:rPr>
          <w:rFonts w:ascii="Arial" w:hAnsi="Arial" w:cs="Arial"/>
          <w:sz w:val="28"/>
          <w:szCs w:val="28"/>
        </w:rPr>
      </w:pPr>
    </w:p>
    <w:p w14:paraId="6FD4BF63" w14:textId="77777777" w:rsidR="00597769" w:rsidRPr="00C03A91" w:rsidRDefault="00597769" w:rsidP="00597769">
      <w:pPr>
        <w:spacing w:line="360" w:lineRule="auto"/>
        <w:rPr>
          <w:rFonts w:ascii="Arial" w:hAnsi="Arial" w:cs="Arial"/>
          <w:sz w:val="28"/>
          <w:szCs w:val="28"/>
        </w:rPr>
      </w:pPr>
      <w:r w:rsidRPr="00C03A91">
        <w:rPr>
          <w:rFonts w:ascii="Arial" w:hAnsi="Arial" w:cs="Arial"/>
          <w:sz w:val="28"/>
          <w:szCs w:val="28"/>
        </w:rPr>
        <w:br w:type="page"/>
      </w:r>
    </w:p>
    <w:p w14:paraId="3242A2F2" w14:textId="6B9606F4" w:rsidR="00597769" w:rsidRPr="00597769" w:rsidRDefault="00597769" w:rsidP="00597769">
      <w:pPr>
        <w:spacing w:line="360" w:lineRule="auto"/>
        <w:rPr>
          <w:rFonts w:asciiTheme="minorBidi" w:hAnsiTheme="minorBidi"/>
          <w:b/>
          <w:bCs/>
          <w:szCs w:val="24"/>
        </w:rPr>
      </w:pPr>
      <w:r>
        <w:rPr>
          <w:rFonts w:asciiTheme="minorBidi" w:hAnsiTheme="minorBidi"/>
          <w:b/>
          <w:bCs/>
          <w:szCs w:val="24"/>
          <w:lang w:val="en-US"/>
        </w:rPr>
        <w:lastRenderedPageBreak/>
        <w:t>I</w:t>
      </w:r>
      <w:r w:rsidRPr="00597769">
        <w:rPr>
          <w:rFonts w:asciiTheme="minorBidi" w:hAnsiTheme="minorBidi"/>
          <w:b/>
          <w:bCs/>
          <w:szCs w:val="24"/>
          <w:lang w:val="en-US"/>
        </w:rPr>
        <w:t>ntroduction</w:t>
      </w:r>
      <w:r w:rsidRPr="00597769">
        <w:rPr>
          <w:rFonts w:asciiTheme="minorBidi" w:hAnsiTheme="minorBidi"/>
          <w:b/>
          <w:bCs/>
          <w:szCs w:val="24"/>
        </w:rPr>
        <w:t> </w:t>
      </w:r>
    </w:p>
    <w:p w14:paraId="4171FB5A" w14:textId="0B2FD328"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Asthma is a chronic inflammatory airway disease, which affects over 260 million individuals worldwide, with an outstanding rate of pathology in children and adolescents (World Health Organization, 2024). It is among the most prevalent conditions of the long-term in the young population in the UK, and the outcomes and access to care are unequal (RCPCH, 2020). Airway hyper-responsiveness, intermittent obstruction, and frequent episodes of wheezing, dyspnea, and cough, which are usually provoked by environmental and lifestyle factors define the condition (Komlósi et al., 2021). There are multifactorial risk factors of adolescent asthma. There is genetic predisposition, childhood exposures and </w:t>
      </w:r>
      <w:r w:rsidR="00E577E6" w:rsidRPr="00597769">
        <w:rPr>
          <w:rFonts w:asciiTheme="minorBidi" w:hAnsiTheme="minorBidi"/>
          <w:szCs w:val="24"/>
          <w:lang w:val="en-US"/>
        </w:rPr>
        <w:t>behavioral</w:t>
      </w:r>
      <w:r w:rsidRPr="00597769">
        <w:rPr>
          <w:rFonts w:asciiTheme="minorBidi" w:hAnsiTheme="minorBidi"/>
          <w:szCs w:val="24"/>
          <w:lang w:val="en-US"/>
        </w:rPr>
        <w:t> risk factors, including smoking, vaping, and pneumonia, that drive disease progression and predispose to severe exacerbations (Edwards et al., 2019;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It has also been observed that early respiratory exposures may also change lung development, predisposing individuals to the lifelong chronic respiratory disease (Hopkinson et al., 2024). </w:t>
      </w:r>
      <w:r w:rsidRPr="00597769">
        <w:rPr>
          <w:rFonts w:asciiTheme="minorBidi" w:hAnsiTheme="minorBidi"/>
          <w:szCs w:val="24"/>
        </w:rPr>
        <w:t> </w:t>
      </w:r>
    </w:p>
    <w:p w14:paraId="4CC4729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The report will be targeted at adolescent patients in the clinical environment, and will seek to offer practical understanding of their ailment in a clear and straightforward manner. It will describe the anatomy of respiratory system, gaseous exchange, the effect of irritants, and the necessity to test respiratory functioning. It will also identify lifestyle prescriptions that can be used in addition to clinical therapy and give the adolescents the power to actively manage their health. According to the national and international guidelines, self-management techniques, including education, monitoring, and lifestyle change, are highly necessary to minimize exacerbations and improve quality of life (GINA, 2024; BTS/SIGN, 2019; NICE, 2024). At the population level, further evidence confirms that a combination of measures is capable of mitigating the increasing epidemic of asthma and allergic disorders (</w:t>
      </w:r>
      <w:proofErr w:type="spellStart"/>
      <w:r w:rsidRPr="00597769">
        <w:rPr>
          <w:rFonts w:asciiTheme="minorBidi" w:hAnsiTheme="minorBidi"/>
          <w:szCs w:val="24"/>
          <w:lang w:val="en-US"/>
        </w:rPr>
        <w:t>Haahtela</w:t>
      </w:r>
      <w:proofErr w:type="spellEnd"/>
      <w:r w:rsidRPr="00597769">
        <w:rPr>
          <w:rFonts w:asciiTheme="minorBidi" w:hAnsiTheme="minorBidi"/>
          <w:szCs w:val="24"/>
          <w:lang w:val="en-US"/>
        </w:rPr>
        <w:t> et al., 2022)</w:t>
      </w:r>
      <w:r w:rsidRPr="00597769">
        <w:rPr>
          <w:rFonts w:asciiTheme="minorBidi" w:hAnsiTheme="minorBidi"/>
          <w:szCs w:val="24"/>
        </w:rPr>
        <w:t> </w:t>
      </w:r>
    </w:p>
    <w:p w14:paraId="276C6B2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557E41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7D69BF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F2A9A31"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06A118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lastRenderedPageBreak/>
        <w:t> </w:t>
      </w:r>
    </w:p>
    <w:p w14:paraId="402E7B8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246831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w:t>
      </w:r>
      <w:r w:rsidRPr="00597769">
        <w:rPr>
          <w:rFonts w:asciiTheme="minorBidi" w:hAnsiTheme="minorBidi"/>
          <w:szCs w:val="24"/>
        </w:rPr>
        <w:t> </w:t>
      </w:r>
    </w:p>
    <w:p w14:paraId="76203CBB" w14:textId="3F4E6B18"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FFBB227" wp14:editId="01C6B65B">
            <wp:extent cx="3648075" cy="485775"/>
            <wp:effectExtent l="0" t="0" r="9525" b="0"/>
            <wp:docPr id="1879036648" name="Picture 42"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Text Box 2, Textbo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8075" cy="48577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55EE67C5" wp14:editId="234F6E3B">
            <wp:extent cx="2609850" cy="1809750"/>
            <wp:effectExtent l="0" t="0" r="0" b="0"/>
            <wp:docPr id="2029342364" name="Picture 41" descr="Global map of the prevalence rate of asthma, according to the undertoo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Global map of the prevalence rate of asthma, according to the undertook...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9850" cy="1809750"/>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360FD618" wp14:editId="5763DEAB">
            <wp:extent cx="5731510" cy="283845"/>
            <wp:effectExtent l="0" t="0" r="2540" b="1905"/>
            <wp:docPr id="1136560142" name="Picture 40"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Text Box 2, Text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3845"/>
                    </a:xfrm>
                    <a:prstGeom prst="rect">
                      <a:avLst/>
                    </a:prstGeom>
                    <a:noFill/>
                    <a:ln>
                      <a:noFill/>
                    </a:ln>
                  </pic:spPr>
                </pic:pic>
              </a:graphicData>
            </a:graphic>
          </wp:inline>
        </w:drawing>
      </w:r>
      <w:r w:rsidRPr="00597769">
        <w:rPr>
          <w:rFonts w:asciiTheme="minorBidi" w:hAnsiTheme="minorBidi"/>
          <w:szCs w:val="24"/>
        </w:rPr>
        <w:t> </w:t>
      </w:r>
    </w:p>
    <w:p w14:paraId="4DC6CC4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E98248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DBEFDC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7319A85B"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A5CA3B2"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F00A83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742744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B731B36"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9E7BD8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A5EFF38"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Respiratory System Structure and Mechanical Respiration</w:t>
      </w:r>
      <w:r w:rsidRPr="00597769">
        <w:rPr>
          <w:rFonts w:asciiTheme="minorBidi" w:hAnsiTheme="minorBidi"/>
          <w:b/>
          <w:bCs/>
          <w:szCs w:val="24"/>
        </w:rPr>
        <w:t> </w:t>
      </w:r>
    </w:p>
    <w:p w14:paraId="0971E801"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respiratory system is a complicated system that supports life by constant exchange of gases. It contains the upper (nasal cavity, pharynx, larynx), lower (trachea, bronchi, bronchioles) and alveoli, which are held by the intercostal muscles </w:t>
      </w:r>
      <w:r w:rsidRPr="00597769">
        <w:rPr>
          <w:rFonts w:asciiTheme="minorBidi" w:hAnsiTheme="minorBidi"/>
          <w:szCs w:val="24"/>
          <w:lang w:val="en-US"/>
        </w:rPr>
        <w:lastRenderedPageBreak/>
        <w:t>and diaphragm. British Thoracic Society (2019) underlines that this structure is vital in the management of asthma because airway constriction directly affects the airflow. Mechanical respiration is dependent on gradient of pressures. Contraction of the diaphragm and external intercostal muscles makes the thoracic cavity bigger, decreasing intrapulmonary pressure, and pulling in air during inspiration into the lungs. Expiration is usually passive: the relaxation of the muscle enables the recoil of the lung tissue with elasticity, raising the pressure of the intrapulmonary section, and pushing out the air. This is a rhythmic process in which oxygen is delivered to alveoli and carbon dioxide is removed (Edwards et al., 2019).</w:t>
      </w:r>
      <w:r w:rsidRPr="00597769">
        <w:rPr>
          <w:rFonts w:asciiTheme="minorBidi" w:hAnsiTheme="minorBidi"/>
          <w:szCs w:val="24"/>
        </w:rPr>
        <w:t> </w:t>
      </w:r>
    </w:p>
    <w:p w14:paraId="71DE2DF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EFCCDA7" w14:textId="51DD145B" w:rsidR="00597769" w:rsidRPr="00597769" w:rsidRDefault="00597769" w:rsidP="00597769">
      <w:pPr>
        <w:spacing w:line="360" w:lineRule="auto"/>
        <w:rPr>
          <w:rFonts w:asciiTheme="minorBidi" w:hAnsiTheme="minorBidi"/>
          <w:szCs w:val="24"/>
        </w:rPr>
      </w:pPr>
    </w:p>
    <w:p w14:paraId="036A5983"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1F8A1E7" w14:textId="5B8FB48A"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18953548" wp14:editId="3A800013">
            <wp:extent cx="3705225" cy="314325"/>
            <wp:effectExtent l="0" t="0" r="9525" b="9525"/>
            <wp:docPr id="1814932182" name="Picture 39"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Text Box 2, Textbo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5225" cy="31432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2F29C77A" wp14:editId="307047FB">
            <wp:extent cx="2790825" cy="314325"/>
            <wp:effectExtent l="0" t="0" r="9525" b="9525"/>
            <wp:docPr id="1102888796" name="Picture 38" descr="Text Box 4,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Text Box 4, Textbo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0825" cy="31432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70D64F43" wp14:editId="4B5A4A80">
            <wp:extent cx="4419600" cy="2495550"/>
            <wp:effectExtent l="0" t="0" r="0" b="0"/>
            <wp:docPr id="1643302877" name="Picture 37" descr="Breathing - The respiratory system in humans – WJEC - GCSE Biology (Single  Science) Revision - WJEC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Breathing - The respiratory system in humans – WJEC - GCSE Biology (Single  Science) Revision - WJEC - BBC Bitesiz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9600" cy="2495550"/>
                    </a:xfrm>
                    <a:prstGeom prst="rect">
                      <a:avLst/>
                    </a:prstGeom>
                    <a:noFill/>
                    <a:ln>
                      <a:noFill/>
                    </a:ln>
                  </pic:spPr>
                </pic:pic>
              </a:graphicData>
            </a:graphic>
          </wp:inline>
        </w:drawing>
      </w:r>
      <w:r w:rsidRPr="00597769">
        <w:rPr>
          <w:rFonts w:asciiTheme="minorBidi" w:hAnsiTheme="minorBidi"/>
          <w:szCs w:val="24"/>
        </w:rPr>
        <w:t> </w:t>
      </w:r>
    </w:p>
    <w:p w14:paraId="5A67CDF1"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7C93ABA6"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482CFFA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158AFB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Asthma interferes with this process by inflammation of the airways, bronchoconstriction and hypersecretion of mucus. Epithelial injury and </w:t>
      </w:r>
      <w:r w:rsidRPr="00597769">
        <w:rPr>
          <w:rFonts w:asciiTheme="minorBidi" w:hAnsiTheme="minorBidi"/>
          <w:szCs w:val="24"/>
          <w:lang w:val="en-US"/>
        </w:rPr>
        <w:lastRenderedPageBreak/>
        <w:t>immune dysregulation increases airway hyper-responsiveness that decreases airflow, especially during exhalation and raises work of breathing (Komlósi et al., 2021). Compromised airways coupled with abundance of mucus reduces the efficiency of expiration by entrapping air and increasing fatigue. Viruses and pollutants that are experienced during early-life stages only worsen lung development, and individuals are at risk of asthma throughout their lives as well as having poor lung functionality (Hopkinson et al., 2024; McGeachie et al., 2016). Of particular risk are adolescents, whose lifestyle habits such as smoking and vaping worsen changes in structure of the airways (WHO, 2024). The Royal College of </w:t>
      </w:r>
      <w:proofErr w:type="spellStart"/>
      <w:r w:rsidRPr="00597769">
        <w:rPr>
          <w:rFonts w:asciiTheme="minorBidi" w:hAnsiTheme="minorBidi"/>
          <w:szCs w:val="24"/>
          <w:lang w:val="en-US"/>
        </w:rPr>
        <w:t>Paediatrics</w:t>
      </w:r>
      <w:proofErr w:type="spellEnd"/>
      <w:r w:rsidRPr="00597769">
        <w:rPr>
          <w:rFonts w:asciiTheme="minorBidi" w:hAnsiTheme="minorBidi"/>
          <w:szCs w:val="24"/>
          <w:lang w:val="en-US"/>
        </w:rPr>
        <w:t> and Child Health (2020) emphasizes that asthma control is an indicator of biological risk, as well as </w:t>
      </w:r>
      <w:proofErr w:type="spellStart"/>
      <w:r w:rsidRPr="00597769">
        <w:rPr>
          <w:rFonts w:asciiTheme="minorBidi" w:hAnsiTheme="minorBidi"/>
          <w:szCs w:val="24"/>
          <w:lang w:val="en-US"/>
        </w:rPr>
        <w:t>behavioural</w:t>
      </w:r>
      <w:proofErr w:type="spellEnd"/>
      <w:r w:rsidRPr="00597769">
        <w:rPr>
          <w:rFonts w:asciiTheme="minorBidi" w:hAnsiTheme="minorBidi"/>
          <w:szCs w:val="24"/>
          <w:lang w:val="en-US"/>
        </w:rPr>
        <w:t> risk, which supports the necessity of education that would help associate anatomy and physiology with lifestyle decisions. National recommendations underline that the self-understanding of respiratory mechanics in patients is a key to proper management, and adolescents can make sense of the symptoms and participate in the process of monitoring and treatment (NICE, 2024; GINA, 2024).</w:t>
      </w:r>
      <w:r w:rsidRPr="00597769">
        <w:rPr>
          <w:rFonts w:asciiTheme="minorBidi" w:hAnsiTheme="minorBidi"/>
          <w:szCs w:val="24"/>
        </w:rPr>
        <w:t> </w:t>
      </w:r>
    </w:p>
    <w:p w14:paraId="4259D79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BB0D371"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Gas Exchange in the Lungs</w:t>
      </w:r>
      <w:r w:rsidRPr="00597769">
        <w:rPr>
          <w:rFonts w:asciiTheme="minorBidi" w:hAnsiTheme="minorBidi"/>
          <w:b/>
          <w:bCs/>
          <w:szCs w:val="24"/>
        </w:rPr>
        <w:t> </w:t>
      </w:r>
    </w:p>
    <w:p w14:paraId="4500A86D" w14:textId="68E7459C"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most important process is the gas exchange in which oxygen gets into the blood and carbon dioxide is released and it takes place in the hollows of the lungs that are known as alveoli. These are microscopic sacs, which have thin lining over epithelia and have dense capillary networks that enable rapid diffusion across concentration gradients. </w:t>
      </w:r>
      <w:proofErr w:type="spellStart"/>
      <w:r w:rsidRPr="00597769">
        <w:rPr>
          <w:rFonts w:asciiTheme="minorBidi" w:hAnsiTheme="minorBidi"/>
          <w:szCs w:val="24"/>
          <w:lang w:val="en-US"/>
        </w:rPr>
        <w:t>Haemoglobin</w:t>
      </w:r>
      <w:proofErr w:type="spellEnd"/>
      <w:r w:rsidRPr="00597769">
        <w:rPr>
          <w:rFonts w:asciiTheme="minorBidi" w:hAnsiTheme="minorBidi"/>
          <w:szCs w:val="24"/>
          <w:lang w:val="en-US"/>
        </w:rPr>
        <w:t xml:space="preserve"> is bound with oxygen to be transported throughout the body, and carbon dioxide is eliminated through the alveoli (Edwards et al., 2019). Airway inflammation, bronchoconstriction, and hypersecretion of mucus are some of the ways through which asthma interferes with this process. The changes decrease oxygen supply to alveoli and hinders the elimination of carbon dioxide. The resulting imbalance may lead to </w:t>
      </w:r>
      <w:proofErr w:type="spellStart"/>
      <w:r w:rsidRPr="00597769">
        <w:rPr>
          <w:rFonts w:asciiTheme="minorBidi" w:hAnsiTheme="minorBidi"/>
          <w:szCs w:val="24"/>
          <w:lang w:val="en-US"/>
        </w:rPr>
        <w:t>hypoxaemia</w:t>
      </w:r>
      <w:proofErr w:type="spellEnd"/>
      <w:r w:rsidRPr="00597769">
        <w:rPr>
          <w:rFonts w:asciiTheme="minorBidi" w:hAnsiTheme="minorBidi"/>
          <w:szCs w:val="24"/>
          <w:lang w:val="en-US"/>
        </w:rPr>
        <w:t xml:space="preserve"> and hypercapnia in exacerbations, which clinically manifest itself in the form of breathlessness and fatigue (Komlósi et al., 2021). The longitudinal studies indicate that childhood asthma persistence causes a shift in the curve of lung functioning, including a decrease in peak expiratory flow and gas exchange capacity in adolescence and adulthood (McGeachie et al., 2016).</w:t>
      </w:r>
      <w:r w:rsidRPr="00597769">
        <w:rPr>
          <w:rFonts w:asciiTheme="minorBidi" w:hAnsiTheme="minorBidi"/>
          <w:szCs w:val="24"/>
        </w:rPr>
        <w:t> </w:t>
      </w:r>
    </w:p>
    <w:p w14:paraId="748B56C1" w14:textId="1F7FCE73"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lastRenderedPageBreak/>
        <w:drawing>
          <wp:inline distT="0" distB="0" distL="0" distR="0" wp14:anchorId="68ABA32A" wp14:editId="775F7DCB">
            <wp:extent cx="3114675" cy="314325"/>
            <wp:effectExtent l="0" t="0" r="9525" b="9525"/>
            <wp:docPr id="2134041160" name="Picture 36" descr="Text Box 7,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Text Box 7, Textb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4675" cy="31432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1B9F7CC5" wp14:editId="7E0B8EBB">
            <wp:extent cx="3105150" cy="2838450"/>
            <wp:effectExtent l="0" t="0" r="0" b="0"/>
            <wp:docPr id="142024454" name="Picture 35" descr="Alveolar Gas Exchange Shows Oxygen Entering Blood and Carbon Dioxide ...  Stock Vector - Illustration of capillary, circulation: 405948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Alveolar Gas Exchange Shows Oxygen Entering Blood and Carbon Dioxide ...  Stock Vector - Illustration of capillary, circulation: 40594886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05150" cy="2838450"/>
                    </a:xfrm>
                    <a:prstGeom prst="rect">
                      <a:avLst/>
                    </a:prstGeom>
                    <a:noFill/>
                    <a:ln>
                      <a:noFill/>
                    </a:ln>
                  </pic:spPr>
                </pic:pic>
              </a:graphicData>
            </a:graphic>
          </wp:inline>
        </w:drawing>
      </w:r>
      <w:r w:rsidRPr="00597769">
        <w:rPr>
          <w:rFonts w:asciiTheme="minorBidi" w:hAnsiTheme="minorBidi"/>
          <w:szCs w:val="24"/>
        </w:rPr>
        <w:t> </w:t>
      </w:r>
    </w:p>
    <w:p w14:paraId="208C21ED"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AFE45A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39FAA5D" w14:textId="721A87D7"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082445E" wp14:editId="204A06CD">
            <wp:extent cx="5731510" cy="485775"/>
            <wp:effectExtent l="0" t="0" r="2540" b="9525"/>
            <wp:docPr id="1377913283" name="Picture 34"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Text Box 2, Text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85775"/>
                    </a:xfrm>
                    <a:prstGeom prst="rect">
                      <a:avLst/>
                    </a:prstGeom>
                    <a:noFill/>
                    <a:ln>
                      <a:noFill/>
                    </a:ln>
                  </pic:spPr>
                </pic:pic>
              </a:graphicData>
            </a:graphic>
          </wp:inline>
        </w:drawing>
      </w:r>
      <w:r w:rsidRPr="00597769">
        <w:rPr>
          <w:rFonts w:asciiTheme="minorBidi" w:hAnsiTheme="minorBidi"/>
          <w:szCs w:val="24"/>
        </w:rPr>
        <w:t> </w:t>
      </w:r>
    </w:p>
    <w:p w14:paraId="3F5788B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C242FD8"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These impairments are further exacerbated by respiratory infections that cause airway inflammation and mucus secretion that block the alveolar ventilation. Young adults are at risk because of the exposure in schools and other social spheres (Edwards et al., 2019; RCPCH, 2020). It is emphasized by the World Health Organization (2024) that the lack of asthma control is closely associated with the impaired oxygenation and the increased risk of the severe exacerbation, which is why the education regarding the gas exchange is crucial. According to national guidelines, knowledge about this process will aid adolescents in relating lifestyle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(smoking and vaping used) with their physiological effect. Practical monitoring, including peak flow measurement, is an easy method to correlate symptoms and gas exchange efficiency, and it enables patients to be a more active participant in their treatment (GINA, 2024; NICE, 2024).</w:t>
      </w:r>
      <w:r w:rsidRPr="00597769">
        <w:rPr>
          <w:rFonts w:asciiTheme="minorBidi" w:hAnsiTheme="minorBidi"/>
          <w:szCs w:val="24"/>
        </w:rPr>
        <w:t> </w:t>
      </w:r>
    </w:p>
    <w:p w14:paraId="334C2BC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lastRenderedPageBreak/>
        <w:t xml:space="preserve">Strong respiratory irritants like tobacco smoke, e-cig and respiratory infections have a strong impact on the severity of asthma among adolescents. One of the main risk factors is smoking; even an insignificant exposure exacerbates airway inflammation and increases the deterioration of lung functions (Edwards et al., 2019). The premature smokers have more bronchoconstriction and mucus secretion, which interrupts airflow and makes it more difficult to control asthma (WHO, 2024). Vaping is now a significant issue. It has been shown through reviews that the use of e-cigarettes decreases the quality of respiratory health, hyperresponsiveness of airways, and exacerbations (La Rosa et al., 2025). The epidemiological data indicate that the prevalence of vaping among adolescents increases worldwide, whereas the interventions and policies do not keep pace with the </w:t>
      </w:r>
      <w:proofErr w:type="spellStart"/>
      <w:r w:rsidRPr="00597769">
        <w:rPr>
          <w:rFonts w:asciiTheme="minorBidi" w:hAnsiTheme="minorBidi"/>
          <w:szCs w:val="24"/>
          <w:lang w:val="en-US"/>
        </w:rPr>
        <w:t>behavioural</w:t>
      </w:r>
      <w:proofErr w:type="spellEnd"/>
      <w:r w:rsidRPr="00597769">
        <w:rPr>
          <w:rFonts w:asciiTheme="minorBidi" w:hAnsiTheme="minorBidi"/>
          <w:szCs w:val="24"/>
          <w:lang w:val="en-US"/>
        </w:rPr>
        <w:t xml:space="preserve"> trends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Education is thus important since a significant number of the young individuals falsely believe that vaping is not harmful compared to smoking since it is obvious that it is harmful.</w:t>
      </w:r>
      <w:r w:rsidRPr="00597769">
        <w:rPr>
          <w:rFonts w:asciiTheme="minorBidi" w:hAnsiTheme="minorBidi"/>
          <w:szCs w:val="24"/>
        </w:rPr>
        <w:t> </w:t>
      </w:r>
    </w:p>
    <w:p w14:paraId="78285B42" w14:textId="42D56E70"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F41E039" w14:textId="3240006D"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085A9D5" wp14:editId="4D6EE47A">
            <wp:extent cx="5731510" cy="278765"/>
            <wp:effectExtent l="0" t="0" r="2540" b="6985"/>
            <wp:docPr id="878506859" name="Picture 33"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Text Box 2, Textbox"/>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876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12D1287F" wp14:editId="57525AD0">
            <wp:extent cx="3171825" cy="314325"/>
            <wp:effectExtent l="0" t="0" r="9525" b="9525"/>
            <wp:docPr id="1886748653" name="Picture 32" descr="Text Box 1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Text Box 11, Textbo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71825" cy="31432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7D0B5AFD" wp14:editId="05CE2006">
            <wp:extent cx="3886200" cy="2266950"/>
            <wp:effectExtent l="0" t="0" r="0" b="0"/>
            <wp:docPr id="1439558616" name="Picture 31" descr="Healthy Lung vs. Smokers' L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ealthy Lung vs. Smokers' Lu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86200" cy="2266950"/>
                    </a:xfrm>
                    <a:prstGeom prst="rect">
                      <a:avLst/>
                    </a:prstGeom>
                    <a:noFill/>
                    <a:ln>
                      <a:noFill/>
                    </a:ln>
                  </pic:spPr>
                </pic:pic>
              </a:graphicData>
            </a:graphic>
          </wp:inline>
        </w:drawing>
      </w:r>
      <w:r w:rsidRPr="00597769">
        <w:rPr>
          <w:rFonts w:asciiTheme="minorBidi" w:hAnsiTheme="minorBidi"/>
          <w:szCs w:val="24"/>
        </w:rPr>
        <w:t> </w:t>
      </w:r>
    </w:p>
    <w:p w14:paraId="5B49779D" w14:textId="1B6DE725"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2C7E9AD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00673D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Another important trigger is respiratory infection especially viral pathogens like rhinoviruses. They increase the level of airways inflammation and block the ventilation of the alveoli, and the risk of exposure increases due to social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w:t>
      </w:r>
      <w:r w:rsidRPr="00597769">
        <w:rPr>
          <w:rFonts w:asciiTheme="minorBidi" w:hAnsiTheme="minorBidi"/>
          <w:szCs w:val="24"/>
          <w:lang w:val="en-US"/>
        </w:rPr>
        <w:lastRenderedPageBreak/>
        <w:t>such as visiting congested locations (Edwards et al., 2019). The cases with severe asthma indicate that concomitant exposure to irritants and infection may lead to life-threatening exacerbation, which underscores the role of prevention measures (Warraich and </w:t>
      </w:r>
      <w:proofErr w:type="spellStart"/>
      <w:r w:rsidRPr="00597769">
        <w:rPr>
          <w:rFonts w:asciiTheme="minorBidi" w:hAnsiTheme="minorBidi"/>
          <w:szCs w:val="24"/>
          <w:lang w:val="en-US"/>
        </w:rPr>
        <w:t>Sonnappa</w:t>
      </w:r>
      <w:proofErr w:type="spellEnd"/>
      <w:r w:rsidRPr="00597769">
        <w:rPr>
          <w:rFonts w:asciiTheme="minorBidi" w:hAnsiTheme="minorBidi"/>
          <w:szCs w:val="24"/>
          <w:lang w:val="en-US"/>
        </w:rPr>
        <w:t>, 2022).</w:t>
      </w:r>
      <w:r w:rsidRPr="00597769">
        <w:rPr>
          <w:rFonts w:asciiTheme="minorBidi" w:hAnsiTheme="minorBidi"/>
          <w:szCs w:val="24"/>
        </w:rPr>
        <w:t> </w:t>
      </w:r>
    </w:p>
    <w:p w14:paraId="62978547"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EBC9A1F" w14:textId="72D2C8CA"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7AE875C" wp14:editId="5D054E44">
            <wp:extent cx="4048125" cy="314325"/>
            <wp:effectExtent l="0" t="0" r="9525" b="9525"/>
            <wp:docPr id="1497631755" name="Picture 30" descr="Text Box 18,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Text Box 18, Text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48125" cy="314325"/>
                    </a:xfrm>
                    <a:prstGeom prst="rect">
                      <a:avLst/>
                    </a:prstGeom>
                    <a:noFill/>
                    <a:ln>
                      <a:noFill/>
                    </a:ln>
                  </pic:spPr>
                </pic:pic>
              </a:graphicData>
            </a:graphic>
          </wp:inline>
        </w:drawing>
      </w:r>
      <w:r w:rsidRPr="00597769">
        <w:rPr>
          <w:rFonts w:asciiTheme="minorBidi" w:hAnsiTheme="minorBidi"/>
          <w:noProof/>
          <w:szCs w:val="24"/>
        </w:rPr>
        <w:drawing>
          <wp:inline distT="0" distB="0" distL="0" distR="0" wp14:anchorId="3D8B9A2E" wp14:editId="283E79CE">
            <wp:extent cx="4029075" cy="3009900"/>
            <wp:effectExtent l="0" t="0" r="9525" b="0"/>
            <wp:docPr id="1108593202" name="Picture 29" descr="Interplay between Lung Diseases and Viral Infections: A Comprehensiv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Interplay between Lung Diseases and Viral Infections: A Comprehensive Revie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9075" cy="3009900"/>
                    </a:xfrm>
                    <a:prstGeom prst="rect">
                      <a:avLst/>
                    </a:prstGeom>
                    <a:noFill/>
                    <a:ln>
                      <a:noFill/>
                    </a:ln>
                  </pic:spPr>
                </pic:pic>
              </a:graphicData>
            </a:graphic>
          </wp:inline>
        </w:drawing>
      </w:r>
      <w:r w:rsidRPr="00597769">
        <w:rPr>
          <w:rFonts w:asciiTheme="minorBidi" w:hAnsiTheme="minorBidi"/>
          <w:szCs w:val="24"/>
        </w:rPr>
        <w:t>  </w:t>
      </w:r>
    </w:p>
    <w:p w14:paraId="447160C4"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6E3274E7" w14:textId="16AE96A1"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2FA6B4AC" wp14:editId="46469902">
            <wp:extent cx="4105275" cy="504825"/>
            <wp:effectExtent l="0" t="0" r="9525" b="9525"/>
            <wp:docPr id="1569703383" name="Picture 28"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Text Box 2, Text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05275" cy="504825"/>
                    </a:xfrm>
                    <a:prstGeom prst="rect">
                      <a:avLst/>
                    </a:prstGeom>
                    <a:noFill/>
                    <a:ln>
                      <a:noFill/>
                    </a:ln>
                  </pic:spPr>
                </pic:pic>
              </a:graphicData>
            </a:graphic>
          </wp:inline>
        </w:drawing>
      </w:r>
      <w:r w:rsidRPr="00597769">
        <w:rPr>
          <w:rFonts w:asciiTheme="minorBidi" w:hAnsiTheme="minorBidi"/>
          <w:szCs w:val="24"/>
        </w:rPr>
        <w:t> </w:t>
      </w:r>
    </w:p>
    <w:p w14:paraId="20BBB47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5C07C88B"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Recording and Tracking Respiratory Function</w:t>
      </w:r>
      <w:r w:rsidRPr="00597769">
        <w:rPr>
          <w:rFonts w:asciiTheme="minorBidi" w:hAnsiTheme="minorBidi"/>
          <w:b/>
          <w:bCs/>
          <w:szCs w:val="24"/>
        </w:rPr>
        <w:t> </w:t>
      </w:r>
    </w:p>
    <w:p w14:paraId="31A571F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Treatment of asthma involves regular examination of breathing abilities especially among the adolescents where controlling the disease is not always effective. The measurement of peak expiratory flow (PEF) is a non-invasive, and a simple procedure which offers objective information on airway obstruction. Frequent monitoring of PEF values helps the patients to identify the signs of degradation early enough so that intervention can be made in time, preventing the occurrence of life-threatening exacerbations (BTS/SIGN, 2019). The national guidelines promote the </w:t>
      </w:r>
      <w:r w:rsidRPr="00597769">
        <w:rPr>
          <w:rFonts w:asciiTheme="minorBidi" w:hAnsiTheme="minorBidi"/>
          <w:szCs w:val="24"/>
          <w:lang w:val="en-US"/>
        </w:rPr>
        <w:lastRenderedPageBreak/>
        <w:t>value of formalized surveillance. According to the National Institute for Health and Care Excellence (2024), the adolescents should regularly monitor the respiratory indicators because any variations in peak flow rates are usually the first signs of the clinical manifestations. This will give patients more autonomy over their treatment plans and help clinicians to customize treatment plans. Likewise, Global Initiative on Asthma (GINA, 2024) emphasizes that self-management focuses on self-monitoring as the core of its success in both hospitalization and overall progress in the long-term outcome.</w:t>
      </w:r>
      <w:r w:rsidRPr="00597769">
        <w:rPr>
          <w:rFonts w:asciiTheme="minorBidi" w:hAnsiTheme="minorBidi"/>
          <w:szCs w:val="24"/>
        </w:rPr>
        <w:t> </w:t>
      </w:r>
    </w:p>
    <w:p w14:paraId="09B232EF" w14:textId="52FDAE71"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296DFBC9" wp14:editId="51D0C58A">
            <wp:extent cx="3857625" cy="2895600"/>
            <wp:effectExtent l="0" t="0" r="9525" b="0"/>
            <wp:docPr id="1378189732" name="Picture 27" descr="Peak Flow Meter: How To Use, Measurement &amp;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Peak Flow Meter: How To Use, Measurement &amp; Result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57625" cy="2895600"/>
                    </a:xfrm>
                    <a:prstGeom prst="rect">
                      <a:avLst/>
                    </a:prstGeom>
                    <a:noFill/>
                    <a:ln>
                      <a:noFill/>
                    </a:ln>
                  </pic:spPr>
                </pic:pic>
              </a:graphicData>
            </a:graphic>
          </wp:inline>
        </w:drawing>
      </w:r>
      <w:r w:rsidRPr="00597769">
        <w:rPr>
          <w:rFonts w:asciiTheme="minorBidi" w:hAnsiTheme="minorBidi"/>
          <w:szCs w:val="24"/>
        </w:rPr>
        <w:t> </w:t>
      </w:r>
    </w:p>
    <w:p w14:paraId="1458B0ED" w14:textId="7066E835"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7B610490" wp14:editId="020E0F20">
            <wp:extent cx="3733800" cy="314325"/>
            <wp:effectExtent l="0" t="0" r="0" b="9525"/>
            <wp:docPr id="903048780" name="Picture 26" descr="Text Box 2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Text Box 21, Text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33800" cy="314325"/>
                    </a:xfrm>
                    <a:prstGeom prst="rect">
                      <a:avLst/>
                    </a:prstGeom>
                    <a:noFill/>
                    <a:ln>
                      <a:noFill/>
                    </a:ln>
                  </pic:spPr>
                </pic:pic>
              </a:graphicData>
            </a:graphic>
          </wp:inline>
        </w:drawing>
      </w:r>
      <w:r w:rsidRPr="00597769">
        <w:rPr>
          <w:rFonts w:asciiTheme="minorBidi" w:hAnsiTheme="minorBidi"/>
          <w:szCs w:val="24"/>
        </w:rPr>
        <w:t> </w:t>
      </w:r>
    </w:p>
    <w:p w14:paraId="29882D1F" w14:textId="31CE56EB"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53F91181" wp14:editId="14C3ACF1">
            <wp:extent cx="5731510" cy="302895"/>
            <wp:effectExtent l="0" t="0" r="2540" b="1905"/>
            <wp:docPr id="2034496005" name="Picture 25"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Text Box 2, Textbox"/>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2895"/>
                    </a:xfrm>
                    <a:prstGeom prst="rect">
                      <a:avLst/>
                    </a:prstGeom>
                    <a:noFill/>
                    <a:ln>
                      <a:noFill/>
                    </a:ln>
                  </pic:spPr>
                </pic:pic>
              </a:graphicData>
            </a:graphic>
          </wp:inline>
        </w:drawing>
      </w:r>
      <w:r w:rsidRPr="00597769">
        <w:rPr>
          <w:rFonts w:asciiTheme="minorBidi" w:hAnsiTheme="minorBidi"/>
          <w:szCs w:val="24"/>
        </w:rPr>
        <w:t> </w:t>
      </w:r>
    </w:p>
    <w:p w14:paraId="6837BA80"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CFAC234" w14:textId="7BF9C552"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practice has proven to be effective in disease control as evidenced by the fact that adolescents who smartly record and interpret their respiratory data attain better disease control. Education </w:t>
      </w:r>
      <w:proofErr w:type="spellStart"/>
      <w:r w:rsidRPr="00597769">
        <w:rPr>
          <w:rFonts w:asciiTheme="minorBidi" w:hAnsiTheme="minorBidi"/>
          <w:szCs w:val="24"/>
          <w:lang w:val="en-US"/>
        </w:rPr>
        <w:t>programmes</w:t>
      </w:r>
      <w:proofErr w:type="spellEnd"/>
      <w:r w:rsidRPr="00597769">
        <w:rPr>
          <w:rFonts w:asciiTheme="minorBidi" w:hAnsiTheme="minorBidi"/>
          <w:szCs w:val="24"/>
          <w:lang w:val="en-US"/>
        </w:rPr>
        <w:t xml:space="preserve"> that combine peak flow monitoring with symptom diaries increase adherence and offer self-awareness so that the patient can learn to </w:t>
      </w:r>
      <w:proofErr w:type="spellStart"/>
      <w:r w:rsidRPr="00597769">
        <w:rPr>
          <w:rFonts w:asciiTheme="minorBidi" w:hAnsiTheme="minorBidi"/>
          <w:szCs w:val="24"/>
          <w:lang w:val="en-US"/>
        </w:rPr>
        <w:t>recognise</w:t>
      </w:r>
      <w:proofErr w:type="spellEnd"/>
      <w:r w:rsidRPr="00597769">
        <w:rPr>
          <w:rFonts w:asciiTheme="minorBidi" w:hAnsiTheme="minorBidi"/>
          <w:szCs w:val="24"/>
          <w:lang w:val="en-US"/>
        </w:rPr>
        <w:t xml:space="preserve"> triggers and modify </w:t>
      </w:r>
      <w:proofErr w:type="spellStart"/>
      <w:r w:rsidRPr="00597769">
        <w:rPr>
          <w:rFonts w:asciiTheme="minorBidi" w:hAnsiTheme="minorBidi"/>
          <w:szCs w:val="24"/>
          <w:lang w:val="en-US"/>
        </w:rPr>
        <w:t>behaviours</w:t>
      </w:r>
      <w:proofErr w:type="spellEnd"/>
      <w:r w:rsidRPr="00597769">
        <w:rPr>
          <w:rFonts w:asciiTheme="minorBidi" w:hAnsiTheme="minorBidi"/>
          <w:szCs w:val="24"/>
          <w:lang w:val="en-US"/>
        </w:rPr>
        <w:t xml:space="preserve"> in response to triggers (Mansur and Prasad, 2023). The Royal College of </w:t>
      </w:r>
      <w:proofErr w:type="spellStart"/>
      <w:r w:rsidRPr="00597769">
        <w:rPr>
          <w:rFonts w:asciiTheme="minorBidi" w:hAnsiTheme="minorBidi"/>
          <w:szCs w:val="24"/>
          <w:lang w:val="en-US"/>
        </w:rPr>
        <w:t>Paediatrics</w:t>
      </w:r>
      <w:proofErr w:type="spellEnd"/>
      <w:r w:rsidRPr="00597769">
        <w:rPr>
          <w:rFonts w:asciiTheme="minorBidi" w:hAnsiTheme="minorBidi"/>
          <w:szCs w:val="24"/>
          <w:lang w:val="en-US"/>
        </w:rPr>
        <w:t xml:space="preserve"> and Child Health (2020) also emphasizes the idea that the ability to monitor the youth with any tool </w:t>
      </w:r>
      <w:r w:rsidRPr="00597769">
        <w:rPr>
          <w:rFonts w:asciiTheme="minorBidi" w:hAnsiTheme="minorBidi"/>
          <w:szCs w:val="24"/>
          <w:lang w:val="en-US"/>
        </w:rPr>
        <w:lastRenderedPageBreak/>
        <w:t xml:space="preserve">leads to independence and resilience, which are essential in the adult life of a person. Monitoring is also a good source of data to clinicians as it gives them a sense of the disease progression and effectiveness of the treatment provided to the patient. The longitudinal studies prove that regular monitoring of lung performance allows one to determine the patients who are at risk of loss and provide an opportunity to intervene on time and implement individual treatment (McGeachie et al., 2016). When the objective measures are connected with lifestyle </w:t>
      </w:r>
      <w:r w:rsidR="00550596" w:rsidRPr="00597769">
        <w:rPr>
          <w:rFonts w:asciiTheme="minorBidi" w:hAnsiTheme="minorBidi"/>
          <w:szCs w:val="24"/>
          <w:lang w:val="en-US"/>
        </w:rPr>
        <w:t>behaviors</w:t>
      </w:r>
      <w:r w:rsidRPr="00597769">
        <w:rPr>
          <w:rFonts w:asciiTheme="minorBidi" w:hAnsiTheme="minorBidi"/>
          <w:szCs w:val="24"/>
          <w:lang w:val="en-US"/>
        </w:rPr>
        <w:t>, adolescents will be able to value the effect of smoking, vaping, and being exposed to infection on their breathing health.</w:t>
      </w:r>
      <w:r w:rsidRPr="00597769">
        <w:rPr>
          <w:rFonts w:asciiTheme="minorBidi" w:hAnsiTheme="minorBidi"/>
          <w:szCs w:val="24"/>
        </w:rPr>
        <w:t> </w:t>
      </w:r>
    </w:p>
    <w:p w14:paraId="7AF90879"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EC70404"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Evidence-Based Lifestyle Recommendations</w:t>
      </w:r>
      <w:r w:rsidRPr="00597769">
        <w:rPr>
          <w:rFonts w:asciiTheme="minorBidi" w:hAnsiTheme="minorBidi"/>
          <w:b/>
          <w:bCs/>
          <w:szCs w:val="24"/>
        </w:rPr>
        <w:t> </w:t>
      </w:r>
    </w:p>
    <w:p w14:paraId="73F1E33E" w14:textId="6C0D4905"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main component of asthma management is lifestyle change especially among adolescents whose </w:t>
      </w:r>
      <w:r w:rsidR="00770B2E" w:rsidRPr="00597769">
        <w:rPr>
          <w:rFonts w:asciiTheme="minorBidi" w:hAnsiTheme="minorBidi"/>
          <w:szCs w:val="24"/>
          <w:lang w:val="en-US"/>
        </w:rPr>
        <w:t>behavioral</w:t>
      </w:r>
      <w:r w:rsidRPr="00597769">
        <w:rPr>
          <w:rFonts w:asciiTheme="minorBidi" w:hAnsiTheme="minorBidi"/>
          <w:szCs w:val="24"/>
          <w:lang w:val="en-US"/>
        </w:rPr>
        <w:t xml:space="preserve"> risks tend to aggravate the severity of the disease. Smoking cessation intervention is the most pressing, simply because tobacco smoke itself is an inflammatory agent of the airways, lung deterioration and predisposition to a severe exacerbation (WHO, 2024; Edwards et al., 2019). Clear smoking cessation advice, support, and reinforcement of the advantages of smoking cessation in adolescents should be given by GPs, as young people who quit smoking have long-term positive gains in respiratory health (Warraich and </w:t>
      </w:r>
      <w:proofErr w:type="spellStart"/>
      <w:r w:rsidRPr="00597769">
        <w:rPr>
          <w:rFonts w:asciiTheme="minorBidi" w:hAnsiTheme="minorBidi"/>
          <w:szCs w:val="24"/>
          <w:lang w:val="en-US"/>
        </w:rPr>
        <w:t>Sonnappa</w:t>
      </w:r>
      <w:proofErr w:type="spellEnd"/>
      <w:r w:rsidRPr="00597769">
        <w:rPr>
          <w:rFonts w:asciiTheme="minorBidi" w:hAnsiTheme="minorBidi"/>
          <w:szCs w:val="24"/>
          <w:lang w:val="en-US"/>
        </w:rPr>
        <w:t>, 2022). Vaping is currently viewed as less harmful, but evidence has revealed that it leads to negative respiratory health, makes airways hyper reactive, and causes exacerbations (La Rosa et al., 2025). Given the increased rates of youth vaping all over the world (</w:t>
      </w:r>
      <w:proofErr w:type="spellStart"/>
      <w:r w:rsidRPr="00597769">
        <w:rPr>
          <w:rFonts w:asciiTheme="minorBidi" w:hAnsiTheme="minorBidi"/>
          <w:szCs w:val="24"/>
          <w:lang w:val="en-US"/>
        </w:rPr>
        <w:t>Lyzwinski</w:t>
      </w:r>
      <w:proofErr w:type="spellEnd"/>
      <w:r w:rsidRPr="00597769">
        <w:rPr>
          <w:rFonts w:asciiTheme="minorBidi" w:hAnsiTheme="minorBidi"/>
          <w:szCs w:val="24"/>
          <w:lang w:val="en-US"/>
        </w:rPr>
        <w:t> et al., 2022), direct misconception challenging, patient-level education in clinics must clarify that vaping is not a harmless alternative and its use correlates with the increasing asthma symptoms.</w:t>
      </w:r>
      <w:r w:rsidRPr="00597769">
        <w:rPr>
          <w:rFonts w:asciiTheme="minorBidi" w:hAnsiTheme="minorBidi"/>
          <w:szCs w:val="24"/>
        </w:rPr>
        <w:t> </w:t>
      </w:r>
    </w:p>
    <w:p w14:paraId="21A7C0E7"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Another needless lifestyle is infection control. Acute exacerbations are closely associated with viral respiratory infections, in particular, rhinoviruses. Frequent hand washing, vaccination, and avoiding high-density areas during the period of high infections should be recommended as the practical steps to be taken by adolescents (Edwards et al., 2019; RCPCH, 2020). On a collective measure, the evidence points to the comprehensive approach, whereas on the clinic level, smoking cessation, vaping prevention, and infection control are coupled with pharmacological treatment, </w:t>
      </w:r>
      <w:r w:rsidRPr="00597769">
        <w:rPr>
          <w:rFonts w:asciiTheme="minorBidi" w:hAnsiTheme="minorBidi"/>
          <w:szCs w:val="24"/>
          <w:lang w:val="en-US"/>
        </w:rPr>
        <w:lastRenderedPageBreak/>
        <w:t>thus making the adolescents gain the power to make the active responsibility on their health. The national guidelines point out that lifestyle measures should not be used in place of medication, and patients can use them to place symptoms in the context of the condition and actively participate in the process (NICE, 2024; GINA, 2024).</w:t>
      </w:r>
      <w:r w:rsidRPr="00597769">
        <w:rPr>
          <w:rFonts w:asciiTheme="minorBidi" w:hAnsiTheme="minorBidi"/>
          <w:szCs w:val="24"/>
        </w:rPr>
        <w:t> </w:t>
      </w:r>
    </w:p>
    <w:p w14:paraId="3BA02FA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0B516D1E" w14:textId="38F9E472"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1521722F" wp14:editId="72A4D7DB">
            <wp:extent cx="3876675" cy="2571750"/>
            <wp:effectExtent l="0" t="0" r="9525" b="0"/>
            <wp:docPr id="1568443755" name="Picture 24" descr="Smoking cessation Vectors - Download Free High-Quality Vectors from Freepik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Smoking cessation Vectors - Download Free High-Quality Vectors from Freepik  | Freepi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76675" cy="2571750"/>
                    </a:xfrm>
                    <a:prstGeom prst="rect">
                      <a:avLst/>
                    </a:prstGeom>
                    <a:noFill/>
                    <a:ln>
                      <a:noFill/>
                    </a:ln>
                  </pic:spPr>
                </pic:pic>
              </a:graphicData>
            </a:graphic>
          </wp:inline>
        </w:drawing>
      </w:r>
      <w:r w:rsidRPr="00597769">
        <w:rPr>
          <w:rFonts w:asciiTheme="minorBidi" w:hAnsiTheme="minorBidi"/>
          <w:szCs w:val="24"/>
        </w:rPr>
        <w:t> </w:t>
      </w:r>
    </w:p>
    <w:p w14:paraId="1A57B0BD" w14:textId="08C504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123F457" w14:textId="5E70B494"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F263344" wp14:editId="5245E50B">
            <wp:extent cx="3533775" cy="314325"/>
            <wp:effectExtent l="0" t="0" r="9525" b="9525"/>
            <wp:docPr id="1245700433" name="Picture 23" descr="Text Box 24,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Text Box 24, Textbo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33775" cy="314325"/>
                    </a:xfrm>
                    <a:prstGeom prst="rect">
                      <a:avLst/>
                    </a:prstGeom>
                    <a:noFill/>
                    <a:ln>
                      <a:noFill/>
                    </a:ln>
                  </pic:spPr>
                </pic:pic>
              </a:graphicData>
            </a:graphic>
          </wp:inline>
        </w:drawing>
      </w:r>
      <w:r w:rsidRPr="00597769">
        <w:rPr>
          <w:rFonts w:asciiTheme="minorBidi" w:hAnsiTheme="minorBidi"/>
          <w:szCs w:val="24"/>
        </w:rPr>
        <w:t> </w:t>
      </w:r>
    </w:p>
    <w:p w14:paraId="4B61717D" w14:textId="34CEA49C" w:rsidR="00597769" w:rsidRPr="00597769" w:rsidRDefault="00597769" w:rsidP="00597769">
      <w:pPr>
        <w:spacing w:line="360" w:lineRule="auto"/>
        <w:rPr>
          <w:rFonts w:asciiTheme="minorBidi" w:hAnsiTheme="minorBidi"/>
          <w:szCs w:val="24"/>
        </w:rPr>
      </w:pPr>
      <w:r w:rsidRPr="00597769">
        <w:rPr>
          <w:rFonts w:asciiTheme="minorBidi" w:hAnsiTheme="minorBidi"/>
          <w:noProof/>
          <w:szCs w:val="24"/>
        </w:rPr>
        <w:drawing>
          <wp:inline distT="0" distB="0" distL="0" distR="0" wp14:anchorId="37898867" wp14:editId="58D66ADE">
            <wp:extent cx="4429125" cy="504825"/>
            <wp:effectExtent l="0" t="0" r="9525" b="9525"/>
            <wp:docPr id="305638845" name="Picture 22"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Text Box 2, Textbo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29125" cy="504825"/>
                    </a:xfrm>
                    <a:prstGeom prst="rect">
                      <a:avLst/>
                    </a:prstGeom>
                    <a:noFill/>
                    <a:ln>
                      <a:noFill/>
                    </a:ln>
                  </pic:spPr>
                </pic:pic>
              </a:graphicData>
            </a:graphic>
          </wp:inline>
        </w:drawing>
      </w:r>
      <w:r w:rsidRPr="00597769">
        <w:rPr>
          <w:rFonts w:asciiTheme="minorBidi" w:hAnsiTheme="minorBidi"/>
          <w:szCs w:val="24"/>
        </w:rPr>
        <w:t> </w:t>
      </w:r>
    </w:p>
    <w:p w14:paraId="744BB7FA"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17DDDD6C" w14:textId="77777777" w:rsidR="00597769" w:rsidRPr="00597769" w:rsidRDefault="00597769" w:rsidP="00597769">
      <w:pPr>
        <w:spacing w:line="360" w:lineRule="auto"/>
        <w:rPr>
          <w:rFonts w:asciiTheme="minorBidi" w:hAnsiTheme="minorBidi"/>
          <w:szCs w:val="24"/>
        </w:rPr>
      </w:pPr>
      <w:r w:rsidRPr="00597769">
        <w:rPr>
          <w:rFonts w:asciiTheme="minorBidi" w:hAnsiTheme="minorBidi"/>
          <w:szCs w:val="24"/>
        </w:rPr>
        <w:t> </w:t>
      </w:r>
    </w:p>
    <w:p w14:paraId="3584256B" w14:textId="77777777" w:rsidR="00597769" w:rsidRPr="00597769" w:rsidRDefault="00597769" w:rsidP="00597769">
      <w:pPr>
        <w:spacing w:line="360" w:lineRule="auto"/>
        <w:rPr>
          <w:rFonts w:asciiTheme="minorBidi" w:hAnsiTheme="minorBidi"/>
          <w:b/>
          <w:bCs/>
          <w:szCs w:val="24"/>
        </w:rPr>
      </w:pPr>
      <w:r w:rsidRPr="00597769">
        <w:rPr>
          <w:rFonts w:asciiTheme="minorBidi" w:hAnsiTheme="minorBidi"/>
          <w:b/>
          <w:bCs/>
          <w:szCs w:val="24"/>
          <w:lang w:val="en-US"/>
        </w:rPr>
        <w:t>Conclusion</w:t>
      </w:r>
      <w:r w:rsidRPr="00597769">
        <w:rPr>
          <w:rFonts w:asciiTheme="minorBidi" w:hAnsiTheme="minorBidi"/>
          <w:b/>
          <w:bCs/>
          <w:szCs w:val="24"/>
        </w:rPr>
        <w:t> </w:t>
      </w:r>
    </w:p>
    <w:p w14:paraId="299C41A7" w14:textId="54EF1C80"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In adolescents, asthma is a result of biological, environmental, and lifestyle </w:t>
      </w:r>
      <w:r w:rsidR="00F24D8E" w:rsidRPr="00597769">
        <w:rPr>
          <w:rFonts w:asciiTheme="minorBidi" w:hAnsiTheme="minorBidi"/>
          <w:szCs w:val="24"/>
          <w:lang w:val="en-US"/>
        </w:rPr>
        <w:t>behavior</w:t>
      </w:r>
      <w:r w:rsidRPr="00597769">
        <w:rPr>
          <w:rFonts w:asciiTheme="minorBidi" w:hAnsiTheme="minorBidi"/>
          <w:szCs w:val="24"/>
          <w:lang w:val="en-US"/>
        </w:rPr>
        <w:t xml:space="preserve"> interaction. The respiratory system organization and the workings of the respiratory system indicate how airway inflammation and blockage impairs ventilation, and gas exchange reveals the implications of the loss of oxygen in the delivery and carbon dioxide removal. These mechanisms underlie the idea that irritants including smoking, vaping, and infections increase the severity of the disease, and it has been </w:t>
      </w:r>
      <w:r w:rsidRPr="00597769">
        <w:rPr>
          <w:rFonts w:asciiTheme="minorBidi" w:hAnsiTheme="minorBidi"/>
          <w:szCs w:val="24"/>
          <w:lang w:val="en-US"/>
        </w:rPr>
        <w:lastRenderedPageBreak/>
        <w:t xml:space="preserve">shown that these </w:t>
      </w:r>
      <w:r w:rsidR="00F24D8E" w:rsidRPr="00597769">
        <w:rPr>
          <w:rFonts w:asciiTheme="minorBidi" w:hAnsiTheme="minorBidi"/>
          <w:szCs w:val="24"/>
          <w:lang w:val="en-US"/>
        </w:rPr>
        <w:t>behaviors</w:t>
      </w:r>
      <w:r w:rsidRPr="00597769">
        <w:rPr>
          <w:rFonts w:asciiTheme="minorBidi" w:hAnsiTheme="minorBidi"/>
          <w:szCs w:val="24"/>
          <w:lang w:val="en-US"/>
        </w:rPr>
        <w:t xml:space="preserve"> are associated with weaker lung functions and a greater degree of morbidity.</w:t>
      </w:r>
      <w:r w:rsidRPr="00597769">
        <w:rPr>
          <w:rFonts w:asciiTheme="minorBidi" w:hAnsiTheme="minorBidi"/>
          <w:szCs w:val="24"/>
        </w:rPr>
        <w:t> </w:t>
      </w:r>
    </w:p>
    <w:p w14:paraId="6A8F7DF4" w14:textId="21F03331" w:rsidR="00597769" w:rsidRPr="00597769" w:rsidRDefault="00597769" w:rsidP="00597769">
      <w:pPr>
        <w:spacing w:line="360" w:lineRule="auto"/>
        <w:rPr>
          <w:rFonts w:asciiTheme="minorBidi" w:hAnsiTheme="minorBidi"/>
          <w:szCs w:val="24"/>
        </w:rPr>
      </w:pPr>
      <w:r w:rsidRPr="00597769">
        <w:rPr>
          <w:rFonts w:asciiTheme="minorBidi" w:hAnsiTheme="minorBidi"/>
          <w:szCs w:val="24"/>
          <w:lang w:val="en-US"/>
        </w:rPr>
        <w:t xml:space="preserve">The main focus of effective management is monitoring respiratory functioning. Peak flow measurement and structured data monitoring, give patients the capacity to identify early levels of deterioration and become proactive participants in care plans. Self-awareness and resilience are also reinforced through education </w:t>
      </w:r>
      <w:r w:rsidR="009113A1" w:rsidRPr="00597769">
        <w:rPr>
          <w:rFonts w:asciiTheme="minorBidi" w:hAnsiTheme="minorBidi"/>
          <w:szCs w:val="24"/>
          <w:lang w:val="en-US"/>
        </w:rPr>
        <w:t>programs</w:t>
      </w:r>
      <w:r w:rsidRPr="00597769">
        <w:rPr>
          <w:rFonts w:asciiTheme="minorBidi" w:hAnsiTheme="minorBidi"/>
          <w:szCs w:val="24"/>
          <w:lang w:val="en-US"/>
        </w:rPr>
        <w:t xml:space="preserve">. The long-term control is still based on lifestyle modification. Exacerbations can be mitigated with the help of smoking cessation, vaping prevention, and infection control, and coordinated national strategies prove the efficiency of the combination of </w:t>
      </w:r>
      <w:r w:rsidR="00E35D8F" w:rsidRPr="00597769">
        <w:rPr>
          <w:rFonts w:asciiTheme="minorBidi" w:hAnsiTheme="minorBidi"/>
          <w:szCs w:val="24"/>
          <w:lang w:val="en-US"/>
        </w:rPr>
        <w:t>behavioral</w:t>
      </w:r>
      <w:r w:rsidRPr="00597769">
        <w:rPr>
          <w:rFonts w:asciiTheme="minorBidi" w:hAnsiTheme="minorBidi"/>
          <w:szCs w:val="24"/>
          <w:lang w:val="en-US"/>
        </w:rPr>
        <w:t xml:space="preserve"> change and clinical care. Traditionally, the management of asthma in adolescents needs to be conducted in a comprehensive fashion that integrates physiological insights, observational and lifestyle modification to decrease the morbidity and enhance the long term outcomes.</w:t>
      </w:r>
      <w:r w:rsidRPr="00597769">
        <w:rPr>
          <w:rFonts w:asciiTheme="minorBidi" w:hAnsiTheme="minorBidi"/>
          <w:szCs w:val="24"/>
        </w:rPr>
        <w:t> </w:t>
      </w:r>
    </w:p>
    <w:p w14:paraId="293D6010" w14:textId="77777777" w:rsidR="00597769" w:rsidRDefault="00597769">
      <w:pPr>
        <w:spacing w:line="278" w:lineRule="auto"/>
        <w:rPr>
          <w:rFonts w:asciiTheme="minorBidi" w:hAnsiTheme="minorBidi"/>
        </w:rPr>
      </w:pPr>
    </w:p>
    <w:p w14:paraId="04481946" w14:textId="77777777" w:rsidR="00597769" w:rsidRDefault="00597769">
      <w:pPr>
        <w:spacing w:line="278" w:lineRule="auto"/>
        <w:rPr>
          <w:rFonts w:asciiTheme="minorBidi" w:hAnsiTheme="minorBidi"/>
        </w:rPr>
      </w:pPr>
    </w:p>
    <w:p w14:paraId="2359551C" w14:textId="77777777" w:rsidR="00597769" w:rsidRDefault="00597769">
      <w:pPr>
        <w:spacing w:line="278" w:lineRule="auto"/>
        <w:rPr>
          <w:rFonts w:asciiTheme="minorBidi" w:hAnsiTheme="minorBidi"/>
        </w:rPr>
      </w:pPr>
    </w:p>
    <w:p w14:paraId="2E54DAB8" w14:textId="5CFE503E" w:rsidR="00597769" w:rsidRDefault="00597769">
      <w:pPr>
        <w:spacing w:line="278" w:lineRule="auto"/>
        <w:rPr>
          <w:rFonts w:asciiTheme="minorBidi" w:hAnsiTheme="minorBidi"/>
        </w:rPr>
      </w:pPr>
      <w:r>
        <w:rPr>
          <w:rFonts w:asciiTheme="minorBidi" w:hAnsiTheme="minorBidi"/>
        </w:rPr>
        <w:br w:type="page"/>
      </w:r>
    </w:p>
    <w:p w14:paraId="064C8308" w14:textId="6F1FEF27" w:rsidR="00597769" w:rsidRPr="00597769" w:rsidRDefault="00597769" w:rsidP="00597769">
      <w:pPr>
        <w:spacing w:line="360" w:lineRule="auto"/>
        <w:rPr>
          <w:rFonts w:asciiTheme="minorBidi" w:hAnsiTheme="minorBidi"/>
          <w:b/>
          <w:bCs/>
        </w:rPr>
      </w:pPr>
      <w:r w:rsidRPr="00597769">
        <w:rPr>
          <w:rFonts w:asciiTheme="minorBidi" w:hAnsiTheme="minorBidi"/>
          <w:b/>
          <w:bCs/>
          <w:lang w:val="en-US"/>
        </w:rPr>
        <w:lastRenderedPageBreak/>
        <w:t>References</w:t>
      </w:r>
      <w:r>
        <w:rPr>
          <w:rFonts w:asciiTheme="minorBidi" w:hAnsiTheme="minorBidi"/>
          <w:b/>
          <w:bCs/>
          <w:lang w:val="en-US"/>
        </w:rPr>
        <w:t xml:space="preserve"> </w:t>
      </w:r>
    </w:p>
    <w:p w14:paraId="404B7524" w14:textId="77777777" w:rsidR="00597769" w:rsidRPr="00597769" w:rsidRDefault="00597769" w:rsidP="00597769">
      <w:pPr>
        <w:spacing w:line="360" w:lineRule="auto"/>
        <w:rPr>
          <w:rFonts w:asciiTheme="minorBidi" w:hAnsiTheme="minorBidi"/>
          <w:lang w:val="fr-FR"/>
        </w:rPr>
      </w:pPr>
      <w:r w:rsidRPr="00597769">
        <w:rPr>
          <w:rFonts w:asciiTheme="minorBidi" w:hAnsiTheme="minorBidi"/>
          <w:lang w:val="en-US"/>
        </w:rPr>
        <w:t>British Thoracic Society (2019). </w:t>
      </w:r>
      <w:r w:rsidRPr="00597769">
        <w:rPr>
          <w:rFonts w:asciiTheme="minorBidi" w:hAnsiTheme="minorBidi"/>
          <w:i/>
          <w:iCs/>
          <w:lang w:val="en-US"/>
        </w:rPr>
        <w:t>BTS/SIGN British Guideline on the management of asthma 2019 | British Thoracic Society | Better lung health for all</w:t>
      </w:r>
      <w:r w:rsidRPr="00597769">
        <w:rPr>
          <w:rFonts w:asciiTheme="minorBidi" w:hAnsiTheme="minorBidi"/>
          <w:lang w:val="en-US"/>
        </w:rPr>
        <w:t xml:space="preserve">. </w:t>
      </w:r>
      <w:r w:rsidRPr="00597769">
        <w:rPr>
          <w:rFonts w:asciiTheme="minorBidi" w:hAnsiTheme="minorBidi"/>
          <w:lang w:val="fr-FR"/>
        </w:rPr>
        <w:t xml:space="preserve">[online] www.brit-thoracic.org.uk.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29" w:tgtFrame="_blank" w:history="1">
        <w:r w:rsidRPr="00597769">
          <w:rPr>
            <w:rStyle w:val="Hyperlink"/>
            <w:rFonts w:asciiTheme="minorBidi" w:hAnsiTheme="minorBidi"/>
            <w:lang w:val="fr-FR"/>
          </w:rPr>
          <w:t>https://www.brit-thoracic.org.uk/news/2019/btssign-british-guideline-on-the-management-of-asthma-2019/</w:t>
        </w:r>
      </w:hyperlink>
      <w:r w:rsidRPr="00597769">
        <w:rPr>
          <w:rFonts w:asciiTheme="minorBidi" w:hAnsiTheme="minorBidi"/>
          <w:lang w:val="fr-FR"/>
        </w:rPr>
        <w:t>  </w:t>
      </w:r>
    </w:p>
    <w:p w14:paraId="29D9B880"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Edwards, M.R., Ritchie, A.I. and Johnston, S.L. (2019). Exacerbations of chronic respiratory diseases. </w:t>
      </w:r>
      <w:r w:rsidRPr="00597769">
        <w:rPr>
          <w:rFonts w:asciiTheme="minorBidi" w:hAnsiTheme="minorBidi"/>
          <w:i/>
          <w:iCs/>
          <w:lang w:val="en-US"/>
        </w:rPr>
        <w:t>Elsevier eBooks</w:t>
      </w:r>
      <w:r w:rsidRPr="00597769">
        <w:rPr>
          <w:rFonts w:asciiTheme="minorBidi" w:hAnsiTheme="minorBidi"/>
          <w:lang w:val="en-US"/>
        </w:rPr>
        <w:t>, [online] pp.137–168. doi: </w:t>
      </w:r>
      <w:hyperlink r:id="rId30" w:tgtFrame="_blank" w:history="1">
        <w:r w:rsidRPr="00597769">
          <w:rPr>
            <w:rStyle w:val="Hyperlink"/>
            <w:rFonts w:asciiTheme="minorBidi" w:hAnsiTheme="minorBidi"/>
            <w:lang w:val="en-US"/>
          </w:rPr>
          <w:t>https://doi.org/10.1016/b978-0-12-816417-4.00006-8</w:t>
        </w:r>
      </w:hyperlink>
      <w:r w:rsidRPr="00597769">
        <w:rPr>
          <w:rFonts w:asciiTheme="minorBidi" w:hAnsiTheme="minorBidi"/>
          <w:lang w:val="en-US"/>
        </w:rPr>
        <w:t>  </w:t>
      </w:r>
      <w:r w:rsidRPr="00597769">
        <w:rPr>
          <w:rFonts w:asciiTheme="minorBidi" w:hAnsiTheme="minorBidi"/>
        </w:rPr>
        <w:t> </w:t>
      </w:r>
    </w:p>
    <w:p w14:paraId="2087D8D9" w14:textId="77777777" w:rsidR="00597769" w:rsidRPr="00597769" w:rsidRDefault="00597769" w:rsidP="00597769">
      <w:pPr>
        <w:spacing w:line="360" w:lineRule="auto"/>
        <w:rPr>
          <w:rFonts w:asciiTheme="minorBidi" w:hAnsiTheme="minorBidi"/>
          <w:lang w:val="fr-FR"/>
        </w:rPr>
      </w:pPr>
      <w:r w:rsidRPr="00597769">
        <w:rPr>
          <w:rFonts w:asciiTheme="minorBidi" w:hAnsiTheme="minorBidi"/>
          <w:lang w:val="en-US"/>
        </w:rPr>
        <w:t>Global Initiative for Asthma (GINA) (2024). </w:t>
      </w:r>
      <w:r w:rsidRPr="00597769">
        <w:rPr>
          <w:rFonts w:asciiTheme="minorBidi" w:hAnsiTheme="minorBidi"/>
          <w:i/>
          <w:iCs/>
          <w:lang w:val="en-US"/>
        </w:rPr>
        <w:t>Global strategy for asthma management and prevention</w:t>
      </w:r>
      <w:r w:rsidRPr="00597769">
        <w:rPr>
          <w:rFonts w:asciiTheme="minorBidi" w:hAnsiTheme="minorBidi"/>
          <w:lang w:val="en-US"/>
        </w:rPr>
        <w:t xml:space="preserve">. </w:t>
      </w:r>
      <w:r w:rsidRPr="00597769">
        <w:rPr>
          <w:rFonts w:asciiTheme="minorBidi" w:hAnsiTheme="minorBidi"/>
          <w:lang w:val="fr-FR"/>
        </w:rPr>
        <w:t xml:space="preserve">[online]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31" w:tgtFrame="_blank" w:history="1">
        <w:r w:rsidRPr="00597769">
          <w:rPr>
            <w:rStyle w:val="Hyperlink"/>
            <w:rFonts w:asciiTheme="minorBidi" w:hAnsiTheme="minorBidi"/>
            <w:lang w:val="fr-FR"/>
          </w:rPr>
          <w:t>https://ginasthma.org/wp-content/uploads/2024/05/GINA-2024-Strategy-Report-24_05_22_WMS.pdf</w:t>
        </w:r>
      </w:hyperlink>
      <w:r w:rsidRPr="00597769">
        <w:rPr>
          <w:rFonts w:asciiTheme="minorBidi" w:hAnsiTheme="minorBidi"/>
          <w:lang w:val="fr-FR"/>
        </w:rPr>
        <w:t>  </w:t>
      </w:r>
    </w:p>
    <w:p w14:paraId="1696C836" w14:textId="77777777" w:rsidR="00597769" w:rsidRPr="00597769" w:rsidRDefault="00597769" w:rsidP="00597769">
      <w:pPr>
        <w:spacing w:line="360" w:lineRule="auto"/>
        <w:rPr>
          <w:rFonts w:asciiTheme="minorBidi" w:hAnsiTheme="minorBidi"/>
        </w:rPr>
      </w:pPr>
      <w:proofErr w:type="spellStart"/>
      <w:r w:rsidRPr="00597769">
        <w:rPr>
          <w:rFonts w:asciiTheme="minorBidi" w:hAnsiTheme="minorBidi"/>
          <w:lang w:val="fi-FI"/>
        </w:rPr>
        <w:t>Haahtela</w:t>
      </w:r>
      <w:proofErr w:type="spellEnd"/>
      <w:r w:rsidRPr="00597769">
        <w:rPr>
          <w:rFonts w:asciiTheme="minorBidi" w:hAnsiTheme="minorBidi"/>
          <w:lang w:val="fi-FI"/>
        </w:rPr>
        <w:t xml:space="preserve">, T., Jantunen, J., Saarinen, K., Tommila, E., Valovirta, E., Vasankari, T. and Mäkelä, M.J. (2022). </w:t>
      </w:r>
      <w:r w:rsidRPr="00597769">
        <w:rPr>
          <w:rFonts w:asciiTheme="minorBidi" w:hAnsiTheme="minorBidi"/>
          <w:lang w:val="en-US"/>
        </w:rPr>
        <w:t>Managing the allergy and asthma epidemic in 2020s—Lessons from the Finnish experience. </w:t>
      </w:r>
      <w:r w:rsidRPr="00597769">
        <w:rPr>
          <w:rFonts w:asciiTheme="minorBidi" w:hAnsiTheme="minorBidi"/>
          <w:i/>
          <w:iCs/>
          <w:lang w:val="en-US"/>
        </w:rPr>
        <w:t>Allergy</w:t>
      </w:r>
      <w:r w:rsidRPr="00597769">
        <w:rPr>
          <w:rFonts w:asciiTheme="minorBidi" w:hAnsiTheme="minorBidi"/>
          <w:lang w:val="en-US"/>
        </w:rPr>
        <w:t>, 77(8), pp.2367–2380.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2" w:tgtFrame="_blank" w:history="1">
        <w:r w:rsidRPr="00597769">
          <w:rPr>
            <w:rStyle w:val="Hyperlink"/>
            <w:rFonts w:asciiTheme="minorBidi" w:hAnsiTheme="minorBidi"/>
            <w:lang w:val="en-US"/>
          </w:rPr>
          <w:t>https://doi.org/10.1111/all.15266</w:t>
        </w:r>
      </w:hyperlink>
      <w:r w:rsidRPr="00597769">
        <w:rPr>
          <w:rFonts w:asciiTheme="minorBidi" w:hAnsiTheme="minorBidi"/>
          <w:lang w:val="en-US"/>
        </w:rPr>
        <w:t> </w:t>
      </w:r>
      <w:r w:rsidRPr="00597769">
        <w:rPr>
          <w:rFonts w:asciiTheme="minorBidi" w:hAnsiTheme="minorBidi"/>
        </w:rPr>
        <w:t> </w:t>
      </w:r>
    </w:p>
    <w:p w14:paraId="318B8F1E"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Hopkinson, N.S., Bush, A., Allinson, J.P., Faner, R., Zar, H.J. and Alvar Agustí (2024). Early Life Exposures and the Development of COPD Across the Life Course. </w:t>
      </w:r>
      <w:r w:rsidRPr="00597769">
        <w:rPr>
          <w:rFonts w:asciiTheme="minorBidi" w:hAnsiTheme="minorBidi"/>
          <w:i/>
          <w:iCs/>
          <w:lang w:val="en-US"/>
        </w:rPr>
        <w:t>American Journal of Respiratory and Critical Care Medicine</w:t>
      </w:r>
      <w:r w:rsidRPr="00597769">
        <w:rPr>
          <w:rFonts w:asciiTheme="minorBidi" w:hAnsiTheme="minorBidi"/>
          <w:lang w:val="en-US"/>
        </w:rPr>
        <w:t>, 210(5), pp.572–580.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3" w:tgtFrame="_blank" w:history="1">
        <w:r w:rsidRPr="00597769">
          <w:rPr>
            <w:rStyle w:val="Hyperlink"/>
            <w:rFonts w:asciiTheme="minorBidi" w:hAnsiTheme="minorBidi"/>
            <w:lang w:val="en-US"/>
          </w:rPr>
          <w:t>https://doi.org/10.1164/rccm.202402-0432pp</w:t>
        </w:r>
      </w:hyperlink>
      <w:r w:rsidRPr="00597769">
        <w:rPr>
          <w:rFonts w:asciiTheme="minorBidi" w:hAnsiTheme="minorBidi"/>
          <w:lang w:val="en-US"/>
        </w:rPr>
        <w:t> </w:t>
      </w:r>
      <w:r w:rsidRPr="00597769">
        <w:rPr>
          <w:rFonts w:asciiTheme="minorBidi" w:hAnsiTheme="minorBidi"/>
        </w:rPr>
        <w:t> </w:t>
      </w:r>
    </w:p>
    <w:p w14:paraId="51FE4106"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Komlósi, Z.I., van de Veen, W., Kovács, N., Szűcs, G., Sokolowska, M., O’Mahony, L., Akdis, M. and Akdis, C.A. (2021). Cellular and molecular mechanisms of allergic asthma. </w:t>
      </w:r>
      <w:r w:rsidRPr="00597769">
        <w:rPr>
          <w:rFonts w:asciiTheme="minorBidi" w:hAnsiTheme="minorBidi"/>
          <w:i/>
          <w:iCs/>
          <w:lang w:val="en-US"/>
        </w:rPr>
        <w:t>Molecular Aspects of Medicine</w:t>
      </w:r>
      <w:r w:rsidRPr="00597769">
        <w:rPr>
          <w:rFonts w:asciiTheme="minorBidi" w:hAnsiTheme="minorBidi"/>
          <w:lang w:val="en-US"/>
        </w:rPr>
        <w:t>, [online] 85, p.100995.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4" w:tgtFrame="_blank" w:history="1">
        <w:r w:rsidRPr="00597769">
          <w:rPr>
            <w:rStyle w:val="Hyperlink"/>
            <w:rFonts w:asciiTheme="minorBidi" w:hAnsiTheme="minorBidi"/>
            <w:lang w:val="en-US"/>
          </w:rPr>
          <w:t>https://doi.org/10.1016/j.mam.2021.100995</w:t>
        </w:r>
      </w:hyperlink>
      <w:r w:rsidRPr="00597769">
        <w:rPr>
          <w:rFonts w:asciiTheme="minorBidi" w:hAnsiTheme="minorBidi"/>
          <w:lang w:val="en-US"/>
        </w:rPr>
        <w:t> </w:t>
      </w:r>
      <w:r w:rsidRPr="00597769">
        <w:rPr>
          <w:rFonts w:asciiTheme="minorBidi" w:hAnsiTheme="minorBidi"/>
        </w:rPr>
        <w:t> </w:t>
      </w:r>
    </w:p>
    <w:p w14:paraId="221155D4" w14:textId="77777777" w:rsidR="00597769" w:rsidRPr="00597769" w:rsidRDefault="00597769" w:rsidP="00597769">
      <w:pPr>
        <w:spacing w:line="360" w:lineRule="auto"/>
        <w:rPr>
          <w:rFonts w:asciiTheme="minorBidi" w:hAnsiTheme="minorBidi"/>
        </w:rPr>
      </w:pPr>
      <w:r w:rsidRPr="00597769">
        <w:rPr>
          <w:rFonts w:asciiTheme="minorBidi" w:hAnsiTheme="minorBidi"/>
          <w:lang w:val="it-IT"/>
        </w:rPr>
        <w:t>La Rosa, G.R.M., </w:t>
      </w:r>
      <w:proofErr w:type="spellStart"/>
      <w:r w:rsidRPr="00597769">
        <w:rPr>
          <w:rFonts w:asciiTheme="minorBidi" w:hAnsiTheme="minorBidi"/>
          <w:lang w:val="it-IT"/>
        </w:rPr>
        <w:t>Polosa</w:t>
      </w:r>
      <w:proofErr w:type="spellEnd"/>
      <w:r w:rsidRPr="00597769">
        <w:rPr>
          <w:rFonts w:asciiTheme="minorBidi" w:hAnsiTheme="minorBidi"/>
          <w:lang w:val="it-IT"/>
        </w:rPr>
        <w:t xml:space="preserve">, R. and O’Leary, R. (2025). </w:t>
      </w:r>
      <w:r w:rsidRPr="00597769">
        <w:rPr>
          <w:rFonts w:asciiTheme="minorBidi" w:hAnsiTheme="minorBidi"/>
          <w:lang w:val="en-US"/>
        </w:rPr>
        <w:t>Patterns of Use of e-Cigarettes and Their Respiratory Effects: A Critical Umbrella Review. </w:t>
      </w:r>
      <w:r w:rsidRPr="00597769">
        <w:rPr>
          <w:rFonts w:asciiTheme="minorBidi" w:hAnsiTheme="minorBidi"/>
          <w:i/>
          <w:iCs/>
          <w:lang w:val="en-US"/>
        </w:rPr>
        <w:t>Tobacco Use Insights</w:t>
      </w:r>
      <w:r w:rsidRPr="00597769">
        <w:rPr>
          <w:rFonts w:asciiTheme="minorBidi" w:hAnsiTheme="minorBidi"/>
          <w:lang w:val="en-US"/>
        </w:rPr>
        <w:t>, 18.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5" w:tgtFrame="_blank" w:history="1">
        <w:r w:rsidRPr="00597769">
          <w:rPr>
            <w:rStyle w:val="Hyperlink"/>
            <w:rFonts w:asciiTheme="minorBidi" w:hAnsiTheme="minorBidi"/>
            <w:lang w:val="en-US"/>
          </w:rPr>
          <w:t>https://doi.org/10.1177/1179173x251325421</w:t>
        </w:r>
      </w:hyperlink>
      <w:r w:rsidRPr="00597769">
        <w:rPr>
          <w:rFonts w:asciiTheme="minorBidi" w:hAnsiTheme="minorBidi"/>
          <w:lang w:val="en-US"/>
        </w:rPr>
        <w:t> </w:t>
      </w:r>
      <w:r w:rsidRPr="00597769">
        <w:rPr>
          <w:rFonts w:asciiTheme="minorBidi" w:hAnsiTheme="minorBidi"/>
        </w:rPr>
        <w:t> </w:t>
      </w:r>
    </w:p>
    <w:p w14:paraId="0E1666E8" w14:textId="77777777" w:rsidR="00597769" w:rsidRPr="00597769" w:rsidRDefault="00597769" w:rsidP="00597769">
      <w:pPr>
        <w:spacing w:line="360" w:lineRule="auto"/>
        <w:rPr>
          <w:rFonts w:asciiTheme="minorBidi" w:hAnsiTheme="minorBidi"/>
        </w:rPr>
      </w:pPr>
      <w:r w:rsidRPr="00597769">
        <w:rPr>
          <w:rFonts w:asciiTheme="minorBidi" w:hAnsiTheme="minorBidi"/>
          <w:lang w:val="en-US"/>
        </w:rPr>
        <w:t>Lyzwinski, L.N., Naslund, J.A., Miller, C.J. and Eisenberg, M.J. (2022). Global youth vaping and respiratory health: Epidemiology, interventions, and policies. </w:t>
      </w:r>
      <w:r w:rsidRPr="00597769">
        <w:rPr>
          <w:rFonts w:asciiTheme="minorBidi" w:hAnsiTheme="minorBidi"/>
          <w:i/>
          <w:iCs/>
          <w:lang w:val="en-US"/>
        </w:rPr>
        <w:t>Primary Care Respiratory Medicine</w:t>
      </w:r>
      <w:r w:rsidRPr="00597769">
        <w:rPr>
          <w:rFonts w:asciiTheme="minorBidi" w:hAnsiTheme="minorBidi"/>
          <w:lang w:val="en-US"/>
        </w:rPr>
        <w:t>, [online] 32(1).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6" w:tgtFrame="_blank" w:history="1">
        <w:r w:rsidRPr="00597769">
          <w:rPr>
            <w:rStyle w:val="Hyperlink"/>
            <w:rFonts w:asciiTheme="minorBidi" w:hAnsiTheme="minorBidi"/>
            <w:lang w:val="en-US"/>
          </w:rPr>
          <w:t>https://doi.org/10.1038/s41533-022-00277-9</w:t>
        </w:r>
      </w:hyperlink>
      <w:r w:rsidRPr="00597769">
        <w:rPr>
          <w:rFonts w:asciiTheme="minorBidi" w:hAnsiTheme="minorBidi"/>
          <w:lang w:val="en-US"/>
        </w:rPr>
        <w:t> </w:t>
      </w:r>
      <w:r w:rsidRPr="00597769">
        <w:rPr>
          <w:rFonts w:asciiTheme="minorBidi" w:hAnsiTheme="minorBidi"/>
        </w:rPr>
        <w:t> </w:t>
      </w:r>
    </w:p>
    <w:p w14:paraId="0C76914D" w14:textId="1603C4F9" w:rsidR="00597769" w:rsidRPr="00597769" w:rsidRDefault="00597769" w:rsidP="00597769">
      <w:pPr>
        <w:spacing w:line="360" w:lineRule="auto"/>
        <w:rPr>
          <w:rFonts w:asciiTheme="minorBidi" w:hAnsiTheme="minorBidi"/>
        </w:rPr>
      </w:pPr>
      <w:r w:rsidRPr="00597769">
        <w:rPr>
          <w:rFonts w:asciiTheme="minorBidi" w:hAnsiTheme="minorBidi"/>
          <w:lang w:val="en-US"/>
        </w:rPr>
        <w:lastRenderedPageBreak/>
        <w:t>Mansur, A.H. and Prasad, N. (2023). Management of difficult-to-treat asthma in adolescence and young adults. </w:t>
      </w:r>
      <w:r w:rsidRPr="00597769">
        <w:rPr>
          <w:rFonts w:asciiTheme="minorBidi" w:hAnsiTheme="minorBidi"/>
          <w:i/>
          <w:iCs/>
          <w:lang w:val="en-US"/>
        </w:rPr>
        <w:t>Breathe</w:t>
      </w:r>
      <w:r w:rsidRPr="00597769">
        <w:rPr>
          <w:rFonts w:asciiTheme="minorBidi" w:hAnsiTheme="minorBidi"/>
          <w:lang w:val="en-US"/>
        </w:rPr>
        <w:t>, 19(1), p.220025.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7" w:tgtFrame="_blank" w:history="1">
        <w:r w:rsidRPr="00597769">
          <w:rPr>
            <w:rStyle w:val="Hyperlink"/>
            <w:rFonts w:asciiTheme="minorBidi" w:hAnsiTheme="minorBidi"/>
            <w:lang w:val="en-US"/>
          </w:rPr>
          <w:t>https://doi.org/10.1183/20734735.0025-2022</w:t>
        </w:r>
      </w:hyperlink>
      <w:r>
        <w:rPr>
          <w:rFonts w:asciiTheme="minorBidi" w:hAnsiTheme="minorBidi"/>
          <w:lang w:val="en-US"/>
        </w:rPr>
        <w:t xml:space="preserve"> </w:t>
      </w:r>
    </w:p>
    <w:p w14:paraId="3BB0E13C" w14:textId="2C737A83" w:rsidR="00597769" w:rsidRPr="00597769" w:rsidRDefault="00597769" w:rsidP="00597769">
      <w:pPr>
        <w:spacing w:line="360" w:lineRule="auto"/>
        <w:rPr>
          <w:rFonts w:asciiTheme="minorBidi" w:hAnsiTheme="minorBidi"/>
        </w:rPr>
      </w:pPr>
      <w:r w:rsidRPr="00597769">
        <w:rPr>
          <w:rFonts w:asciiTheme="minorBidi" w:hAnsiTheme="minorBidi"/>
          <w:lang w:val="en-US"/>
        </w:rPr>
        <w:t>McGeachie, M.J., Yates, K.P., Zhou, X., Guo, F., Sternberg, A.L., Van Natta, M.L., Wise, R.A., </w:t>
      </w:r>
      <w:proofErr w:type="spellStart"/>
      <w:r w:rsidRPr="00597769">
        <w:rPr>
          <w:rFonts w:asciiTheme="minorBidi" w:hAnsiTheme="minorBidi"/>
          <w:lang w:val="en-US"/>
        </w:rPr>
        <w:t>Szefler</w:t>
      </w:r>
      <w:proofErr w:type="spellEnd"/>
      <w:r w:rsidRPr="00597769">
        <w:rPr>
          <w:rFonts w:asciiTheme="minorBidi" w:hAnsiTheme="minorBidi"/>
          <w:lang w:val="en-US"/>
        </w:rPr>
        <w:t>, S.J., Sharma, S., Kho, A.T., Cho, M.H., Croteau-Chonka, D.C., Castaldi, P.J., Jain, G., Sanyal, A., Zhan, Y., Lajoie, B.R., Dekker, J., </w:t>
      </w:r>
      <w:proofErr w:type="spellStart"/>
      <w:r w:rsidRPr="00597769">
        <w:rPr>
          <w:rFonts w:asciiTheme="minorBidi" w:hAnsiTheme="minorBidi"/>
          <w:lang w:val="en-US"/>
        </w:rPr>
        <w:t>Stamatoyannopoulos</w:t>
      </w:r>
      <w:proofErr w:type="spellEnd"/>
      <w:r w:rsidRPr="00597769">
        <w:rPr>
          <w:rFonts w:asciiTheme="minorBidi" w:hAnsiTheme="minorBidi"/>
          <w:lang w:val="en-US"/>
        </w:rPr>
        <w:t>, J. and Covar, R.A. (2016). Patterns of Growth and Decline in Lung Function in Persistent Childhood Asthma. </w:t>
      </w:r>
      <w:r w:rsidRPr="00597769">
        <w:rPr>
          <w:rFonts w:asciiTheme="minorBidi" w:hAnsiTheme="minorBidi"/>
          <w:i/>
          <w:iCs/>
          <w:lang w:val="en-US"/>
        </w:rPr>
        <w:t>New England Journal of Medicine</w:t>
      </w:r>
      <w:r w:rsidRPr="00597769">
        <w:rPr>
          <w:rFonts w:asciiTheme="minorBidi" w:hAnsiTheme="minorBidi"/>
          <w:lang w:val="en-US"/>
        </w:rPr>
        <w:t>, 374(19), pp.1842–1852.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38" w:tgtFrame="_blank" w:history="1">
        <w:r w:rsidRPr="00597769">
          <w:rPr>
            <w:rStyle w:val="Hyperlink"/>
            <w:rFonts w:asciiTheme="minorBidi" w:hAnsiTheme="minorBidi"/>
            <w:lang w:val="en-US"/>
          </w:rPr>
          <w:t>https://doi.org/10.1056/nejmoa1513737</w:t>
        </w:r>
      </w:hyperlink>
      <w:r>
        <w:rPr>
          <w:rFonts w:asciiTheme="minorBidi" w:hAnsiTheme="minorBidi"/>
          <w:lang w:val="en-US"/>
        </w:rPr>
        <w:t xml:space="preserve"> </w:t>
      </w:r>
    </w:p>
    <w:p w14:paraId="0BBD7F5C" w14:textId="0EE56B5C" w:rsidR="00597769" w:rsidRPr="00597769" w:rsidRDefault="00597769" w:rsidP="00597769">
      <w:pPr>
        <w:spacing w:line="360" w:lineRule="auto"/>
        <w:rPr>
          <w:rFonts w:asciiTheme="minorBidi" w:hAnsiTheme="minorBidi"/>
        </w:rPr>
      </w:pPr>
      <w:r w:rsidRPr="00597769">
        <w:rPr>
          <w:rFonts w:asciiTheme="minorBidi" w:hAnsiTheme="minorBidi"/>
          <w:lang w:val="en-US"/>
        </w:rPr>
        <w:t>National Institute for Health and Care Excellence (NICE) (2024). </w:t>
      </w:r>
      <w:r w:rsidRPr="00597769">
        <w:rPr>
          <w:rFonts w:asciiTheme="minorBidi" w:hAnsiTheme="minorBidi"/>
          <w:i/>
          <w:iCs/>
          <w:lang w:val="en-US"/>
        </w:rPr>
        <w:t>Overview | Asthma: diagnosis, monitoring and chronic asthma management (BTS, NICE, SIGN) | Guidance | NICE</w:t>
      </w:r>
      <w:r w:rsidRPr="00597769">
        <w:rPr>
          <w:rFonts w:asciiTheme="minorBidi" w:hAnsiTheme="minorBidi"/>
          <w:lang w:val="en-US"/>
        </w:rPr>
        <w:t>. [online] Nice.org.uk. Available at: </w:t>
      </w:r>
      <w:hyperlink r:id="rId39" w:tgtFrame="_blank" w:history="1">
        <w:r w:rsidRPr="00597769">
          <w:rPr>
            <w:rStyle w:val="Hyperlink"/>
            <w:rFonts w:asciiTheme="minorBidi" w:hAnsiTheme="minorBidi"/>
            <w:lang w:val="en-US"/>
          </w:rPr>
          <w:t>https://www.nice.org.uk/guidance/NG245</w:t>
        </w:r>
      </w:hyperlink>
      <w:r w:rsidRPr="00597769">
        <w:rPr>
          <w:rFonts w:asciiTheme="minorBidi" w:hAnsiTheme="minorBidi"/>
          <w:lang w:val="en-US"/>
        </w:rPr>
        <w:t>  [Accessed 2024]</w:t>
      </w:r>
      <w:r>
        <w:rPr>
          <w:rFonts w:asciiTheme="minorBidi" w:hAnsiTheme="minorBidi"/>
          <w:lang w:val="en-US"/>
        </w:rPr>
        <w:t xml:space="preserve"> </w:t>
      </w:r>
    </w:p>
    <w:p w14:paraId="7FCBA79D" w14:textId="7777D39F" w:rsidR="00597769" w:rsidRPr="00597769" w:rsidRDefault="00597769" w:rsidP="00597769">
      <w:pPr>
        <w:spacing w:line="360" w:lineRule="auto"/>
        <w:rPr>
          <w:rFonts w:asciiTheme="minorBidi" w:hAnsiTheme="minorBidi"/>
        </w:rPr>
      </w:pPr>
      <w:r w:rsidRPr="00597769">
        <w:rPr>
          <w:rFonts w:asciiTheme="minorBidi" w:hAnsiTheme="minorBidi"/>
          <w:lang w:val="en-US"/>
        </w:rPr>
        <w:t>RCPCH (2020). </w:t>
      </w:r>
      <w:r w:rsidRPr="00597769">
        <w:rPr>
          <w:rFonts w:asciiTheme="minorBidi" w:hAnsiTheme="minorBidi"/>
          <w:i/>
          <w:iCs/>
          <w:lang w:val="en-US"/>
        </w:rPr>
        <w:t>Asthma – RCPCH – State of Child Health</w:t>
      </w:r>
      <w:r w:rsidRPr="00597769">
        <w:rPr>
          <w:rFonts w:asciiTheme="minorBidi" w:hAnsiTheme="minorBidi"/>
          <w:lang w:val="en-US"/>
        </w:rPr>
        <w:t>. [online] stateofchildhealth.rcpch.ac.uk. Available at: </w:t>
      </w:r>
      <w:hyperlink r:id="rId40" w:tgtFrame="_blank" w:history="1">
        <w:r w:rsidRPr="00597769">
          <w:rPr>
            <w:rStyle w:val="Hyperlink"/>
            <w:rFonts w:asciiTheme="minorBidi" w:hAnsiTheme="minorBidi"/>
            <w:lang w:val="en-US"/>
          </w:rPr>
          <w:t>https://stateofchildhealth.rcpch.ac.uk/evidence/long-term-conditions/asthma/</w:t>
        </w:r>
      </w:hyperlink>
      <w:r>
        <w:rPr>
          <w:rFonts w:asciiTheme="minorBidi" w:hAnsiTheme="minorBidi"/>
          <w:lang w:val="en-US"/>
        </w:rPr>
        <w:t xml:space="preserve"> </w:t>
      </w:r>
    </w:p>
    <w:p w14:paraId="42EA1EE8" w14:textId="604EE11D" w:rsidR="00597769" w:rsidRPr="00597769" w:rsidRDefault="00597769" w:rsidP="00597769">
      <w:pPr>
        <w:spacing w:line="360" w:lineRule="auto"/>
        <w:rPr>
          <w:rFonts w:asciiTheme="minorBidi" w:hAnsiTheme="minorBidi"/>
        </w:rPr>
      </w:pPr>
      <w:r w:rsidRPr="00597769">
        <w:rPr>
          <w:rFonts w:asciiTheme="minorBidi" w:hAnsiTheme="minorBidi"/>
          <w:lang w:val="en-US"/>
        </w:rPr>
        <w:t>Warraich, S. and </w:t>
      </w:r>
      <w:proofErr w:type="spellStart"/>
      <w:r w:rsidRPr="00597769">
        <w:rPr>
          <w:rFonts w:asciiTheme="minorBidi" w:hAnsiTheme="minorBidi"/>
          <w:lang w:val="en-US"/>
        </w:rPr>
        <w:t>Sonnappa</w:t>
      </w:r>
      <w:proofErr w:type="spellEnd"/>
      <w:r w:rsidRPr="00597769">
        <w:rPr>
          <w:rFonts w:asciiTheme="minorBidi" w:hAnsiTheme="minorBidi"/>
          <w:lang w:val="en-US"/>
        </w:rPr>
        <w:t>, S. (2022). Frontiers Review: Severe Asthma in Adolescents. </w:t>
      </w:r>
      <w:r w:rsidRPr="00597769">
        <w:rPr>
          <w:rFonts w:asciiTheme="minorBidi" w:hAnsiTheme="minorBidi"/>
          <w:i/>
          <w:iCs/>
          <w:lang w:val="en-US"/>
        </w:rPr>
        <w:t>Frontiers in Pediatrics</w:t>
      </w:r>
      <w:r w:rsidRPr="00597769">
        <w:rPr>
          <w:rFonts w:asciiTheme="minorBidi" w:hAnsiTheme="minorBidi"/>
          <w:lang w:val="en-US"/>
        </w:rPr>
        <w:t>, 10. </w:t>
      </w:r>
      <w:proofErr w:type="spellStart"/>
      <w:r w:rsidRPr="00597769">
        <w:rPr>
          <w:rFonts w:asciiTheme="minorBidi" w:hAnsiTheme="minorBidi"/>
          <w:lang w:val="en-US"/>
        </w:rPr>
        <w:t>doi</w:t>
      </w:r>
      <w:proofErr w:type="spellEnd"/>
      <w:r w:rsidRPr="00597769">
        <w:rPr>
          <w:rFonts w:asciiTheme="minorBidi" w:hAnsiTheme="minorBidi"/>
          <w:lang w:val="en-US"/>
        </w:rPr>
        <w:t>: </w:t>
      </w:r>
      <w:hyperlink r:id="rId41" w:tgtFrame="_blank" w:history="1">
        <w:r w:rsidRPr="00597769">
          <w:rPr>
            <w:rStyle w:val="Hyperlink"/>
            <w:rFonts w:asciiTheme="minorBidi" w:hAnsiTheme="minorBidi"/>
            <w:lang w:val="en-US"/>
          </w:rPr>
          <w:t>https://doi.org/10.3389/fped.2022.930196</w:t>
        </w:r>
      </w:hyperlink>
      <w:r>
        <w:rPr>
          <w:rFonts w:asciiTheme="minorBidi" w:hAnsiTheme="minorBidi"/>
          <w:lang w:val="en-US"/>
        </w:rPr>
        <w:t xml:space="preserve"> </w:t>
      </w:r>
    </w:p>
    <w:p w14:paraId="04380235" w14:textId="672DBA0A" w:rsidR="000F3E71" w:rsidRPr="00597769" w:rsidRDefault="00597769" w:rsidP="00597769">
      <w:pPr>
        <w:spacing w:line="360" w:lineRule="auto"/>
        <w:rPr>
          <w:rFonts w:asciiTheme="minorBidi" w:hAnsiTheme="minorBidi"/>
          <w:lang w:val="fr-FR"/>
        </w:rPr>
      </w:pPr>
      <w:r w:rsidRPr="00597769">
        <w:rPr>
          <w:rFonts w:asciiTheme="minorBidi" w:hAnsiTheme="minorBidi"/>
          <w:lang w:val="en-US"/>
        </w:rPr>
        <w:t>World Health Organization (2024). </w:t>
      </w:r>
      <w:r w:rsidRPr="00597769">
        <w:rPr>
          <w:rFonts w:asciiTheme="minorBidi" w:hAnsiTheme="minorBidi"/>
          <w:i/>
          <w:iCs/>
          <w:lang w:val="en-US"/>
        </w:rPr>
        <w:t>Asthma</w:t>
      </w:r>
      <w:r w:rsidRPr="00597769">
        <w:rPr>
          <w:rFonts w:asciiTheme="minorBidi" w:hAnsiTheme="minorBidi"/>
          <w:lang w:val="en-US"/>
        </w:rPr>
        <w:t xml:space="preserve">. [online] World Health Organization. </w:t>
      </w:r>
      <w:proofErr w:type="spellStart"/>
      <w:r w:rsidRPr="00597769">
        <w:rPr>
          <w:rFonts w:asciiTheme="minorBidi" w:hAnsiTheme="minorBidi"/>
          <w:lang w:val="fr-FR"/>
        </w:rPr>
        <w:t>Available</w:t>
      </w:r>
      <w:proofErr w:type="spellEnd"/>
      <w:r w:rsidRPr="00597769">
        <w:rPr>
          <w:rFonts w:asciiTheme="minorBidi" w:hAnsiTheme="minorBidi"/>
          <w:lang w:val="fr-FR"/>
        </w:rPr>
        <w:t xml:space="preserve"> at: </w:t>
      </w:r>
      <w:hyperlink r:id="rId42" w:tgtFrame="_blank" w:history="1">
        <w:r w:rsidRPr="00597769">
          <w:rPr>
            <w:rStyle w:val="Hyperlink"/>
            <w:rFonts w:asciiTheme="minorBidi" w:hAnsiTheme="minorBidi"/>
            <w:lang w:val="fr-FR"/>
          </w:rPr>
          <w:t>https://www.who.int/news-room/fact-sheets/detail/asthma</w:t>
        </w:r>
      </w:hyperlink>
      <w:r>
        <w:rPr>
          <w:rFonts w:asciiTheme="minorBidi" w:hAnsiTheme="minorBidi"/>
          <w:lang w:val="fr-FR"/>
        </w:rPr>
        <w:t xml:space="preserve"> </w:t>
      </w:r>
    </w:p>
    <w:sectPr w:rsidR="000F3E71" w:rsidRPr="00597769">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995C8" w14:textId="77777777" w:rsidR="00283560" w:rsidRDefault="00283560" w:rsidP="00A65592">
      <w:pPr>
        <w:spacing w:after="0" w:line="240" w:lineRule="auto"/>
      </w:pPr>
      <w:r>
        <w:separator/>
      </w:r>
    </w:p>
  </w:endnote>
  <w:endnote w:type="continuationSeparator" w:id="0">
    <w:p w14:paraId="3749E5C8" w14:textId="77777777" w:rsidR="00283560" w:rsidRDefault="00283560" w:rsidP="00A6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34F21" w14:textId="77777777" w:rsidR="00A65592" w:rsidRDefault="00A65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BB7E8" w14:textId="77777777" w:rsidR="00A65592" w:rsidRDefault="00A65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7BAD0" w14:textId="77777777" w:rsidR="00A65592" w:rsidRDefault="00A65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CDC90" w14:textId="77777777" w:rsidR="00283560" w:rsidRDefault="00283560" w:rsidP="00A65592">
      <w:pPr>
        <w:spacing w:after="0" w:line="240" w:lineRule="auto"/>
      </w:pPr>
      <w:r>
        <w:separator/>
      </w:r>
    </w:p>
  </w:footnote>
  <w:footnote w:type="continuationSeparator" w:id="0">
    <w:p w14:paraId="69F439C5" w14:textId="77777777" w:rsidR="00283560" w:rsidRDefault="00283560" w:rsidP="00A65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26252" w14:textId="77777777" w:rsidR="00A65592" w:rsidRDefault="00A65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1D567" w14:textId="77777777" w:rsidR="00A65592" w:rsidRDefault="00A65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3ED3E" w14:textId="77777777" w:rsidR="00A65592" w:rsidRDefault="00A655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769"/>
    <w:rsid w:val="00007DDE"/>
    <w:rsid w:val="000978FA"/>
    <w:rsid w:val="000E543E"/>
    <w:rsid w:val="000F3E71"/>
    <w:rsid w:val="00263A37"/>
    <w:rsid w:val="00283560"/>
    <w:rsid w:val="004E6BB7"/>
    <w:rsid w:val="00550596"/>
    <w:rsid w:val="00573D74"/>
    <w:rsid w:val="00597769"/>
    <w:rsid w:val="00602EC4"/>
    <w:rsid w:val="00640F60"/>
    <w:rsid w:val="00701803"/>
    <w:rsid w:val="007213A6"/>
    <w:rsid w:val="00740B86"/>
    <w:rsid w:val="00770B2E"/>
    <w:rsid w:val="00820599"/>
    <w:rsid w:val="009113A1"/>
    <w:rsid w:val="009117E3"/>
    <w:rsid w:val="00914622"/>
    <w:rsid w:val="00914B1F"/>
    <w:rsid w:val="00987AF8"/>
    <w:rsid w:val="009E2B7B"/>
    <w:rsid w:val="00A65592"/>
    <w:rsid w:val="00AC32CE"/>
    <w:rsid w:val="00AF00B4"/>
    <w:rsid w:val="00B463AF"/>
    <w:rsid w:val="00B730C6"/>
    <w:rsid w:val="00C54869"/>
    <w:rsid w:val="00CB44A5"/>
    <w:rsid w:val="00D912EF"/>
    <w:rsid w:val="00E35D8F"/>
    <w:rsid w:val="00E577E6"/>
    <w:rsid w:val="00F24D8E"/>
    <w:rsid w:val="00F43F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C1918"/>
  <w15:chartTrackingRefBased/>
  <w15:docId w15:val="{EBE66C66-6D31-4AB1-991B-EE2FA948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769"/>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97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769"/>
    <w:rPr>
      <w:rFonts w:eastAsiaTheme="majorEastAsia" w:cstheme="majorBidi"/>
      <w:color w:val="272727" w:themeColor="text1" w:themeTint="D8"/>
    </w:rPr>
  </w:style>
  <w:style w:type="paragraph" w:styleId="Title">
    <w:name w:val="Title"/>
    <w:basedOn w:val="Normal"/>
    <w:next w:val="Normal"/>
    <w:link w:val="TitleChar"/>
    <w:uiPriority w:val="10"/>
    <w:qFormat/>
    <w:rsid w:val="00597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769"/>
    <w:pPr>
      <w:spacing w:before="160"/>
      <w:jc w:val="center"/>
    </w:pPr>
    <w:rPr>
      <w:i/>
      <w:iCs/>
      <w:color w:val="404040" w:themeColor="text1" w:themeTint="BF"/>
    </w:rPr>
  </w:style>
  <w:style w:type="character" w:customStyle="1" w:styleId="QuoteChar">
    <w:name w:val="Quote Char"/>
    <w:basedOn w:val="DefaultParagraphFont"/>
    <w:link w:val="Quote"/>
    <w:uiPriority w:val="29"/>
    <w:rsid w:val="00597769"/>
    <w:rPr>
      <w:i/>
      <w:iCs/>
      <w:color w:val="404040" w:themeColor="text1" w:themeTint="BF"/>
    </w:rPr>
  </w:style>
  <w:style w:type="paragraph" w:styleId="ListParagraph">
    <w:name w:val="List Paragraph"/>
    <w:basedOn w:val="Normal"/>
    <w:uiPriority w:val="34"/>
    <w:qFormat/>
    <w:rsid w:val="00597769"/>
    <w:pPr>
      <w:ind w:left="720"/>
      <w:contextualSpacing/>
    </w:pPr>
  </w:style>
  <w:style w:type="character" w:styleId="IntenseEmphasis">
    <w:name w:val="Intense Emphasis"/>
    <w:basedOn w:val="DefaultParagraphFont"/>
    <w:uiPriority w:val="21"/>
    <w:qFormat/>
    <w:rsid w:val="00597769"/>
    <w:rPr>
      <w:i/>
      <w:iCs/>
      <w:color w:val="0F4761" w:themeColor="accent1" w:themeShade="BF"/>
    </w:rPr>
  </w:style>
  <w:style w:type="paragraph" w:styleId="IntenseQuote">
    <w:name w:val="Intense Quote"/>
    <w:basedOn w:val="Normal"/>
    <w:next w:val="Normal"/>
    <w:link w:val="IntenseQuoteChar"/>
    <w:uiPriority w:val="30"/>
    <w:qFormat/>
    <w:rsid w:val="00597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769"/>
    <w:rPr>
      <w:i/>
      <w:iCs/>
      <w:color w:val="0F4761" w:themeColor="accent1" w:themeShade="BF"/>
    </w:rPr>
  </w:style>
  <w:style w:type="character" w:styleId="IntenseReference">
    <w:name w:val="Intense Reference"/>
    <w:basedOn w:val="DefaultParagraphFont"/>
    <w:uiPriority w:val="32"/>
    <w:qFormat/>
    <w:rsid w:val="00597769"/>
    <w:rPr>
      <w:b/>
      <w:bCs/>
      <w:smallCaps/>
      <w:color w:val="0F4761" w:themeColor="accent1" w:themeShade="BF"/>
      <w:spacing w:val="5"/>
    </w:rPr>
  </w:style>
  <w:style w:type="character" w:styleId="Hyperlink">
    <w:name w:val="Hyperlink"/>
    <w:basedOn w:val="DefaultParagraphFont"/>
    <w:uiPriority w:val="99"/>
    <w:unhideWhenUsed/>
    <w:rsid w:val="00597769"/>
    <w:rPr>
      <w:color w:val="467886" w:themeColor="hyperlink"/>
      <w:u w:val="single"/>
    </w:rPr>
  </w:style>
  <w:style w:type="character" w:styleId="UnresolvedMention">
    <w:name w:val="Unresolved Mention"/>
    <w:basedOn w:val="DefaultParagraphFont"/>
    <w:uiPriority w:val="99"/>
    <w:semiHidden/>
    <w:unhideWhenUsed/>
    <w:rsid w:val="00597769"/>
    <w:rPr>
      <w:color w:val="605E5C"/>
      <w:shd w:val="clear" w:color="auto" w:fill="E1DFDD"/>
    </w:rPr>
  </w:style>
  <w:style w:type="paragraph" w:styleId="Header">
    <w:name w:val="header"/>
    <w:basedOn w:val="Normal"/>
    <w:link w:val="HeaderChar"/>
    <w:uiPriority w:val="99"/>
    <w:unhideWhenUsed/>
    <w:rsid w:val="00A65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92"/>
    <w:rPr>
      <w:rFonts w:ascii="Times New Roman" w:hAnsi="Times New Roman"/>
      <w:kern w:val="0"/>
      <w:szCs w:val="22"/>
      <w14:ligatures w14:val="none"/>
    </w:rPr>
  </w:style>
  <w:style w:type="paragraph" w:styleId="Footer">
    <w:name w:val="footer"/>
    <w:basedOn w:val="Normal"/>
    <w:link w:val="FooterChar"/>
    <w:uiPriority w:val="99"/>
    <w:unhideWhenUsed/>
    <w:rsid w:val="00A65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92"/>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nice.org.uk/guidance/NG245" TargetMode="External"/><Relationship Id="rId21" Type="http://schemas.openxmlformats.org/officeDocument/2006/relationships/image" Target="media/image15.png"/><Relationship Id="rId34" Type="http://schemas.openxmlformats.org/officeDocument/2006/relationships/hyperlink" Target="https://doi.org/10.1016/j.mam.2021.100995" TargetMode="External"/><Relationship Id="rId42" Type="http://schemas.openxmlformats.org/officeDocument/2006/relationships/hyperlink" Target="https://www.who.int/news-room/fact-sheets/detail/asthma"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image" Target="cid:image001.png@01D0EA4A.2BD679A0" TargetMode="External"/><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hyperlink" Target="https://www.brit-thoracic.org.uk/news/2019/btssign-british-guideline-on-the-management-of-asthma-2019/"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111/all.15266" TargetMode="External"/><Relationship Id="rId37" Type="http://schemas.openxmlformats.org/officeDocument/2006/relationships/hyperlink" Target="https://doi.org/10.1183/20734735.0025-2022" TargetMode="External"/><Relationship Id="rId40" Type="http://schemas.openxmlformats.org/officeDocument/2006/relationships/hyperlink" Target="https://stateofchildhealth.rcpch.ac.uk/evidence/long-term-conditions/asthma/" TargetMode="External"/><Relationship Id="rId45"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038/s41533-022-00277-9"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ginasthma.org/wp-content/uploads/2024/05/GINA-2024-Strategy-Report-24_05_22_WMS.pdf" TargetMode="External"/><Relationship Id="rId44"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1016/b978-0-12-816417-4.00006-8" TargetMode="External"/><Relationship Id="rId35" Type="http://schemas.openxmlformats.org/officeDocument/2006/relationships/hyperlink" Target="https://doi.org/10.1177/1179173x251325421"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164/rccm.202402-0432pp" TargetMode="External"/><Relationship Id="rId38" Type="http://schemas.openxmlformats.org/officeDocument/2006/relationships/hyperlink" Target="https://doi.org/10.1056/nejmoa1513737" TargetMode="External"/><Relationship Id="rId46" Type="http://schemas.openxmlformats.org/officeDocument/2006/relationships/footer" Target="footer2.xml"/><Relationship Id="rId20" Type="http://schemas.openxmlformats.org/officeDocument/2006/relationships/image" Target="media/image14.png"/><Relationship Id="rId41" Type="http://schemas.openxmlformats.org/officeDocument/2006/relationships/hyperlink" Target="https://doi.org/10.3389/fped.2022.930196"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2916</Words>
  <Characters>16187</Characters>
  <Application>Microsoft Office Word</Application>
  <DocSecurity>0</DocSecurity>
  <Lines>622</Lines>
  <Paragraphs>389</Paragraphs>
  <ScaleCrop>false</ScaleCrop>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Abimbola Oke (2417815)</dc:creator>
  <cp:keywords/>
  <dc:description/>
  <cp:lastModifiedBy>Gloria Abimbola Oke (2417815)</cp:lastModifiedBy>
  <cp:revision>23</cp:revision>
  <dcterms:created xsi:type="dcterms:W3CDTF">2026-03-07T15:25:00Z</dcterms:created>
  <dcterms:modified xsi:type="dcterms:W3CDTF">2026-03-11T19:25:00Z</dcterms:modified>
</cp:coreProperties>
</file>