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800A2" w14:textId="4D21FE23" w:rsidR="00E25180"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REPORT ON STROKE</w:t>
      </w:r>
    </w:p>
    <w:p w14:paraId="56F93906" w14:textId="40FCB2F8" w:rsidR="004F51FB"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STUDENT NAME:</w:t>
      </w:r>
      <w:r w:rsidR="008951FF">
        <w:rPr>
          <w:rFonts w:ascii="Times New Roman" w:hAnsi="Times New Roman" w:cs="Times New Roman"/>
          <w:b/>
          <w:bCs/>
          <w:color w:val="000000" w:themeColor="text1"/>
          <w:sz w:val="22"/>
          <w:szCs w:val="22"/>
        </w:rPr>
        <w:t xml:space="preserve"> FATOUMATA MALIKA DOSSO</w:t>
      </w:r>
    </w:p>
    <w:p w14:paraId="6BBBD451" w14:textId="77777777" w:rsidR="004F51FB" w:rsidRPr="00C808E4" w:rsidRDefault="004F51FB" w:rsidP="00E25180">
      <w:pPr>
        <w:rPr>
          <w:rFonts w:ascii="Times New Roman" w:hAnsi="Times New Roman" w:cs="Times New Roman"/>
          <w:b/>
          <w:bCs/>
          <w:color w:val="000000" w:themeColor="text1"/>
          <w:sz w:val="22"/>
          <w:szCs w:val="22"/>
        </w:rPr>
      </w:pPr>
    </w:p>
    <w:p w14:paraId="1B4E0A7C" w14:textId="2E4B862D" w:rsidR="004F51FB"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STUDENT ID:</w:t>
      </w:r>
    </w:p>
    <w:p w14:paraId="298E950A" w14:textId="77777777" w:rsidR="004F51FB" w:rsidRPr="00C808E4" w:rsidRDefault="004F51FB" w:rsidP="00E25180">
      <w:pPr>
        <w:rPr>
          <w:rFonts w:ascii="Times New Roman" w:hAnsi="Times New Roman" w:cs="Times New Roman"/>
          <w:b/>
          <w:bCs/>
          <w:color w:val="000000" w:themeColor="text1"/>
          <w:sz w:val="22"/>
          <w:szCs w:val="22"/>
        </w:rPr>
      </w:pPr>
    </w:p>
    <w:p w14:paraId="1E040236" w14:textId="665602AA" w:rsidR="004F51FB" w:rsidRPr="00C808E4" w:rsidRDefault="004F51FB" w:rsidP="00C808E4">
      <w:pPr>
        <w:ind w:left="2160" w:hanging="2160"/>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PROGRAMME:</w:t>
      </w:r>
      <w:r w:rsidRPr="00C808E4">
        <w:rPr>
          <w:rFonts w:ascii="Times New Roman" w:hAnsi="Times New Roman" w:cs="Times New Roman"/>
          <w:b/>
          <w:bCs/>
          <w:color w:val="000000" w:themeColor="text1"/>
          <w:sz w:val="22"/>
          <w:szCs w:val="22"/>
        </w:rPr>
        <w:tab/>
        <w:t>CERTIFICATE OF HIGHER EDUCATION SKILLS FOR THE WORKPLACE (HEALTH AND SOCIAL CARE)</w:t>
      </w:r>
    </w:p>
    <w:p w14:paraId="157AC029" w14:textId="77777777" w:rsidR="004F51FB" w:rsidRPr="00C808E4" w:rsidRDefault="004F51FB" w:rsidP="00E25180">
      <w:pPr>
        <w:rPr>
          <w:rFonts w:ascii="Times New Roman" w:hAnsi="Times New Roman" w:cs="Times New Roman"/>
          <w:b/>
          <w:bCs/>
          <w:color w:val="000000" w:themeColor="text1"/>
          <w:sz w:val="22"/>
          <w:szCs w:val="22"/>
        </w:rPr>
      </w:pPr>
    </w:p>
    <w:p w14:paraId="57315B95" w14:textId="082DA981" w:rsidR="00C808E4"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MODULE:</w:t>
      </w:r>
      <w:r w:rsidRPr="00C808E4">
        <w:rPr>
          <w:rFonts w:ascii="Times New Roman" w:hAnsi="Times New Roman" w:cs="Times New Roman"/>
          <w:b/>
          <w:bCs/>
          <w:color w:val="000000" w:themeColor="text1"/>
          <w:sz w:val="22"/>
          <w:szCs w:val="22"/>
        </w:rPr>
        <w:tab/>
      </w:r>
      <w:r w:rsidR="00C808E4" w:rsidRPr="00C808E4">
        <w:rPr>
          <w:rFonts w:ascii="Times New Roman" w:hAnsi="Times New Roman" w:cs="Times New Roman"/>
          <w:b/>
          <w:bCs/>
          <w:color w:val="000000" w:themeColor="text1"/>
          <w:sz w:val="22"/>
          <w:szCs w:val="22"/>
        </w:rPr>
        <w:tab/>
      </w:r>
      <w:r w:rsidRPr="00C808E4">
        <w:rPr>
          <w:rFonts w:ascii="Times New Roman" w:hAnsi="Times New Roman" w:cs="Times New Roman"/>
          <w:b/>
          <w:bCs/>
          <w:color w:val="000000" w:themeColor="text1"/>
          <w:sz w:val="22"/>
          <w:szCs w:val="22"/>
        </w:rPr>
        <w:t>INTRODUCTION TO PUBLIC HEALTH (LCHS 4008)</w:t>
      </w:r>
    </w:p>
    <w:p w14:paraId="7A2C6C8C" w14:textId="77777777" w:rsidR="00C808E4" w:rsidRPr="00C808E4" w:rsidRDefault="00C808E4" w:rsidP="00E25180">
      <w:pPr>
        <w:rPr>
          <w:rFonts w:ascii="Times New Roman" w:hAnsi="Times New Roman" w:cs="Times New Roman"/>
          <w:b/>
          <w:bCs/>
          <w:color w:val="000000" w:themeColor="text1"/>
          <w:sz w:val="22"/>
          <w:szCs w:val="22"/>
        </w:rPr>
      </w:pPr>
    </w:p>
    <w:p w14:paraId="7D8B3EFF" w14:textId="20EE5AF7" w:rsidR="004F51FB" w:rsidRPr="00C808E4" w:rsidRDefault="00C808E4"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Lecturer:</w:t>
      </w:r>
      <w:r w:rsidRPr="00C808E4">
        <w:rPr>
          <w:rFonts w:ascii="Times New Roman" w:hAnsi="Times New Roman" w:cs="Times New Roman"/>
          <w:b/>
          <w:bCs/>
          <w:color w:val="000000" w:themeColor="text1"/>
          <w:sz w:val="22"/>
          <w:szCs w:val="22"/>
        </w:rPr>
        <w:tab/>
      </w:r>
      <w:r w:rsidRPr="00C808E4">
        <w:rPr>
          <w:rFonts w:ascii="Times New Roman" w:hAnsi="Times New Roman" w:cs="Times New Roman"/>
          <w:b/>
          <w:bCs/>
          <w:color w:val="000000" w:themeColor="text1"/>
          <w:sz w:val="22"/>
          <w:szCs w:val="22"/>
        </w:rPr>
        <w:tab/>
      </w:r>
      <w:r w:rsidR="008951FF">
        <w:rPr>
          <w:rFonts w:ascii="Times New Roman" w:eastAsia="Arial" w:hAnsi="Times New Roman" w:cs="Times New Roman"/>
          <w:b/>
          <w:bCs/>
          <w:sz w:val="22"/>
          <w:szCs w:val="22"/>
        </w:rPr>
        <w:t>Mr. ARIF AHMED</w:t>
      </w:r>
      <w:r w:rsidR="004F51FB" w:rsidRPr="00C808E4">
        <w:rPr>
          <w:rFonts w:ascii="Times New Roman" w:hAnsi="Times New Roman" w:cs="Times New Roman"/>
          <w:b/>
          <w:bCs/>
          <w:color w:val="000000" w:themeColor="text1"/>
          <w:sz w:val="22"/>
          <w:szCs w:val="22"/>
        </w:rPr>
        <w:br/>
      </w:r>
    </w:p>
    <w:p w14:paraId="28CA4EE7" w14:textId="77777777" w:rsidR="004F51FB" w:rsidRPr="00C808E4" w:rsidRDefault="004F51FB" w:rsidP="00E25180">
      <w:pPr>
        <w:rPr>
          <w:rFonts w:ascii="Times New Roman" w:hAnsi="Times New Roman" w:cs="Times New Roman"/>
          <w:b/>
          <w:bCs/>
          <w:color w:val="000000" w:themeColor="text1"/>
          <w:sz w:val="22"/>
          <w:szCs w:val="22"/>
        </w:rPr>
      </w:pPr>
    </w:p>
    <w:p w14:paraId="187A1FF1" w14:textId="1525263D" w:rsidR="004F51FB"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ASSIGNMENT TITLE: REPORT ON A HEALTH ISSUE</w:t>
      </w:r>
    </w:p>
    <w:p w14:paraId="604CD851" w14:textId="77777777" w:rsidR="004F51FB" w:rsidRPr="00C808E4" w:rsidRDefault="004F51FB" w:rsidP="00E25180">
      <w:pPr>
        <w:rPr>
          <w:rFonts w:ascii="Times New Roman" w:hAnsi="Times New Roman" w:cs="Times New Roman"/>
          <w:b/>
          <w:bCs/>
          <w:color w:val="000000" w:themeColor="text1"/>
          <w:sz w:val="22"/>
          <w:szCs w:val="22"/>
        </w:rPr>
      </w:pPr>
    </w:p>
    <w:p w14:paraId="2D016FC7" w14:textId="79BF407F" w:rsidR="004F51FB" w:rsidRPr="00C808E4" w:rsidRDefault="004F51FB" w:rsidP="00E25180">
      <w:pPr>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WORD COUNTS:</w:t>
      </w:r>
      <w:r w:rsidRPr="00C808E4">
        <w:rPr>
          <w:rFonts w:ascii="Times New Roman" w:hAnsi="Times New Roman" w:cs="Times New Roman"/>
          <w:b/>
          <w:bCs/>
          <w:color w:val="000000" w:themeColor="text1"/>
          <w:sz w:val="22"/>
          <w:szCs w:val="22"/>
        </w:rPr>
        <w:tab/>
        <w:t xml:space="preserve"> 1500</w:t>
      </w:r>
    </w:p>
    <w:p w14:paraId="25737FF2" w14:textId="77777777" w:rsidR="00E25180" w:rsidRPr="00C808E4" w:rsidRDefault="00E25180" w:rsidP="00E25180">
      <w:pPr>
        <w:rPr>
          <w:rFonts w:ascii="Times New Roman" w:hAnsi="Times New Roman" w:cs="Times New Roman"/>
          <w:sz w:val="22"/>
          <w:szCs w:val="22"/>
        </w:rPr>
      </w:pPr>
    </w:p>
    <w:p w14:paraId="2E90F989" w14:textId="77777777" w:rsidR="00E25180" w:rsidRPr="00C808E4" w:rsidRDefault="00E25180" w:rsidP="00E25180">
      <w:pPr>
        <w:rPr>
          <w:rFonts w:ascii="Times New Roman" w:hAnsi="Times New Roman" w:cs="Times New Roman"/>
          <w:sz w:val="22"/>
          <w:szCs w:val="22"/>
        </w:rPr>
      </w:pPr>
    </w:p>
    <w:p w14:paraId="471F89B1" w14:textId="77777777" w:rsidR="00E25180" w:rsidRPr="00C808E4" w:rsidRDefault="00E25180" w:rsidP="00E25180">
      <w:pPr>
        <w:rPr>
          <w:rFonts w:ascii="Times New Roman" w:hAnsi="Times New Roman" w:cs="Times New Roman"/>
          <w:sz w:val="22"/>
          <w:szCs w:val="22"/>
        </w:rPr>
      </w:pPr>
    </w:p>
    <w:p w14:paraId="27C6E4E8" w14:textId="77777777" w:rsidR="00E25180" w:rsidRPr="00C808E4" w:rsidRDefault="00E25180" w:rsidP="00E25180">
      <w:pPr>
        <w:rPr>
          <w:rFonts w:ascii="Times New Roman" w:hAnsi="Times New Roman" w:cs="Times New Roman"/>
          <w:sz w:val="22"/>
          <w:szCs w:val="22"/>
        </w:rPr>
      </w:pPr>
    </w:p>
    <w:p w14:paraId="3826F9C4" w14:textId="77777777" w:rsidR="00E25180" w:rsidRPr="00C808E4" w:rsidRDefault="00E25180" w:rsidP="00E25180">
      <w:pPr>
        <w:rPr>
          <w:rFonts w:ascii="Times New Roman" w:hAnsi="Times New Roman" w:cs="Times New Roman"/>
          <w:sz w:val="22"/>
          <w:szCs w:val="22"/>
        </w:rPr>
      </w:pPr>
    </w:p>
    <w:p w14:paraId="5F108746" w14:textId="77777777" w:rsidR="00E25180" w:rsidRPr="00C808E4" w:rsidRDefault="00E25180" w:rsidP="00E25180">
      <w:pPr>
        <w:rPr>
          <w:rFonts w:ascii="Times New Roman" w:hAnsi="Times New Roman" w:cs="Times New Roman"/>
          <w:sz w:val="22"/>
          <w:szCs w:val="22"/>
        </w:rPr>
      </w:pPr>
    </w:p>
    <w:p w14:paraId="7B9C31AA" w14:textId="77777777" w:rsidR="00E25180" w:rsidRPr="00C808E4" w:rsidRDefault="00E25180" w:rsidP="00E25180">
      <w:pPr>
        <w:rPr>
          <w:rFonts w:ascii="Times New Roman" w:hAnsi="Times New Roman" w:cs="Times New Roman"/>
          <w:sz w:val="22"/>
          <w:szCs w:val="22"/>
        </w:rPr>
      </w:pPr>
    </w:p>
    <w:p w14:paraId="19D769CA" w14:textId="77777777" w:rsidR="00E25180" w:rsidRPr="00C808E4" w:rsidRDefault="00E25180" w:rsidP="00E25180">
      <w:pPr>
        <w:rPr>
          <w:rFonts w:ascii="Times New Roman" w:hAnsi="Times New Roman" w:cs="Times New Roman"/>
          <w:sz w:val="22"/>
          <w:szCs w:val="22"/>
        </w:rPr>
      </w:pPr>
    </w:p>
    <w:p w14:paraId="0842846E" w14:textId="77777777" w:rsidR="00E25180" w:rsidRPr="00C808E4" w:rsidRDefault="00E25180" w:rsidP="00E25180">
      <w:pPr>
        <w:rPr>
          <w:rFonts w:ascii="Times New Roman" w:hAnsi="Times New Roman" w:cs="Times New Roman"/>
          <w:sz w:val="22"/>
          <w:szCs w:val="22"/>
        </w:rPr>
      </w:pPr>
    </w:p>
    <w:p w14:paraId="5B4E6927" w14:textId="77777777" w:rsidR="00E25180" w:rsidRPr="00C808E4" w:rsidRDefault="00E25180" w:rsidP="00E25180">
      <w:pPr>
        <w:rPr>
          <w:rFonts w:ascii="Times New Roman" w:hAnsi="Times New Roman" w:cs="Times New Roman"/>
          <w:sz w:val="22"/>
          <w:szCs w:val="22"/>
        </w:rPr>
      </w:pPr>
    </w:p>
    <w:p w14:paraId="4B040036" w14:textId="77777777" w:rsidR="004F51FB" w:rsidRPr="00C808E4" w:rsidRDefault="004F51FB" w:rsidP="00E25180">
      <w:pPr>
        <w:rPr>
          <w:rFonts w:ascii="Times New Roman" w:hAnsi="Times New Roman" w:cs="Times New Roman"/>
          <w:sz w:val="22"/>
          <w:szCs w:val="22"/>
        </w:rPr>
      </w:pPr>
    </w:p>
    <w:p w14:paraId="1173A3D8" w14:textId="2B8C349D" w:rsidR="00E25180" w:rsidRPr="00C808E4" w:rsidRDefault="00C808E4" w:rsidP="00E25180">
      <w:pPr>
        <w:rPr>
          <w:rFonts w:ascii="Times New Roman" w:hAnsi="Times New Roman" w:cs="Times New Roman"/>
          <w:b/>
          <w:bCs/>
          <w:sz w:val="22"/>
          <w:szCs w:val="22"/>
        </w:rPr>
      </w:pPr>
      <w:r w:rsidRPr="00C808E4">
        <w:rPr>
          <w:rFonts w:ascii="Times New Roman" w:hAnsi="Times New Roman" w:cs="Times New Roman"/>
          <w:b/>
          <w:bCs/>
          <w:sz w:val="22"/>
          <w:szCs w:val="22"/>
        </w:rPr>
        <w:t>TABLE OF CONTENTS</w:t>
      </w:r>
    </w:p>
    <w:p w14:paraId="66E8DFA9" w14:textId="77777777" w:rsidR="004F51FB" w:rsidRPr="00C808E4" w:rsidRDefault="004F51FB" w:rsidP="004F51FB">
      <w:pPr>
        <w:rPr>
          <w:rFonts w:ascii="Times New Roman" w:hAnsi="Times New Roman" w:cs="Times New Roman"/>
          <w:sz w:val="22"/>
          <w:szCs w:val="22"/>
        </w:rPr>
      </w:pPr>
      <w:r w:rsidRPr="00C808E4">
        <w:rPr>
          <w:rFonts w:ascii="Times New Roman" w:hAnsi="Times New Roman" w:cs="Times New Roman"/>
          <w:sz w:val="22"/>
          <w:szCs w:val="22"/>
        </w:rPr>
        <w:t>Title Page</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1</w:t>
      </w:r>
    </w:p>
    <w:p w14:paraId="0ED952DB" w14:textId="77777777" w:rsidR="004F51FB" w:rsidRPr="00C808E4" w:rsidRDefault="004F51FB" w:rsidP="004F51FB">
      <w:pPr>
        <w:rPr>
          <w:rFonts w:ascii="Times New Roman" w:hAnsi="Times New Roman" w:cs="Times New Roman"/>
          <w:sz w:val="22"/>
          <w:szCs w:val="22"/>
        </w:rPr>
      </w:pPr>
      <w:r w:rsidRPr="00C808E4">
        <w:rPr>
          <w:rFonts w:ascii="Times New Roman" w:hAnsi="Times New Roman" w:cs="Times New Roman"/>
          <w:sz w:val="22"/>
          <w:szCs w:val="22"/>
        </w:rPr>
        <w:lastRenderedPageBreak/>
        <w:t>Table of Contents</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w:t>
      </w:r>
      <w:r w:rsidRPr="00C808E4">
        <w:rPr>
          <w:rFonts w:ascii="Times New Roman" w:hAnsi="Times New Roman" w:cs="Times New Roman"/>
          <w:sz w:val="22"/>
          <w:szCs w:val="22"/>
        </w:rPr>
        <w:tab/>
        <w:t>2</w:t>
      </w:r>
    </w:p>
    <w:p w14:paraId="424C43B8"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Introduction</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3</w:t>
      </w:r>
    </w:p>
    <w:p w14:paraId="02CED179"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Main Body</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3</w:t>
      </w:r>
    </w:p>
    <w:p w14:paraId="5346CA73"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Measuring and Monitoring Stroke</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3</w:t>
      </w:r>
    </w:p>
    <w:p w14:paraId="5DD18029"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Conclusion</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7</w:t>
      </w:r>
    </w:p>
    <w:p w14:paraId="492E8254"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References</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9</w:t>
      </w:r>
    </w:p>
    <w:p w14:paraId="184ABDC4"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Appendices</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w:t>
      </w:r>
      <w:r w:rsidRPr="00C808E4">
        <w:rPr>
          <w:rFonts w:ascii="Times New Roman" w:hAnsi="Times New Roman" w:cs="Times New Roman"/>
          <w:color w:val="000000" w:themeColor="text1"/>
          <w:sz w:val="22"/>
          <w:szCs w:val="22"/>
        </w:rPr>
        <w:tab/>
        <w:t>11</w:t>
      </w:r>
    </w:p>
    <w:p w14:paraId="065EB53D"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p>
    <w:p w14:paraId="7A5B9F00" w14:textId="77777777" w:rsidR="004F51FB" w:rsidRPr="00C808E4" w:rsidRDefault="004F51FB" w:rsidP="004F51FB">
      <w:pPr>
        <w:spacing w:line="360" w:lineRule="auto"/>
        <w:jc w:val="both"/>
        <w:rPr>
          <w:rFonts w:ascii="Times New Roman" w:hAnsi="Times New Roman" w:cs="Times New Roman"/>
          <w:color w:val="000000" w:themeColor="text1"/>
          <w:sz w:val="22"/>
          <w:szCs w:val="22"/>
        </w:rPr>
      </w:pPr>
    </w:p>
    <w:p w14:paraId="27EFCBE5" w14:textId="77777777" w:rsidR="004F51FB" w:rsidRPr="00C808E4" w:rsidRDefault="004F51FB" w:rsidP="004F51FB">
      <w:pPr>
        <w:rPr>
          <w:rFonts w:ascii="Times New Roman" w:hAnsi="Times New Roman" w:cs="Times New Roman"/>
          <w:sz w:val="22"/>
          <w:szCs w:val="22"/>
        </w:rPr>
      </w:pPr>
    </w:p>
    <w:p w14:paraId="356DE4A3" w14:textId="77777777" w:rsidR="004F51FB" w:rsidRPr="00C808E4" w:rsidRDefault="004F51FB" w:rsidP="004F51FB">
      <w:pPr>
        <w:rPr>
          <w:rFonts w:ascii="Times New Roman" w:hAnsi="Times New Roman" w:cs="Times New Roman"/>
          <w:sz w:val="22"/>
          <w:szCs w:val="22"/>
        </w:rPr>
      </w:pPr>
    </w:p>
    <w:p w14:paraId="486F3D58" w14:textId="77777777" w:rsidR="00E25180" w:rsidRPr="00C808E4" w:rsidRDefault="00E25180" w:rsidP="00E25180">
      <w:pPr>
        <w:rPr>
          <w:rFonts w:ascii="Times New Roman" w:hAnsi="Times New Roman" w:cs="Times New Roman"/>
          <w:sz w:val="22"/>
          <w:szCs w:val="22"/>
        </w:rPr>
      </w:pPr>
    </w:p>
    <w:p w14:paraId="52A4C8E3" w14:textId="77777777" w:rsidR="00E25180" w:rsidRPr="00C808E4" w:rsidRDefault="00E25180" w:rsidP="00E25180">
      <w:pPr>
        <w:rPr>
          <w:rFonts w:ascii="Times New Roman" w:hAnsi="Times New Roman" w:cs="Times New Roman"/>
          <w:sz w:val="22"/>
          <w:szCs w:val="22"/>
        </w:rPr>
      </w:pPr>
    </w:p>
    <w:p w14:paraId="36D68513" w14:textId="77777777" w:rsidR="00E25180" w:rsidRPr="00C808E4" w:rsidRDefault="00E25180" w:rsidP="00E25180">
      <w:pPr>
        <w:rPr>
          <w:rFonts w:ascii="Times New Roman" w:hAnsi="Times New Roman" w:cs="Times New Roman"/>
          <w:sz w:val="22"/>
          <w:szCs w:val="22"/>
        </w:rPr>
      </w:pPr>
    </w:p>
    <w:p w14:paraId="6A05CE71" w14:textId="77777777" w:rsidR="00E25180" w:rsidRPr="00C808E4" w:rsidRDefault="00E25180" w:rsidP="00E25180">
      <w:pPr>
        <w:rPr>
          <w:rFonts w:ascii="Times New Roman" w:hAnsi="Times New Roman" w:cs="Times New Roman"/>
          <w:sz w:val="22"/>
          <w:szCs w:val="22"/>
        </w:rPr>
      </w:pPr>
    </w:p>
    <w:p w14:paraId="1B3B5828" w14:textId="77777777" w:rsidR="00E25180" w:rsidRPr="00C808E4" w:rsidRDefault="00E25180" w:rsidP="00E25180">
      <w:pPr>
        <w:rPr>
          <w:rFonts w:ascii="Times New Roman" w:hAnsi="Times New Roman" w:cs="Times New Roman"/>
          <w:sz w:val="22"/>
          <w:szCs w:val="22"/>
        </w:rPr>
      </w:pPr>
    </w:p>
    <w:p w14:paraId="131E4605" w14:textId="77777777" w:rsidR="00E25180" w:rsidRPr="00C808E4" w:rsidRDefault="00E25180" w:rsidP="00E25180">
      <w:pPr>
        <w:rPr>
          <w:rFonts w:ascii="Times New Roman" w:hAnsi="Times New Roman" w:cs="Times New Roman"/>
          <w:sz w:val="22"/>
          <w:szCs w:val="22"/>
        </w:rPr>
      </w:pPr>
    </w:p>
    <w:p w14:paraId="04ED0702" w14:textId="77777777" w:rsidR="00E25180" w:rsidRPr="00C808E4" w:rsidRDefault="00E25180" w:rsidP="00E25180">
      <w:pPr>
        <w:rPr>
          <w:rFonts w:ascii="Times New Roman" w:hAnsi="Times New Roman" w:cs="Times New Roman"/>
          <w:sz w:val="22"/>
          <w:szCs w:val="22"/>
        </w:rPr>
      </w:pPr>
    </w:p>
    <w:p w14:paraId="718921C4" w14:textId="77777777" w:rsidR="00E25180" w:rsidRPr="00C808E4" w:rsidRDefault="00E25180" w:rsidP="00E25180">
      <w:pPr>
        <w:rPr>
          <w:rFonts w:ascii="Times New Roman" w:hAnsi="Times New Roman" w:cs="Times New Roman"/>
          <w:sz w:val="22"/>
          <w:szCs w:val="22"/>
        </w:rPr>
      </w:pPr>
    </w:p>
    <w:p w14:paraId="457789F5" w14:textId="77777777" w:rsidR="00E25180" w:rsidRPr="00C808E4" w:rsidRDefault="00E25180" w:rsidP="00E25180">
      <w:pPr>
        <w:rPr>
          <w:rFonts w:ascii="Times New Roman" w:hAnsi="Times New Roman" w:cs="Times New Roman"/>
          <w:sz w:val="22"/>
          <w:szCs w:val="22"/>
        </w:rPr>
      </w:pPr>
    </w:p>
    <w:p w14:paraId="5AD2E287" w14:textId="77777777" w:rsidR="00E25180" w:rsidRPr="00C808E4" w:rsidRDefault="00E25180" w:rsidP="00E25180">
      <w:pPr>
        <w:rPr>
          <w:rFonts w:ascii="Times New Roman" w:hAnsi="Times New Roman" w:cs="Times New Roman"/>
          <w:sz w:val="22"/>
          <w:szCs w:val="22"/>
        </w:rPr>
      </w:pPr>
    </w:p>
    <w:p w14:paraId="7CBB0FBA" w14:textId="77777777" w:rsidR="00E25180" w:rsidRPr="00C808E4" w:rsidRDefault="00E25180" w:rsidP="00E25180">
      <w:pPr>
        <w:rPr>
          <w:rFonts w:ascii="Times New Roman" w:hAnsi="Times New Roman" w:cs="Times New Roman"/>
          <w:sz w:val="22"/>
          <w:szCs w:val="22"/>
        </w:rPr>
      </w:pPr>
    </w:p>
    <w:p w14:paraId="458D9667" w14:textId="77777777" w:rsidR="00E25180" w:rsidRPr="00C808E4" w:rsidRDefault="00E25180" w:rsidP="00E25180">
      <w:pPr>
        <w:rPr>
          <w:rFonts w:ascii="Times New Roman" w:hAnsi="Times New Roman" w:cs="Times New Roman"/>
          <w:sz w:val="22"/>
          <w:szCs w:val="22"/>
        </w:rPr>
      </w:pPr>
    </w:p>
    <w:p w14:paraId="7F883092" w14:textId="337B5A67" w:rsidR="00E25180" w:rsidRPr="00C808E4" w:rsidRDefault="00E25180"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Introduction</w:t>
      </w:r>
    </w:p>
    <w:p w14:paraId="53FACB88" w14:textId="4C2DA26D" w:rsidR="00E25180" w:rsidRPr="00C808E4" w:rsidRDefault="00E25180"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Stroke is a sudden, life-threatening neurological emergency that happens when blood flow to portions of the brain is cut off by a clot (</w:t>
      </w:r>
      <w:proofErr w:type="spellStart"/>
      <w:r w:rsidRPr="00C808E4">
        <w:rPr>
          <w:rFonts w:ascii="Times New Roman" w:hAnsi="Times New Roman" w:cs="Times New Roman"/>
          <w:color w:val="000000" w:themeColor="text1"/>
          <w:sz w:val="22"/>
          <w:szCs w:val="22"/>
        </w:rPr>
        <w:t>ischaemic</w:t>
      </w:r>
      <w:proofErr w:type="spellEnd"/>
      <w:r w:rsidRPr="00C808E4">
        <w:rPr>
          <w:rFonts w:ascii="Times New Roman" w:hAnsi="Times New Roman" w:cs="Times New Roman"/>
          <w:color w:val="000000" w:themeColor="text1"/>
          <w:sz w:val="22"/>
          <w:szCs w:val="22"/>
        </w:rPr>
        <w:t xml:space="preserve"> stroke) or bleeding (</w:t>
      </w:r>
      <w:proofErr w:type="spellStart"/>
      <w:r w:rsidRPr="00C808E4">
        <w:rPr>
          <w:rFonts w:ascii="Times New Roman" w:hAnsi="Times New Roman" w:cs="Times New Roman"/>
          <w:color w:val="000000" w:themeColor="text1"/>
          <w:sz w:val="22"/>
          <w:szCs w:val="22"/>
        </w:rPr>
        <w:t>haemorrhagic</w:t>
      </w:r>
      <w:proofErr w:type="spellEnd"/>
      <w:r w:rsidRPr="00C808E4">
        <w:rPr>
          <w:rFonts w:ascii="Times New Roman" w:hAnsi="Times New Roman" w:cs="Times New Roman"/>
          <w:color w:val="000000" w:themeColor="text1"/>
          <w:sz w:val="22"/>
          <w:szCs w:val="22"/>
        </w:rPr>
        <w:t xml:space="preserve"> stroke), leading in fast neuronal death and loss of neurological function (WHO, 2025). In addition to these categories, transient ischemic </w:t>
      </w:r>
      <w:r w:rsidRPr="00C808E4">
        <w:rPr>
          <w:rFonts w:ascii="Times New Roman" w:hAnsi="Times New Roman" w:cs="Times New Roman"/>
          <w:color w:val="000000" w:themeColor="text1"/>
          <w:sz w:val="22"/>
          <w:szCs w:val="22"/>
        </w:rPr>
        <w:lastRenderedPageBreak/>
        <w:t xml:space="preserve">attacks (TIAs) are momentary pauses in cerebral blood flow with stroke-like symptoms that resolve within 24 hours but indicate increased future risk (NHS, 2026). Facial drooping, weakness or numbness in the limbs, speech difficulties, sudden eyesight loss, and loss of balance or coordination are all common symptoms that require immediate detection and emergency care to enhance outcomes (WHO, 2025 and Statista, 2024). </w:t>
      </w:r>
    </w:p>
    <w:p w14:paraId="27E3BE71" w14:textId="69DD2219" w:rsidR="00E25180" w:rsidRPr="00C808E4" w:rsidRDefault="00E25180"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In 2021, stroke was the second largest cause of </w:t>
      </w:r>
      <w:proofErr w:type="gramStart"/>
      <w:r w:rsidRPr="00C808E4">
        <w:rPr>
          <w:rFonts w:ascii="Times New Roman" w:hAnsi="Times New Roman" w:cs="Times New Roman"/>
          <w:color w:val="000000" w:themeColor="text1"/>
          <w:sz w:val="22"/>
          <w:szCs w:val="22"/>
        </w:rPr>
        <w:t>death</w:t>
      </w:r>
      <w:proofErr w:type="gramEnd"/>
      <w:r w:rsidRPr="00C808E4">
        <w:rPr>
          <w:rFonts w:ascii="Times New Roman" w:hAnsi="Times New Roman" w:cs="Times New Roman"/>
          <w:color w:val="000000" w:themeColor="text1"/>
          <w:sz w:val="22"/>
          <w:szCs w:val="22"/>
        </w:rPr>
        <w:t xml:space="preserve"> and third major cause of disability adjusted life years (Global Burden of Disease Collaborators, 2024; WSO, 2025), with about 12 million new cases and over 93 million people living with it globally. Stroke is a major public health issue in the UK, affecting over 100,000 individuals annually and leaving over 1.2 million survivors with long-term repercussions (Statista, 2024 and Heart Research Institute, 2025). The increasing incidence, significant impairment, and urgent need for effective surveillance, acute care, and rehabilitation highlight the necessity of strong public health measures for stroke prevention and management.</w:t>
      </w:r>
    </w:p>
    <w:p w14:paraId="4D445AEA" w14:textId="77777777" w:rsidR="00E25180" w:rsidRPr="00C808E4" w:rsidRDefault="00E25180" w:rsidP="004F51FB">
      <w:pPr>
        <w:spacing w:line="360" w:lineRule="auto"/>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Main Body</w:t>
      </w:r>
    </w:p>
    <w:p w14:paraId="15184193" w14:textId="77777777" w:rsidR="00E25180" w:rsidRPr="00C808E4" w:rsidRDefault="00E25180" w:rsidP="004F51FB">
      <w:pPr>
        <w:spacing w:line="360" w:lineRule="auto"/>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Measuring and Monitoring Stroke</w:t>
      </w:r>
    </w:p>
    <w:p w14:paraId="354840C8" w14:textId="6A98AA8A" w:rsidR="00E25180" w:rsidRPr="00C808E4" w:rsidRDefault="00E25180"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Accurate stroke assessment and monitoring are critical for quantifying disease burden, guiding public health policies, and assessing long-term health system performance. Epidemiological surveillance combines several data sources, such as hospital admissions, mortality statistics, disease registries, and national audit </w:t>
      </w:r>
      <w:proofErr w:type="spellStart"/>
      <w:r w:rsidRPr="00C808E4">
        <w:rPr>
          <w:rFonts w:ascii="Times New Roman" w:hAnsi="Times New Roman" w:cs="Times New Roman"/>
          <w:color w:val="000000" w:themeColor="text1"/>
          <w:sz w:val="22"/>
          <w:szCs w:val="22"/>
        </w:rPr>
        <w:t>programmes</w:t>
      </w:r>
      <w:proofErr w:type="spellEnd"/>
      <w:r w:rsidRPr="00C808E4">
        <w:rPr>
          <w:rFonts w:ascii="Times New Roman" w:hAnsi="Times New Roman" w:cs="Times New Roman"/>
          <w:color w:val="000000" w:themeColor="text1"/>
          <w:sz w:val="22"/>
          <w:szCs w:val="22"/>
        </w:rPr>
        <w:t xml:space="preserve">, to offer information on trends in stroke incidence and consequences. According to the World Stroke Organization's 2025 Global Stroke Fact Sheet, stroke remains one of the leading causes of global mortality and disability, with annual incident stroke cases increasing significantly worldwide between 1990 and 2021, and </w:t>
      </w:r>
      <w:proofErr w:type="gramStart"/>
      <w:r w:rsidRPr="00C808E4">
        <w:rPr>
          <w:rFonts w:ascii="Times New Roman" w:hAnsi="Times New Roman" w:cs="Times New Roman"/>
          <w:color w:val="000000" w:themeColor="text1"/>
          <w:sz w:val="22"/>
          <w:szCs w:val="22"/>
        </w:rPr>
        <w:t>the majority of</w:t>
      </w:r>
      <w:proofErr w:type="gramEnd"/>
      <w:r w:rsidRPr="00C808E4">
        <w:rPr>
          <w:rFonts w:ascii="Times New Roman" w:hAnsi="Times New Roman" w:cs="Times New Roman"/>
          <w:color w:val="000000" w:themeColor="text1"/>
          <w:sz w:val="22"/>
          <w:szCs w:val="22"/>
        </w:rPr>
        <w:t xml:space="preserve"> deaths and disability burdens concentrated in low- and middle-income countries (Feigin et al., 2025; WHO, 2025). </w:t>
      </w:r>
    </w:p>
    <w:p w14:paraId="226A8592" w14:textId="77777777" w:rsidR="00E25180" w:rsidRPr="00C808E4" w:rsidRDefault="00E25180"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These findings highlight the necessity for comprehensive information systems that capture both acute stroke episodes and long-term consequences </w:t>
      </w:r>
      <w:proofErr w:type="gramStart"/>
      <w:r w:rsidRPr="00C808E4">
        <w:rPr>
          <w:rFonts w:ascii="Times New Roman" w:hAnsi="Times New Roman" w:cs="Times New Roman"/>
          <w:color w:val="000000" w:themeColor="text1"/>
          <w:sz w:val="22"/>
          <w:szCs w:val="22"/>
        </w:rPr>
        <w:t>in order to</w:t>
      </w:r>
      <w:proofErr w:type="gramEnd"/>
      <w:r w:rsidRPr="00C808E4">
        <w:rPr>
          <w:rFonts w:ascii="Times New Roman" w:hAnsi="Times New Roman" w:cs="Times New Roman"/>
          <w:color w:val="000000" w:themeColor="text1"/>
          <w:sz w:val="22"/>
          <w:szCs w:val="22"/>
        </w:rPr>
        <w:t xml:space="preserve"> inform preventative and control methods. Surveillance data also show the distribution of risk factors such high blood pressure, smoking, high blood glucose, and obesity, which contribute to the bulk of the worldwide stroke burden (WHO, 2025).</w:t>
      </w:r>
    </w:p>
    <w:p w14:paraId="5A96B65E"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In the United Kingdom, the Sentinel Stroke National Audit </w:t>
      </w:r>
      <w:proofErr w:type="spellStart"/>
      <w:r w:rsidRPr="00C808E4">
        <w:rPr>
          <w:rFonts w:ascii="Times New Roman" w:hAnsi="Times New Roman" w:cs="Times New Roman"/>
          <w:color w:val="000000" w:themeColor="text1"/>
          <w:sz w:val="22"/>
          <w:szCs w:val="22"/>
        </w:rPr>
        <w:t>Programme</w:t>
      </w:r>
      <w:proofErr w:type="spellEnd"/>
      <w:r w:rsidRPr="00C808E4">
        <w:rPr>
          <w:rFonts w:ascii="Times New Roman" w:hAnsi="Times New Roman" w:cs="Times New Roman"/>
          <w:color w:val="000000" w:themeColor="text1"/>
          <w:sz w:val="22"/>
          <w:szCs w:val="22"/>
        </w:rPr>
        <w:t xml:space="preserve"> (SSNAP) serves as the foundation of stroke surveillance by prospectively collecting detailed clinical data on stroke admissions, treatment interventions, rehabilitation, discharge outcomes, and six-month follow-up results across England, Wales, and Northern Ireland. In the most recent annual report, SSNAP reported nearly 92,000 stroke admissions </w:t>
      </w:r>
      <w:r w:rsidRPr="00C808E4">
        <w:rPr>
          <w:rFonts w:ascii="Times New Roman" w:hAnsi="Times New Roman" w:cs="Times New Roman"/>
          <w:color w:val="000000" w:themeColor="text1"/>
          <w:sz w:val="22"/>
          <w:szCs w:val="22"/>
        </w:rPr>
        <w:lastRenderedPageBreak/>
        <w:t xml:space="preserve">and offered performance indicators for critical care processes such as imaging, specialist assessment, thrombolysis, and thrombectomy (Stroke Audit, 2026). </w:t>
      </w:r>
    </w:p>
    <w:p w14:paraId="68D104F1" w14:textId="35B77881"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Despite increases in acute care coverage, the median duration from symptom onset to hospital arrival remained more than four hours, indicating continued delays in access to care (Stroke Audit, 2026). SSNAP reveals that specialist stroke unit admission within 4 hours and thrombolytic therapy rates are inadequate, indicating gaps in the pre-hospital and acute care pathways. These audit results provide a detailed view of care delivery quality and assist health systems in identifying areas for targeted improvement.</w:t>
      </w:r>
    </w:p>
    <w:p w14:paraId="5F110AB7" w14:textId="703B3FE7" w:rsidR="00E25180"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Aside from acute clinical data, surveillance includes extensive monitoring of behavioral and clinical risk factors via national health surveys and registries that collect data on hypertension, diabetes, atrial fibrillation, smoking, nutrition, and physical inactivity. High blood pressure is frequently identified as the single most important modifiable risk factor for stroke; individuals with hypertension have up to a threefold higher risk of stroke than normotensive populations (WHO, 2025). Data from UK clinical registries show that more than half of stroke patients have a prior diagnosis of hypertension, and a significant number also have diabetes or atrial fibrillation, indicating the clustering of risk factors in afflicted populations (National Stroke Audit, 2024)</w:t>
      </w:r>
      <w:r w:rsidR="00E25180" w:rsidRPr="00C808E4">
        <w:rPr>
          <w:rFonts w:ascii="Times New Roman" w:hAnsi="Times New Roman" w:cs="Times New Roman"/>
          <w:color w:val="000000" w:themeColor="text1"/>
          <w:sz w:val="22"/>
          <w:szCs w:val="22"/>
        </w:rPr>
        <w:t xml:space="preserve">. </w:t>
      </w:r>
      <w:r w:rsidRPr="00C808E4">
        <w:rPr>
          <w:rFonts w:ascii="Times New Roman" w:hAnsi="Times New Roman" w:cs="Times New Roman"/>
          <w:color w:val="000000" w:themeColor="text1"/>
          <w:sz w:val="22"/>
          <w:szCs w:val="22"/>
        </w:rPr>
        <w:t>Monitoring these risk factors enables public health practitioners to intervene earlier, develop risk-reduction measures, and assess the long-term effectiveness of prevention initiatives.</w:t>
      </w:r>
    </w:p>
    <w:p w14:paraId="41F35AB0" w14:textId="5FC920F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Measuring stroke also includes qualitative approaches that evaluate patient-centered outcomes such as functional status, quality of life, psychological well-being, and social reintegration. Follow-up studies in the United Kingdom show that a large proportion of stroke survivors continue to experience significant disability six months after the event, with many reporting ongoing mobility issues, cognitive deficits, anxiety, depression, and decreased participation in daily activities (Elphick, 2024; Chen, 2025). These qualitative measurements are collected using standardized patient-reported outcome tools and caregiver feedback questionnaires, which supplement quantitative trends and highlight gaps in long-term care and rehabilitation. Such mixed techniques monitoring improves awareness of survivors lived experiences and informs service planning that goes beyond survival to prioritize quality of life and independence.</w:t>
      </w:r>
    </w:p>
    <w:p w14:paraId="47E5D311"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Stroke control in public health includes primary, secondary, and tertiary prevention methods that aim to minimize the number of first episodes, prevent recurrence, and reduce long-term damage. Primary prevention focuses on risk factor management at the population and individual levels. The American Heart Association's most recent guidelines outline evidence-based strategies for primary stroke prevention, such as blood pressure control, smoking cessation, physical activity promotion, diet modification, and metabolic condition management (Bushnell et al., 2024). </w:t>
      </w:r>
    </w:p>
    <w:p w14:paraId="2C699F1C"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lastRenderedPageBreak/>
        <w:t>These suggestions are consistent with WHO guidance, which emphasizes better lifestyles, reduced salt intake and dangerous alcohol use, and widespread access to preventative health services. In the United Kingdom, public health measures have concentrated on increasing anticoagulant medication for atrial fibrillation patients, preventing thousands of strokes each year by reducing clot-related embolic events in high-risk patients (NHS England, 2024). These preventive efforts show how deliberate interventions can result in measurable reductions in stroke incidence and healthcare burden.</w:t>
      </w:r>
    </w:p>
    <w:p w14:paraId="68C57F19"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In the acute period, prompt management is crucial for better outcomes. Rapid imaging (CT or MRI) allows practitioners to distinguish between ischemic and hemorrhagic strokes and commence appropriate treatment. Intravenous thrombolytic treatment given within hours of symptom onset can dissolve clots and restore cerebral blood flow, considerably lowering impairment (Medscape, 2024). Similarly, endovascular thrombectomy, which manually eliminates clots, has emerged as a critical intervention for certain ischemic stroke cases and is becoming more integrated into national stroke pathways (NHS England, 2026).</w:t>
      </w:r>
      <w:r w:rsidR="00E25180" w:rsidRPr="00C808E4">
        <w:rPr>
          <w:rFonts w:ascii="Times New Roman" w:hAnsi="Times New Roman" w:cs="Times New Roman"/>
          <w:color w:val="000000" w:themeColor="text1"/>
          <w:sz w:val="22"/>
          <w:szCs w:val="22"/>
        </w:rPr>
        <w:t xml:space="preserve"> </w:t>
      </w:r>
      <w:r w:rsidRPr="00C808E4">
        <w:rPr>
          <w:rFonts w:ascii="Times New Roman" w:hAnsi="Times New Roman" w:cs="Times New Roman"/>
          <w:color w:val="000000" w:themeColor="text1"/>
          <w:sz w:val="22"/>
          <w:szCs w:val="22"/>
        </w:rPr>
        <w:t>Time to treatment remains one of the most important markers of acute care quality: every minute saved in diagnosis and treatment initiation increases the likelihood of functional recovery and reduces long-term care demands. These urgent clinical actions demonstrate how healthcare systems implement stroke control in real-time conditions.</w:t>
      </w:r>
    </w:p>
    <w:p w14:paraId="40A98DF8"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Secondary prevention aims to reduce the incidence of recurrent strokes in survivors through continued risk factor management and evidence-based interventions. Antithrombotic drugs, blood pressure control, and lipid-lowering medications are essential, especially for people with atrial fibrillation or previous ischemic episodes (</w:t>
      </w:r>
      <w:proofErr w:type="spellStart"/>
      <w:r w:rsidRPr="00C808E4">
        <w:rPr>
          <w:rFonts w:ascii="Times New Roman" w:hAnsi="Times New Roman" w:cs="Times New Roman"/>
          <w:color w:val="000000" w:themeColor="text1"/>
          <w:sz w:val="22"/>
          <w:szCs w:val="22"/>
        </w:rPr>
        <w:t>Seiffge</w:t>
      </w:r>
      <w:proofErr w:type="spellEnd"/>
      <w:r w:rsidRPr="00C808E4">
        <w:rPr>
          <w:rFonts w:ascii="Times New Roman" w:hAnsi="Times New Roman" w:cs="Times New Roman"/>
          <w:color w:val="000000" w:themeColor="text1"/>
          <w:sz w:val="22"/>
          <w:szCs w:val="22"/>
        </w:rPr>
        <w:t xml:space="preserve"> et al., 2024). A global expert agreement on secondary stroke prevention emphasizes care coordination issues, unmet needs in specialist follow-up, and the significance of personalized risk management plans to prevent recurrence and enhance long-term outcomes (Caso and Agredano, 2025). Secondary prevention also includes community-based screening and chronic care support to ensure survivors follow treatment plans, comprehend lifestyle changes, and receive regular reviews.</w:t>
      </w:r>
    </w:p>
    <w:p w14:paraId="0F3AC24C"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Stroke's ramifications go far beyond the acute health symptoms and can have a significant life-changing impact on individuals and families. Many survivors experience permanent impairments such as motor dysfunction, speech and language difficulties, cognitive deficiencies, emotional disorders, and daily living limits that may necessitate long-term care (Chen, 2025). According to studies, a significant proportion of UK stroke survivors continue to suffer with mobility, independence, anxiety, and depression months after the initial incident, contributing to ongoing impairment and a lower quality of life. These separate difficulties combine to raise demand for emergency services, long-term health and social care, rehabilitation infrastructure, and informal caregiving, putting enormous strain on both healthcare systems and communities (Elphick, 2024).</w:t>
      </w:r>
    </w:p>
    <w:p w14:paraId="06E0BCD7" w14:textId="6D2A69D4"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lastRenderedPageBreak/>
        <w:t xml:space="preserve">Inequities in access to rehabilitation and support services exacerbate these issues, especially in low-resource settings. According to international scoping reviews, many regions, particularly in parts of Africa and low- and middle-income countries, lack sufficient inpatient and community rehabilitation </w:t>
      </w:r>
      <w:proofErr w:type="spellStart"/>
      <w:r w:rsidRPr="00C808E4">
        <w:rPr>
          <w:rFonts w:ascii="Times New Roman" w:hAnsi="Times New Roman" w:cs="Times New Roman"/>
          <w:color w:val="000000" w:themeColor="text1"/>
          <w:sz w:val="22"/>
          <w:szCs w:val="22"/>
        </w:rPr>
        <w:t>programmes</w:t>
      </w:r>
      <w:proofErr w:type="spellEnd"/>
      <w:r w:rsidRPr="00C808E4">
        <w:rPr>
          <w:rFonts w:ascii="Times New Roman" w:hAnsi="Times New Roman" w:cs="Times New Roman"/>
          <w:color w:val="000000" w:themeColor="text1"/>
          <w:sz w:val="22"/>
          <w:szCs w:val="22"/>
        </w:rPr>
        <w:t>, resulting in poorer functional outcomes and prolonged disability among stroke survivors when compared to high income countries with better established services (</w:t>
      </w:r>
      <w:proofErr w:type="spellStart"/>
      <w:r w:rsidRPr="00C808E4">
        <w:rPr>
          <w:rFonts w:ascii="Times New Roman" w:hAnsi="Times New Roman" w:cs="Times New Roman"/>
          <w:color w:val="000000" w:themeColor="text1"/>
          <w:sz w:val="22"/>
          <w:szCs w:val="22"/>
        </w:rPr>
        <w:t>Hardianto</w:t>
      </w:r>
      <w:proofErr w:type="spellEnd"/>
      <w:r w:rsidRPr="00C808E4">
        <w:rPr>
          <w:rFonts w:ascii="Times New Roman" w:hAnsi="Times New Roman" w:cs="Times New Roman"/>
          <w:color w:val="000000" w:themeColor="text1"/>
          <w:sz w:val="22"/>
          <w:szCs w:val="22"/>
        </w:rPr>
        <w:t xml:space="preserve"> et al., 2026). These variations highlight the relevance of social determinants of health and structural inequality in influencing stroke outcomes worldwide, emphasizing the importance of equitable rehabilitation access and resource allocation.</w:t>
      </w:r>
    </w:p>
    <w:p w14:paraId="637A0D60"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Comprehensive stroke care necessitates a range of services, from acute hospital treatment to long-term community support. In comparison to general care wards, specialist stroke units with multidisciplinary teams of neurologists, nurses, therapists, and rehabilitation experts enhance survival and reduce disability. Admission to such institutions guarantees a coordinated assessment, early therapy commencement, and integration of discharge planning with ongoing care. The UK's National Institute for Health and Care Excellence's evidence-based guidelines emphasize systematic rehabilitation including physiotherapy, occupational therapy, speech and language therapy, and psychological support customized to individual requirements (NICE, 2023).</w:t>
      </w:r>
    </w:p>
    <w:p w14:paraId="2EE280AA"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Rehabilitation remains a critical component of stroke recovery and should be intensive, needs-based, and ongoing across care settings. For optimal recovery, NICE advises rehabilitation </w:t>
      </w:r>
      <w:proofErr w:type="spellStart"/>
      <w:r w:rsidRPr="00C808E4">
        <w:rPr>
          <w:rFonts w:ascii="Times New Roman" w:hAnsi="Times New Roman" w:cs="Times New Roman"/>
          <w:color w:val="000000" w:themeColor="text1"/>
          <w:sz w:val="22"/>
          <w:szCs w:val="22"/>
        </w:rPr>
        <w:t>programmes</w:t>
      </w:r>
      <w:proofErr w:type="spellEnd"/>
      <w:r w:rsidRPr="00C808E4">
        <w:rPr>
          <w:rFonts w:ascii="Times New Roman" w:hAnsi="Times New Roman" w:cs="Times New Roman"/>
          <w:color w:val="000000" w:themeColor="text1"/>
          <w:sz w:val="22"/>
          <w:szCs w:val="22"/>
        </w:rPr>
        <w:t xml:space="preserve"> that provide at least three hours of multidisciplinary therapy per day, five days a week, as well as early supported discharge arrangements when safe and practical (NICE, 2023). Rehabilitation seeks to restore function, increase independence, promote involvement in daily activities, and treat the cognitive and emotional consequences of a stroke. However, workforce constraints and insufficient facility resources have been cited as hurdles to successful rehabilitation delivery in NHS settings, with physiotherapy services particularly stressed, and disparities in access between regions resulting in "postcode lotteries" of care (The Guardian, 2025).</w:t>
      </w:r>
    </w:p>
    <w:p w14:paraId="659F4A3A"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Community programs play an important role in extending therapy beyond the hospital boundaries. Physiotherapy, occupational therapy, speech and language therapy, and psychological support assist survivors in maintaining their acute care gains and adapting to long-term functional changes. Domiciliary care, home adaptations, caregiver training, and peer support groups all contribute to social reintegration and resilience. Community-based stroke support organizations, such as voluntary sector groups, supplement formal health care by providing additional resources, social engagement opportunities, and mental health support (</w:t>
      </w:r>
      <w:proofErr w:type="spellStart"/>
      <w:r w:rsidRPr="00C808E4">
        <w:rPr>
          <w:rFonts w:ascii="Times New Roman" w:hAnsi="Times New Roman" w:cs="Times New Roman"/>
          <w:color w:val="000000" w:themeColor="text1"/>
          <w:sz w:val="22"/>
          <w:szCs w:val="22"/>
        </w:rPr>
        <w:t>InterAct</w:t>
      </w:r>
      <w:proofErr w:type="spellEnd"/>
      <w:r w:rsidRPr="00C808E4">
        <w:rPr>
          <w:rFonts w:ascii="Times New Roman" w:hAnsi="Times New Roman" w:cs="Times New Roman"/>
          <w:color w:val="000000" w:themeColor="text1"/>
          <w:sz w:val="22"/>
          <w:szCs w:val="22"/>
        </w:rPr>
        <w:t xml:space="preserve"> Stroke Support, 2026).</w:t>
      </w:r>
    </w:p>
    <w:p w14:paraId="35A15315" w14:textId="77777777"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lastRenderedPageBreak/>
        <w:t>Recent technological advancements, such as AI-assisted domiciliary assessment systems and telerehabilitation platforms, hold promise for improving rehabilitation access and personalizing interventions to individual needs, particularly for home-based recovery (Lim et al., 2025). These developing solutions have the potential to assist close service gaps and allow continuous functional monitoring outside of traditional clinical settings. Such developments reflect a broader trend of incorporating technological solutions into stroke care to improve efficiency and outcomes, particularly where resource constraints limit traditional service provision. Overall, successful stroke control and support services necessitate coordinated health-care responses that include monitoring, prevention efforts, acute care, rehabilitation, and social care. Health systems may improve outcomes, minimize disability, and improve quality of life for stroke survivors across the whole care continuum by using multidisciplinary teams, evidence-based guidelines, technological innovation, and community participation.</w:t>
      </w:r>
    </w:p>
    <w:p w14:paraId="51F9348A" w14:textId="484DEB52" w:rsidR="000765FD"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Conclusion</w:t>
      </w:r>
    </w:p>
    <w:p w14:paraId="3010B200" w14:textId="2E5A33D1" w:rsidR="00E25180" w:rsidRPr="00C808E4" w:rsidRDefault="000765FD" w:rsidP="004F51FB">
      <w:pPr>
        <w:spacing w:line="36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Stroke represents a critical global and UK public health challenge characterised by high incidence, significant mortality, and long</w:t>
      </w:r>
      <w:r w:rsidRPr="00C808E4">
        <w:rPr>
          <w:rFonts w:ascii="Times New Roman" w:hAnsi="Times New Roman" w:cs="Times New Roman"/>
          <w:color w:val="000000" w:themeColor="text1"/>
          <w:sz w:val="22"/>
          <w:szCs w:val="22"/>
        </w:rPr>
        <w:noBreakHyphen/>
        <w:t>lasting disability for survivors. Effective control requires integrated approaches that include robust surveillance systems, prevention of risk factors, rapid acute treatment, comprehensive rehabilitation, and sustained social support. Primary prevention remains pivotal, with focus on modifiable risk factors and population</w:t>
      </w:r>
      <w:r w:rsidRPr="00C808E4">
        <w:rPr>
          <w:rFonts w:ascii="Times New Roman" w:hAnsi="Times New Roman" w:cs="Times New Roman"/>
          <w:color w:val="000000" w:themeColor="text1"/>
          <w:sz w:val="22"/>
          <w:szCs w:val="22"/>
        </w:rPr>
        <w:noBreakHyphen/>
        <w:t>wide health promotion strategies. Advances such as AI</w:t>
      </w:r>
      <w:r w:rsidRPr="00C808E4">
        <w:rPr>
          <w:rFonts w:ascii="Times New Roman" w:hAnsi="Times New Roman" w:cs="Times New Roman"/>
          <w:color w:val="000000" w:themeColor="text1"/>
          <w:sz w:val="22"/>
          <w:szCs w:val="22"/>
        </w:rPr>
        <w:noBreakHyphen/>
        <w:t xml:space="preserve">assisted diagnostics and personalized rehabilitation show promise in improving outcomes but must be scaled equitably. Persistent gaps in timely specialist care delivery, rehabilitation workforce shortages, and disparities in service access undermine optimal care and highlight areas needing urgent policy and resource attention. </w:t>
      </w:r>
      <w:r w:rsidR="004F51FB" w:rsidRPr="00C808E4">
        <w:rPr>
          <w:rFonts w:ascii="Times New Roman" w:hAnsi="Times New Roman" w:cs="Times New Roman"/>
          <w:color w:val="000000" w:themeColor="text1"/>
          <w:sz w:val="22"/>
          <w:szCs w:val="22"/>
        </w:rPr>
        <w:t>Long-term support that bridges the gap between hospital and community settings is critical for survivors' recovery, handicap reduction, and quality of life improvement. Continued investment in stroke prevention initiatives, workforce development, and evidence-based practice will be critical to reducing the stroke burden in the UK and around the world.</w:t>
      </w:r>
    </w:p>
    <w:p w14:paraId="54080CE1" w14:textId="77777777" w:rsidR="00E25180" w:rsidRPr="00C808E4" w:rsidRDefault="00E25180">
      <w:pPr>
        <w:rPr>
          <w:rFonts w:ascii="Times New Roman" w:hAnsi="Times New Roman" w:cs="Times New Roman"/>
          <w:sz w:val="22"/>
          <w:szCs w:val="22"/>
        </w:rPr>
      </w:pPr>
    </w:p>
    <w:p w14:paraId="7EE17A64" w14:textId="77777777" w:rsidR="00E25180" w:rsidRPr="00C808E4" w:rsidRDefault="00E25180">
      <w:pPr>
        <w:rPr>
          <w:rFonts w:ascii="Times New Roman" w:hAnsi="Times New Roman" w:cs="Times New Roman"/>
          <w:sz w:val="22"/>
          <w:szCs w:val="22"/>
        </w:rPr>
      </w:pPr>
    </w:p>
    <w:p w14:paraId="71135ACC" w14:textId="77777777" w:rsidR="00E25180" w:rsidRPr="00C808E4" w:rsidRDefault="00E25180">
      <w:pPr>
        <w:rPr>
          <w:rFonts w:ascii="Times New Roman" w:hAnsi="Times New Roman" w:cs="Times New Roman"/>
          <w:sz w:val="22"/>
          <w:szCs w:val="22"/>
        </w:rPr>
      </w:pPr>
    </w:p>
    <w:p w14:paraId="0E3CA6FA" w14:textId="77777777" w:rsidR="004F51FB" w:rsidRPr="00C808E4" w:rsidRDefault="004F51FB">
      <w:pPr>
        <w:rPr>
          <w:rFonts w:ascii="Times New Roman" w:hAnsi="Times New Roman" w:cs="Times New Roman"/>
          <w:sz w:val="22"/>
          <w:szCs w:val="22"/>
        </w:rPr>
      </w:pPr>
    </w:p>
    <w:p w14:paraId="119BD64C" w14:textId="34A1490F" w:rsidR="00E25180" w:rsidRPr="00C808E4" w:rsidRDefault="00E25180">
      <w:pPr>
        <w:rPr>
          <w:rFonts w:ascii="Times New Roman" w:hAnsi="Times New Roman" w:cs="Times New Roman"/>
          <w:sz w:val="22"/>
          <w:szCs w:val="22"/>
        </w:rPr>
      </w:pPr>
      <w:r w:rsidRPr="00C808E4">
        <w:rPr>
          <w:rFonts w:ascii="Times New Roman" w:hAnsi="Times New Roman" w:cs="Times New Roman"/>
          <w:b/>
          <w:bCs/>
          <w:sz w:val="22"/>
          <w:szCs w:val="22"/>
        </w:rPr>
        <w:t>References</w:t>
      </w:r>
    </w:p>
    <w:p w14:paraId="3468490E"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Bushnell, C. et al. (2024) </w:t>
      </w:r>
      <w:r w:rsidRPr="00C808E4">
        <w:rPr>
          <w:rFonts w:ascii="Times New Roman" w:hAnsi="Times New Roman" w:cs="Times New Roman"/>
          <w:i/>
          <w:iCs/>
          <w:color w:val="000000" w:themeColor="text1"/>
          <w:sz w:val="22"/>
          <w:szCs w:val="22"/>
        </w:rPr>
        <w:t>2024 Guideline for the Primary Prevention of Stroke</w:t>
      </w:r>
      <w:r w:rsidRPr="00C808E4">
        <w:rPr>
          <w:rFonts w:ascii="Times New Roman" w:hAnsi="Times New Roman" w:cs="Times New Roman"/>
          <w:color w:val="000000" w:themeColor="text1"/>
          <w:sz w:val="22"/>
          <w:szCs w:val="22"/>
        </w:rPr>
        <w:t>. American Heart Association.</w:t>
      </w:r>
    </w:p>
    <w:p w14:paraId="1FC77B13"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Caso, V. and Agredano, J. (2025) ‘Global expert consensus on the importance of secondary stroke prevention’, </w:t>
      </w:r>
      <w:r w:rsidRPr="00C808E4">
        <w:rPr>
          <w:rFonts w:ascii="Times New Roman" w:hAnsi="Times New Roman" w:cs="Times New Roman"/>
          <w:i/>
          <w:iCs/>
          <w:color w:val="000000" w:themeColor="text1"/>
          <w:sz w:val="22"/>
          <w:szCs w:val="22"/>
        </w:rPr>
        <w:t>European Stroke Journal</w:t>
      </w:r>
      <w:r w:rsidRPr="00C808E4">
        <w:rPr>
          <w:rFonts w:ascii="Times New Roman" w:hAnsi="Times New Roman" w:cs="Times New Roman"/>
          <w:color w:val="000000" w:themeColor="text1"/>
          <w:sz w:val="22"/>
          <w:szCs w:val="22"/>
        </w:rPr>
        <w:t>.</w:t>
      </w:r>
    </w:p>
    <w:p w14:paraId="42C94B57"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lastRenderedPageBreak/>
        <w:t xml:space="preserve">Chen, C.H. (2025) ‘An overview of post-stroke disability’, </w:t>
      </w:r>
      <w:r w:rsidRPr="00C808E4">
        <w:rPr>
          <w:rFonts w:ascii="Times New Roman" w:hAnsi="Times New Roman" w:cs="Times New Roman"/>
          <w:i/>
          <w:iCs/>
          <w:color w:val="000000" w:themeColor="text1"/>
          <w:sz w:val="22"/>
          <w:szCs w:val="22"/>
        </w:rPr>
        <w:t>Journal of Stroke and Cerebrovascular Diseases</w:t>
      </w:r>
      <w:r w:rsidRPr="00C808E4">
        <w:rPr>
          <w:rFonts w:ascii="Times New Roman" w:hAnsi="Times New Roman" w:cs="Times New Roman"/>
          <w:color w:val="000000" w:themeColor="text1"/>
          <w:sz w:val="22"/>
          <w:szCs w:val="22"/>
        </w:rPr>
        <w:t>.</w:t>
      </w:r>
    </w:p>
    <w:p w14:paraId="3F5C0E5D"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Elphick, S. (2024) ‘Shifting the attention to long-term community stroke care’, </w:t>
      </w:r>
      <w:r w:rsidRPr="00C808E4">
        <w:rPr>
          <w:rFonts w:ascii="Times New Roman" w:hAnsi="Times New Roman" w:cs="Times New Roman"/>
          <w:i/>
          <w:iCs/>
          <w:color w:val="000000" w:themeColor="text1"/>
          <w:sz w:val="22"/>
          <w:szCs w:val="22"/>
        </w:rPr>
        <w:t>British Journal of General Practice</w:t>
      </w:r>
      <w:r w:rsidRPr="00C808E4">
        <w:rPr>
          <w:rFonts w:ascii="Times New Roman" w:hAnsi="Times New Roman" w:cs="Times New Roman"/>
          <w:color w:val="000000" w:themeColor="text1"/>
          <w:sz w:val="22"/>
          <w:szCs w:val="22"/>
        </w:rPr>
        <w:t>.</w:t>
      </w:r>
    </w:p>
    <w:p w14:paraId="499FE3BF"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proofErr w:type="spellStart"/>
      <w:r w:rsidRPr="00C808E4">
        <w:rPr>
          <w:rFonts w:ascii="Times New Roman" w:hAnsi="Times New Roman" w:cs="Times New Roman"/>
          <w:color w:val="000000" w:themeColor="text1"/>
          <w:sz w:val="22"/>
          <w:szCs w:val="22"/>
          <w:lang w:val="nl-NL"/>
        </w:rPr>
        <w:t>Feigin</w:t>
      </w:r>
      <w:proofErr w:type="spellEnd"/>
      <w:r w:rsidRPr="00C808E4">
        <w:rPr>
          <w:rFonts w:ascii="Times New Roman" w:hAnsi="Times New Roman" w:cs="Times New Roman"/>
          <w:color w:val="000000" w:themeColor="text1"/>
          <w:sz w:val="22"/>
          <w:szCs w:val="22"/>
          <w:lang w:val="nl-NL"/>
        </w:rPr>
        <w:t xml:space="preserve">, V.L. et al. </w:t>
      </w:r>
      <w:r w:rsidRPr="00C808E4">
        <w:rPr>
          <w:rFonts w:ascii="Times New Roman" w:hAnsi="Times New Roman" w:cs="Times New Roman"/>
          <w:color w:val="000000" w:themeColor="text1"/>
          <w:sz w:val="22"/>
          <w:szCs w:val="22"/>
        </w:rPr>
        <w:t xml:space="preserve">(2025) </w:t>
      </w:r>
      <w:r w:rsidRPr="00C808E4">
        <w:rPr>
          <w:rFonts w:ascii="Times New Roman" w:hAnsi="Times New Roman" w:cs="Times New Roman"/>
          <w:i/>
          <w:iCs/>
          <w:color w:val="000000" w:themeColor="text1"/>
          <w:sz w:val="22"/>
          <w:szCs w:val="22"/>
        </w:rPr>
        <w:t>World Stroke Organization: Global Stroke Fact Sheet 2025</w:t>
      </w:r>
      <w:r w:rsidRPr="00C808E4">
        <w:rPr>
          <w:rFonts w:ascii="Times New Roman" w:hAnsi="Times New Roman" w:cs="Times New Roman"/>
          <w:color w:val="000000" w:themeColor="text1"/>
          <w:sz w:val="22"/>
          <w:szCs w:val="22"/>
        </w:rPr>
        <w:t>.</w:t>
      </w:r>
    </w:p>
    <w:p w14:paraId="15F0E7B0"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Global Burden of Disease Collaborators (2024) </w:t>
      </w:r>
      <w:r w:rsidRPr="00C808E4">
        <w:rPr>
          <w:rFonts w:ascii="Times New Roman" w:hAnsi="Times New Roman" w:cs="Times New Roman"/>
          <w:i/>
          <w:iCs/>
          <w:color w:val="000000" w:themeColor="text1"/>
          <w:sz w:val="22"/>
          <w:szCs w:val="22"/>
        </w:rPr>
        <w:t>Global, regional, and national burden of stroke and its risk factors, 1990–2021</w:t>
      </w:r>
      <w:r w:rsidRPr="00C808E4">
        <w:rPr>
          <w:rFonts w:ascii="Times New Roman" w:hAnsi="Times New Roman" w:cs="Times New Roman"/>
          <w:color w:val="000000" w:themeColor="text1"/>
          <w:sz w:val="22"/>
          <w:szCs w:val="22"/>
        </w:rPr>
        <w:t xml:space="preserve">, </w:t>
      </w:r>
      <w:r w:rsidRPr="00C808E4">
        <w:rPr>
          <w:rFonts w:ascii="Times New Roman" w:hAnsi="Times New Roman" w:cs="Times New Roman"/>
          <w:i/>
          <w:iCs/>
          <w:color w:val="000000" w:themeColor="text1"/>
          <w:sz w:val="22"/>
          <w:szCs w:val="22"/>
        </w:rPr>
        <w:t>Lancet Neurology</w:t>
      </w:r>
      <w:r w:rsidRPr="00C808E4">
        <w:rPr>
          <w:rFonts w:ascii="Times New Roman" w:hAnsi="Times New Roman" w:cs="Times New Roman"/>
          <w:color w:val="000000" w:themeColor="text1"/>
          <w:sz w:val="22"/>
          <w:szCs w:val="22"/>
        </w:rPr>
        <w:t>.</w:t>
      </w:r>
    </w:p>
    <w:p w14:paraId="55F5017C"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proofErr w:type="spellStart"/>
      <w:r w:rsidRPr="00C808E4">
        <w:rPr>
          <w:rFonts w:ascii="Times New Roman" w:hAnsi="Times New Roman" w:cs="Times New Roman"/>
          <w:color w:val="000000" w:themeColor="text1"/>
          <w:sz w:val="22"/>
          <w:szCs w:val="22"/>
        </w:rPr>
        <w:t>Hardianto</w:t>
      </w:r>
      <w:proofErr w:type="spellEnd"/>
      <w:r w:rsidRPr="00C808E4">
        <w:rPr>
          <w:rFonts w:ascii="Times New Roman" w:hAnsi="Times New Roman" w:cs="Times New Roman"/>
          <w:color w:val="000000" w:themeColor="text1"/>
          <w:sz w:val="22"/>
          <w:szCs w:val="22"/>
        </w:rPr>
        <w:t xml:space="preserve">, A. et al. (2026) ‘Post-stroke rehabilitation disparities in low- and middle-income countries’, </w:t>
      </w:r>
      <w:r w:rsidRPr="00C808E4">
        <w:rPr>
          <w:rFonts w:ascii="Times New Roman" w:hAnsi="Times New Roman" w:cs="Times New Roman"/>
          <w:i/>
          <w:iCs/>
          <w:color w:val="000000" w:themeColor="text1"/>
          <w:sz w:val="22"/>
          <w:szCs w:val="22"/>
        </w:rPr>
        <w:t>International Journal of Stroke</w:t>
      </w:r>
      <w:r w:rsidRPr="00C808E4">
        <w:rPr>
          <w:rFonts w:ascii="Times New Roman" w:hAnsi="Times New Roman" w:cs="Times New Roman"/>
          <w:color w:val="000000" w:themeColor="text1"/>
          <w:sz w:val="22"/>
          <w:szCs w:val="22"/>
        </w:rPr>
        <w:t>.</w:t>
      </w:r>
    </w:p>
    <w:p w14:paraId="3346D4E1"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Healthcare Quality Improvement Partnership (2025) </w:t>
      </w:r>
      <w:r w:rsidRPr="00C808E4">
        <w:rPr>
          <w:rFonts w:ascii="Times New Roman" w:hAnsi="Times New Roman" w:cs="Times New Roman"/>
          <w:i/>
          <w:iCs/>
          <w:color w:val="000000" w:themeColor="text1"/>
          <w:sz w:val="22"/>
          <w:szCs w:val="22"/>
        </w:rPr>
        <w:t xml:space="preserve">Sentinel Stroke National Audit </w:t>
      </w:r>
      <w:proofErr w:type="spellStart"/>
      <w:r w:rsidRPr="00C808E4">
        <w:rPr>
          <w:rFonts w:ascii="Times New Roman" w:hAnsi="Times New Roman" w:cs="Times New Roman"/>
          <w:i/>
          <w:iCs/>
          <w:color w:val="000000" w:themeColor="text1"/>
          <w:sz w:val="22"/>
          <w:szCs w:val="22"/>
        </w:rPr>
        <w:t>Programme</w:t>
      </w:r>
      <w:proofErr w:type="spellEnd"/>
      <w:r w:rsidRPr="00C808E4">
        <w:rPr>
          <w:rFonts w:ascii="Times New Roman" w:hAnsi="Times New Roman" w:cs="Times New Roman"/>
          <w:i/>
          <w:iCs/>
          <w:color w:val="000000" w:themeColor="text1"/>
          <w:sz w:val="22"/>
          <w:szCs w:val="22"/>
        </w:rPr>
        <w:t xml:space="preserve"> 2025</w:t>
      </w:r>
      <w:r w:rsidRPr="00C808E4">
        <w:rPr>
          <w:rFonts w:ascii="Times New Roman" w:hAnsi="Times New Roman" w:cs="Times New Roman"/>
          <w:color w:val="000000" w:themeColor="text1"/>
          <w:sz w:val="22"/>
          <w:szCs w:val="22"/>
        </w:rPr>
        <w:t>.</w:t>
      </w:r>
    </w:p>
    <w:p w14:paraId="3F61859E"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Heart Research Institute (2025) </w:t>
      </w:r>
      <w:r w:rsidRPr="00C808E4">
        <w:rPr>
          <w:rFonts w:ascii="Times New Roman" w:hAnsi="Times New Roman" w:cs="Times New Roman"/>
          <w:i/>
          <w:iCs/>
          <w:color w:val="000000" w:themeColor="text1"/>
          <w:sz w:val="22"/>
          <w:szCs w:val="22"/>
        </w:rPr>
        <w:t>Stroke: symptoms, causes, prevention</w:t>
      </w:r>
      <w:r w:rsidRPr="00C808E4">
        <w:rPr>
          <w:rFonts w:ascii="Times New Roman" w:hAnsi="Times New Roman" w:cs="Times New Roman"/>
          <w:color w:val="000000" w:themeColor="text1"/>
          <w:sz w:val="22"/>
          <w:szCs w:val="22"/>
        </w:rPr>
        <w:t xml:space="preserve">. Available at: </w:t>
      </w:r>
      <w:hyperlink r:id="rId6" w:tgtFrame="_new" w:history="1">
        <w:r w:rsidRPr="00C808E4">
          <w:rPr>
            <w:rStyle w:val="Hyperlink"/>
            <w:rFonts w:ascii="Times New Roman" w:hAnsi="Times New Roman" w:cs="Times New Roman"/>
            <w:color w:val="000000" w:themeColor="text1"/>
            <w:sz w:val="22"/>
            <w:szCs w:val="22"/>
            <w:u w:val="none"/>
          </w:rPr>
          <w:t>https://www.hriuk.org/health/learn/cardiovascular-disease/stroke</w:t>
        </w:r>
      </w:hyperlink>
      <w:r w:rsidRPr="00C808E4">
        <w:rPr>
          <w:rFonts w:ascii="Times New Roman" w:hAnsi="Times New Roman" w:cs="Times New Roman"/>
          <w:color w:val="000000" w:themeColor="text1"/>
          <w:sz w:val="22"/>
          <w:szCs w:val="22"/>
        </w:rPr>
        <w:t xml:space="preserve"> (Accessed: 24 March 2026).</w:t>
      </w:r>
    </w:p>
    <w:p w14:paraId="1B4FDBFD"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proofErr w:type="spellStart"/>
      <w:r w:rsidRPr="00C808E4">
        <w:rPr>
          <w:rFonts w:ascii="Times New Roman" w:hAnsi="Times New Roman" w:cs="Times New Roman"/>
          <w:color w:val="000000" w:themeColor="text1"/>
          <w:sz w:val="22"/>
          <w:szCs w:val="22"/>
        </w:rPr>
        <w:t>InterAct</w:t>
      </w:r>
      <w:proofErr w:type="spellEnd"/>
      <w:r w:rsidRPr="00C808E4">
        <w:rPr>
          <w:rFonts w:ascii="Times New Roman" w:hAnsi="Times New Roman" w:cs="Times New Roman"/>
          <w:color w:val="000000" w:themeColor="text1"/>
          <w:sz w:val="22"/>
          <w:szCs w:val="22"/>
        </w:rPr>
        <w:t xml:space="preserve"> Stroke Support (2026) </w:t>
      </w:r>
      <w:proofErr w:type="spellStart"/>
      <w:r w:rsidRPr="00C808E4">
        <w:rPr>
          <w:rFonts w:ascii="Times New Roman" w:hAnsi="Times New Roman" w:cs="Times New Roman"/>
          <w:i/>
          <w:iCs/>
          <w:color w:val="000000" w:themeColor="text1"/>
          <w:sz w:val="22"/>
          <w:szCs w:val="22"/>
        </w:rPr>
        <w:t>InterAct</w:t>
      </w:r>
      <w:proofErr w:type="spellEnd"/>
      <w:r w:rsidRPr="00C808E4">
        <w:rPr>
          <w:rFonts w:ascii="Times New Roman" w:hAnsi="Times New Roman" w:cs="Times New Roman"/>
          <w:i/>
          <w:iCs/>
          <w:color w:val="000000" w:themeColor="text1"/>
          <w:sz w:val="22"/>
          <w:szCs w:val="22"/>
        </w:rPr>
        <w:t xml:space="preserve"> Stroke Support services overview</w:t>
      </w:r>
      <w:r w:rsidRPr="00C808E4">
        <w:rPr>
          <w:rFonts w:ascii="Times New Roman" w:hAnsi="Times New Roman" w:cs="Times New Roman"/>
          <w:color w:val="000000" w:themeColor="text1"/>
          <w:sz w:val="22"/>
          <w:szCs w:val="22"/>
        </w:rPr>
        <w:t>.</w:t>
      </w:r>
    </w:p>
    <w:p w14:paraId="61B7275D"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Lim, S. et al. (2025) </w:t>
      </w:r>
      <w:r w:rsidRPr="00C808E4">
        <w:rPr>
          <w:rFonts w:ascii="Times New Roman" w:hAnsi="Times New Roman" w:cs="Times New Roman"/>
          <w:i/>
          <w:iCs/>
          <w:color w:val="000000" w:themeColor="text1"/>
          <w:sz w:val="22"/>
          <w:szCs w:val="22"/>
        </w:rPr>
        <w:t>AI-Based Stroke Rehabilitation Domiciliary Assessment System</w:t>
      </w:r>
      <w:r w:rsidRPr="00C808E4">
        <w:rPr>
          <w:rFonts w:ascii="Times New Roman" w:hAnsi="Times New Roman" w:cs="Times New Roman"/>
          <w:color w:val="000000" w:themeColor="text1"/>
          <w:sz w:val="22"/>
          <w:szCs w:val="22"/>
        </w:rPr>
        <w:t xml:space="preserve">, </w:t>
      </w:r>
      <w:proofErr w:type="spellStart"/>
      <w:r w:rsidRPr="00C808E4">
        <w:rPr>
          <w:rFonts w:ascii="Times New Roman" w:hAnsi="Times New Roman" w:cs="Times New Roman"/>
          <w:color w:val="000000" w:themeColor="text1"/>
          <w:sz w:val="22"/>
          <w:szCs w:val="22"/>
        </w:rPr>
        <w:t>arXiv</w:t>
      </w:r>
      <w:proofErr w:type="spellEnd"/>
      <w:r w:rsidRPr="00C808E4">
        <w:rPr>
          <w:rFonts w:ascii="Times New Roman" w:hAnsi="Times New Roman" w:cs="Times New Roman"/>
          <w:color w:val="000000" w:themeColor="text1"/>
          <w:sz w:val="22"/>
          <w:szCs w:val="22"/>
        </w:rPr>
        <w:t>.</w:t>
      </w:r>
    </w:p>
    <w:p w14:paraId="4A6E0C4D"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Medscape (2024) </w:t>
      </w:r>
      <w:r w:rsidRPr="00C808E4">
        <w:rPr>
          <w:rFonts w:ascii="Times New Roman" w:hAnsi="Times New Roman" w:cs="Times New Roman"/>
          <w:i/>
          <w:iCs/>
          <w:color w:val="000000" w:themeColor="text1"/>
          <w:sz w:val="22"/>
          <w:szCs w:val="22"/>
        </w:rPr>
        <w:t>Acute Management of Stroke</w:t>
      </w:r>
      <w:r w:rsidRPr="00C808E4">
        <w:rPr>
          <w:rFonts w:ascii="Times New Roman" w:hAnsi="Times New Roman" w:cs="Times New Roman"/>
          <w:color w:val="000000" w:themeColor="text1"/>
          <w:sz w:val="22"/>
          <w:szCs w:val="22"/>
        </w:rPr>
        <w:t>.</w:t>
      </w:r>
    </w:p>
    <w:p w14:paraId="7ADAC6ED"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NHS (2026) </w:t>
      </w:r>
      <w:r w:rsidRPr="00C808E4">
        <w:rPr>
          <w:rFonts w:ascii="Times New Roman" w:hAnsi="Times New Roman" w:cs="Times New Roman"/>
          <w:i/>
          <w:iCs/>
          <w:color w:val="000000" w:themeColor="text1"/>
          <w:sz w:val="22"/>
          <w:szCs w:val="22"/>
        </w:rPr>
        <w:t xml:space="preserve">Transient </w:t>
      </w:r>
      <w:proofErr w:type="spellStart"/>
      <w:r w:rsidRPr="00C808E4">
        <w:rPr>
          <w:rFonts w:ascii="Times New Roman" w:hAnsi="Times New Roman" w:cs="Times New Roman"/>
          <w:i/>
          <w:iCs/>
          <w:color w:val="000000" w:themeColor="text1"/>
          <w:sz w:val="22"/>
          <w:szCs w:val="22"/>
        </w:rPr>
        <w:t>ischaemic</w:t>
      </w:r>
      <w:proofErr w:type="spellEnd"/>
      <w:r w:rsidRPr="00C808E4">
        <w:rPr>
          <w:rFonts w:ascii="Times New Roman" w:hAnsi="Times New Roman" w:cs="Times New Roman"/>
          <w:i/>
          <w:iCs/>
          <w:color w:val="000000" w:themeColor="text1"/>
          <w:sz w:val="22"/>
          <w:szCs w:val="22"/>
        </w:rPr>
        <w:t xml:space="preserve"> attack (TIA)</w:t>
      </w:r>
      <w:r w:rsidRPr="00C808E4">
        <w:rPr>
          <w:rFonts w:ascii="Times New Roman" w:hAnsi="Times New Roman" w:cs="Times New Roman"/>
          <w:color w:val="000000" w:themeColor="text1"/>
          <w:sz w:val="22"/>
          <w:szCs w:val="22"/>
        </w:rPr>
        <w:t xml:space="preserve">. Available at: </w:t>
      </w:r>
      <w:hyperlink r:id="rId7" w:tgtFrame="_new" w:history="1">
        <w:r w:rsidRPr="00C808E4">
          <w:rPr>
            <w:rStyle w:val="Hyperlink"/>
            <w:rFonts w:ascii="Times New Roman" w:hAnsi="Times New Roman" w:cs="Times New Roman"/>
            <w:color w:val="000000" w:themeColor="text1"/>
            <w:sz w:val="22"/>
            <w:szCs w:val="22"/>
            <w:u w:val="none"/>
          </w:rPr>
          <w:t>https://www.nhs.uk/conditions/transient-ischaemic-attack-tia/</w:t>
        </w:r>
      </w:hyperlink>
      <w:r w:rsidRPr="00C808E4">
        <w:rPr>
          <w:rFonts w:ascii="Times New Roman" w:hAnsi="Times New Roman" w:cs="Times New Roman"/>
          <w:color w:val="000000" w:themeColor="text1"/>
          <w:sz w:val="22"/>
          <w:szCs w:val="22"/>
        </w:rPr>
        <w:t xml:space="preserve"> (Accessed: 24 March 2026).</w:t>
      </w:r>
    </w:p>
    <w:p w14:paraId="360E73F3"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NHS England (2024) </w:t>
      </w:r>
      <w:r w:rsidRPr="00C808E4">
        <w:rPr>
          <w:rFonts w:ascii="Times New Roman" w:hAnsi="Times New Roman" w:cs="Times New Roman"/>
          <w:i/>
          <w:iCs/>
          <w:color w:val="000000" w:themeColor="text1"/>
          <w:sz w:val="22"/>
          <w:szCs w:val="22"/>
        </w:rPr>
        <w:t>NHS prevents thousands of strokes thanks to lifesaving drive</w:t>
      </w:r>
      <w:r w:rsidRPr="00C808E4">
        <w:rPr>
          <w:rFonts w:ascii="Times New Roman" w:hAnsi="Times New Roman" w:cs="Times New Roman"/>
          <w:color w:val="000000" w:themeColor="text1"/>
          <w:sz w:val="22"/>
          <w:szCs w:val="22"/>
        </w:rPr>
        <w:t>.</w:t>
      </w:r>
    </w:p>
    <w:p w14:paraId="638302DF"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NHS England (2026) </w:t>
      </w:r>
      <w:r w:rsidRPr="00C808E4">
        <w:rPr>
          <w:rFonts w:ascii="Times New Roman" w:hAnsi="Times New Roman" w:cs="Times New Roman"/>
          <w:i/>
          <w:iCs/>
          <w:color w:val="000000" w:themeColor="text1"/>
          <w:sz w:val="22"/>
          <w:szCs w:val="22"/>
        </w:rPr>
        <w:t>Stroke service model and thrombectomy expansion</w:t>
      </w:r>
      <w:r w:rsidRPr="00C808E4">
        <w:rPr>
          <w:rFonts w:ascii="Times New Roman" w:hAnsi="Times New Roman" w:cs="Times New Roman"/>
          <w:color w:val="000000" w:themeColor="text1"/>
          <w:sz w:val="22"/>
          <w:szCs w:val="22"/>
        </w:rPr>
        <w:t>.</w:t>
      </w:r>
    </w:p>
    <w:p w14:paraId="34121DCC"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National Stroke Audit (2024) </w:t>
      </w:r>
      <w:r w:rsidRPr="00C808E4">
        <w:rPr>
          <w:rFonts w:ascii="Times New Roman" w:hAnsi="Times New Roman" w:cs="Times New Roman"/>
          <w:i/>
          <w:iCs/>
          <w:color w:val="000000" w:themeColor="text1"/>
          <w:sz w:val="22"/>
          <w:szCs w:val="22"/>
        </w:rPr>
        <w:t>UK Clinical Stroke Registry Report 2024</w:t>
      </w:r>
      <w:r w:rsidRPr="00C808E4">
        <w:rPr>
          <w:rFonts w:ascii="Times New Roman" w:hAnsi="Times New Roman" w:cs="Times New Roman"/>
          <w:color w:val="000000" w:themeColor="text1"/>
          <w:sz w:val="22"/>
          <w:szCs w:val="22"/>
        </w:rPr>
        <w:t>.</w:t>
      </w:r>
    </w:p>
    <w:p w14:paraId="360DED75"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NICE (2023) </w:t>
      </w:r>
      <w:r w:rsidRPr="00C808E4">
        <w:rPr>
          <w:rFonts w:ascii="Times New Roman" w:hAnsi="Times New Roman" w:cs="Times New Roman"/>
          <w:i/>
          <w:iCs/>
          <w:color w:val="000000" w:themeColor="text1"/>
          <w:sz w:val="22"/>
          <w:szCs w:val="22"/>
        </w:rPr>
        <w:t>Stroke rehabilitation in adults</w:t>
      </w:r>
      <w:r w:rsidRPr="00C808E4">
        <w:rPr>
          <w:rFonts w:ascii="Times New Roman" w:hAnsi="Times New Roman" w:cs="Times New Roman"/>
          <w:color w:val="000000" w:themeColor="text1"/>
          <w:sz w:val="22"/>
          <w:szCs w:val="22"/>
        </w:rPr>
        <w:t>.</w:t>
      </w:r>
    </w:p>
    <w:p w14:paraId="4F5B6CE2"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proofErr w:type="spellStart"/>
      <w:r w:rsidRPr="00C808E4">
        <w:rPr>
          <w:rFonts w:ascii="Times New Roman" w:hAnsi="Times New Roman" w:cs="Times New Roman"/>
          <w:color w:val="000000" w:themeColor="text1"/>
          <w:sz w:val="22"/>
          <w:szCs w:val="22"/>
          <w:lang w:val="nl-NL"/>
        </w:rPr>
        <w:t>Seiffge</w:t>
      </w:r>
      <w:proofErr w:type="spellEnd"/>
      <w:r w:rsidRPr="00C808E4">
        <w:rPr>
          <w:rFonts w:ascii="Times New Roman" w:hAnsi="Times New Roman" w:cs="Times New Roman"/>
          <w:color w:val="000000" w:themeColor="text1"/>
          <w:sz w:val="22"/>
          <w:szCs w:val="22"/>
          <w:lang w:val="nl-NL"/>
        </w:rPr>
        <w:t xml:space="preserve">, D.J. et al. </w:t>
      </w:r>
      <w:r w:rsidRPr="00C808E4">
        <w:rPr>
          <w:rFonts w:ascii="Times New Roman" w:hAnsi="Times New Roman" w:cs="Times New Roman"/>
          <w:color w:val="000000" w:themeColor="text1"/>
          <w:sz w:val="22"/>
          <w:szCs w:val="22"/>
        </w:rPr>
        <w:t xml:space="preserve">(2024) ‘Secondary stroke prevention in atrial fibrillation’, </w:t>
      </w:r>
      <w:r w:rsidRPr="00C808E4">
        <w:rPr>
          <w:rFonts w:ascii="Times New Roman" w:hAnsi="Times New Roman" w:cs="Times New Roman"/>
          <w:i/>
          <w:iCs/>
          <w:color w:val="000000" w:themeColor="text1"/>
          <w:sz w:val="22"/>
          <w:szCs w:val="22"/>
        </w:rPr>
        <w:t>Lancet Neurology</w:t>
      </w:r>
      <w:r w:rsidRPr="00C808E4">
        <w:rPr>
          <w:rFonts w:ascii="Times New Roman" w:hAnsi="Times New Roman" w:cs="Times New Roman"/>
          <w:color w:val="000000" w:themeColor="text1"/>
          <w:sz w:val="22"/>
          <w:szCs w:val="22"/>
        </w:rPr>
        <w:t>.</w:t>
      </w:r>
    </w:p>
    <w:p w14:paraId="016CE99B"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Statista (2024) </w:t>
      </w:r>
      <w:r w:rsidRPr="00C808E4">
        <w:rPr>
          <w:rFonts w:ascii="Times New Roman" w:hAnsi="Times New Roman" w:cs="Times New Roman"/>
          <w:i/>
          <w:iCs/>
          <w:color w:val="000000" w:themeColor="text1"/>
          <w:sz w:val="22"/>
          <w:szCs w:val="22"/>
        </w:rPr>
        <w:t>Cerebrovascular disease in the UK – statistics &amp; facts</w:t>
      </w:r>
      <w:r w:rsidRPr="00C808E4">
        <w:rPr>
          <w:rFonts w:ascii="Times New Roman" w:hAnsi="Times New Roman" w:cs="Times New Roman"/>
          <w:color w:val="000000" w:themeColor="text1"/>
          <w:sz w:val="22"/>
          <w:szCs w:val="22"/>
        </w:rPr>
        <w:t xml:space="preserve">. Available at: </w:t>
      </w:r>
      <w:hyperlink r:id="rId8" w:tgtFrame="_new" w:history="1">
        <w:r w:rsidRPr="00C808E4">
          <w:rPr>
            <w:rStyle w:val="Hyperlink"/>
            <w:rFonts w:ascii="Times New Roman" w:hAnsi="Times New Roman" w:cs="Times New Roman"/>
            <w:color w:val="000000" w:themeColor="text1"/>
            <w:sz w:val="22"/>
            <w:szCs w:val="22"/>
            <w:u w:val="none"/>
          </w:rPr>
          <w:t>https://www.statista.com/topics/6876/cerebrovascular-disease-in-the-uk/</w:t>
        </w:r>
      </w:hyperlink>
      <w:r w:rsidRPr="00C808E4">
        <w:rPr>
          <w:rFonts w:ascii="Times New Roman" w:hAnsi="Times New Roman" w:cs="Times New Roman"/>
          <w:color w:val="000000" w:themeColor="text1"/>
          <w:sz w:val="22"/>
          <w:szCs w:val="22"/>
        </w:rPr>
        <w:t xml:space="preserve"> (Accessed: 24 March 2026).</w:t>
      </w:r>
    </w:p>
    <w:p w14:paraId="4A4A8812"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Stroke Audit (2026) </w:t>
      </w:r>
      <w:r w:rsidRPr="00C808E4">
        <w:rPr>
          <w:rFonts w:ascii="Times New Roman" w:hAnsi="Times New Roman" w:cs="Times New Roman"/>
          <w:i/>
          <w:iCs/>
          <w:color w:val="000000" w:themeColor="text1"/>
          <w:sz w:val="22"/>
          <w:szCs w:val="22"/>
        </w:rPr>
        <w:t xml:space="preserve">Sentinel Stroke National Audit </w:t>
      </w:r>
      <w:proofErr w:type="spellStart"/>
      <w:r w:rsidRPr="00C808E4">
        <w:rPr>
          <w:rFonts w:ascii="Times New Roman" w:hAnsi="Times New Roman" w:cs="Times New Roman"/>
          <w:i/>
          <w:iCs/>
          <w:color w:val="000000" w:themeColor="text1"/>
          <w:sz w:val="22"/>
          <w:szCs w:val="22"/>
        </w:rPr>
        <w:t>Programme</w:t>
      </w:r>
      <w:proofErr w:type="spellEnd"/>
      <w:r w:rsidRPr="00C808E4">
        <w:rPr>
          <w:rFonts w:ascii="Times New Roman" w:hAnsi="Times New Roman" w:cs="Times New Roman"/>
          <w:i/>
          <w:iCs/>
          <w:color w:val="000000" w:themeColor="text1"/>
          <w:sz w:val="22"/>
          <w:szCs w:val="22"/>
        </w:rPr>
        <w:t xml:space="preserve"> Annual Report 2026</w:t>
      </w:r>
      <w:r w:rsidRPr="00C808E4">
        <w:rPr>
          <w:rFonts w:ascii="Times New Roman" w:hAnsi="Times New Roman" w:cs="Times New Roman"/>
          <w:color w:val="000000" w:themeColor="text1"/>
          <w:sz w:val="22"/>
          <w:szCs w:val="22"/>
        </w:rPr>
        <w:t>.</w:t>
      </w:r>
    </w:p>
    <w:p w14:paraId="2852ED30"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The Guardian (2025) ‘Physiotherapy care in decline…’, 12 March.</w:t>
      </w:r>
    </w:p>
    <w:p w14:paraId="106216CB"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World Health Organization (WHO) (2025) </w:t>
      </w:r>
      <w:r w:rsidRPr="00C808E4">
        <w:rPr>
          <w:rFonts w:ascii="Times New Roman" w:hAnsi="Times New Roman" w:cs="Times New Roman"/>
          <w:i/>
          <w:iCs/>
          <w:color w:val="000000" w:themeColor="text1"/>
          <w:sz w:val="22"/>
          <w:szCs w:val="22"/>
        </w:rPr>
        <w:t>Stroke fact sheet</w:t>
      </w:r>
      <w:r w:rsidRPr="00C808E4">
        <w:rPr>
          <w:rFonts w:ascii="Times New Roman" w:hAnsi="Times New Roman" w:cs="Times New Roman"/>
          <w:color w:val="000000" w:themeColor="text1"/>
          <w:sz w:val="22"/>
          <w:szCs w:val="22"/>
        </w:rPr>
        <w:t xml:space="preserve">. Available at: </w:t>
      </w:r>
      <w:hyperlink r:id="rId9" w:tgtFrame="_new" w:history="1">
        <w:r w:rsidRPr="00C808E4">
          <w:rPr>
            <w:rStyle w:val="Hyperlink"/>
            <w:rFonts w:ascii="Times New Roman" w:hAnsi="Times New Roman" w:cs="Times New Roman"/>
            <w:color w:val="000000" w:themeColor="text1"/>
            <w:sz w:val="22"/>
            <w:szCs w:val="22"/>
            <w:u w:val="none"/>
          </w:rPr>
          <w:t>https://www.who.int/news-room/fact-sheets/detail/stroke</w:t>
        </w:r>
      </w:hyperlink>
      <w:r w:rsidRPr="00C808E4">
        <w:rPr>
          <w:rFonts w:ascii="Times New Roman" w:hAnsi="Times New Roman" w:cs="Times New Roman"/>
          <w:color w:val="000000" w:themeColor="text1"/>
          <w:sz w:val="22"/>
          <w:szCs w:val="22"/>
        </w:rPr>
        <w:t xml:space="preserve"> (Accessed: 24 March 2026).</w:t>
      </w:r>
    </w:p>
    <w:p w14:paraId="1E1120BF" w14:textId="77777777" w:rsidR="00E25180" w:rsidRPr="00C808E4" w:rsidRDefault="00E25180"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color w:val="000000" w:themeColor="text1"/>
          <w:sz w:val="22"/>
          <w:szCs w:val="22"/>
        </w:rPr>
        <w:t xml:space="preserve">World Stroke Organization (WSO) (2025) </w:t>
      </w:r>
      <w:r w:rsidRPr="00C808E4">
        <w:rPr>
          <w:rFonts w:ascii="Times New Roman" w:hAnsi="Times New Roman" w:cs="Times New Roman"/>
          <w:i/>
          <w:iCs/>
          <w:color w:val="000000" w:themeColor="text1"/>
          <w:sz w:val="22"/>
          <w:szCs w:val="22"/>
        </w:rPr>
        <w:t>Global Stroke Fact Sheet 2025</w:t>
      </w:r>
      <w:r w:rsidRPr="00C808E4">
        <w:rPr>
          <w:rFonts w:ascii="Times New Roman" w:hAnsi="Times New Roman" w:cs="Times New Roman"/>
          <w:color w:val="000000" w:themeColor="text1"/>
          <w:sz w:val="22"/>
          <w:szCs w:val="22"/>
        </w:rPr>
        <w:t>.</w:t>
      </w:r>
    </w:p>
    <w:p w14:paraId="0A0757E9" w14:textId="77777777" w:rsidR="004F51FB" w:rsidRPr="00C808E4" w:rsidRDefault="004F51FB" w:rsidP="00E25180">
      <w:pPr>
        <w:spacing w:line="240" w:lineRule="auto"/>
        <w:jc w:val="both"/>
        <w:rPr>
          <w:rFonts w:ascii="Times New Roman" w:hAnsi="Times New Roman" w:cs="Times New Roman"/>
          <w:color w:val="000000" w:themeColor="text1"/>
          <w:sz w:val="22"/>
          <w:szCs w:val="22"/>
        </w:rPr>
      </w:pPr>
    </w:p>
    <w:p w14:paraId="6B01B9AB" w14:textId="77777777" w:rsidR="00C808E4" w:rsidRPr="00C808E4" w:rsidRDefault="00C808E4" w:rsidP="00E25180">
      <w:pPr>
        <w:spacing w:line="240" w:lineRule="auto"/>
        <w:jc w:val="both"/>
        <w:rPr>
          <w:rFonts w:ascii="Times New Roman" w:hAnsi="Times New Roman" w:cs="Times New Roman"/>
          <w:color w:val="000000" w:themeColor="text1"/>
          <w:sz w:val="22"/>
          <w:szCs w:val="22"/>
        </w:rPr>
      </w:pPr>
    </w:p>
    <w:p w14:paraId="02A2FBFE" w14:textId="77777777" w:rsidR="00C808E4" w:rsidRPr="00C808E4" w:rsidRDefault="00C808E4" w:rsidP="00E25180">
      <w:pPr>
        <w:spacing w:line="240" w:lineRule="auto"/>
        <w:jc w:val="both"/>
        <w:rPr>
          <w:rFonts w:ascii="Times New Roman" w:hAnsi="Times New Roman" w:cs="Times New Roman"/>
          <w:color w:val="000000" w:themeColor="text1"/>
          <w:sz w:val="22"/>
          <w:szCs w:val="22"/>
        </w:rPr>
      </w:pPr>
    </w:p>
    <w:p w14:paraId="2FE0E0C7" w14:textId="77777777" w:rsidR="00C808E4" w:rsidRPr="00C808E4" w:rsidRDefault="00C808E4" w:rsidP="00E25180">
      <w:pPr>
        <w:spacing w:line="240" w:lineRule="auto"/>
        <w:jc w:val="both"/>
        <w:rPr>
          <w:rFonts w:ascii="Times New Roman" w:hAnsi="Times New Roman" w:cs="Times New Roman"/>
          <w:color w:val="000000" w:themeColor="text1"/>
          <w:sz w:val="22"/>
          <w:szCs w:val="22"/>
        </w:rPr>
      </w:pPr>
    </w:p>
    <w:p w14:paraId="0C5502AA" w14:textId="77777777" w:rsidR="00C808E4" w:rsidRPr="00C808E4" w:rsidRDefault="00C808E4" w:rsidP="00E25180">
      <w:pPr>
        <w:spacing w:line="240" w:lineRule="auto"/>
        <w:jc w:val="both"/>
        <w:rPr>
          <w:rFonts w:ascii="Times New Roman" w:hAnsi="Times New Roman" w:cs="Times New Roman"/>
          <w:color w:val="000000" w:themeColor="text1"/>
          <w:sz w:val="22"/>
          <w:szCs w:val="22"/>
        </w:rPr>
      </w:pPr>
    </w:p>
    <w:p w14:paraId="40491203" w14:textId="77777777" w:rsidR="004F51FB" w:rsidRPr="00C808E4" w:rsidRDefault="004F51FB" w:rsidP="00E25180">
      <w:pPr>
        <w:spacing w:line="240" w:lineRule="auto"/>
        <w:jc w:val="both"/>
        <w:rPr>
          <w:rFonts w:ascii="Times New Roman" w:hAnsi="Times New Roman" w:cs="Times New Roman"/>
          <w:color w:val="000000" w:themeColor="text1"/>
          <w:sz w:val="22"/>
          <w:szCs w:val="22"/>
        </w:rPr>
      </w:pPr>
    </w:p>
    <w:p w14:paraId="422CD7AD" w14:textId="3AC45B33" w:rsidR="004F51FB" w:rsidRPr="00C808E4" w:rsidRDefault="00C808E4" w:rsidP="00E25180">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APPENDIX</w:t>
      </w:r>
    </w:p>
    <w:p w14:paraId="660C44AA" w14:textId="66A54AF7" w:rsidR="00C808E4" w:rsidRPr="00C808E4" w:rsidRDefault="004F51FB" w:rsidP="004F51FB">
      <w:pPr>
        <w:spacing w:line="240" w:lineRule="auto"/>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Appendix A</w:t>
      </w:r>
      <w:r w:rsidR="00C808E4" w:rsidRPr="00C808E4">
        <w:rPr>
          <w:rFonts w:ascii="Times New Roman" w:hAnsi="Times New Roman" w:cs="Times New Roman"/>
          <w:b/>
          <w:bCs/>
          <w:color w:val="000000" w:themeColor="text1"/>
          <w:sz w:val="22"/>
          <w:szCs w:val="22"/>
        </w:rPr>
        <w:t xml:space="preserve">: </w:t>
      </w:r>
      <w:r w:rsidRPr="00C808E4">
        <w:rPr>
          <w:rFonts w:ascii="Times New Roman" w:hAnsi="Times New Roman" w:cs="Times New Roman"/>
          <w:b/>
          <w:bCs/>
          <w:color w:val="000000" w:themeColor="text1"/>
          <w:sz w:val="22"/>
          <w:szCs w:val="22"/>
        </w:rPr>
        <w:t>Global Stroke Burden (2021)</w:t>
      </w:r>
    </w:p>
    <w:tbl>
      <w:tblPr>
        <w:tblStyle w:val="TableGrid"/>
        <w:tblW w:w="0" w:type="auto"/>
        <w:tblLook w:val="04A0" w:firstRow="1" w:lastRow="0" w:firstColumn="1" w:lastColumn="0" w:noHBand="0" w:noVBand="1"/>
      </w:tblPr>
      <w:tblGrid>
        <w:gridCol w:w="2337"/>
        <w:gridCol w:w="1798"/>
        <w:gridCol w:w="1800"/>
        <w:gridCol w:w="3415"/>
      </w:tblGrid>
      <w:tr w:rsidR="00C808E4" w:rsidRPr="00C808E4" w14:paraId="6C9011FE" w14:textId="77777777" w:rsidTr="00C808E4">
        <w:tc>
          <w:tcPr>
            <w:tcW w:w="2337" w:type="dxa"/>
            <w:vAlign w:val="center"/>
          </w:tcPr>
          <w:p w14:paraId="1503344A" w14:textId="63B29B19"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Metric</w:t>
            </w:r>
          </w:p>
        </w:tc>
        <w:tc>
          <w:tcPr>
            <w:tcW w:w="1798" w:type="dxa"/>
            <w:vAlign w:val="center"/>
          </w:tcPr>
          <w:p w14:paraId="36F9B3C1" w14:textId="55F4EA5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Number (2021)</w:t>
            </w:r>
          </w:p>
        </w:tc>
        <w:tc>
          <w:tcPr>
            <w:tcW w:w="1800" w:type="dxa"/>
            <w:vAlign w:val="center"/>
          </w:tcPr>
          <w:p w14:paraId="2471C7C9" w14:textId="2FCE1645"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Rate per 100,000</w:t>
            </w:r>
          </w:p>
        </w:tc>
        <w:tc>
          <w:tcPr>
            <w:tcW w:w="3415" w:type="dxa"/>
            <w:vAlign w:val="center"/>
          </w:tcPr>
          <w:p w14:paraId="3C0A273D" w14:textId="10391DAD"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Notes</w:t>
            </w:r>
          </w:p>
        </w:tc>
      </w:tr>
      <w:tr w:rsidR="00C808E4" w:rsidRPr="00C808E4" w14:paraId="743977B8" w14:textId="77777777" w:rsidTr="00C808E4">
        <w:tc>
          <w:tcPr>
            <w:tcW w:w="2337" w:type="dxa"/>
            <w:vAlign w:val="center"/>
          </w:tcPr>
          <w:p w14:paraId="273AA5E7" w14:textId="7A3429B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New stroke cases (incidence)</w:t>
            </w:r>
          </w:p>
        </w:tc>
        <w:tc>
          <w:tcPr>
            <w:tcW w:w="1798" w:type="dxa"/>
            <w:vAlign w:val="center"/>
          </w:tcPr>
          <w:p w14:paraId="0FFB513C" w14:textId="3E30862E"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11,946,000</w:t>
            </w:r>
          </w:p>
        </w:tc>
        <w:tc>
          <w:tcPr>
            <w:tcW w:w="1800" w:type="dxa"/>
            <w:vAlign w:val="center"/>
          </w:tcPr>
          <w:p w14:paraId="376814C2" w14:textId="6698579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151</w:t>
            </w:r>
          </w:p>
        </w:tc>
        <w:tc>
          <w:tcPr>
            <w:tcW w:w="3415" w:type="dxa"/>
            <w:vAlign w:val="center"/>
          </w:tcPr>
          <w:p w14:paraId="2EF12587" w14:textId="7D64531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Nearly 12 million new strokes globally in 2021 (all types) </w:t>
            </w:r>
          </w:p>
        </w:tc>
      </w:tr>
      <w:tr w:rsidR="00C808E4" w:rsidRPr="00C808E4" w14:paraId="13D45688" w14:textId="77777777" w:rsidTr="00C808E4">
        <w:tc>
          <w:tcPr>
            <w:tcW w:w="2337" w:type="dxa"/>
            <w:vAlign w:val="center"/>
          </w:tcPr>
          <w:p w14:paraId="152FCBAF" w14:textId="0CD50F3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Stroke deaths</w:t>
            </w:r>
          </w:p>
        </w:tc>
        <w:tc>
          <w:tcPr>
            <w:tcW w:w="1798" w:type="dxa"/>
            <w:vAlign w:val="center"/>
          </w:tcPr>
          <w:p w14:paraId="65A5A89A" w14:textId="64B4C9A7"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7,253,000</w:t>
            </w:r>
          </w:p>
        </w:tc>
        <w:tc>
          <w:tcPr>
            <w:tcW w:w="1800" w:type="dxa"/>
            <w:vAlign w:val="center"/>
          </w:tcPr>
          <w:p w14:paraId="1F420659" w14:textId="06A8F95E"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92</w:t>
            </w:r>
          </w:p>
        </w:tc>
        <w:tc>
          <w:tcPr>
            <w:tcW w:w="3415" w:type="dxa"/>
            <w:vAlign w:val="center"/>
          </w:tcPr>
          <w:p w14:paraId="42FA351C" w14:textId="1B733BA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Over 7 million deaths worldwide due to stroke </w:t>
            </w:r>
          </w:p>
        </w:tc>
      </w:tr>
      <w:tr w:rsidR="00C808E4" w:rsidRPr="00C808E4" w14:paraId="02E0F082" w14:textId="77777777" w:rsidTr="00C808E4">
        <w:tc>
          <w:tcPr>
            <w:tcW w:w="2337" w:type="dxa"/>
            <w:vAlign w:val="center"/>
          </w:tcPr>
          <w:p w14:paraId="73BD709F" w14:textId="2EC356F9"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Stroke prevalence (living with stroke)</w:t>
            </w:r>
          </w:p>
        </w:tc>
        <w:tc>
          <w:tcPr>
            <w:tcW w:w="1798" w:type="dxa"/>
            <w:vAlign w:val="center"/>
          </w:tcPr>
          <w:p w14:paraId="459683AA" w14:textId="16EC4CE0"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93,816,414</w:t>
            </w:r>
          </w:p>
        </w:tc>
        <w:tc>
          <w:tcPr>
            <w:tcW w:w="1800" w:type="dxa"/>
            <w:vAlign w:val="center"/>
          </w:tcPr>
          <w:p w14:paraId="3A45ECFF" w14:textId="024DEC9E"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1189</w:t>
            </w:r>
          </w:p>
        </w:tc>
        <w:tc>
          <w:tcPr>
            <w:tcW w:w="3415" w:type="dxa"/>
            <w:vAlign w:val="center"/>
          </w:tcPr>
          <w:p w14:paraId="27A1BD1E" w14:textId="027B289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Global number of people living with stroke effects </w:t>
            </w:r>
          </w:p>
        </w:tc>
      </w:tr>
      <w:tr w:rsidR="00C808E4" w:rsidRPr="00C808E4" w14:paraId="74F05F1F" w14:textId="77777777" w:rsidTr="00C808E4">
        <w:tc>
          <w:tcPr>
            <w:tcW w:w="2337" w:type="dxa"/>
            <w:vAlign w:val="center"/>
          </w:tcPr>
          <w:p w14:paraId="7485CE34" w14:textId="49CFFAE0"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Disability</w:t>
            </w:r>
            <w:r w:rsidRPr="00C808E4">
              <w:rPr>
                <w:rFonts w:ascii="Times New Roman" w:hAnsi="Times New Roman" w:cs="Times New Roman"/>
                <w:color w:val="000000" w:themeColor="text1"/>
                <w:sz w:val="22"/>
                <w:szCs w:val="22"/>
              </w:rPr>
              <w:noBreakHyphen/>
              <w:t>Adjusted Life</w:t>
            </w:r>
            <w:r w:rsidRPr="00C808E4">
              <w:rPr>
                <w:rFonts w:ascii="Times New Roman" w:hAnsi="Times New Roman" w:cs="Times New Roman"/>
                <w:color w:val="000000" w:themeColor="text1"/>
                <w:sz w:val="22"/>
                <w:szCs w:val="22"/>
              </w:rPr>
              <w:noBreakHyphen/>
              <w:t>Years (DALYs)</w:t>
            </w:r>
          </w:p>
        </w:tc>
        <w:tc>
          <w:tcPr>
            <w:tcW w:w="1798" w:type="dxa"/>
            <w:vAlign w:val="center"/>
          </w:tcPr>
          <w:p w14:paraId="4C448512" w14:textId="4AD836B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160,457,000</w:t>
            </w:r>
          </w:p>
        </w:tc>
        <w:tc>
          <w:tcPr>
            <w:tcW w:w="1800" w:type="dxa"/>
            <w:vAlign w:val="center"/>
          </w:tcPr>
          <w:p w14:paraId="7BB1D7D4" w14:textId="63B6F5E5"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2033</w:t>
            </w:r>
          </w:p>
        </w:tc>
        <w:tc>
          <w:tcPr>
            <w:tcW w:w="3415" w:type="dxa"/>
            <w:vAlign w:val="center"/>
          </w:tcPr>
          <w:p w14:paraId="70B1ED7A" w14:textId="7D044AF9"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Years of healthy life lost due to stroke </w:t>
            </w:r>
          </w:p>
        </w:tc>
      </w:tr>
      <w:tr w:rsidR="00C808E4" w:rsidRPr="00C808E4" w14:paraId="04091334" w14:textId="77777777" w:rsidTr="00C808E4">
        <w:tc>
          <w:tcPr>
            <w:tcW w:w="2337" w:type="dxa"/>
            <w:vAlign w:val="center"/>
          </w:tcPr>
          <w:p w14:paraId="1D8F0B56" w14:textId="28BD2B2B" w:rsidR="00C808E4" w:rsidRPr="00C808E4" w:rsidRDefault="00C808E4" w:rsidP="00C808E4">
            <w:pPr>
              <w:jc w:val="both"/>
              <w:rPr>
                <w:rFonts w:ascii="Times New Roman" w:hAnsi="Times New Roman" w:cs="Times New Roman"/>
                <w:b/>
                <w:bCs/>
                <w:color w:val="000000" w:themeColor="text1"/>
                <w:sz w:val="22"/>
                <w:szCs w:val="22"/>
              </w:rPr>
            </w:pPr>
            <w:proofErr w:type="spellStart"/>
            <w:r w:rsidRPr="00C808E4">
              <w:rPr>
                <w:rFonts w:ascii="Times New Roman" w:hAnsi="Times New Roman" w:cs="Times New Roman"/>
                <w:color w:val="000000" w:themeColor="text1"/>
                <w:sz w:val="22"/>
                <w:szCs w:val="22"/>
              </w:rPr>
              <w:t>Ischaemic</w:t>
            </w:r>
            <w:proofErr w:type="spellEnd"/>
            <w:r w:rsidRPr="00C808E4">
              <w:rPr>
                <w:rFonts w:ascii="Times New Roman" w:hAnsi="Times New Roman" w:cs="Times New Roman"/>
                <w:color w:val="000000" w:themeColor="text1"/>
                <w:sz w:val="22"/>
                <w:szCs w:val="22"/>
              </w:rPr>
              <w:t xml:space="preserve"> stroke cases</w:t>
            </w:r>
          </w:p>
        </w:tc>
        <w:tc>
          <w:tcPr>
            <w:tcW w:w="1798" w:type="dxa"/>
            <w:vAlign w:val="center"/>
          </w:tcPr>
          <w:p w14:paraId="13B2AB86" w14:textId="7C2DDC1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7,804,000</w:t>
            </w:r>
          </w:p>
        </w:tc>
        <w:tc>
          <w:tcPr>
            <w:tcW w:w="1800" w:type="dxa"/>
            <w:vAlign w:val="center"/>
          </w:tcPr>
          <w:p w14:paraId="486AFFE2" w14:textId="06609B60"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99</w:t>
            </w:r>
          </w:p>
        </w:tc>
        <w:tc>
          <w:tcPr>
            <w:tcW w:w="3415" w:type="dxa"/>
            <w:vAlign w:val="center"/>
          </w:tcPr>
          <w:p w14:paraId="4BE75086" w14:textId="68725948"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Roughly 65% of all incident strokes </w:t>
            </w:r>
          </w:p>
        </w:tc>
      </w:tr>
      <w:tr w:rsidR="00C808E4" w:rsidRPr="00C808E4" w14:paraId="5D692C53" w14:textId="77777777" w:rsidTr="00C808E4">
        <w:tc>
          <w:tcPr>
            <w:tcW w:w="2337" w:type="dxa"/>
            <w:vAlign w:val="center"/>
          </w:tcPr>
          <w:p w14:paraId="1EAA3F8B" w14:textId="704A98B6"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Intracerebral </w:t>
            </w:r>
            <w:proofErr w:type="spellStart"/>
            <w:r w:rsidRPr="00C808E4">
              <w:rPr>
                <w:rFonts w:ascii="Times New Roman" w:hAnsi="Times New Roman" w:cs="Times New Roman"/>
                <w:color w:val="000000" w:themeColor="text1"/>
                <w:sz w:val="22"/>
                <w:szCs w:val="22"/>
              </w:rPr>
              <w:t>haemorrhage</w:t>
            </w:r>
            <w:proofErr w:type="spellEnd"/>
            <w:r w:rsidRPr="00C808E4">
              <w:rPr>
                <w:rFonts w:ascii="Times New Roman" w:hAnsi="Times New Roman" w:cs="Times New Roman"/>
                <w:color w:val="000000" w:themeColor="text1"/>
                <w:sz w:val="22"/>
                <w:szCs w:val="22"/>
              </w:rPr>
              <w:t xml:space="preserve"> cases</w:t>
            </w:r>
          </w:p>
        </w:tc>
        <w:tc>
          <w:tcPr>
            <w:tcW w:w="1798" w:type="dxa"/>
            <w:vAlign w:val="center"/>
          </w:tcPr>
          <w:p w14:paraId="0454777D" w14:textId="78D17FF7"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3,444,000</w:t>
            </w:r>
          </w:p>
        </w:tc>
        <w:tc>
          <w:tcPr>
            <w:tcW w:w="1800" w:type="dxa"/>
            <w:vAlign w:val="center"/>
          </w:tcPr>
          <w:p w14:paraId="3778AE88" w14:textId="18271EB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44</w:t>
            </w:r>
          </w:p>
        </w:tc>
        <w:tc>
          <w:tcPr>
            <w:tcW w:w="3415" w:type="dxa"/>
            <w:vAlign w:val="center"/>
          </w:tcPr>
          <w:p w14:paraId="2BCC731F" w14:textId="2FD13ECC"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Nearly 29% of incident stroke cases </w:t>
            </w:r>
          </w:p>
        </w:tc>
      </w:tr>
    </w:tbl>
    <w:p w14:paraId="14F78A92" w14:textId="77777777" w:rsidR="00C808E4" w:rsidRPr="00C808E4" w:rsidRDefault="00C808E4" w:rsidP="004F51FB">
      <w:pPr>
        <w:spacing w:line="240" w:lineRule="auto"/>
        <w:jc w:val="both"/>
        <w:rPr>
          <w:rFonts w:ascii="Times New Roman" w:hAnsi="Times New Roman" w:cs="Times New Roman"/>
          <w:b/>
          <w:bCs/>
          <w:color w:val="000000" w:themeColor="text1"/>
          <w:sz w:val="22"/>
          <w:szCs w:val="22"/>
        </w:rPr>
      </w:pPr>
    </w:p>
    <w:p w14:paraId="4F78DB03" w14:textId="4E43E898" w:rsidR="004F51FB" w:rsidRPr="00C808E4" w:rsidRDefault="004F51FB" w:rsidP="004F51FB">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Sources</w:t>
      </w:r>
      <w:r w:rsidR="00C808E4" w:rsidRPr="00C808E4">
        <w:rPr>
          <w:rFonts w:ascii="Times New Roman" w:hAnsi="Times New Roman" w:cs="Times New Roman"/>
          <w:b/>
          <w:bCs/>
          <w:color w:val="000000" w:themeColor="text1"/>
          <w:sz w:val="22"/>
          <w:szCs w:val="22"/>
        </w:rPr>
        <w:t>:</w:t>
      </w:r>
      <w:r w:rsidRPr="00C808E4">
        <w:rPr>
          <w:rFonts w:ascii="Times New Roman" w:hAnsi="Times New Roman" w:cs="Times New Roman"/>
          <w:color w:val="000000" w:themeColor="text1"/>
          <w:sz w:val="22"/>
          <w:szCs w:val="22"/>
        </w:rPr>
        <w:t xml:space="preserve"> </w:t>
      </w:r>
      <w:r w:rsidR="00C808E4" w:rsidRPr="00C808E4">
        <w:rPr>
          <w:rFonts w:ascii="Times New Roman" w:hAnsi="Times New Roman" w:cs="Times New Roman"/>
          <w:color w:val="000000" w:themeColor="text1"/>
          <w:sz w:val="22"/>
          <w:szCs w:val="22"/>
        </w:rPr>
        <w:t>(</w:t>
      </w:r>
      <w:r w:rsidRPr="00C808E4">
        <w:rPr>
          <w:rFonts w:ascii="Times New Roman" w:hAnsi="Times New Roman" w:cs="Times New Roman"/>
          <w:color w:val="000000" w:themeColor="text1"/>
          <w:sz w:val="22"/>
          <w:szCs w:val="22"/>
        </w:rPr>
        <w:t>World Stroke Organization</w:t>
      </w:r>
      <w:r w:rsidR="00C808E4" w:rsidRPr="00C808E4">
        <w:rPr>
          <w:rFonts w:ascii="Times New Roman" w:hAnsi="Times New Roman" w:cs="Times New Roman"/>
          <w:color w:val="000000" w:themeColor="text1"/>
          <w:sz w:val="22"/>
          <w:szCs w:val="22"/>
        </w:rPr>
        <w:t xml:space="preserve">, </w:t>
      </w:r>
      <w:r w:rsidRPr="00C808E4">
        <w:rPr>
          <w:rFonts w:ascii="Times New Roman" w:hAnsi="Times New Roman" w:cs="Times New Roman"/>
          <w:color w:val="000000" w:themeColor="text1"/>
          <w:sz w:val="22"/>
          <w:szCs w:val="22"/>
        </w:rPr>
        <w:t>2025</w:t>
      </w:r>
      <w:r w:rsidR="00C808E4" w:rsidRPr="00C808E4">
        <w:rPr>
          <w:rFonts w:ascii="Times New Roman" w:hAnsi="Times New Roman" w:cs="Times New Roman"/>
          <w:color w:val="000000" w:themeColor="text1"/>
          <w:sz w:val="22"/>
          <w:szCs w:val="22"/>
        </w:rPr>
        <w:t xml:space="preserve"> and </w:t>
      </w:r>
      <w:r w:rsidRPr="00C808E4">
        <w:rPr>
          <w:rFonts w:ascii="Times New Roman" w:hAnsi="Times New Roman" w:cs="Times New Roman"/>
          <w:color w:val="000000" w:themeColor="text1"/>
          <w:sz w:val="22"/>
          <w:szCs w:val="22"/>
        </w:rPr>
        <w:t>Global Burden of Disease study (2025).</w:t>
      </w:r>
    </w:p>
    <w:p w14:paraId="6A76D854" w14:textId="13875D1C" w:rsidR="004F51FB" w:rsidRPr="00C808E4" w:rsidRDefault="004F51FB" w:rsidP="004F51FB">
      <w:pPr>
        <w:spacing w:line="240" w:lineRule="auto"/>
        <w:jc w:val="both"/>
        <w:rPr>
          <w:rFonts w:ascii="Times New Roman" w:hAnsi="Times New Roman" w:cs="Times New Roman"/>
          <w:color w:val="000000" w:themeColor="text1"/>
          <w:sz w:val="22"/>
          <w:szCs w:val="22"/>
        </w:rPr>
      </w:pPr>
    </w:p>
    <w:p w14:paraId="7E04413B" w14:textId="7F950901" w:rsidR="00C808E4" w:rsidRPr="00C808E4" w:rsidRDefault="004F51FB" w:rsidP="004F51FB">
      <w:pPr>
        <w:spacing w:line="240" w:lineRule="auto"/>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Appendix B</w:t>
      </w:r>
      <w:r w:rsidR="00C808E4" w:rsidRPr="00C808E4">
        <w:rPr>
          <w:rFonts w:ascii="Times New Roman" w:hAnsi="Times New Roman" w:cs="Times New Roman"/>
          <w:b/>
          <w:bCs/>
          <w:color w:val="000000" w:themeColor="text1"/>
          <w:sz w:val="22"/>
          <w:szCs w:val="22"/>
        </w:rPr>
        <w:t>:</w:t>
      </w:r>
      <w:r w:rsidRPr="00C808E4">
        <w:rPr>
          <w:rFonts w:ascii="Times New Roman" w:hAnsi="Times New Roman" w:cs="Times New Roman"/>
          <w:b/>
          <w:bCs/>
          <w:color w:val="000000" w:themeColor="text1"/>
          <w:sz w:val="22"/>
          <w:szCs w:val="22"/>
        </w:rPr>
        <w:t xml:space="preserve"> Stroke in the United Kingdom (Latest Data)</w:t>
      </w:r>
    </w:p>
    <w:tbl>
      <w:tblPr>
        <w:tblStyle w:val="TableGrid"/>
        <w:tblW w:w="0" w:type="auto"/>
        <w:tblLook w:val="04A0" w:firstRow="1" w:lastRow="0" w:firstColumn="1" w:lastColumn="0" w:noHBand="0" w:noVBand="1"/>
      </w:tblPr>
      <w:tblGrid>
        <w:gridCol w:w="2337"/>
        <w:gridCol w:w="1528"/>
        <w:gridCol w:w="1530"/>
        <w:gridCol w:w="3955"/>
      </w:tblGrid>
      <w:tr w:rsidR="00C808E4" w:rsidRPr="00C808E4" w14:paraId="273F2E18" w14:textId="77777777" w:rsidTr="00C808E4">
        <w:tc>
          <w:tcPr>
            <w:tcW w:w="2337" w:type="dxa"/>
            <w:vAlign w:val="center"/>
          </w:tcPr>
          <w:p w14:paraId="52DEDF23" w14:textId="36FAC610"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Indicator</w:t>
            </w:r>
          </w:p>
        </w:tc>
        <w:tc>
          <w:tcPr>
            <w:tcW w:w="1528" w:type="dxa"/>
            <w:vAlign w:val="center"/>
          </w:tcPr>
          <w:p w14:paraId="4B231EC7" w14:textId="4D8D141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Value</w:t>
            </w:r>
          </w:p>
        </w:tc>
        <w:tc>
          <w:tcPr>
            <w:tcW w:w="1530" w:type="dxa"/>
            <w:vAlign w:val="center"/>
          </w:tcPr>
          <w:p w14:paraId="1D6082B3" w14:textId="3848FD7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Year</w:t>
            </w:r>
          </w:p>
        </w:tc>
        <w:tc>
          <w:tcPr>
            <w:tcW w:w="3955" w:type="dxa"/>
            <w:vAlign w:val="center"/>
          </w:tcPr>
          <w:p w14:paraId="1A82CEAB" w14:textId="632FA347"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Source / Notes</w:t>
            </w:r>
          </w:p>
        </w:tc>
      </w:tr>
      <w:tr w:rsidR="00C808E4" w:rsidRPr="00C808E4" w14:paraId="218E52E6" w14:textId="77777777" w:rsidTr="00C808E4">
        <w:tc>
          <w:tcPr>
            <w:tcW w:w="2337" w:type="dxa"/>
            <w:vAlign w:val="center"/>
          </w:tcPr>
          <w:p w14:paraId="638E3F15" w14:textId="3597C2B8"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Estimated annual strokes (UK)</w:t>
            </w:r>
          </w:p>
        </w:tc>
        <w:tc>
          <w:tcPr>
            <w:tcW w:w="1528" w:type="dxa"/>
            <w:vAlign w:val="center"/>
          </w:tcPr>
          <w:p w14:paraId="6316E683" w14:textId="1A15E436"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~100,000</w:t>
            </w:r>
          </w:p>
        </w:tc>
        <w:tc>
          <w:tcPr>
            <w:tcW w:w="1530" w:type="dxa"/>
            <w:vAlign w:val="center"/>
          </w:tcPr>
          <w:p w14:paraId="00962049" w14:textId="54E0BD8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2024</w:t>
            </w:r>
          </w:p>
        </w:tc>
        <w:tc>
          <w:tcPr>
            <w:tcW w:w="3955" w:type="dxa"/>
            <w:vAlign w:val="center"/>
          </w:tcPr>
          <w:p w14:paraId="1A614B31" w14:textId="4CD338E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NHS England data reported by Guardian article </w:t>
            </w:r>
          </w:p>
        </w:tc>
      </w:tr>
      <w:tr w:rsidR="00C808E4" w:rsidRPr="00C808E4" w14:paraId="5E099FD2" w14:textId="77777777" w:rsidTr="00C808E4">
        <w:tc>
          <w:tcPr>
            <w:tcW w:w="2337" w:type="dxa"/>
            <w:vAlign w:val="center"/>
          </w:tcPr>
          <w:p w14:paraId="35110FFB" w14:textId="5E3A1E5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Projected annual stroke cases by 2035</w:t>
            </w:r>
          </w:p>
        </w:tc>
        <w:tc>
          <w:tcPr>
            <w:tcW w:w="1528" w:type="dxa"/>
            <w:vAlign w:val="center"/>
          </w:tcPr>
          <w:p w14:paraId="6A9EEAC5" w14:textId="76AA4964"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~151,000</w:t>
            </w:r>
          </w:p>
        </w:tc>
        <w:tc>
          <w:tcPr>
            <w:tcW w:w="1530" w:type="dxa"/>
            <w:vAlign w:val="center"/>
          </w:tcPr>
          <w:p w14:paraId="6DA1788E" w14:textId="7DCE691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2035 projection</w:t>
            </w:r>
          </w:p>
        </w:tc>
        <w:tc>
          <w:tcPr>
            <w:tcW w:w="3955" w:type="dxa"/>
            <w:vAlign w:val="center"/>
          </w:tcPr>
          <w:p w14:paraId="669ADC7D" w14:textId="72A2FA4F"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UK public health modelling </w:t>
            </w:r>
          </w:p>
        </w:tc>
      </w:tr>
      <w:tr w:rsidR="00C808E4" w:rsidRPr="00C808E4" w14:paraId="64AD2F7C" w14:textId="77777777" w:rsidTr="00C808E4">
        <w:tc>
          <w:tcPr>
            <w:tcW w:w="2337" w:type="dxa"/>
            <w:vAlign w:val="center"/>
          </w:tcPr>
          <w:p w14:paraId="70E99979" w14:textId="7169B03E"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Stroke mortality rate (per 100,000 UK population)</w:t>
            </w:r>
          </w:p>
        </w:tc>
        <w:tc>
          <w:tcPr>
            <w:tcW w:w="1528" w:type="dxa"/>
            <w:vAlign w:val="center"/>
          </w:tcPr>
          <w:p w14:paraId="4CB1BC67" w14:textId="7E9B2AFD"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~51</w:t>
            </w:r>
          </w:p>
        </w:tc>
        <w:tc>
          <w:tcPr>
            <w:tcW w:w="1530" w:type="dxa"/>
            <w:vAlign w:val="center"/>
          </w:tcPr>
          <w:p w14:paraId="5995A896" w14:textId="21CD1E7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2023</w:t>
            </w:r>
          </w:p>
        </w:tc>
        <w:tc>
          <w:tcPr>
            <w:tcW w:w="3955" w:type="dxa"/>
            <w:vAlign w:val="center"/>
          </w:tcPr>
          <w:p w14:paraId="5D717548" w14:textId="5516FDD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national mortality data </w:t>
            </w:r>
          </w:p>
        </w:tc>
      </w:tr>
      <w:tr w:rsidR="00C808E4" w:rsidRPr="00C808E4" w14:paraId="13C5F1F6" w14:textId="77777777" w:rsidTr="00C808E4">
        <w:tc>
          <w:tcPr>
            <w:tcW w:w="2337" w:type="dxa"/>
            <w:vAlign w:val="center"/>
          </w:tcPr>
          <w:p w14:paraId="364080F6" w14:textId="6E143069"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Number of UK deaths from cerebrovascular disease</w:t>
            </w:r>
          </w:p>
        </w:tc>
        <w:tc>
          <w:tcPr>
            <w:tcW w:w="1528" w:type="dxa"/>
            <w:vAlign w:val="center"/>
          </w:tcPr>
          <w:p w14:paraId="63A0351B" w14:textId="17922528"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15,437</w:t>
            </w:r>
          </w:p>
        </w:tc>
        <w:tc>
          <w:tcPr>
            <w:tcW w:w="1530" w:type="dxa"/>
            <w:vAlign w:val="center"/>
          </w:tcPr>
          <w:p w14:paraId="1422418D" w14:textId="5CA8307E"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2022</w:t>
            </w:r>
          </w:p>
        </w:tc>
        <w:tc>
          <w:tcPr>
            <w:tcW w:w="3955" w:type="dxa"/>
            <w:vAlign w:val="center"/>
          </w:tcPr>
          <w:p w14:paraId="0139718D" w14:textId="3B593E1F"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deaths statistic </w:t>
            </w:r>
          </w:p>
        </w:tc>
      </w:tr>
      <w:tr w:rsidR="00C808E4" w:rsidRPr="00C808E4" w14:paraId="6EF1F0F2" w14:textId="77777777" w:rsidTr="00C808E4">
        <w:tc>
          <w:tcPr>
            <w:tcW w:w="2337" w:type="dxa"/>
            <w:vAlign w:val="center"/>
          </w:tcPr>
          <w:p w14:paraId="5FD5EB50" w14:textId="69B0F7C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Annual hospital admissions for stroke</w:t>
            </w:r>
          </w:p>
        </w:tc>
        <w:tc>
          <w:tcPr>
            <w:tcW w:w="1528" w:type="dxa"/>
            <w:vAlign w:val="center"/>
          </w:tcPr>
          <w:p w14:paraId="2CB141AB" w14:textId="451DDF2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~92,000 admissions</w:t>
            </w:r>
          </w:p>
        </w:tc>
        <w:tc>
          <w:tcPr>
            <w:tcW w:w="1530" w:type="dxa"/>
            <w:vAlign w:val="center"/>
          </w:tcPr>
          <w:p w14:paraId="2730FC4A" w14:textId="26061FC0"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2023–24</w:t>
            </w:r>
          </w:p>
        </w:tc>
        <w:tc>
          <w:tcPr>
            <w:tcW w:w="3955" w:type="dxa"/>
            <w:vAlign w:val="center"/>
          </w:tcPr>
          <w:p w14:paraId="1D4B5B15" w14:textId="53FCE104"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estimate </w:t>
            </w:r>
          </w:p>
        </w:tc>
      </w:tr>
      <w:tr w:rsidR="00C808E4" w:rsidRPr="00C808E4" w14:paraId="1CF13CD1" w14:textId="77777777" w:rsidTr="00C808E4">
        <w:tc>
          <w:tcPr>
            <w:tcW w:w="2337" w:type="dxa"/>
            <w:vAlign w:val="center"/>
          </w:tcPr>
          <w:p w14:paraId="68D25E09" w14:textId="27512F3F"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Estimated healthcare cost of stroke in UK</w:t>
            </w:r>
          </w:p>
        </w:tc>
        <w:tc>
          <w:tcPr>
            <w:tcW w:w="1528" w:type="dxa"/>
            <w:vAlign w:val="center"/>
          </w:tcPr>
          <w:p w14:paraId="696E6060" w14:textId="708E40B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£2.65 billion</w:t>
            </w:r>
          </w:p>
        </w:tc>
        <w:tc>
          <w:tcPr>
            <w:tcW w:w="1530" w:type="dxa"/>
            <w:vAlign w:val="center"/>
          </w:tcPr>
          <w:p w14:paraId="4A742C4C" w14:textId="1C560C4B"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2021/22</w:t>
            </w:r>
          </w:p>
        </w:tc>
        <w:tc>
          <w:tcPr>
            <w:tcW w:w="3955" w:type="dxa"/>
            <w:vAlign w:val="center"/>
          </w:tcPr>
          <w:p w14:paraId="65D44F40" w14:textId="2C22624D"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economic burden </w:t>
            </w:r>
          </w:p>
        </w:tc>
      </w:tr>
      <w:tr w:rsidR="00C808E4" w:rsidRPr="00C808E4" w14:paraId="0A3273AA" w14:textId="77777777" w:rsidTr="00C808E4">
        <w:tc>
          <w:tcPr>
            <w:tcW w:w="2337" w:type="dxa"/>
            <w:vAlign w:val="center"/>
          </w:tcPr>
          <w:p w14:paraId="54180963" w14:textId="3E2201A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Share of stroke deaths attributable to high blood pressure</w:t>
            </w:r>
          </w:p>
        </w:tc>
        <w:tc>
          <w:tcPr>
            <w:tcW w:w="1528" w:type="dxa"/>
            <w:vAlign w:val="center"/>
          </w:tcPr>
          <w:p w14:paraId="392D00A5" w14:textId="39A57FA4"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~50.7%</w:t>
            </w:r>
          </w:p>
        </w:tc>
        <w:tc>
          <w:tcPr>
            <w:tcW w:w="1530" w:type="dxa"/>
            <w:vAlign w:val="center"/>
          </w:tcPr>
          <w:p w14:paraId="0E7E8014" w14:textId="1D1E7D9D"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2021</w:t>
            </w:r>
          </w:p>
        </w:tc>
        <w:tc>
          <w:tcPr>
            <w:tcW w:w="3955" w:type="dxa"/>
            <w:vAlign w:val="center"/>
          </w:tcPr>
          <w:p w14:paraId="26043358" w14:textId="35C5AB0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risk factor attribution </w:t>
            </w:r>
          </w:p>
        </w:tc>
      </w:tr>
    </w:tbl>
    <w:p w14:paraId="4150059F" w14:textId="77777777" w:rsidR="00C808E4" w:rsidRPr="00C808E4" w:rsidRDefault="00C808E4" w:rsidP="004F51FB">
      <w:pPr>
        <w:spacing w:line="240" w:lineRule="auto"/>
        <w:jc w:val="both"/>
        <w:rPr>
          <w:rFonts w:ascii="Times New Roman" w:hAnsi="Times New Roman" w:cs="Times New Roman"/>
          <w:b/>
          <w:bCs/>
          <w:color w:val="000000" w:themeColor="text1"/>
          <w:sz w:val="22"/>
          <w:szCs w:val="22"/>
        </w:rPr>
      </w:pPr>
    </w:p>
    <w:p w14:paraId="34EC06EE" w14:textId="4A1BF8F0" w:rsidR="004F51FB" w:rsidRPr="00C808E4" w:rsidRDefault="004F51FB" w:rsidP="004F51FB">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Notes:</w:t>
      </w:r>
      <w:r w:rsidRPr="00C808E4">
        <w:rPr>
          <w:rFonts w:ascii="Times New Roman" w:hAnsi="Times New Roman" w:cs="Times New Roman"/>
          <w:color w:val="000000" w:themeColor="text1"/>
          <w:sz w:val="22"/>
          <w:szCs w:val="22"/>
        </w:rPr>
        <w:t xml:space="preserve"> Cerebrovascular disease includes stroke; figures vary by </w:t>
      </w:r>
      <w:r w:rsidR="00C808E4" w:rsidRPr="00C808E4">
        <w:rPr>
          <w:rFonts w:ascii="Times New Roman" w:hAnsi="Times New Roman" w:cs="Times New Roman"/>
          <w:color w:val="000000" w:themeColor="text1"/>
          <w:sz w:val="22"/>
          <w:szCs w:val="22"/>
        </w:rPr>
        <w:t>basis</w:t>
      </w:r>
      <w:r w:rsidRPr="00C808E4">
        <w:rPr>
          <w:rFonts w:ascii="Times New Roman" w:hAnsi="Times New Roman" w:cs="Times New Roman"/>
          <w:color w:val="000000" w:themeColor="text1"/>
          <w:sz w:val="22"/>
          <w:szCs w:val="22"/>
        </w:rPr>
        <w:t xml:space="preserve"> and reporting definition.</w:t>
      </w:r>
    </w:p>
    <w:p w14:paraId="5DD2B18D" w14:textId="1829454D" w:rsidR="004F51FB" w:rsidRPr="00C808E4" w:rsidRDefault="004F51FB" w:rsidP="004F51FB">
      <w:pPr>
        <w:spacing w:line="240" w:lineRule="auto"/>
        <w:jc w:val="both"/>
        <w:rPr>
          <w:rFonts w:ascii="Times New Roman" w:hAnsi="Times New Roman" w:cs="Times New Roman"/>
          <w:color w:val="000000" w:themeColor="text1"/>
          <w:sz w:val="22"/>
          <w:szCs w:val="22"/>
        </w:rPr>
      </w:pPr>
    </w:p>
    <w:p w14:paraId="18172C24"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7C3FA2BE"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0041461D"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1370B3BC"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1133AF69"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077BCC18" w14:textId="77777777" w:rsidR="00C808E4" w:rsidRPr="00C808E4" w:rsidRDefault="00C808E4" w:rsidP="004F51FB">
      <w:pPr>
        <w:spacing w:line="240" w:lineRule="auto"/>
        <w:jc w:val="both"/>
        <w:rPr>
          <w:rFonts w:ascii="Times New Roman" w:hAnsi="Times New Roman" w:cs="Times New Roman"/>
          <w:color w:val="000000" w:themeColor="text1"/>
          <w:sz w:val="22"/>
          <w:szCs w:val="22"/>
        </w:rPr>
      </w:pPr>
    </w:p>
    <w:p w14:paraId="21C7ACC8" w14:textId="102CBE5F" w:rsidR="00C808E4" w:rsidRPr="00C808E4" w:rsidRDefault="004F51FB" w:rsidP="004F51FB">
      <w:pPr>
        <w:spacing w:line="240" w:lineRule="auto"/>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Appendix C</w:t>
      </w:r>
      <w:r w:rsidR="00C808E4" w:rsidRPr="00C808E4">
        <w:rPr>
          <w:rFonts w:ascii="Times New Roman" w:hAnsi="Times New Roman" w:cs="Times New Roman"/>
          <w:b/>
          <w:bCs/>
          <w:color w:val="000000" w:themeColor="text1"/>
          <w:sz w:val="22"/>
          <w:szCs w:val="22"/>
        </w:rPr>
        <w:t xml:space="preserve">: </w:t>
      </w:r>
      <w:r w:rsidRPr="00C808E4">
        <w:rPr>
          <w:rFonts w:ascii="Times New Roman" w:hAnsi="Times New Roman" w:cs="Times New Roman"/>
          <w:b/>
          <w:bCs/>
          <w:color w:val="000000" w:themeColor="text1"/>
          <w:sz w:val="22"/>
          <w:szCs w:val="22"/>
        </w:rPr>
        <w:t>Stroke Risk and Treatment Access (UK)</w:t>
      </w:r>
    </w:p>
    <w:tbl>
      <w:tblPr>
        <w:tblStyle w:val="TableGrid"/>
        <w:tblW w:w="0" w:type="auto"/>
        <w:tblLook w:val="04A0" w:firstRow="1" w:lastRow="0" w:firstColumn="1" w:lastColumn="0" w:noHBand="0" w:noVBand="1"/>
      </w:tblPr>
      <w:tblGrid>
        <w:gridCol w:w="3116"/>
        <w:gridCol w:w="2909"/>
        <w:gridCol w:w="3325"/>
      </w:tblGrid>
      <w:tr w:rsidR="00C808E4" w:rsidRPr="00C808E4" w14:paraId="1F536164" w14:textId="77777777" w:rsidTr="00C808E4">
        <w:tc>
          <w:tcPr>
            <w:tcW w:w="3116" w:type="dxa"/>
            <w:vAlign w:val="center"/>
          </w:tcPr>
          <w:p w14:paraId="32B951FF" w14:textId="4896A54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Measure</w:t>
            </w:r>
          </w:p>
        </w:tc>
        <w:tc>
          <w:tcPr>
            <w:tcW w:w="2909" w:type="dxa"/>
            <w:vAlign w:val="center"/>
          </w:tcPr>
          <w:p w14:paraId="0A8B6D38" w14:textId="564E8587"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Figure</w:t>
            </w:r>
          </w:p>
        </w:tc>
        <w:tc>
          <w:tcPr>
            <w:tcW w:w="3325" w:type="dxa"/>
            <w:vAlign w:val="center"/>
          </w:tcPr>
          <w:p w14:paraId="21E9BF0F" w14:textId="1D6580DC"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b/>
                <w:bCs/>
                <w:color w:val="000000" w:themeColor="text1"/>
                <w:sz w:val="22"/>
                <w:szCs w:val="22"/>
              </w:rPr>
              <w:t>Context / Relevance</w:t>
            </w:r>
          </w:p>
        </w:tc>
      </w:tr>
      <w:tr w:rsidR="00C808E4" w:rsidRPr="00C808E4" w14:paraId="7506774C" w14:textId="77777777" w:rsidTr="00C808E4">
        <w:tc>
          <w:tcPr>
            <w:tcW w:w="3116" w:type="dxa"/>
            <w:vAlign w:val="center"/>
          </w:tcPr>
          <w:p w14:paraId="0051F3FC" w14:textId="561CAC1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Percentage of suitable stroke patients receiving thrombectomy</w:t>
            </w:r>
          </w:p>
        </w:tc>
        <w:tc>
          <w:tcPr>
            <w:tcW w:w="2909" w:type="dxa"/>
            <w:vAlign w:val="center"/>
          </w:tcPr>
          <w:p w14:paraId="6309C297" w14:textId="474C4DF5"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~4.3 % (England)</w:t>
            </w:r>
          </w:p>
        </w:tc>
        <w:tc>
          <w:tcPr>
            <w:tcW w:w="3325" w:type="dxa"/>
            <w:vAlign w:val="center"/>
          </w:tcPr>
          <w:p w14:paraId="087B15F8" w14:textId="55579202"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Low uptake of effective mechanical clot removal; SSNAP data reported in news analysis </w:t>
            </w:r>
          </w:p>
        </w:tc>
      </w:tr>
      <w:tr w:rsidR="00C808E4" w:rsidRPr="00C808E4" w14:paraId="790311DB" w14:textId="77777777" w:rsidTr="00C808E4">
        <w:tc>
          <w:tcPr>
            <w:tcW w:w="3116" w:type="dxa"/>
            <w:vAlign w:val="center"/>
          </w:tcPr>
          <w:p w14:paraId="6A3A59BB" w14:textId="71230C18"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NHS median time from symptoms to 999 calls</w:t>
            </w:r>
          </w:p>
        </w:tc>
        <w:tc>
          <w:tcPr>
            <w:tcW w:w="2909" w:type="dxa"/>
            <w:vAlign w:val="center"/>
          </w:tcPr>
          <w:p w14:paraId="5B91416F" w14:textId="7C77558C"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88 minutes</w:t>
            </w:r>
          </w:p>
        </w:tc>
        <w:tc>
          <w:tcPr>
            <w:tcW w:w="3325" w:type="dxa"/>
            <w:vAlign w:val="center"/>
          </w:tcPr>
          <w:p w14:paraId="6E882BBE" w14:textId="0919D2ED"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Delayed emergency response negatively impacts outcomes </w:t>
            </w:r>
          </w:p>
        </w:tc>
      </w:tr>
      <w:tr w:rsidR="00C808E4" w:rsidRPr="00C808E4" w14:paraId="7E26FEBB" w14:textId="77777777" w:rsidTr="00C808E4">
        <w:tc>
          <w:tcPr>
            <w:tcW w:w="3116" w:type="dxa"/>
            <w:vAlign w:val="center"/>
          </w:tcPr>
          <w:p w14:paraId="4614E2FD" w14:textId="3EBD7356"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Age</w:t>
            </w:r>
            <w:r w:rsidRPr="00C808E4">
              <w:rPr>
                <w:rFonts w:ascii="Times New Roman" w:hAnsi="Times New Roman" w:cs="Times New Roman"/>
                <w:color w:val="000000" w:themeColor="text1"/>
                <w:sz w:val="22"/>
                <w:szCs w:val="22"/>
              </w:rPr>
              <w:noBreakHyphen/>
              <w:t>related risk increase</w:t>
            </w:r>
          </w:p>
        </w:tc>
        <w:tc>
          <w:tcPr>
            <w:tcW w:w="2909" w:type="dxa"/>
            <w:vAlign w:val="center"/>
          </w:tcPr>
          <w:p w14:paraId="2A54DDAD" w14:textId="04FE8EA6"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~1 in 4 adults lifetime risk</w:t>
            </w:r>
          </w:p>
        </w:tc>
        <w:tc>
          <w:tcPr>
            <w:tcW w:w="3325" w:type="dxa"/>
            <w:vAlign w:val="center"/>
          </w:tcPr>
          <w:p w14:paraId="14C9008E" w14:textId="34B3391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WHO estimate, global context </w:t>
            </w:r>
          </w:p>
        </w:tc>
      </w:tr>
      <w:tr w:rsidR="00C808E4" w:rsidRPr="00C808E4" w14:paraId="2C02FD58" w14:textId="77777777" w:rsidTr="00C808E4">
        <w:tc>
          <w:tcPr>
            <w:tcW w:w="3116" w:type="dxa"/>
            <w:vAlign w:val="center"/>
          </w:tcPr>
          <w:p w14:paraId="14E06AD5" w14:textId="0DC92343"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Decline in UK stroke death since 2000</w:t>
            </w:r>
          </w:p>
        </w:tc>
        <w:tc>
          <w:tcPr>
            <w:tcW w:w="2909" w:type="dxa"/>
            <w:vAlign w:val="center"/>
          </w:tcPr>
          <w:p w14:paraId="006F23EE" w14:textId="70AD6499"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&gt;50 %</w:t>
            </w:r>
          </w:p>
        </w:tc>
        <w:tc>
          <w:tcPr>
            <w:tcW w:w="3325" w:type="dxa"/>
            <w:vAlign w:val="center"/>
          </w:tcPr>
          <w:p w14:paraId="42C21DEE" w14:textId="46F935DF"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Long</w:t>
            </w:r>
            <w:r w:rsidRPr="00C808E4">
              <w:rPr>
                <w:rFonts w:ascii="Times New Roman" w:hAnsi="Times New Roman" w:cs="Times New Roman"/>
                <w:color w:val="000000" w:themeColor="text1"/>
                <w:sz w:val="22"/>
                <w:szCs w:val="22"/>
              </w:rPr>
              <w:noBreakHyphen/>
              <w:t xml:space="preserve">term trend, improved care and prevention </w:t>
            </w:r>
          </w:p>
        </w:tc>
      </w:tr>
      <w:tr w:rsidR="00C808E4" w:rsidRPr="00C808E4" w14:paraId="628D4A27" w14:textId="77777777" w:rsidTr="00C808E4">
        <w:tc>
          <w:tcPr>
            <w:tcW w:w="3116" w:type="dxa"/>
            <w:vAlign w:val="center"/>
          </w:tcPr>
          <w:p w14:paraId="13DE1D8C" w14:textId="61948241"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Stroke incidence trend</w:t>
            </w:r>
          </w:p>
        </w:tc>
        <w:tc>
          <w:tcPr>
            <w:tcW w:w="2909" w:type="dxa"/>
            <w:vAlign w:val="center"/>
          </w:tcPr>
          <w:p w14:paraId="4B204486" w14:textId="1955D414"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Slight increase in hospital admissions over decade</w:t>
            </w:r>
          </w:p>
        </w:tc>
        <w:tc>
          <w:tcPr>
            <w:tcW w:w="3325" w:type="dxa"/>
            <w:vAlign w:val="center"/>
          </w:tcPr>
          <w:p w14:paraId="2FF19927" w14:textId="0CB5BC4A" w:rsidR="00C808E4" w:rsidRPr="00C808E4" w:rsidRDefault="00C808E4" w:rsidP="00C808E4">
            <w:pPr>
              <w:jc w:val="both"/>
              <w:rPr>
                <w:rFonts w:ascii="Times New Roman" w:hAnsi="Times New Roman" w:cs="Times New Roman"/>
                <w:b/>
                <w:bCs/>
                <w:color w:val="000000" w:themeColor="text1"/>
                <w:sz w:val="22"/>
                <w:szCs w:val="22"/>
              </w:rPr>
            </w:pPr>
            <w:r w:rsidRPr="00C808E4">
              <w:rPr>
                <w:rFonts w:ascii="Times New Roman" w:hAnsi="Times New Roman" w:cs="Times New Roman"/>
                <w:color w:val="000000" w:themeColor="text1"/>
                <w:sz w:val="22"/>
                <w:szCs w:val="22"/>
              </w:rPr>
              <w:t xml:space="preserve">Statista admissions data </w:t>
            </w:r>
          </w:p>
        </w:tc>
      </w:tr>
    </w:tbl>
    <w:p w14:paraId="1471BFCB" w14:textId="77777777" w:rsidR="00C808E4" w:rsidRPr="00C808E4" w:rsidRDefault="00C808E4" w:rsidP="004F51FB">
      <w:pPr>
        <w:spacing w:line="240" w:lineRule="auto"/>
        <w:jc w:val="both"/>
        <w:rPr>
          <w:rFonts w:ascii="Times New Roman" w:hAnsi="Times New Roman" w:cs="Times New Roman"/>
          <w:b/>
          <w:bCs/>
          <w:color w:val="000000" w:themeColor="text1"/>
          <w:sz w:val="22"/>
          <w:szCs w:val="22"/>
        </w:rPr>
      </w:pPr>
    </w:p>
    <w:p w14:paraId="3BCAEDA1" w14:textId="1190C082" w:rsidR="004F51FB" w:rsidRPr="00C808E4" w:rsidRDefault="004F51FB" w:rsidP="004F51FB">
      <w:pPr>
        <w:spacing w:line="240" w:lineRule="auto"/>
        <w:jc w:val="both"/>
        <w:rPr>
          <w:rFonts w:ascii="Times New Roman" w:hAnsi="Times New Roman" w:cs="Times New Roman"/>
          <w:color w:val="000000" w:themeColor="text1"/>
          <w:sz w:val="22"/>
          <w:szCs w:val="22"/>
        </w:rPr>
      </w:pPr>
      <w:r w:rsidRPr="00C808E4">
        <w:rPr>
          <w:rFonts w:ascii="Times New Roman" w:hAnsi="Times New Roman" w:cs="Times New Roman"/>
          <w:b/>
          <w:bCs/>
          <w:color w:val="000000" w:themeColor="text1"/>
          <w:sz w:val="22"/>
          <w:szCs w:val="22"/>
        </w:rPr>
        <w:t>Interpretation:</w:t>
      </w:r>
      <w:r w:rsidRPr="00C808E4">
        <w:rPr>
          <w:rFonts w:ascii="Times New Roman" w:hAnsi="Times New Roman" w:cs="Times New Roman"/>
          <w:color w:val="000000" w:themeColor="text1"/>
          <w:sz w:val="22"/>
          <w:szCs w:val="22"/>
        </w:rPr>
        <w:t xml:space="preserve"> These </w:t>
      </w:r>
      <w:r w:rsidR="00C808E4" w:rsidRPr="00C808E4">
        <w:rPr>
          <w:rFonts w:ascii="Times New Roman" w:hAnsi="Times New Roman" w:cs="Times New Roman"/>
          <w:color w:val="000000" w:themeColor="text1"/>
          <w:sz w:val="22"/>
          <w:szCs w:val="22"/>
        </w:rPr>
        <w:t>statistics</w:t>
      </w:r>
      <w:r w:rsidRPr="00C808E4">
        <w:rPr>
          <w:rFonts w:ascii="Times New Roman" w:hAnsi="Times New Roman" w:cs="Times New Roman"/>
          <w:color w:val="000000" w:themeColor="text1"/>
          <w:sz w:val="22"/>
          <w:szCs w:val="22"/>
        </w:rPr>
        <w:t xml:space="preserve"> show treatment gaps, response delays and long</w:t>
      </w:r>
      <w:r w:rsidRPr="00C808E4">
        <w:rPr>
          <w:rFonts w:ascii="Times New Roman" w:hAnsi="Times New Roman" w:cs="Times New Roman"/>
          <w:color w:val="000000" w:themeColor="text1"/>
          <w:sz w:val="22"/>
          <w:szCs w:val="22"/>
        </w:rPr>
        <w:noBreakHyphen/>
        <w:t xml:space="preserve">term improvement in survival, but persistent challenges in equity and access to </w:t>
      </w:r>
      <w:r w:rsidR="00C808E4" w:rsidRPr="00C808E4">
        <w:rPr>
          <w:rFonts w:ascii="Times New Roman" w:hAnsi="Times New Roman" w:cs="Times New Roman"/>
          <w:color w:val="000000" w:themeColor="text1"/>
          <w:sz w:val="22"/>
          <w:szCs w:val="22"/>
        </w:rPr>
        <w:t>progressive</w:t>
      </w:r>
      <w:r w:rsidRPr="00C808E4">
        <w:rPr>
          <w:rFonts w:ascii="Times New Roman" w:hAnsi="Times New Roman" w:cs="Times New Roman"/>
          <w:color w:val="000000" w:themeColor="text1"/>
          <w:sz w:val="22"/>
          <w:szCs w:val="22"/>
        </w:rPr>
        <w:t xml:space="preserve"> stroke care.</w:t>
      </w:r>
    </w:p>
    <w:p w14:paraId="47E076C7" w14:textId="77777777" w:rsidR="004F51FB" w:rsidRPr="00C808E4" w:rsidRDefault="004F51FB" w:rsidP="00E25180">
      <w:pPr>
        <w:spacing w:line="240" w:lineRule="auto"/>
        <w:jc w:val="both"/>
        <w:rPr>
          <w:rFonts w:ascii="Times New Roman" w:hAnsi="Times New Roman" w:cs="Times New Roman"/>
          <w:color w:val="000000" w:themeColor="text1"/>
          <w:sz w:val="22"/>
          <w:szCs w:val="22"/>
        </w:rPr>
      </w:pPr>
    </w:p>
    <w:p w14:paraId="0836410D" w14:textId="77777777" w:rsidR="00E25180" w:rsidRPr="00C808E4" w:rsidRDefault="00E25180" w:rsidP="00E25180">
      <w:pPr>
        <w:spacing w:line="240" w:lineRule="auto"/>
        <w:jc w:val="both"/>
        <w:rPr>
          <w:rFonts w:ascii="Times New Roman" w:hAnsi="Times New Roman" w:cs="Times New Roman"/>
          <w:sz w:val="22"/>
          <w:szCs w:val="22"/>
        </w:rPr>
      </w:pPr>
    </w:p>
    <w:sectPr w:rsidR="00E25180" w:rsidRPr="00C808E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4077D" w14:textId="77777777" w:rsidR="001B5CA2" w:rsidRDefault="001B5CA2" w:rsidP="004F51FB">
      <w:pPr>
        <w:spacing w:after="0" w:line="240" w:lineRule="auto"/>
      </w:pPr>
      <w:r>
        <w:separator/>
      </w:r>
    </w:p>
  </w:endnote>
  <w:endnote w:type="continuationSeparator" w:id="0">
    <w:p w14:paraId="25A8BD2C" w14:textId="77777777" w:rsidR="001B5CA2" w:rsidRDefault="001B5CA2" w:rsidP="004F5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1781867"/>
      <w:docPartObj>
        <w:docPartGallery w:val="Page Numbers (Bottom of Page)"/>
        <w:docPartUnique/>
      </w:docPartObj>
    </w:sdtPr>
    <w:sdtEndPr>
      <w:rPr>
        <w:noProof/>
      </w:rPr>
    </w:sdtEndPr>
    <w:sdtContent>
      <w:p w14:paraId="12742540" w14:textId="1CBC1255" w:rsidR="004F51FB" w:rsidRDefault="004F51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167C6A" w14:textId="77777777" w:rsidR="004F51FB" w:rsidRDefault="004F51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8DBC8" w14:textId="77777777" w:rsidR="001B5CA2" w:rsidRDefault="001B5CA2" w:rsidP="004F51FB">
      <w:pPr>
        <w:spacing w:after="0" w:line="240" w:lineRule="auto"/>
      </w:pPr>
      <w:r>
        <w:separator/>
      </w:r>
    </w:p>
  </w:footnote>
  <w:footnote w:type="continuationSeparator" w:id="0">
    <w:p w14:paraId="3B638ABE" w14:textId="77777777" w:rsidR="001B5CA2" w:rsidRDefault="001B5CA2" w:rsidP="004F51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80"/>
    <w:rsid w:val="00042C73"/>
    <w:rsid w:val="000765FD"/>
    <w:rsid w:val="001B5CA2"/>
    <w:rsid w:val="00201BB1"/>
    <w:rsid w:val="004F51FB"/>
    <w:rsid w:val="00535419"/>
    <w:rsid w:val="006F43DA"/>
    <w:rsid w:val="007C6BDF"/>
    <w:rsid w:val="008951FF"/>
    <w:rsid w:val="00916728"/>
    <w:rsid w:val="00C808E4"/>
    <w:rsid w:val="00E25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3B767"/>
  <w15:chartTrackingRefBased/>
  <w15:docId w15:val="{AD14C897-5AD8-4E6E-80AE-E8F8A8B9A1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1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251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251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51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251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251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1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1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1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51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251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251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251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251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251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1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1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180"/>
    <w:rPr>
      <w:rFonts w:eastAsiaTheme="majorEastAsia" w:cstheme="majorBidi"/>
      <w:color w:val="272727" w:themeColor="text1" w:themeTint="D8"/>
    </w:rPr>
  </w:style>
  <w:style w:type="paragraph" w:styleId="Title">
    <w:name w:val="Title"/>
    <w:basedOn w:val="Normal"/>
    <w:next w:val="Normal"/>
    <w:link w:val="TitleChar"/>
    <w:uiPriority w:val="10"/>
    <w:qFormat/>
    <w:rsid w:val="00E251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1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1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1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180"/>
    <w:pPr>
      <w:spacing w:before="160"/>
      <w:jc w:val="center"/>
    </w:pPr>
    <w:rPr>
      <w:i/>
      <w:iCs/>
      <w:color w:val="404040" w:themeColor="text1" w:themeTint="BF"/>
    </w:rPr>
  </w:style>
  <w:style w:type="character" w:customStyle="1" w:styleId="QuoteChar">
    <w:name w:val="Quote Char"/>
    <w:basedOn w:val="DefaultParagraphFont"/>
    <w:link w:val="Quote"/>
    <w:uiPriority w:val="29"/>
    <w:rsid w:val="00E25180"/>
    <w:rPr>
      <w:i/>
      <w:iCs/>
      <w:color w:val="404040" w:themeColor="text1" w:themeTint="BF"/>
    </w:rPr>
  </w:style>
  <w:style w:type="paragraph" w:styleId="ListParagraph">
    <w:name w:val="List Paragraph"/>
    <w:basedOn w:val="Normal"/>
    <w:uiPriority w:val="34"/>
    <w:qFormat/>
    <w:rsid w:val="00E25180"/>
    <w:pPr>
      <w:ind w:left="720"/>
      <w:contextualSpacing/>
    </w:pPr>
  </w:style>
  <w:style w:type="character" w:styleId="IntenseEmphasis">
    <w:name w:val="Intense Emphasis"/>
    <w:basedOn w:val="DefaultParagraphFont"/>
    <w:uiPriority w:val="21"/>
    <w:qFormat/>
    <w:rsid w:val="00E25180"/>
    <w:rPr>
      <w:i/>
      <w:iCs/>
      <w:color w:val="2F5496" w:themeColor="accent1" w:themeShade="BF"/>
    </w:rPr>
  </w:style>
  <w:style w:type="paragraph" w:styleId="IntenseQuote">
    <w:name w:val="Intense Quote"/>
    <w:basedOn w:val="Normal"/>
    <w:next w:val="Normal"/>
    <w:link w:val="IntenseQuoteChar"/>
    <w:uiPriority w:val="30"/>
    <w:qFormat/>
    <w:rsid w:val="00E251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5180"/>
    <w:rPr>
      <w:i/>
      <w:iCs/>
      <w:color w:val="2F5496" w:themeColor="accent1" w:themeShade="BF"/>
    </w:rPr>
  </w:style>
  <w:style w:type="character" w:styleId="IntenseReference">
    <w:name w:val="Intense Reference"/>
    <w:basedOn w:val="DefaultParagraphFont"/>
    <w:uiPriority w:val="32"/>
    <w:qFormat/>
    <w:rsid w:val="00E25180"/>
    <w:rPr>
      <w:b/>
      <w:bCs/>
      <w:smallCaps/>
      <w:color w:val="2F5496" w:themeColor="accent1" w:themeShade="BF"/>
      <w:spacing w:val="5"/>
    </w:rPr>
  </w:style>
  <w:style w:type="character" w:styleId="Hyperlink">
    <w:name w:val="Hyperlink"/>
    <w:basedOn w:val="DefaultParagraphFont"/>
    <w:uiPriority w:val="99"/>
    <w:unhideWhenUsed/>
    <w:rsid w:val="00E25180"/>
    <w:rPr>
      <w:color w:val="0563C1" w:themeColor="hyperlink"/>
      <w:u w:val="single"/>
    </w:rPr>
  </w:style>
  <w:style w:type="character" w:styleId="UnresolvedMention">
    <w:name w:val="Unresolved Mention"/>
    <w:basedOn w:val="DefaultParagraphFont"/>
    <w:uiPriority w:val="99"/>
    <w:semiHidden/>
    <w:unhideWhenUsed/>
    <w:rsid w:val="00E25180"/>
    <w:rPr>
      <w:color w:val="605E5C"/>
      <w:shd w:val="clear" w:color="auto" w:fill="E1DFDD"/>
    </w:rPr>
  </w:style>
  <w:style w:type="paragraph" w:styleId="Header">
    <w:name w:val="header"/>
    <w:basedOn w:val="Normal"/>
    <w:link w:val="HeaderChar"/>
    <w:uiPriority w:val="99"/>
    <w:unhideWhenUsed/>
    <w:rsid w:val="004F51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1FB"/>
  </w:style>
  <w:style w:type="paragraph" w:styleId="Footer">
    <w:name w:val="footer"/>
    <w:basedOn w:val="Normal"/>
    <w:link w:val="FooterChar"/>
    <w:uiPriority w:val="99"/>
    <w:unhideWhenUsed/>
    <w:rsid w:val="004F51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1FB"/>
  </w:style>
  <w:style w:type="table" w:styleId="TableGrid">
    <w:name w:val="Table Grid"/>
    <w:basedOn w:val="TableNormal"/>
    <w:uiPriority w:val="39"/>
    <w:rsid w:val="00C808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6876/cerebrovascular-disease-in-the-uk/?utm_source=chatgpt.com" TargetMode="External"/><Relationship Id="rId3" Type="http://schemas.openxmlformats.org/officeDocument/2006/relationships/webSettings" Target="webSettings.xml"/><Relationship Id="rId7" Type="http://schemas.openxmlformats.org/officeDocument/2006/relationships/hyperlink" Target="https://www.nhs.uk/conditions/transient-ischaemic-attack-tia/?utm_source=chatgpt.co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riuk.org/health/learn/cardiovascular-disease/stroke?utm_source=chatgpt.com"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who.int/news-room/fact-sheets/detail/strok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2784</Words>
  <Characters>17821</Characters>
  <Application>Microsoft Office Word</Application>
  <DocSecurity>0</DocSecurity>
  <Lines>396</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Galaus Anniever Malibiran (2508028)</cp:lastModifiedBy>
  <cp:revision>3</cp:revision>
  <dcterms:created xsi:type="dcterms:W3CDTF">2026-04-13T09:38:00Z</dcterms:created>
  <dcterms:modified xsi:type="dcterms:W3CDTF">2026-04-13T09:39:00Z</dcterms:modified>
</cp:coreProperties>
</file>