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1">
      <w:pPr>
        <w:rPr>
          <w:b/>
          <w:bCs/>
        </w:rPr>
      </w:pPr>
      <w:r>
        <w:rPr>
          <w:b/>
          <w:bCs/>
        </w:rPr>
        <w:drawing xmlns:mc="http://schemas.openxmlformats.org/markup-compatibility/2006">
          <wp:inline distT="0" distB="0" distL="0" distR="0">
            <wp:extent cx="1849572" cy="808990"/>
            <wp:effectExtent l="0" t="0" r="0" b="0"/>
            <wp:docPr id="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pic:cNvPicPr>
                      <a:picLocks noChangeAspect="1"/>
                    </pic:cNvPicPr>
                  </pic:nvPicPr>
                  <pic:blipFill>
                    <a:blip r:embed="rId27"/>
                    <a:srcRect/>
                    <a:stretch>
                      <a:fillRect/>
                    </a:stretch>
                  </pic:blipFill>
                  <pic:spPr>
                    <a:xfrm>
                      <a:off x="0" y="0"/>
                      <a:ext cx="1849572" cy="808990"/>
                    </a:xfrm>
                    <a:prstGeom prst="rect">
                      <a:avLst/>
                    </a:prstGeom>
                  </pic:spPr>
                </pic:pic>
              </a:graphicData>
            </a:graphic>
          </wp:inline>
        </w:drawing>
      </w:r>
    </w:p>
    <w:p w14:paraId="00000002">
      <w:pPr>
        <w:rPr>
          <w:b/>
          <w:bCs/>
        </w:rPr>
      </w:pPr>
    </w:p>
    <w:p w14:paraId="00000003">
      <w:pPr>
        <w:rPr>
          <w:b/>
          <w:bCs/>
        </w:rPr>
      </w:pPr>
    </w:p>
    <w:p w14:paraId="00000004">
      <w:pPr>
        <w:rPr>
          <w:b/>
          <w:bCs/>
        </w:rPr>
      </w:pPr>
    </w:p>
    <w:p w14:paraId="00000005">
      <w:pPr>
        <w:rPr>
          <w:b/>
          <w:bCs/>
        </w:rPr>
      </w:pPr>
    </w:p>
    <w:p w14:paraId="00000006">
      <w:pPr>
        <w:jc w:val="center"/>
        <w:rPr>
          <w:b/>
          <w:bCs/>
          <w:sz w:val="36"/>
          <w:szCs w:val="32"/>
        </w:rPr>
      </w:pPr>
      <w:r>
        <w:rPr>
          <w:b/>
          <w:bCs/>
          <w:sz w:val="36"/>
          <w:szCs w:val="32"/>
        </w:rPr>
        <w:t>BMIH6007</w:t>
      </w:r>
    </w:p>
    <w:p w14:paraId="00000007">
      <w:pPr>
        <w:jc w:val="center"/>
        <w:rPr>
          <w:b/>
          <w:bCs/>
          <w:sz w:val="36"/>
          <w:szCs w:val="32"/>
        </w:rPr>
      </w:pPr>
      <w:r>
        <w:rPr>
          <w:b/>
          <w:bCs/>
          <w:sz w:val="36"/>
          <w:szCs w:val="32"/>
        </w:rPr>
        <w:t>International Meetings Management</w:t>
      </w:r>
    </w:p>
    <w:p w14:paraId="00000008">
      <w:pPr>
        <w:jc w:val="center"/>
        <w:rPr>
          <w:b/>
          <w:bCs/>
          <w:sz w:val="36"/>
          <w:szCs w:val="32"/>
        </w:rPr>
      </w:pPr>
      <w:r>
        <w:rPr>
          <w:b/>
          <w:bCs/>
          <w:sz w:val="36"/>
          <w:szCs w:val="32"/>
        </w:rPr>
        <w:t>Planning and Delivering an International Meeting/Event.</w:t>
      </w:r>
    </w:p>
    <w:p w14:paraId="00000009">
      <w:pPr>
        <w:jc w:val="center"/>
        <w:rPr>
          <w:b/>
          <w:bCs/>
          <w:sz w:val="40"/>
          <w:szCs w:val="36"/>
        </w:rPr>
      </w:pPr>
      <w:r>
        <w:rPr>
          <w:b/>
          <w:bCs/>
          <w:sz w:val="40"/>
          <w:szCs w:val="36"/>
        </w:rPr>
        <w:t>Assignment 1-Recorded presentation</w:t>
      </w:r>
    </w:p>
    <w:p w14:paraId="0000000A">
      <w:pPr>
        <w:jc w:val="center"/>
        <w:rPr>
          <w:b/>
          <w:bCs/>
          <w:sz w:val="36"/>
          <w:szCs w:val="32"/>
        </w:rPr>
      </w:pPr>
      <w:r>
        <w:rPr>
          <w:b/>
          <w:bCs/>
          <w:sz w:val="36"/>
          <w:szCs w:val="32"/>
        </w:rPr>
        <w:t xml:space="preserve">Student Name: Marius Stroe / </w:t>
      </w:r>
      <w:r>
        <w:rPr>
          <w:b/>
          <w:bCs/>
          <w:sz w:val="36"/>
          <w:szCs w:val="32"/>
        </w:rPr>
        <w:t>Student Number: 2117199</w:t>
      </w:r>
    </w:p>
    <w:p w14:paraId="0000000B">
      <w:pPr>
        <w:jc w:val="center"/>
        <w:rPr>
          <w:b/>
          <w:bCs/>
          <w:sz w:val="36"/>
          <w:szCs w:val="32"/>
        </w:rPr>
      </w:pPr>
      <w:r>
        <w:rPr>
          <w:b/>
          <w:bCs/>
          <w:sz w:val="36"/>
          <w:szCs w:val="32"/>
        </w:rPr>
        <w:t>Tutor name : Philippa Fitzgerald</w:t>
      </w:r>
    </w:p>
    <w:p w14:paraId="0000000C">
      <w:pPr>
        <w:rPr>
          <w:b/>
          <w:bCs/>
          <w:sz w:val="36"/>
          <w:szCs w:val="32"/>
        </w:rPr>
      </w:pPr>
      <w:r>
        <w:rPr>
          <w:b/>
          <w:bCs/>
          <w:sz w:val="36"/>
          <w:szCs w:val="32"/>
        </w:rPr>
        <w:br w:type="page"/>
      </w:r>
    </w:p>
    <w:p w14:paraId="0000000D">
      <w:pPr>
        <w:pStyle w:val="Heading1"/>
        <w:rPr/>
      </w:pPr>
      <w:r>
        <w:t>Introduction</w:t>
      </w:r>
    </w:p>
    <w:p w14:paraId="0000000E">
      <w:r>
        <w:t xml:space="preserve">As the committed event organizers of Gastronomic Grandeur, they considered themselves with plenty of experience in coordinating remarkable occasions every day. Through this, Gastronomic Grandeur will introduce a feasible and sustainable study for the tourism and hospitability industry where sustainability will mainly focus as the theme." This presentation will dive into basic examinations of market factors, </w:t>
      </w:r>
      <w:r>
        <w:t xml:space="preserve">and </w:t>
      </w:r>
      <w:r>
        <w:t>operational, and financial factors, highlighting the strategic research that is fundamental for event planning in the hospitality sector. With a guarantee to creativity and greatness, Gastronomic Grandeur expects to exhibit its mastery in conveying maintainable and effective occasions that resound with contemporary qualities.</w:t>
      </w:r>
      <w:r>
        <w:rPr/>
        <w:br w:type="page"/>
      </w:r>
    </w:p>
    <w:p w14:paraId="0000000F">
      <w:pPr>
        <w:pStyle w:val="Heading1"/>
        <w:rPr/>
      </w:pPr>
      <w:r>
        <w:t>Event Overview</w:t>
      </w:r>
    </w:p>
    <w:p w14:paraId="00000010">
      <w:r>
        <w:t>Gastronomic Grandeur imagines an extraordinary occasion inside the tourism industry, flawlessly mixing Meetings, Incentives, Conferences, and Exhibitions in the vibrant textile of the hospitality sector. The event, fastidiously arranged by Gastronomic Grandeur, is ready to be a vivid encounter that rises above conventional limits, encouraging significant associations and cultivating advancement.</w:t>
      </w:r>
    </w:p>
    <w:p w14:paraId="00000011">
      <w:pPr>
        <w:rPr>
          <w:b/>
        </w:rPr>
      </w:pPr>
      <w:r>
        <w:t>At the core of this occasion lies the topical foundation of "Sustainability." This purposeful decision reflects Gastronomic Grandeur's obligation to line up with contemporary qualities and tend to embrace worldwide requirements for eco-cognizant practices. The sustainability theme saturates each part of the occasion, from asset use to participation to commitment, starting a trend for responsible event management. By embracing Sustainability, Gastronomic Grandeur keeps up to date with the latest things as well as endeavours to rouse a positive effect, making the occasion an eco-accommodating and socially dependable feature of hospitability excellence.</w:t>
      </w:r>
    </w:p>
    <w:p w14:paraId="00000012">
      <w:pPr>
        <w:pStyle w:val="Heading1"/>
        <w:rPr/>
      </w:pPr>
      <w:r>
        <w:t>The feasibility include</w:t>
      </w:r>
      <w:r>
        <w:t>d the below factors</w:t>
      </w:r>
    </w:p>
    <w:p w14:paraId="00000013">
      <w:pPr>
        <w:pStyle w:val="Heading1"/>
        <w:rPr/>
      </w:pPr>
      <w:r>
        <w:t>Market Factors</w:t>
      </w:r>
    </w:p>
    <w:p w14:paraId="00000014">
      <w:pPr>
        <w:spacing w:before="120" w:after="120"/>
        <w:rPr>
          <w:b/>
          <w:bCs/>
        </w:rPr>
      </w:pPr>
      <w:r>
        <w:rPr>
          <w:b/>
          <w:bCs/>
        </w:rPr>
        <w:t>Target Market:</w:t>
      </w:r>
    </w:p>
    <w:p w14:paraId="00000015">
      <w:pPr>
        <w:spacing w:before="120" w:after="120"/>
        <w:rPr/>
      </w:pPr>
      <w:r>
        <w:t xml:space="preserve">Gastronomic Grandeur recognizes its target market as </w:t>
      </w:r>
      <w:r>
        <w:t>ground-breaking</w:t>
      </w:r>
      <w:r>
        <w:t xml:space="preserve"> partnerships, industry experts, and people energetic about sustainable practices inside the MICE business and hospitality area. This envelopes organizations' arrangement to improve their corporate social obligation (CSR) picture, experts looking for network opportunities, and individual people inspired by vivid, reasonable encounters.</w:t>
      </w:r>
    </w:p>
    <w:p w14:paraId="00000016">
      <w:pPr>
        <w:spacing w:before="120" w:after="120"/>
        <w:rPr>
          <w:b/>
          <w:bCs/>
        </w:rPr>
      </w:pPr>
      <w:r>
        <w:rPr>
          <w:b/>
          <w:bCs/>
        </w:rPr>
        <w:t>Demand:</w:t>
      </w:r>
    </w:p>
    <w:p w14:paraId="00000017">
      <w:pPr>
        <w:spacing w:before="120" w:after="120"/>
        <w:rPr/>
      </w:pPr>
      <w:r>
        <w:t>The rising worldwide accentuation on sustainability positions Gastronomic Grandeur occasions in a calculated manner. With a developing interest in eco-cognizant drives, there is a reasonable market longing for events that follow through on proficient and organizing fronts as well as line up with natural qualities. Gastronomic Grandeur expects strong demand for strength from companies and people looking for inventive and sustainable encounters.</w:t>
      </w:r>
    </w:p>
    <w:p w14:paraId="00000018">
      <w:pPr>
        <w:spacing w:before="120" w:after="120"/>
        <w:rPr>
          <w:b/>
          <w:bCs/>
        </w:rPr>
      </w:pPr>
      <w:r>
        <w:rPr>
          <w:b/>
          <w:bCs/>
        </w:rPr>
        <w:t>Supply:</w:t>
      </w:r>
    </w:p>
    <w:p w14:paraId="00000019">
      <w:pPr>
        <w:spacing w:before="120" w:after="120"/>
        <w:rPr/>
      </w:pPr>
      <w:r>
        <w:t>In evaluating the supply, Gastronomic Grandeur guarantees that the event contributions, including venues, administrations, and sustainable assets, are very much lined up with the recognized interest. A sufficient supply network in the board ensures a consistent mix of feasible components, making an unmistakable contribution to the market.</w:t>
      </w:r>
    </w:p>
    <w:p w14:paraId="0000001A">
      <w:pPr>
        <w:spacing w:before="120" w:after="120"/>
        <w:rPr>
          <w:b/>
          <w:bCs/>
        </w:rPr>
      </w:pPr>
      <w:r>
        <w:rPr>
          <w:b/>
          <w:bCs/>
        </w:rPr>
        <w:t>Competition:</w:t>
      </w:r>
    </w:p>
    <w:p w14:paraId="0000001B">
      <w:pPr>
        <w:spacing w:before="120" w:after="120"/>
        <w:rPr/>
      </w:pPr>
      <w:r>
        <w:t>Gastronomic Grandeur recognizes likely competition from existing MICE events and the traditional hospitality industry in social events. Competitors might incorporate those putting together ordinary occasions without a manageability centre. To relieve this, Gastronomic Grandeur underlines its exceptional selling recommendation, situating itself as a trailblazer in conveying completely vivid, practical encounters. By separating from contenders, Gastronomic Grandeur expects to draw in a speciality crowd looking for both expert commitment and a pledge to ecological responsibility.</w:t>
      </w:r>
    </w:p>
    <w:p w14:paraId="0000001C">
      <w:pPr>
        <w:pStyle w:val="Heading1"/>
        <w:rPr/>
      </w:pPr>
      <w:r>
        <w:t>Operational Factors</w:t>
      </w:r>
    </w:p>
    <w:p w14:paraId="0000001D">
      <w:pPr>
        <w:pStyle w:val="Heading2"/>
        <w:rPr/>
      </w:pPr>
      <w:r>
        <w:t>Venue Selection and Availability:</w:t>
      </w:r>
    </w:p>
    <w:p w14:paraId="0000001E">
      <w:pPr>
        <w:spacing w:before="120" w:after="120"/>
        <w:rPr/>
      </w:pPr>
      <w:r>
        <w:t xml:space="preserve">The Gastronomic </w:t>
      </w:r>
      <w:r>
        <w:t>Grandeur Affair's</w:t>
      </w:r>
      <w:r>
        <w:t xml:space="preserve"> scene choice may be a </w:t>
      </w:r>
      <w:r>
        <w:t>critical component</w:t>
      </w:r>
      <w:r>
        <w:t xml:space="preserve">, ensuring a reliable and distinctive encounter. A central and </w:t>
      </w:r>
      <w:r>
        <w:t>prestigious</w:t>
      </w:r>
      <w:r>
        <w:t xml:space="preserve"> </w:t>
      </w:r>
      <w:r>
        <w:t>region with standing for encouraging upscale events has been picked</w:t>
      </w:r>
      <w:r>
        <w:t xml:space="preserve"> (Faulkner, 2020)</w:t>
      </w:r>
      <w:r>
        <w:t xml:space="preserve">. The </w:t>
      </w:r>
      <w:r>
        <w:t>venue's</w:t>
      </w:r>
      <w:r>
        <w:t xml:space="preserve"> </w:t>
      </w:r>
      <w:r>
        <w:t xml:space="preserve">availability has been confirmed for the event date, ensuring calculated sureness. Its </w:t>
      </w:r>
      <w:r>
        <w:t>adaptable</w:t>
      </w:r>
      <w:r>
        <w:t xml:space="preserve"> </w:t>
      </w:r>
      <w:r>
        <w:t xml:space="preserve">event spaces and remarkable kitchen workplaces faultlessly with the </w:t>
      </w:r>
      <w:r>
        <w:t>event's</w:t>
      </w:r>
      <w:r>
        <w:t xml:space="preserve"> </w:t>
      </w:r>
      <w:r>
        <w:t>requirements</w:t>
      </w:r>
      <w:r>
        <w:t xml:space="preserve">, giving fabric to culinary improvement and a near disposition for </w:t>
      </w:r>
      <w:r>
        <w:t>attendees</w:t>
      </w:r>
      <w:r>
        <w:t>. </w:t>
      </w:r>
    </w:p>
    <w:p w14:paraId="0000001F">
      <w:pPr>
        <w:pStyle w:val="Heading2"/>
        <w:rPr/>
      </w:pPr>
      <w:r>
        <w:t>Required Skills and Resources for Event Staff:</w:t>
      </w:r>
    </w:p>
    <w:p w14:paraId="00000020">
      <w:pPr>
        <w:spacing w:before="120" w:after="120"/>
        <w:rPr/>
      </w:pPr>
      <w:r>
        <w:t xml:space="preserve">The </w:t>
      </w:r>
      <w:r>
        <w:t>success</w:t>
      </w:r>
      <w:r>
        <w:t xml:space="preserve"> </w:t>
      </w:r>
      <w:r>
        <w:t xml:space="preserve">of the Gastronomic </w:t>
      </w:r>
      <w:r>
        <w:t>Grandeur Affair</w:t>
      </w:r>
      <w:r>
        <w:t xml:space="preserve"> depends on a talented and </w:t>
      </w:r>
      <w:r>
        <w:t>dedicated team</w:t>
      </w:r>
      <w:r>
        <w:t xml:space="preserve">. Event staff will require aptitude in </w:t>
      </w:r>
      <w:r>
        <w:t>event management</w:t>
      </w:r>
      <w:r>
        <w:t xml:space="preserve">, </w:t>
      </w:r>
      <w:r>
        <w:t>logistics</w:t>
      </w:r>
      <w:r>
        <w:t xml:space="preserve">, </w:t>
      </w:r>
      <w:r>
        <w:t>hospitality</w:t>
      </w:r>
      <w:r>
        <w:t xml:space="preserve">, and culinary </w:t>
      </w:r>
      <w:r>
        <w:t>arts</w:t>
      </w:r>
      <w:r>
        <w:t xml:space="preserve">. From arranging gourmet </w:t>
      </w:r>
      <w:r>
        <w:t>chef collaborations</w:t>
      </w:r>
      <w:r>
        <w:t xml:space="preserve"> to directing guest participation, versatility is crucial. Additional resources </w:t>
      </w:r>
      <w:r>
        <w:t xml:space="preserve">are </w:t>
      </w:r>
      <w:r>
        <w:t>required</w:t>
      </w:r>
      <w:r>
        <w:t xml:space="preserve"> to</w:t>
      </w:r>
      <w:r>
        <w:t xml:space="preserve"> join catering </w:t>
      </w:r>
      <w:r>
        <w:t xml:space="preserve">services </w:t>
      </w:r>
      <w:r>
        <w:t xml:space="preserve">for diverse culinary commitments, </w:t>
      </w:r>
      <w:r>
        <w:t xml:space="preserve">skilled </w:t>
      </w:r>
      <w:r>
        <w:t xml:space="preserve">lighting experts, </w:t>
      </w:r>
      <w:r>
        <w:t>efficient parking facilities</w:t>
      </w:r>
      <w:r>
        <w:t xml:space="preserve">, </w:t>
      </w:r>
      <w:r>
        <w:t>comfortable seating arrangements</w:t>
      </w:r>
      <w:r>
        <w:t>, and common event coordination capability</w:t>
      </w:r>
      <w:r>
        <w:t xml:space="preserve"> (</w:t>
      </w:r>
      <w:r>
        <w:t>Fyall</w:t>
      </w:r>
      <w:r>
        <w:t xml:space="preserve">, </w:t>
      </w:r>
      <w:r>
        <w:t>Legoherel</w:t>
      </w:r>
      <w:r>
        <w:t xml:space="preserve"> and Poutier, 2013)</w:t>
      </w:r>
      <w:r>
        <w:t xml:space="preserve">. This total </w:t>
      </w:r>
      <w:r>
        <w:t>extent</w:t>
      </w:r>
      <w:r>
        <w:t xml:space="preserve"> of </w:t>
      </w:r>
      <w:r>
        <w:t xml:space="preserve">capacities and resource assignment </w:t>
      </w:r>
      <w:r>
        <w:t>is</w:t>
      </w:r>
      <w:r>
        <w:t xml:space="preserve"> irreplaceable for passing on a steady and </w:t>
      </w:r>
      <w:r>
        <w:t xml:space="preserve">unforgettable </w:t>
      </w:r>
      <w:r>
        <w:t xml:space="preserve">gastronomic </w:t>
      </w:r>
      <w:r>
        <w:t>experience</w:t>
      </w:r>
      <w:r>
        <w:t>. </w:t>
      </w:r>
    </w:p>
    <w:p w14:paraId="00000021">
      <w:pPr>
        <w:pStyle w:val="Heading1"/>
        <w:rPr/>
      </w:pPr>
      <w:r>
        <w:t>Financial Factors</w:t>
      </w:r>
    </w:p>
    <w:p w14:paraId="00000022">
      <w:pPr>
        <w:pStyle w:val="Heading2"/>
        <w:rPr/>
      </w:pPr>
      <w:r>
        <w:t>Summarized Income and Expenditure Table</w:t>
      </w:r>
      <w:r>
        <w:t xml:space="preserve"> of an Event</w:t>
      </w:r>
      <w:r>
        <w:t>:</w:t>
      </w:r>
    </w:p>
    <w:tbl>
      <w:tblPr>
        <w:tblStyle w:val="TableGrid"/>
        <w:tblW w:w="0" w:type="auto"/>
        <w:tblLook w:val="04A0"/>
      </w:tblPr>
      <w:tblGrid>
        <w:gridCol w:w="4675"/>
        <w:gridCol w:w="4675"/>
      </w:tblGrid>
      <w:tr>
        <w:trPr/>
        <w:tc>
          <w:tcPr>
            <w:cnfStyle w:val="101000000000"/>
            <w:tcW w:w="4788" w:type="dxa"/>
          </w:tcPr>
          <w:p w14:paraId="00000023">
            <w:pPr>
              <w:rPr>
                <w:b/>
                <w:bCs/>
              </w:rPr>
            </w:pPr>
            <w:r>
              <w:rPr>
                <w:b/>
                <w:bCs/>
              </w:rPr>
              <w:t>Category</w:t>
            </w:r>
          </w:p>
        </w:tc>
        <w:tc>
          <w:tcPr>
            <w:cnfStyle w:val="100000000000"/>
            <w:tcW w:w="4788" w:type="dxa"/>
          </w:tcPr>
          <w:p w14:paraId="00000024">
            <w:pPr>
              <w:rPr>
                <w:b/>
                <w:bCs/>
              </w:rPr>
            </w:pPr>
            <w:r>
              <w:rPr>
                <w:b/>
                <w:bCs/>
              </w:rPr>
              <w:t>Estimated Costs</w:t>
            </w:r>
          </w:p>
        </w:tc>
      </w:tr>
      <w:tr>
        <w:trPr/>
        <w:tc>
          <w:tcPr>
            <w:cnfStyle w:val="001000100000"/>
            <w:tcW w:w="4788" w:type="dxa"/>
          </w:tcPr>
          <w:p w14:paraId="00000025">
            <w:pPr>
              <w:rPr>
                <w:b/>
                <w:bCs/>
              </w:rPr>
            </w:pPr>
            <w:r>
              <w:rPr>
                <w:b/>
                <w:bCs/>
              </w:rPr>
              <w:t>Venue Rental</w:t>
            </w:r>
          </w:p>
        </w:tc>
        <w:tc>
          <w:tcPr>
            <w:cnfStyle w:val="000000100000"/>
            <w:tcW w:w="4788" w:type="dxa"/>
          </w:tcPr>
          <w:p w14:paraId="00000026">
            <w:pPr>
              <w:rPr>
                <w:b/>
                <w:bCs/>
              </w:rPr>
            </w:pPr>
            <w:r>
              <w:rPr>
                <w:b/>
                <w:bCs/>
              </w:rPr>
              <w:t>£</w:t>
            </w:r>
            <w:r>
              <w:rPr>
                <w:b/>
                <w:bCs/>
              </w:rPr>
              <w:t xml:space="preserve"> 16000</w:t>
            </w:r>
          </w:p>
        </w:tc>
      </w:tr>
      <w:tr>
        <w:trPr/>
        <w:tc>
          <w:tcPr>
            <w:cnfStyle w:val="001000010000"/>
            <w:tcW w:w="4788" w:type="dxa"/>
          </w:tcPr>
          <w:p w14:paraId="00000027">
            <w:pPr>
              <w:rPr>
                <w:b/>
                <w:bCs/>
              </w:rPr>
            </w:pPr>
            <w:r>
              <w:rPr>
                <w:b/>
                <w:bCs/>
              </w:rPr>
              <w:t>Chef Fees</w:t>
            </w:r>
          </w:p>
        </w:tc>
        <w:tc>
          <w:tcPr>
            <w:cnfStyle w:val="000000010000"/>
            <w:tcW w:w="4788" w:type="dxa"/>
          </w:tcPr>
          <w:p w14:paraId="00000028">
            <w:pPr>
              <w:rPr>
                <w:b/>
                <w:bCs/>
              </w:rPr>
            </w:pPr>
            <w:r>
              <w:rPr>
                <w:b/>
                <w:bCs/>
              </w:rPr>
              <w:t>£</w:t>
            </w:r>
            <w:r>
              <w:rPr>
                <w:b/>
                <w:bCs/>
              </w:rPr>
              <w:t xml:space="preserve"> 7500</w:t>
            </w:r>
          </w:p>
        </w:tc>
      </w:tr>
      <w:tr>
        <w:trPr/>
        <w:tc>
          <w:tcPr>
            <w:cnfStyle w:val="001000100000"/>
            <w:tcW w:w="4788" w:type="dxa"/>
          </w:tcPr>
          <w:p w14:paraId="00000029">
            <w:pPr>
              <w:rPr>
                <w:b/>
                <w:bCs/>
              </w:rPr>
            </w:pPr>
            <w:r>
              <w:rPr>
                <w:b/>
                <w:bCs/>
              </w:rPr>
              <w:t>Logistics</w:t>
            </w:r>
          </w:p>
        </w:tc>
        <w:tc>
          <w:tcPr>
            <w:cnfStyle w:val="000000100000"/>
            <w:tcW w:w="4788" w:type="dxa"/>
          </w:tcPr>
          <w:p w14:paraId="0000002A">
            <w:pPr>
              <w:rPr>
                <w:b/>
                <w:bCs/>
              </w:rPr>
            </w:pPr>
            <w:r>
              <w:rPr>
                <w:b/>
                <w:bCs/>
              </w:rPr>
              <w:t>£</w:t>
            </w:r>
            <w:r>
              <w:rPr>
                <w:b/>
                <w:bCs/>
              </w:rPr>
              <w:t xml:space="preserve"> 8000</w:t>
            </w:r>
          </w:p>
        </w:tc>
      </w:tr>
      <w:tr>
        <w:trPr/>
        <w:tc>
          <w:tcPr>
            <w:cnfStyle w:val="001000010000"/>
            <w:tcW w:w="4788" w:type="dxa"/>
          </w:tcPr>
          <w:p w14:paraId="0000002B">
            <w:pPr>
              <w:rPr>
                <w:b/>
                <w:bCs/>
              </w:rPr>
            </w:pPr>
            <w:r>
              <w:rPr>
                <w:b/>
                <w:bCs/>
              </w:rPr>
              <w:t>Marketing</w:t>
            </w:r>
          </w:p>
        </w:tc>
        <w:tc>
          <w:tcPr>
            <w:cnfStyle w:val="000000010000"/>
            <w:tcW w:w="4788" w:type="dxa"/>
          </w:tcPr>
          <w:p w14:paraId="0000002C">
            <w:pPr>
              <w:rPr>
                <w:b/>
                <w:bCs/>
              </w:rPr>
            </w:pPr>
            <w:r>
              <w:rPr>
                <w:b/>
                <w:bCs/>
              </w:rPr>
              <w:t>£</w:t>
            </w:r>
            <w:r>
              <w:rPr>
                <w:b/>
                <w:bCs/>
              </w:rPr>
              <w:t xml:space="preserve"> 10,000</w:t>
            </w:r>
          </w:p>
        </w:tc>
      </w:tr>
      <w:tr>
        <w:trPr/>
        <w:tc>
          <w:tcPr>
            <w:cnfStyle w:val="001000100000"/>
            <w:tcW w:w="4788" w:type="dxa"/>
          </w:tcPr>
          <w:p w14:paraId="0000002D">
            <w:pPr>
              <w:rPr>
                <w:b/>
                <w:bCs/>
              </w:rPr>
            </w:pPr>
            <w:r>
              <w:rPr>
                <w:b/>
                <w:bCs/>
              </w:rPr>
              <w:t>Staff Salaries</w:t>
            </w:r>
          </w:p>
        </w:tc>
        <w:tc>
          <w:tcPr>
            <w:cnfStyle w:val="000000100000"/>
            <w:tcW w:w="4788" w:type="dxa"/>
          </w:tcPr>
          <w:p w14:paraId="0000002E">
            <w:pPr>
              <w:rPr>
                <w:b/>
                <w:bCs/>
              </w:rPr>
            </w:pPr>
            <w:r>
              <w:rPr>
                <w:b/>
                <w:bCs/>
              </w:rPr>
              <w:t>£</w:t>
            </w:r>
            <w:r>
              <w:rPr>
                <w:b/>
                <w:bCs/>
              </w:rPr>
              <w:t xml:space="preserve"> 15,000</w:t>
            </w:r>
          </w:p>
        </w:tc>
      </w:tr>
      <w:tr>
        <w:trPr/>
        <w:tc>
          <w:tcPr>
            <w:cnfStyle w:val="001000010000"/>
            <w:tcW w:w="4788" w:type="dxa"/>
          </w:tcPr>
          <w:p w14:paraId="0000002F">
            <w:pPr>
              <w:rPr>
                <w:b/>
                <w:bCs/>
              </w:rPr>
            </w:pPr>
            <w:r>
              <w:rPr>
                <w:b/>
                <w:bCs/>
              </w:rPr>
              <w:t>Miscellaneous Expenses</w:t>
            </w:r>
          </w:p>
        </w:tc>
        <w:tc>
          <w:tcPr>
            <w:cnfStyle w:val="000000010000"/>
            <w:tcW w:w="4788" w:type="dxa"/>
          </w:tcPr>
          <w:p w14:paraId="00000030">
            <w:pPr>
              <w:rPr>
                <w:b/>
                <w:bCs/>
              </w:rPr>
            </w:pPr>
            <w:r>
              <w:rPr>
                <w:b/>
                <w:bCs/>
              </w:rPr>
              <w:t>£</w:t>
            </w:r>
            <w:r>
              <w:rPr>
                <w:b/>
                <w:bCs/>
              </w:rPr>
              <w:t xml:space="preserve"> 5,000</w:t>
            </w:r>
          </w:p>
        </w:tc>
      </w:tr>
      <w:tr>
        <w:trPr/>
        <w:tc>
          <w:tcPr>
            <w:cnfStyle w:val="001000100000"/>
            <w:tcW w:w="4788" w:type="dxa"/>
          </w:tcPr>
          <w:p w14:paraId="00000031">
            <w:pPr>
              <w:rPr>
                <w:b/>
                <w:bCs/>
              </w:rPr>
            </w:pPr>
            <w:r>
              <w:rPr>
                <w:b/>
                <w:bCs/>
              </w:rPr>
              <w:t>Total Costs</w:t>
            </w:r>
          </w:p>
        </w:tc>
        <w:tc>
          <w:tcPr>
            <w:cnfStyle w:val="000000100000"/>
            <w:tcW w:w="4788" w:type="dxa"/>
          </w:tcPr>
          <w:p w14:paraId="00000032">
            <w:pPr>
              <w:rPr>
                <w:b/>
                <w:bCs/>
              </w:rPr>
            </w:pPr>
            <w:r>
              <w:rPr>
                <w:b/>
                <w:bCs/>
              </w:rPr>
              <w:t>£</w:t>
            </w:r>
            <w:r>
              <w:rPr>
                <w:b/>
                <w:bCs/>
              </w:rPr>
              <w:t xml:space="preserve"> </w:t>
            </w:r>
            <w:r>
              <w:rPr>
                <w:b/>
                <w:bCs/>
              </w:rPr>
              <w:t>61500</w:t>
            </w:r>
          </w:p>
        </w:tc>
      </w:tr>
    </w:tbl>
    <w:p w14:paraId="00000033"/>
    <w:tbl>
      <w:tblPr>
        <w:tblStyle w:val="TableGrid"/>
        <w:tblW w:w="0" w:type="auto"/>
        <w:tblLook w:val="04A0"/>
      </w:tblPr>
      <w:tblGrid>
        <w:gridCol w:w="4675"/>
        <w:gridCol w:w="4675"/>
      </w:tblGrid>
      <w:tr>
        <w:trPr/>
        <w:tc>
          <w:tcPr>
            <w:cnfStyle w:val="101000000000"/>
            <w:tcW w:w="4788" w:type="dxa"/>
          </w:tcPr>
          <w:p w14:paraId="00000034">
            <w:pPr>
              <w:rPr>
                <w:b/>
                <w:bCs/>
              </w:rPr>
            </w:pPr>
            <w:r>
              <w:rPr>
                <w:b/>
                <w:bCs/>
              </w:rPr>
              <w:t>Category</w:t>
            </w:r>
          </w:p>
        </w:tc>
        <w:tc>
          <w:tcPr>
            <w:cnfStyle w:val="100000000000"/>
            <w:tcW w:w="4788" w:type="dxa"/>
          </w:tcPr>
          <w:p w14:paraId="00000035">
            <w:pPr>
              <w:rPr>
                <w:b/>
                <w:bCs/>
              </w:rPr>
            </w:pPr>
            <w:r>
              <w:rPr>
                <w:b/>
                <w:bCs/>
              </w:rPr>
              <w:t>Predicted Revenues</w:t>
            </w:r>
          </w:p>
        </w:tc>
      </w:tr>
      <w:tr>
        <w:trPr/>
        <w:tc>
          <w:tcPr>
            <w:cnfStyle w:val="001000100000"/>
            <w:tcW w:w="4788" w:type="dxa"/>
          </w:tcPr>
          <w:p w14:paraId="00000036">
            <w:pPr>
              <w:rPr>
                <w:b/>
                <w:bCs/>
              </w:rPr>
            </w:pPr>
            <w:r>
              <w:rPr>
                <w:b/>
                <w:bCs/>
              </w:rPr>
              <w:t>Ticket Sales</w:t>
            </w:r>
          </w:p>
        </w:tc>
        <w:tc>
          <w:tcPr>
            <w:cnfStyle w:val="000000100000"/>
            <w:tcW w:w="4788" w:type="dxa"/>
          </w:tcPr>
          <w:p w14:paraId="00000037">
            <w:pPr>
              <w:rPr>
                <w:b/>
                <w:bCs/>
              </w:rPr>
            </w:pPr>
            <w:r>
              <w:rPr>
                <w:b/>
                <w:bCs/>
              </w:rPr>
              <w:t>£</w:t>
            </w:r>
            <w:r>
              <w:rPr>
                <w:b/>
                <w:bCs/>
              </w:rPr>
              <w:t xml:space="preserve"> 25,000</w:t>
            </w:r>
          </w:p>
        </w:tc>
      </w:tr>
      <w:tr>
        <w:trPr/>
        <w:tc>
          <w:tcPr>
            <w:cnfStyle w:val="001000010000"/>
            <w:tcW w:w="4788" w:type="dxa"/>
          </w:tcPr>
          <w:p w14:paraId="00000038">
            <w:pPr>
              <w:rPr>
                <w:b/>
                <w:bCs/>
              </w:rPr>
            </w:pPr>
            <w:r>
              <w:rPr>
                <w:b/>
                <w:bCs/>
              </w:rPr>
              <w:t>Corporate Sponsorships</w:t>
            </w:r>
          </w:p>
        </w:tc>
        <w:tc>
          <w:tcPr>
            <w:cnfStyle w:val="000000010000"/>
            <w:tcW w:w="4788" w:type="dxa"/>
          </w:tcPr>
          <w:p w14:paraId="00000039">
            <w:pPr>
              <w:rPr>
                <w:b/>
                <w:bCs/>
              </w:rPr>
            </w:pPr>
            <w:r>
              <w:rPr>
                <w:b/>
                <w:bCs/>
              </w:rPr>
              <w:t>£</w:t>
            </w:r>
            <w:r>
              <w:rPr>
                <w:b/>
                <w:bCs/>
              </w:rPr>
              <w:t xml:space="preserve"> 10,000</w:t>
            </w:r>
          </w:p>
        </w:tc>
      </w:tr>
      <w:tr>
        <w:trPr/>
        <w:tc>
          <w:tcPr>
            <w:cnfStyle w:val="001000100000"/>
            <w:tcW w:w="4788" w:type="dxa"/>
          </w:tcPr>
          <w:p w14:paraId="0000003A">
            <w:pPr>
              <w:rPr>
                <w:b/>
                <w:bCs/>
              </w:rPr>
            </w:pPr>
            <w:r>
              <w:rPr>
                <w:b/>
                <w:bCs/>
              </w:rPr>
              <w:t>Vendor Fees</w:t>
            </w:r>
          </w:p>
        </w:tc>
        <w:tc>
          <w:tcPr>
            <w:cnfStyle w:val="000000100000"/>
            <w:tcW w:w="4788" w:type="dxa"/>
          </w:tcPr>
          <w:p w14:paraId="0000003B">
            <w:pPr>
              <w:rPr>
                <w:b/>
                <w:bCs/>
              </w:rPr>
            </w:pPr>
            <w:r>
              <w:rPr>
                <w:b/>
                <w:bCs/>
              </w:rPr>
              <w:t>£</w:t>
            </w:r>
            <w:r>
              <w:rPr>
                <w:b/>
                <w:bCs/>
              </w:rPr>
              <w:t xml:space="preserve"> 9,0000</w:t>
            </w:r>
          </w:p>
        </w:tc>
      </w:tr>
      <w:tr>
        <w:trPr/>
        <w:tc>
          <w:tcPr>
            <w:cnfStyle w:val="001000010000"/>
            <w:tcW w:w="4788" w:type="dxa"/>
          </w:tcPr>
          <w:p w14:paraId="0000003C">
            <w:pPr>
              <w:rPr>
                <w:b/>
                <w:bCs/>
              </w:rPr>
            </w:pPr>
            <w:r>
              <w:rPr>
                <w:b/>
                <w:bCs/>
              </w:rPr>
              <w:t>Merchandise Sales</w:t>
            </w:r>
          </w:p>
        </w:tc>
        <w:tc>
          <w:tcPr>
            <w:cnfStyle w:val="000000010000"/>
            <w:tcW w:w="4788" w:type="dxa"/>
          </w:tcPr>
          <w:p w14:paraId="0000003D">
            <w:pPr>
              <w:rPr>
                <w:b/>
                <w:bCs/>
              </w:rPr>
            </w:pPr>
            <w:r>
              <w:rPr>
                <w:b/>
                <w:bCs/>
              </w:rPr>
              <w:t>£</w:t>
            </w:r>
            <w:r>
              <w:rPr>
                <w:b/>
                <w:bCs/>
              </w:rPr>
              <w:t xml:space="preserve"> 4000</w:t>
            </w:r>
          </w:p>
        </w:tc>
      </w:tr>
      <w:tr>
        <w:trPr/>
        <w:tc>
          <w:tcPr>
            <w:cnfStyle w:val="001000100000"/>
            <w:tcW w:w="4788" w:type="dxa"/>
          </w:tcPr>
          <w:p w14:paraId="0000003E">
            <w:pPr>
              <w:rPr>
                <w:b/>
                <w:bCs/>
              </w:rPr>
            </w:pPr>
            <w:r>
              <w:rPr>
                <w:b/>
                <w:bCs/>
              </w:rPr>
              <w:t>VIP Packages</w:t>
            </w:r>
          </w:p>
        </w:tc>
        <w:tc>
          <w:tcPr>
            <w:cnfStyle w:val="000000100000"/>
            <w:tcW w:w="4788" w:type="dxa"/>
          </w:tcPr>
          <w:p w14:paraId="0000003F">
            <w:pPr>
              <w:rPr>
                <w:b/>
                <w:bCs/>
              </w:rPr>
            </w:pPr>
            <w:r>
              <w:rPr>
                <w:b/>
                <w:bCs/>
              </w:rPr>
              <w:t>£</w:t>
            </w:r>
            <w:r>
              <w:rPr>
                <w:b/>
                <w:bCs/>
              </w:rPr>
              <w:t xml:space="preserve"> 11,000</w:t>
            </w:r>
          </w:p>
        </w:tc>
      </w:tr>
      <w:tr>
        <w:trPr/>
        <w:tc>
          <w:tcPr>
            <w:cnfStyle w:val="001000010000"/>
            <w:tcW w:w="4788" w:type="dxa"/>
          </w:tcPr>
          <w:p w14:paraId="00000040">
            <w:pPr>
              <w:rPr>
                <w:b/>
                <w:bCs/>
              </w:rPr>
            </w:pPr>
            <w:r>
              <w:rPr>
                <w:b/>
                <w:bCs/>
              </w:rPr>
              <w:t>Total Revenues</w:t>
            </w:r>
          </w:p>
        </w:tc>
        <w:tc>
          <w:tcPr>
            <w:cnfStyle w:val="000000010000"/>
            <w:tcW w:w="4788" w:type="dxa"/>
          </w:tcPr>
          <w:p w14:paraId="00000041">
            <w:pPr>
              <w:rPr>
                <w:b/>
                <w:bCs/>
              </w:rPr>
            </w:pPr>
            <w:r>
              <w:rPr>
                <w:b/>
                <w:bCs/>
              </w:rPr>
              <w:t>£</w:t>
            </w:r>
            <w:r>
              <w:rPr>
                <w:b/>
                <w:bCs/>
              </w:rPr>
              <w:t xml:space="preserve"> 59,000</w:t>
            </w:r>
            <w:bookmarkStart w:id="0" w:name="_GoBack"/>
            <w:bookmarkEnd w:id="0"/>
          </w:p>
        </w:tc>
      </w:tr>
    </w:tbl>
    <w:p w14:paraId="00000042"/>
    <w:p w14:paraId="00000043">
      <w:pPr>
        <w:pStyle w:val="Heading2"/>
        <w:rPr/>
      </w:pPr>
      <w:r>
        <w:t>Funding Sources and Revenue Generation Strategies:</w:t>
      </w:r>
    </w:p>
    <w:p w14:paraId="00000044">
      <w:pPr>
        <w:spacing w:before="120" w:after="120"/>
        <w:rPr/>
      </w:pPr>
      <w:r>
        <w:t>Subsidi</w:t>
      </w:r>
      <w:r>
        <w:t>s</w:t>
      </w:r>
      <w:r>
        <w:t xml:space="preserve">ing for the Gastronomic </w:t>
      </w:r>
      <w:r>
        <w:t>Grandeur Affair</w:t>
      </w:r>
      <w:r>
        <w:t xml:space="preserve"> will be </w:t>
      </w:r>
      <w:r>
        <w:t>sourced</w:t>
      </w:r>
      <w:r>
        <w:t xml:space="preserve"> </w:t>
      </w:r>
      <w:r>
        <w:t xml:space="preserve">through a </w:t>
      </w:r>
      <w:r>
        <w:t>combination</w:t>
      </w:r>
      <w:r>
        <w:t xml:space="preserve"> </w:t>
      </w:r>
      <w:r>
        <w:t xml:space="preserve">of ticket </w:t>
      </w:r>
      <w:r>
        <w:t>sales</w:t>
      </w:r>
      <w:r>
        <w:t xml:space="preserve">, corporate sponsorships, </w:t>
      </w:r>
      <w:r>
        <w:t>vendor</w:t>
      </w:r>
      <w:r>
        <w:t xml:space="preserve"> </w:t>
      </w:r>
      <w:r>
        <w:t xml:space="preserve">costs, </w:t>
      </w:r>
      <w:r>
        <w:t>merchandise</w:t>
      </w:r>
      <w:r>
        <w:t xml:space="preserve"> </w:t>
      </w:r>
      <w:r>
        <w:t>sales</w:t>
      </w:r>
      <w:r>
        <w:t xml:space="preserve">, and </w:t>
      </w:r>
      <w:r>
        <w:t>VIP packages</w:t>
      </w:r>
      <w:r>
        <w:t xml:space="preserve">. Ticket </w:t>
      </w:r>
      <w:r>
        <w:t>sales</w:t>
      </w:r>
      <w:r>
        <w:t xml:space="preserve"> </w:t>
      </w:r>
      <w:r>
        <w:t xml:space="preserve">address a tremendous </w:t>
      </w:r>
      <w:r>
        <w:t>revenue</w:t>
      </w:r>
      <w:r>
        <w:t xml:space="preserve"> </w:t>
      </w:r>
      <w:r>
        <w:t xml:space="preserve">stream, drawing in culinary lovers able to pay for </w:t>
      </w:r>
      <w:r>
        <w:t>a</w:t>
      </w:r>
      <w:r>
        <w:t xml:space="preserve"> </w:t>
      </w:r>
      <w:r>
        <w:t>first-class</w:t>
      </w:r>
      <w:r>
        <w:t xml:space="preserve"> gastronomic experience</w:t>
      </w:r>
      <w:r>
        <w:t xml:space="preserve"> (Ghaderi and </w:t>
      </w:r>
      <w:r>
        <w:t>Paraskevas</w:t>
      </w:r>
      <w:r>
        <w:t>, 2021)</w:t>
      </w:r>
      <w:r>
        <w:t xml:space="preserve">. Corporate sponsorships will be </w:t>
      </w:r>
      <w:r>
        <w:t>sought</w:t>
      </w:r>
      <w:r>
        <w:t xml:space="preserve"> </w:t>
      </w:r>
      <w:r>
        <w:t xml:space="preserve">from brands lined up with the </w:t>
      </w:r>
      <w:r>
        <w:t>event's</w:t>
      </w:r>
      <w:r>
        <w:t xml:space="preserve"> </w:t>
      </w:r>
      <w:r>
        <w:t xml:space="preserve">ethos, advertising </w:t>
      </w:r>
      <w:r>
        <w:t>permeability</w:t>
      </w:r>
      <w:r>
        <w:t xml:space="preserve"> and</w:t>
      </w:r>
      <w:r>
        <w:t xml:space="preserve"> </w:t>
      </w:r>
      <w:r>
        <w:t>brand integration</w:t>
      </w:r>
      <w:r>
        <w:t xml:space="preserve">. </w:t>
      </w:r>
      <w:r>
        <w:t>Vendor</w:t>
      </w:r>
      <w:r>
        <w:t xml:space="preserve"> </w:t>
      </w:r>
      <w:r>
        <w:t>fees</w:t>
      </w:r>
      <w:r>
        <w:t xml:space="preserve"> </w:t>
      </w:r>
      <w:r>
        <w:t xml:space="preserve">will include pay, allowing chosen culinary assistants to include their commitments. Stock </w:t>
      </w:r>
      <w:r>
        <w:t xml:space="preserve">bargains and </w:t>
      </w:r>
      <w:r>
        <w:t>VIP packages</w:t>
      </w:r>
      <w:r>
        <w:t xml:space="preserve">, </w:t>
      </w:r>
      <w:r>
        <w:t>offering</w:t>
      </w:r>
      <w:r>
        <w:t xml:space="preserve"> </w:t>
      </w:r>
      <w:r>
        <w:t xml:space="preserve">premium experiences, will also extend pay. This broadened approach ensures </w:t>
      </w:r>
      <w:r>
        <w:t>money-related</w:t>
      </w:r>
      <w:r>
        <w:t xml:space="preserve"> sensibility, diminishing the bet of anticipated hardships and empowering </w:t>
      </w:r>
      <w:r>
        <w:t>an</w:t>
      </w:r>
      <w:r>
        <w:t xml:space="preserve"> effective </w:t>
      </w:r>
      <w:r>
        <w:t>financial</w:t>
      </w:r>
      <w:r>
        <w:t xml:space="preserve"> </w:t>
      </w:r>
      <w:r>
        <w:t>beginning point for the result of the event</w:t>
      </w:r>
      <w:r>
        <w:t xml:space="preserve"> </w:t>
      </w:r>
      <w:r>
        <w:t>(Gupta et al., 2023)</w:t>
      </w:r>
      <w:r>
        <w:t>. </w:t>
      </w:r>
    </w:p>
    <w:p w14:paraId="00000045">
      <w:pPr>
        <w:pStyle w:val="Heading1"/>
        <w:rPr/>
      </w:pPr>
      <w:r>
        <w:t>SWOT Analysis for Gastronomic Grandeur Affair:</w:t>
      </w:r>
    </w:p>
    <w:p w14:paraId="00000046">
      <w:pPr>
        <w:pStyle w:val="Heading2"/>
        <w:rPr/>
      </w:pPr>
      <w:r>
        <w:t>Strengths:</w:t>
      </w:r>
      <w:r>
        <w:t xml:space="preserve"> </w:t>
      </w:r>
    </w:p>
    <w:p w14:paraId="00000047">
      <w:pPr>
        <w:spacing w:before="120" w:after="120"/>
        <w:rPr/>
      </w:pPr>
      <w:r>
        <w:t xml:space="preserve">The </w:t>
      </w:r>
      <w:r>
        <w:t>event's</w:t>
      </w:r>
      <w:r>
        <w:t xml:space="preserve"> </w:t>
      </w:r>
      <w:r>
        <w:t xml:space="preserve">resources lie in its </w:t>
      </w:r>
      <w:r>
        <w:t>curated</w:t>
      </w:r>
      <w:r>
        <w:t xml:space="preserve"> </w:t>
      </w:r>
      <w:r>
        <w:t xml:space="preserve">culinary experiences, highlighting around the </w:t>
      </w:r>
      <w:r>
        <w:t>world-renowned</w:t>
      </w:r>
      <w:r>
        <w:t xml:space="preserve"> chefs</w:t>
      </w:r>
      <w:r>
        <w:t xml:space="preserve">, ensuring an uncommon </w:t>
      </w:r>
      <w:r>
        <w:t>commitment</w:t>
      </w:r>
      <w:r>
        <w:t xml:space="preserve">. </w:t>
      </w:r>
      <w:r>
        <w:t>An</w:t>
      </w:r>
      <w:r>
        <w:t xml:space="preserve"> effective </w:t>
      </w:r>
      <w:r>
        <w:t>marketing</w:t>
      </w:r>
      <w:r>
        <w:t xml:space="preserve"> </w:t>
      </w:r>
      <w:r>
        <w:t xml:space="preserve">strategy </w:t>
      </w:r>
      <w:r>
        <w:t>leveraging</w:t>
      </w:r>
      <w:r>
        <w:t xml:space="preserve"> </w:t>
      </w:r>
      <w:r>
        <w:t xml:space="preserve">social media and influencer </w:t>
      </w:r>
      <w:r>
        <w:t>collaboration</w:t>
      </w:r>
      <w:r>
        <w:t xml:space="preserve"> </w:t>
      </w:r>
      <w:r>
        <w:t>endeavours</w:t>
      </w:r>
      <w:r>
        <w:t xml:space="preserve"> makes strides </w:t>
      </w:r>
      <w:r>
        <w:t xml:space="preserve">in </w:t>
      </w:r>
      <w:r>
        <w:t xml:space="preserve">brand </w:t>
      </w:r>
      <w:r>
        <w:t>visibility</w:t>
      </w:r>
      <w:r>
        <w:t xml:space="preserve">. Besides, </w:t>
      </w:r>
      <w:r>
        <w:t>strategic</w:t>
      </w:r>
      <w:r>
        <w:t xml:space="preserve"> </w:t>
      </w:r>
      <w:r>
        <w:t>partnerships</w:t>
      </w:r>
      <w:r>
        <w:t xml:space="preserve"> </w:t>
      </w:r>
      <w:r>
        <w:t xml:space="preserve">with </w:t>
      </w:r>
      <w:r>
        <w:t>local businesses</w:t>
      </w:r>
      <w:r>
        <w:t xml:space="preserve"> </w:t>
      </w:r>
      <w:r>
        <w:t xml:space="preserve">include </w:t>
      </w:r>
      <w:r>
        <w:t>community engagement</w:t>
      </w:r>
      <w:r>
        <w:t xml:space="preserve"> (</w:t>
      </w:r>
      <w:r>
        <w:t>Kandampully</w:t>
      </w:r>
      <w:r>
        <w:t xml:space="preserve"> and </w:t>
      </w:r>
      <w:r>
        <w:t>Solnet</w:t>
      </w:r>
      <w:r>
        <w:t>, 2019)</w:t>
      </w:r>
      <w:r>
        <w:t>. </w:t>
      </w:r>
    </w:p>
    <w:p w14:paraId="00000048">
      <w:pPr>
        <w:pStyle w:val="Heading2"/>
        <w:rPr/>
      </w:pPr>
      <w:r>
        <w:t>Weaknesses:</w:t>
      </w:r>
    </w:p>
    <w:p w14:paraId="00000049">
      <w:pPr>
        <w:spacing w:before="120" w:after="120"/>
        <w:rPr/>
      </w:pPr>
      <w:r>
        <w:t xml:space="preserve">A potential </w:t>
      </w:r>
      <w:r>
        <w:t>weakness</w:t>
      </w:r>
      <w:r>
        <w:t xml:space="preserve"> </w:t>
      </w:r>
      <w:r>
        <w:t xml:space="preserve">is the </w:t>
      </w:r>
      <w:r>
        <w:t>event's</w:t>
      </w:r>
      <w:r>
        <w:t xml:space="preserve"> </w:t>
      </w:r>
      <w:r>
        <w:t xml:space="preserve">reliance on </w:t>
      </w:r>
      <w:r>
        <w:t>external factors such as weather</w:t>
      </w:r>
      <w:r>
        <w:t xml:space="preserve">, speaking to a calculated test for open </w:t>
      </w:r>
      <w:r>
        <w:t>discussion</w:t>
      </w:r>
      <w:r>
        <w:t xml:space="preserve"> parts. </w:t>
      </w:r>
      <w:r>
        <w:t>Also</w:t>
      </w:r>
      <w:r>
        <w:t xml:space="preserve">, managing high-profile culinary </w:t>
      </w:r>
      <w:r>
        <w:t>chef's</w:t>
      </w:r>
      <w:r>
        <w:t xml:space="preserve"> </w:t>
      </w:r>
      <w:r>
        <w:t xml:space="preserve">timetables might present coordination challenges. </w:t>
      </w:r>
      <w:r>
        <w:t>Addressing</w:t>
      </w:r>
      <w:r>
        <w:t xml:space="preserve"> </w:t>
      </w:r>
      <w:r>
        <w:t xml:space="preserve">these deficiencies requires plausibility </w:t>
      </w:r>
      <w:r>
        <w:t>planning</w:t>
      </w:r>
      <w:r>
        <w:t xml:space="preserve"> </w:t>
      </w:r>
      <w:r>
        <w:t xml:space="preserve">and </w:t>
      </w:r>
      <w:r>
        <w:t>effective</w:t>
      </w:r>
      <w:r>
        <w:t xml:space="preserve"> </w:t>
      </w:r>
      <w:r>
        <w:t>communication</w:t>
      </w:r>
      <w:r>
        <w:t xml:space="preserve"> </w:t>
      </w:r>
      <w:r>
        <w:t>strategies</w:t>
      </w:r>
      <w:r>
        <w:t xml:space="preserve"> (Walker, 2017)</w:t>
      </w:r>
      <w:r>
        <w:t>. </w:t>
      </w:r>
    </w:p>
    <w:p w14:paraId="0000004A">
      <w:pPr>
        <w:pStyle w:val="Heading2"/>
        <w:rPr/>
      </w:pPr>
      <w:r>
        <w:t>Opportunities:</w:t>
      </w:r>
      <w:r>
        <w:t xml:space="preserve"> </w:t>
      </w:r>
    </w:p>
    <w:p w14:paraId="0000004B">
      <w:pPr>
        <w:spacing w:before="120" w:after="120"/>
        <w:rPr/>
      </w:pPr>
      <w:r>
        <w:t xml:space="preserve">The </w:t>
      </w:r>
      <w:r>
        <w:t>growing</w:t>
      </w:r>
      <w:r>
        <w:t xml:space="preserve"> </w:t>
      </w:r>
      <w:r>
        <w:t>trend</w:t>
      </w:r>
      <w:r>
        <w:t xml:space="preserve"> </w:t>
      </w:r>
      <w:r>
        <w:t xml:space="preserve">of </w:t>
      </w:r>
      <w:r>
        <w:t xml:space="preserve">the </w:t>
      </w:r>
      <w:r>
        <w:t xml:space="preserve">culinary travel industry presents a </w:t>
      </w:r>
      <w:r>
        <w:t>significant opportunity</w:t>
      </w:r>
      <w:r>
        <w:t xml:space="preserve">, lining up with the </w:t>
      </w:r>
      <w:r>
        <w:t>event's</w:t>
      </w:r>
      <w:r>
        <w:t xml:space="preserve"> </w:t>
      </w:r>
      <w:r>
        <w:t>aim</w:t>
      </w:r>
      <w:r>
        <w:t xml:space="preserve"> </w:t>
      </w:r>
      <w:r>
        <w:t xml:space="preserve">to draw in a distinctive swarm. </w:t>
      </w:r>
      <w:r>
        <w:t>Strategic</w:t>
      </w:r>
      <w:r>
        <w:t xml:space="preserve"> </w:t>
      </w:r>
      <w:r>
        <w:t>endeavours</w:t>
      </w:r>
      <w:r>
        <w:t xml:space="preserve"> with</w:t>
      </w:r>
      <w:r>
        <w:t xml:space="preserve"> </w:t>
      </w:r>
      <w:r>
        <w:t>local businesses</w:t>
      </w:r>
      <w:r>
        <w:t xml:space="preserve"> and sponsor grant streets to </w:t>
      </w:r>
      <w:r>
        <w:t>amplify</w:t>
      </w:r>
      <w:r>
        <w:t xml:space="preserve"> the </w:t>
      </w:r>
      <w:r>
        <w:t>event's</w:t>
      </w:r>
      <w:r>
        <w:t xml:space="preserve"> </w:t>
      </w:r>
      <w:r>
        <w:t xml:space="preserve">span and </w:t>
      </w:r>
      <w:r>
        <w:t>offerings</w:t>
      </w:r>
      <w:r>
        <w:t xml:space="preserve"> </w:t>
      </w:r>
      <w:r>
        <w:t>(</w:t>
      </w:r>
      <w:r>
        <w:t>Kotur</w:t>
      </w:r>
      <w:r>
        <w:t xml:space="preserve"> and Dixit, 2022)</w:t>
      </w:r>
      <w:r>
        <w:t>. </w:t>
      </w:r>
    </w:p>
    <w:p w14:paraId="0000004C">
      <w:pPr>
        <w:pStyle w:val="Heading2"/>
        <w:rPr/>
      </w:pPr>
      <w:r>
        <w:t>Threats:</w:t>
      </w:r>
    </w:p>
    <w:p w14:paraId="0000004D">
      <w:pPr>
        <w:spacing w:before="120" w:after="120"/>
        <w:rPr/>
      </w:pPr>
      <w:r>
        <w:t xml:space="preserve">External threats join unforeseen conditions like </w:t>
      </w:r>
      <w:r>
        <w:t>health</w:t>
      </w:r>
      <w:r>
        <w:t xml:space="preserve"> </w:t>
      </w:r>
      <w:r>
        <w:t xml:space="preserve">crises impacting support. </w:t>
      </w:r>
      <w:r>
        <w:t>Challenges</w:t>
      </w:r>
      <w:r>
        <w:t xml:space="preserve"> from comparable events </w:t>
      </w:r>
      <w:r>
        <w:t>may pose a challenge</w:t>
      </w:r>
      <w:r>
        <w:t xml:space="preserve">, underscoring the necessity for unfaltering improvement and division to keep an upper hand within the </w:t>
      </w:r>
      <w:r>
        <w:t>dynamic</w:t>
      </w:r>
      <w:r>
        <w:t xml:space="preserve"> culinary event space. </w:t>
      </w:r>
    </w:p>
    <w:p w14:paraId="0000004E">
      <w:pPr>
        <w:pStyle w:val="Heading1"/>
        <w:tabs>
          <w:tab w:val="left" w:pos="2988"/>
        </w:tabs>
        <w:rPr/>
      </w:pPr>
      <w:r>
        <w:t>PESTLE Analysis</w:t>
      </w:r>
      <w:r>
        <w:tab/>
      </w:r>
    </w:p>
    <w:p w14:paraId="0000004F">
      <w:pPr>
        <w:spacing w:before="120" w:after="120"/>
        <w:rPr>
          <w:b/>
          <w:bCs/>
        </w:rPr>
      </w:pPr>
      <w:r>
        <w:rPr>
          <w:b/>
          <w:bCs/>
        </w:rPr>
        <w:t>Political:</w:t>
      </w:r>
    </w:p>
    <w:p w14:paraId="00000050">
      <w:pPr>
        <w:spacing w:before="120" w:after="120"/>
        <w:rPr/>
      </w:pPr>
      <w:r>
        <w:t xml:space="preserve">Political components consolidate </w:t>
      </w:r>
      <w:r>
        <w:t>consistency</w:t>
      </w:r>
      <w:r>
        <w:t xml:space="preserve"> with</w:t>
      </w:r>
      <w:r>
        <w:t xml:space="preserve"> </w:t>
      </w:r>
      <w:r>
        <w:t>local regulations</w:t>
      </w:r>
      <w:r>
        <w:t xml:space="preserve"> and </w:t>
      </w:r>
      <w:r>
        <w:t>obtain</w:t>
      </w:r>
      <w:r>
        <w:t xml:space="preserve"> basic gifts for the event. Investigating political thoughts ensures a smooth </w:t>
      </w:r>
      <w:r>
        <w:t>planning</w:t>
      </w:r>
      <w:r>
        <w:t xml:space="preserve"> </w:t>
      </w:r>
      <w:r>
        <w:t>process</w:t>
      </w:r>
      <w:r>
        <w:t xml:space="preserve"> </w:t>
      </w:r>
      <w:r>
        <w:t>and successful execution</w:t>
      </w:r>
      <w:r>
        <w:t xml:space="preserve"> (</w:t>
      </w:r>
      <w:r>
        <w:t>Uysal</w:t>
      </w:r>
      <w:r>
        <w:t xml:space="preserve">, Schwartz and </w:t>
      </w:r>
      <w:r>
        <w:t>Sirakaya</w:t>
      </w:r>
      <w:r>
        <w:t>-Turk, 2021)</w:t>
      </w:r>
      <w:r>
        <w:t>.</w:t>
      </w:r>
    </w:p>
    <w:p w14:paraId="00000051">
      <w:pPr>
        <w:spacing w:before="120" w:after="120"/>
        <w:rPr>
          <w:b/>
          <w:bCs/>
        </w:rPr>
      </w:pPr>
      <w:r>
        <w:rPr>
          <w:b/>
          <w:bCs/>
        </w:rPr>
        <w:t>Economic</w:t>
      </w:r>
      <w:r>
        <w:rPr>
          <w:b/>
          <w:bCs/>
        </w:rPr>
        <w:t>:</w:t>
      </w:r>
    </w:p>
    <w:p w14:paraId="00000052">
      <w:pPr>
        <w:spacing w:before="120" w:after="120"/>
        <w:rPr/>
      </w:pPr>
      <w:r>
        <w:t>Economic</w:t>
      </w:r>
      <w:r>
        <w:t xml:space="preserve"> </w:t>
      </w:r>
      <w:r>
        <w:t>factors</w:t>
      </w:r>
      <w:r>
        <w:t xml:space="preserve"> </w:t>
      </w:r>
      <w:r>
        <w:t xml:space="preserve">impact </w:t>
      </w:r>
      <w:r>
        <w:t xml:space="preserve">the </w:t>
      </w:r>
      <w:r>
        <w:t xml:space="preserve">moderateness </w:t>
      </w:r>
      <w:r>
        <w:t>of</w:t>
      </w:r>
      <w:r>
        <w:t xml:space="preserve"> members and the </w:t>
      </w:r>
      <w:r>
        <w:t>event's</w:t>
      </w:r>
      <w:r>
        <w:t xml:space="preserve"> </w:t>
      </w:r>
      <w:r>
        <w:t>economic</w:t>
      </w:r>
      <w:r>
        <w:t xml:space="preserve"> </w:t>
      </w:r>
      <w:r>
        <w:t xml:space="preserve">commitment to </w:t>
      </w:r>
      <w:r>
        <w:t>local businesses</w:t>
      </w:r>
      <w:r>
        <w:t xml:space="preserve">. Understanding </w:t>
      </w:r>
      <w:r>
        <w:t>economic</w:t>
      </w:r>
      <w:r>
        <w:t xml:space="preserve"> designs makes a difference </w:t>
      </w:r>
      <w:r>
        <w:t>in</w:t>
      </w:r>
      <w:r>
        <w:t xml:space="preserve"> setting ticket costs, choosing sponsorships, and ensuring a positive </w:t>
      </w:r>
      <w:r>
        <w:t>economic</w:t>
      </w:r>
      <w:r>
        <w:t xml:space="preserve"> impact on the </w:t>
      </w:r>
      <w:r>
        <w:t>event's</w:t>
      </w:r>
      <w:r>
        <w:t xml:space="preserve"> </w:t>
      </w:r>
      <w:r>
        <w:t>location</w:t>
      </w:r>
      <w:r>
        <w:t xml:space="preserve"> (Nagpal, 2020)</w:t>
      </w:r>
      <w:r>
        <w:t>.</w:t>
      </w:r>
    </w:p>
    <w:p w14:paraId="00000053">
      <w:pPr>
        <w:spacing w:before="120" w:after="120"/>
        <w:rPr>
          <w:b/>
          <w:bCs/>
        </w:rPr>
      </w:pPr>
      <w:r>
        <w:rPr>
          <w:b/>
          <w:bCs/>
        </w:rPr>
        <w:t>Social:</w:t>
      </w:r>
    </w:p>
    <w:p w14:paraId="00000054">
      <w:pPr>
        <w:spacing w:before="120" w:after="120"/>
        <w:rPr/>
      </w:pPr>
      <w:r>
        <w:t xml:space="preserve">Social </w:t>
      </w:r>
      <w:r>
        <w:t>factors</w:t>
      </w:r>
      <w:r>
        <w:t xml:space="preserve">, </w:t>
      </w:r>
      <w:r>
        <w:t>including</w:t>
      </w:r>
      <w:r>
        <w:t xml:space="preserve"> inclusivity, </w:t>
      </w:r>
      <w:r>
        <w:t>cultural</w:t>
      </w:r>
      <w:r>
        <w:t xml:space="preserve"> </w:t>
      </w:r>
      <w:r>
        <w:t xml:space="preserve">responsiveness, and </w:t>
      </w:r>
      <w:r>
        <w:t>community engagement</w:t>
      </w:r>
      <w:r>
        <w:t xml:space="preserve">, are irreplaceable. Fitting the event to distinctive social slants develops a feeling of having a put and ensures </w:t>
      </w:r>
      <w:r>
        <w:t xml:space="preserve">a </w:t>
      </w:r>
      <w:r>
        <w:t xml:space="preserve">wide charm interior </w:t>
      </w:r>
      <w:r>
        <w:t xml:space="preserve">of </w:t>
      </w:r>
      <w:r>
        <w:t>the objective fragment.</w:t>
      </w:r>
    </w:p>
    <w:p w14:paraId="00000055">
      <w:pPr>
        <w:spacing w:before="120" w:after="120"/>
        <w:rPr>
          <w:b/>
          <w:bCs/>
        </w:rPr>
      </w:pPr>
      <w:r>
        <w:rPr>
          <w:b/>
          <w:bCs/>
        </w:rPr>
        <w:t>Technological</w:t>
      </w:r>
      <w:r>
        <w:rPr>
          <w:b/>
          <w:bCs/>
        </w:rPr>
        <w:t>:</w:t>
      </w:r>
    </w:p>
    <w:p w14:paraId="00000056">
      <w:pPr>
        <w:spacing w:before="120" w:after="120"/>
        <w:rPr/>
      </w:pPr>
      <w:r>
        <w:t>Leveraging</w:t>
      </w:r>
      <w:r>
        <w:t xml:space="preserve"> </w:t>
      </w:r>
      <w:r>
        <w:t>technology</w:t>
      </w:r>
      <w:r>
        <w:t xml:space="preserve"> </w:t>
      </w:r>
      <w:r>
        <w:t xml:space="preserve">updates event movement, from online ticket </w:t>
      </w:r>
      <w:r>
        <w:t>sales</w:t>
      </w:r>
      <w:r>
        <w:t xml:space="preserve"> </w:t>
      </w:r>
      <w:r>
        <w:t xml:space="preserve">stages to natural event applications. </w:t>
      </w:r>
      <w:r>
        <w:t>Incorporating</w:t>
      </w:r>
      <w:r>
        <w:t xml:space="preserve"> </w:t>
      </w:r>
      <w:r>
        <w:t xml:space="preserve">inventive headways includes steady exercises and an </w:t>
      </w:r>
      <w:r>
        <w:t>enhanced attendee experience</w:t>
      </w:r>
      <w:r>
        <w:t xml:space="preserve"> (</w:t>
      </w:r>
      <w:r>
        <w:t>Okumus</w:t>
      </w:r>
      <w:r>
        <w:t xml:space="preserve"> and Linton-Kelly, 2022)</w:t>
      </w:r>
      <w:r>
        <w:t>.</w:t>
      </w:r>
    </w:p>
    <w:p w14:paraId="00000057">
      <w:pPr>
        <w:spacing w:before="120" w:after="120"/>
        <w:rPr>
          <w:b/>
          <w:bCs/>
        </w:rPr>
      </w:pPr>
      <w:r>
        <w:rPr>
          <w:b/>
          <w:bCs/>
        </w:rPr>
        <w:t>Legal</w:t>
      </w:r>
      <w:r>
        <w:rPr>
          <w:b/>
          <w:bCs/>
        </w:rPr>
        <w:t>:</w:t>
      </w:r>
    </w:p>
    <w:p w14:paraId="00000058">
      <w:pPr>
        <w:spacing w:before="120" w:after="120"/>
        <w:rPr/>
      </w:pPr>
      <w:r>
        <w:t>Adhering</w:t>
      </w:r>
      <w:r>
        <w:t xml:space="preserve"> </w:t>
      </w:r>
      <w:r>
        <w:t>to</w:t>
      </w:r>
      <w:r>
        <w:t xml:space="preserve"> </w:t>
      </w:r>
      <w:r>
        <w:t>health</w:t>
      </w:r>
      <w:r>
        <w:t xml:space="preserve"> </w:t>
      </w:r>
      <w:r>
        <w:t xml:space="preserve">and </w:t>
      </w:r>
      <w:r>
        <w:t>safety regulations</w:t>
      </w:r>
      <w:r>
        <w:t xml:space="preserve">, </w:t>
      </w:r>
      <w:r>
        <w:t>licensing</w:t>
      </w:r>
      <w:r>
        <w:t xml:space="preserve"> </w:t>
      </w:r>
      <w:r>
        <w:t xml:space="preserve">prerequisites, and definitive commitments with assistants are </w:t>
      </w:r>
      <w:r>
        <w:t>critical legal</w:t>
      </w:r>
      <w:r>
        <w:t xml:space="preserve"> considerations. Ensuring genuine </w:t>
      </w:r>
      <w:r>
        <w:t>consistency</w:t>
      </w:r>
      <w:r>
        <w:t xml:space="preserve"> protects the </w:t>
      </w:r>
      <w:r>
        <w:t>event's</w:t>
      </w:r>
      <w:r>
        <w:t xml:space="preserve"> </w:t>
      </w:r>
      <w:r>
        <w:t xml:space="preserve">standing and </w:t>
      </w:r>
      <w:r>
        <w:t>minimizes risks</w:t>
      </w:r>
      <w:r>
        <w:t>.</w:t>
      </w:r>
    </w:p>
    <w:p w14:paraId="00000059">
      <w:pPr>
        <w:spacing w:before="120" w:after="120"/>
        <w:rPr>
          <w:b/>
          <w:bCs/>
        </w:rPr>
      </w:pPr>
      <w:r>
        <w:rPr>
          <w:b/>
          <w:bCs/>
        </w:rPr>
        <w:t>Environmental:</w:t>
      </w:r>
    </w:p>
    <w:p w14:paraId="0000005A">
      <w:pPr>
        <w:spacing w:before="120" w:after="120"/>
        <w:rPr/>
      </w:pPr>
      <w:r>
        <w:t>Environmental</w:t>
      </w:r>
      <w:r>
        <w:t xml:space="preserve"> </w:t>
      </w:r>
      <w:r>
        <w:t xml:space="preserve">thoughts incorporate taking on sensible hones to restrain the </w:t>
      </w:r>
      <w:r>
        <w:t>event's</w:t>
      </w:r>
      <w:r>
        <w:t xml:space="preserve"> </w:t>
      </w:r>
      <w:r>
        <w:t xml:space="preserve">organic impression. This joins </w:t>
      </w:r>
      <w:r>
        <w:t>waste reduction</w:t>
      </w:r>
      <w:r>
        <w:t xml:space="preserve">, </w:t>
      </w:r>
      <w:r>
        <w:t>energy</w:t>
      </w:r>
      <w:r>
        <w:t xml:space="preserve"> </w:t>
      </w:r>
      <w:r>
        <w:t>efficiency, and selecting eco-</w:t>
      </w:r>
      <w:r>
        <w:t>friendly</w:t>
      </w:r>
      <w:r>
        <w:t xml:space="preserve"> </w:t>
      </w:r>
      <w:r>
        <w:t xml:space="preserve">suppliers, lining up with the </w:t>
      </w:r>
      <w:r>
        <w:t>global</w:t>
      </w:r>
      <w:r>
        <w:t xml:space="preserve"> </w:t>
      </w:r>
      <w:r>
        <w:t xml:space="preserve">move towards </w:t>
      </w:r>
      <w:r>
        <w:t>environmentally conscious events</w:t>
      </w:r>
      <w:r>
        <w:t xml:space="preserve"> (</w:t>
      </w:r>
      <w:r>
        <w:t>Okumus</w:t>
      </w:r>
      <w:r>
        <w:t xml:space="preserve"> et al., 2019)</w:t>
      </w:r>
      <w:r>
        <w:t>. </w:t>
      </w:r>
    </w:p>
    <w:p w14:paraId="0000005B">
      <w:pPr>
        <w:pStyle w:val="Heading1"/>
        <w:rPr/>
      </w:pPr>
      <w:r>
        <w:t>Mitigation Strategies</w:t>
      </w:r>
    </w:p>
    <w:p w14:paraId="0000005C">
      <w:pPr>
        <w:pStyle w:val="Heading2"/>
        <w:rPr/>
      </w:pPr>
      <w:r>
        <w:t>Addressing Weather Dependence:</w:t>
      </w:r>
    </w:p>
    <w:p w14:paraId="0000005D">
      <w:pPr>
        <w:spacing w:before="120" w:after="120"/>
        <w:rPr/>
      </w:pPr>
      <w:r>
        <w:t xml:space="preserve">To </w:t>
      </w:r>
      <w:r>
        <w:t>mitigate</w:t>
      </w:r>
      <w:r>
        <w:t xml:space="preserve"> </w:t>
      </w:r>
      <w:r>
        <w:t xml:space="preserve">the impact of </w:t>
      </w:r>
      <w:r>
        <w:t>weather on the event</w:t>
      </w:r>
      <w:r>
        <w:t xml:space="preserve">, versatile scene </w:t>
      </w:r>
      <w:r>
        <w:t>arrangements</w:t>
      </w:r>
      <w:r>
        <w:t xml:space="preserve"> </w:t>
      </w:r>
      <w:r>
        <w:t xml:space="preserve">of activity and possibility plans for </w:t>
      </w:r>
      <w:r>
        <w:t>outdoor components will be in place</w:t>
      </w:r>
      <w:r>
        <w:t xml:space="preserve">. Correspondence channels will ensure </w:t>
      </w:r>
      <w:r>
        <w:t>attendees</w:t>
      </w:r>
      <w:r>
        <w:t xml:space="preserve"> </w:t>
      </w:r>
      <w:r>
        <w:t xml:space="preserve">are taught rapidly of any changes, keeping a positive </w:t>
      </w:r>
      <w:r>
        <w:t>attendee</w:t>
      </w:r>
      <w:r>
        <w:t xml:space="preserve"> </w:t>
      </w:r>
      <w:r>
        <w:t>involvement</w:t>
      </w:r>
      <w:r>
        <w:t xml:space="preserve"> (Peterson, 2016)</w:t>
      </w:r>
      <w:r>
        <w:t>. </w:t>
      </w:r>
    </w:p>
    <w:p w14:paraId="0000005E">
      <w:pPr>
        <w:pStyle w:val="Heading2"/>
        <w:rPr/>
      </w:pPr>
      <w:r>
        <w:t>Managing Chef Schedules:</w:t>
      </w:r>
    </w:p>
    <w:p w14:paraId="0000005F">
      <w:pPr>
        <w:spacing w:before="120" w:after="120"/>
        <w:rPr/>
      </w:pPr>
      <w:r>
        <w:t>Establishing</w:t>
      </w:r>
      <w:r>
        <w:t xml:space="preserve"> </w:t>
      </w:r>
      <w:r>
        <w:t xml:space="preserve">early correspondence and clear </w:t>
      </w:r>
      <w:r>
        <w:t>agreements</w:t>
      </w:r>
      <w:r>
        <w:t xml:space="preserve"> </w:t>
      </w:r>
      <w:r>
        <w:t xml:space="preserve">with high-profile </w:t>
      </w:r>
      <w:r>
        <w:t>chefs</w:t>
      </w:r>
      <w:r>
        <w:t xml:space="preserve"> will help </w:t>
      </w:r>
      <w:r>
        <w:t>mitigate</w:t>
      </w:r>
      <w:r>
        <w:t xml:space="preserve"> </w:t>
      </w:r>
      <w:r>
        <w:t xml:space="preserve">booking challenges. Consolidating flexibility into the program and having reinforcement choices for culinary </w:t>
      </w:r>
      <w:r>
        <w:t>master-facilitated</w:t>
      </w:r>
      <w:r>
        <w:t xml:space="preserve"> </w:t>
      </w:r>
      <w:r>
        <w:t>endeavours</w:t>
      </w:r>
      <w:r>
        <w:t xml:space="preserve"> will restrain interferences</w:t>
      </w:r>
      <w:r>
        <w:t xml:space="preserve"> (Raga, 2019)</w:t>
      </w:r>
      <w:r>
        <w:t>. </w:t>
      </w:r>
    </w:p>
    <w:p w14:paraId="00000060">
      <w:pPr>
        <w:pStyle w:val="Heading2"/>
        <w:rPr/>
      </w:pPr>
      <w:r>
        <w:t>Contingency Plans for External Threats:</w:t>
      </w:r>
    </w:p>
    <w:p w14:paraId="00000061">
      <w:pPr>
        <w:spacing w:before="120" w:after="120"/>
        <w:rPr/>
      </w:pPr>
      <w:r>
        <w:t>Considering</w:t>
      </w:r>
      <w:r>
        <w:t xml:space="preserve"> unexpected conditions like </w:t>
      </w:r>
      <w:r>
        <w:t>health</w:t>
      </w:r>
      <w:r>
        <w:t xml:space="preserve"> </w:t>
      </w:r>
      <w:r>
        <w:t xml:space="preserve">crises, total interchange courses of activity will be executed. This </w:t>
      </w:r>
      <w:r>
        <w:t>includes</w:t>
      </w:r>
      <w:r>
        <w:t xml:space="preserve"> </w:t>
      </w:r>
      <w:r>
        <w:t xml:space="preserve">clear </w:t>
      </w:r>
      <w:r>
        <w:t>communication</w:t>
      </w:r>
      <w:r>
        <w:t xml:space="preserve"> </w:t>
      </w:r>
      <w:r>
        <w:t>protocols</w:t>
      </w:r>
      <w:r>
        <w:t xml:space="preserve">, </w:t>
      </w:r>
      <w:r>
        <w:t>refund</w:t>
      </w:r>
      <w:r>
        <w:t xml:space="preserve"> </w:t>
      </w:r>
      <w:r>
        <w:t>policies</w:t>
      </w:r>
      <w:r>
        <w:t xml:space="preserve">, and </w:t>
      </w:r>
      <w:r>
        <w:t>alternative</w:t>
      </w:r>
      <w:r>
        <w:t xml:space="preserve"> </w:t>
      </w:r>
      <w:r>
        <w:t>event setups like virtual parts, ensuring adaptability to energetic circumstances</w:t>
      </w:r>
      <w:r>
        <w:t xml:space="preserve"> (Sabourin, 2021)</w:t>
      </w:r>
      <w:r>
        <w:t>. </w:t>
      </w:r>
    </w:p>
    <w:p w14:paraId="00000062">
      <w:pPr>
        <w:pStyle w:val="Heading2"/>
        <w:rPr/>
      </w:pPr>
      <w:r>
        <w:t>Innovating to Address Competition:</w:t>
      </w:r>
    </w:p>
    <w:p w14:paraId="00000063">
      <w:pPr>
        <w:spacing w:before="120" w:after="120"/>
        <w:rPr/>
      </w:pPr>
      <w:r>
        <w:t>Continuous</w:t>
      </w:r>
      <w:r>
        <w:t xml:space="preserve"> </w:t>
      </w:r>
      <w:r>
        <w:t xml:space="preserve">progression in event commitments, for illustration, showing </w:t>
      </w:r>
      <w:r>
        <w:t>unique</w:t>
      </w:r>
      <w:r>
        <w:t xml:space="preserve"> </w:t>
      </w:r>
      <w:r>
        <w:t xml:space="preserve">themes and experiences, will address the threat of competition. Standard factual studying will light up key changes, ensuring the Gastronomic </w:t>
      </w:r>
      <w:r>
        <w:t>Grandeur Affair</w:t>
      </w:r>
      <w:r>
        <w:t xml:space="preserve"> remains a pioneer within the culinary event space</w:t>
      </w:r>
      <w:r>
        <w:t xml:space="preserve"> (Sharma, 2022)</w:t>
      </w:r>
      <w:r>
        <w:t>. </w:t>
      </w:r>
    </w:p>
    <w:p w14:paraId="00000064">
      <w:r>
        <w:rPr/>
        <w:br w:type="page"/>
      </w:r>
    </w:p>
    <w:p w14:paraId="00000065">
      <w:pPr>
        <w:pStyle w:val="Heading1"/>
        <w:rPr/>
      </w:pPr>
      <w:r>
        <w:t>Conclusion</w:t>
      </w:r>
    </w:p>
    <w:p w14:paraId="00000066">
      <w:pPr>
        <w:spacing w:before="120" w:after="120"/>
        <w:rPr/>
      </w:pPr>
      <w:r>
        <w:t>T</w:t>
      </w:r>
      <w:r>
        <w:t xml:space="preserve">his </w:t>
      </w:r>
      <w:r>
        <w:t>exploration</w:t>
      </w:r>
      <w:r>
        <w:t xml:space="preserve"> </w:t>
      </w:r>
      <w:r>
        <w:t xml:space="preserve">of the Gastronomic </w:t>
      </w:r>
      <w:r>
        <w:t>Grandeur Affair</w:t>
      </w:r>
      <w:r>
        <w:t xml:space="preserve"> </w:t>
      </w:r>
      <w:r>
        <w:t>unveils</w:t>
      </w:r>
      <w:r>
        <w:t xml:space="preserve"> a complex weaved craftsmanship of culinary advancement and </w:t>
      </w:r>
      <w:r>
        <w:t>strategic</w:t>
      </w:r>
      <w:r>
        <w:t xml:space="preserve"> </w:t>
      </w:r>
      <w:r>
        <w:t xml:space="preserve">capacity. The combination of showcase encounters, cautious arrangement, and talented plausibility gauges fortify its circumstance as a reference point within the culinary event scene. As we anticipate the occasion's affirmation, the resources highlighted, inadequacies tended to, and potential open entryways held onto ensure </w:t>
      </w:r>
      <w:r>
        <w:t>a</w:t>
      </w:r>
      <w:r>
        <w:t xml:space="preserve"> basic gastronomic journey. The </w:t>
      </w:r>
      <w:r>
        <w:t>journey</w:t>
      </w:r>
      <w:r>
        <w:t xml:space="preserve"> </w:t>
      </w:r>
      <w:r>
        <w:t xml:space="preserve">from common sense to imperative orchestrating uncovers an event as well as </w:t>
      </w:r>
      <w:r>
        <w:t>an</w:t>
      </w:r>
      <w:r>
        <w:t xml:space="preserve"> exhibit of the steady blend of eagerness and exactness. The Gastronomic </w:t>
      </w:r>
      <w:r>
        <w:t>Grandeur Affair</w:t>
      </w:r>
      <w:r>
        <w:t xml:space="preserve"> calls, promising an exceptional symphony of </w:t>
      </w:r>
      <w:r>
        <w:t>flavours</w:t>
      </w:r>
      <w:r>
        <w:t xml:space="preserve"> and experiences. </w:t>
      </w:r>
    </w:p>
    <w:p w14:paraId="00000067">
      <w:r>
        <w:rPr/>
        <w:br w:type="page"/>
      </w:r>
    </w:p>
    <w:p w14:paraId="00000068">
      <w:pPr>
        <w:pStyle w:val="Heading1"/>
        <w:rPr/>
      </w:pPr>
      <w:r>
        <w:t>References</w:t>
      </w:r>
    </w:p>
    <w:p w14:paraId="00000069">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 xml:space="preserve">Bagri, S. C., </w:t>
      </w:r>
      <w:r>
        <w:rPr>
          <w:rFonts w:ascii="Georgia" w:cs="Times New Roman" w:eastAsia="Times New Roman" w:hAnsi="Georgia"/>
          <w:szCs w:val="24"/>
          <w:lang w:eastAsia="en-GB"/>
        </w:rPr>
        <w:t>Dhodi</w:t>
      </w:r>
      <w:r>
        <w:rPr>
          <w:rFonts w:ascii="Georgia" w:cs="Times New Roman" w:eastAsia="Times New Roman" w:hAnsi="Georgia"/>
          <w:szCs w:val="24"/>
          <w:lang w:eastAsia="en-GB"/>
        </w:rPr>
        <w:t>, R. K. and Junaid, K. C. (eds) (2022) </w:t>
      </w:r>
      <w:r>
        <w:rPr>
          <w:rFonts w:ascii="Georgia" w:cs="Times New Roman" w:eastAsia="Times New Roman" w:hAnsi="Georgia"/>
          <w:i/>
          <w:iCs/>
          <w:szCs w:val="24"/>
          <w:lang w:eastAsia="en-GB"/>
        </w:rPr>
        <w:t>Entrepreneurship education in tourism and hospitality management</w:t>
      </w:r>
      <w:r>
        <w:rPr>
          <w:rFonts w:ascii="Georgia" w:cs="Times New Roman" w:eastAsia="Times New Roman" w:hAnsi="Georgia"/>
          <w:szCs w:val="24"/>
          <w:lang w:eastAsia="en-GB"/>
        </w:rPr>
        <w:t>. Hershey, PA, USA: Business Science Reference.</w:t>
      </w:r>
    </w:p>
    <w:p w14:paraId="0000006A">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Batabyal</w:t>
      </w:r>
      <w:r>
        <w:rPr>
          <w:rFonts w:ascii="Georgia" w:cs="Times New Roman" w:eastAsia="Times New Roman" w:hAnsi="Georgia"/>
          <w:szCs w:val="24"/>
          <w:lang w:eastAsia="en-GB"/>
        </w:rPr>
        <w:t>, D. and Das, D. K. (eds) (2019) </w:t>
      </w:r>
      <w:r>
        <w:rPr>
          <w:rFonts w:ascii="Georgia" w:cs="Times New Roman" w:eastAsia="Times New Roman" w:hAnsi="Georgia"/>
          <w:i/>
          <w:iCs/>
          <w:szCs w:val="24"/>
          <w:lang w:eastAsia="en-GB"/>
        </w:rPr>
        <w:t>Global trends, practices, and challenges in contemporary tourism and hospitality management</w:t>
      </w:r>
      <w:r>
        <w:rPr>
          <w:rFonts w:ascii="Georgia" w:cs="Times New Roman" w:eastAsia="Times New Roman" w:hAnsi="Georgia"/>
          <w:szCs w:val="24"/>
          <w:lang w:eastAsia="en-GB"/>
        </w:rPr>
        <w:t>. Hershey, PA, USA: IGI Global.</w:t>
      </w:r>
    </w:p>
    <w:p w14:paraId="0000006B">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Chandra, M. (2021) </w:t>
      </w:r>
      <w:r>
        <w:rPr>
          <w:rFonts w:ascii="Georgia" w:cs="Times New Roman" w:eastAsia="Times New Roman" w:hAnsi="Georgia"/>
          <w:i/>
          <w:iCs/>
          <w:szCs w:val="24"/>
          <w:lang w:eastAsia="en-GB"/>
        </w:rPr>
        <w:t xml:space="preserve">Comfort management in </w:t>
      </w:r>
      <w:r>
        <w:rPr>
          <w:rFonts w:ascii="Georgia" w:cs="Times New Roman" w:eastAsia="Times New Roman" w:hAnsi="Georgia"/>
          <w:i/>
          <w:iCs/>
          <w:szCs w:val="24"/>
          <w:lang w:eastAsia="en-GB"/>
        </w:rPr>
        <w:t xml:space="preserve">the </w:t>
      </w:r>
      <w:r>
        <w:rPr>
          <w:rFonts w:ascii="Georgia" w:cs="Times New Roman" w:eastAsia="Times New Roman" w:hAnsi="Georgia"/>
          <w:i/>
          <w:iCs/>
          <w:szCs w:val="24"/>
          <w:lang w:eastAsia="en-GB"/>
        </w:rPr>
        <w:t>hospitality &amp; tourism industry</w:t>
      </w:r>
      <w:r>
        <w:rPr>
          <w:rFonts w:ascii="Georgia" w:cs="Times New Roman" w:eastAsia="Times New Roman" w:hAnsi="Georgia"/>
          <w:szCs w:val="24"/>
          <w:lang w:eastAsia="en-GB"/>
        </w:rPr>
        <w:t xml:space="preserve">. India: </w:t>
      </w:r>
      <w:r>
        <w:rPr>
          <w:rFonts w:ascii="Georgia" w:cs="Times New Roman" w:eastAsia="Times New Roman" w:hAnsi="Georgia"/>
          <w:szCs w:val="24"/>
          <w:lang w:eastAsia="en-GB"/>
        </w:rPr>
        <w:t>Namya</w:t>
      </w:r>
      <w:r>
        <w:rPr>
          <w:rFonts w:ascii="Georgia" w:cs="Times New Roman" w:eastAsia="Times New Roman" w:hAnsi="Georgia"/>
          <w:szCs w:val="24"/>
          <w:lang w:eastAsia="en-GB"/>
        </w:rPr>
        <w:t xml:space="preserve"> Press.</w:t>
      </w:r>
    </w:p>
    <w:p w14:paraId="0000006C">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Edeson</w:t>
      </w:r>
      <w:r>
        <w:rPr>
          <w:rFonts w:ascii="Georgia" w:cs="Times New Roman" w:eastAsia="Times New Roman" w:hAnsi="Georgia"/>
          <w:szCs w:val="24"/>
          <w:lang w:eastAsia="en-GB"/>
        </w:rPr>
        <w:t>, B. (2014) </w:t>
      </w:r>
      <w:r>
        <w:rPr>
          <w:rFonts w:ascii="Georgia" w:cs="Times New Roman" w:eastAsia="Times New Roman" w:hAnsi="Georgia"/>
          <w:i/>
          <w:iCs/>
          <w:szCs w:val="24"/>
          <w:lang w:eastAsia="en-GB"/>
        </w:rPr>
        <w:t>Hospitality and tourism management strategies</w:t>
      </w:r>
      <w:r>
        <w:rPr>
          <w:rFonts w:ascii="Georgia" w:cs="Times New Roman" w:eastAsia="Times New Roman" w:hAnsi="Georgia"/>
          <w:szCs w:val="24"/>
          <w:lang w:eastAsia="en-GB"/>
        </w:rPr>
        <w:t>. New Delhi, India: Random Publications.</w:t>
      </w:r>
    </w:p>
    <w:p w14:paraId="0000006D">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Evans, N. G. (2019) </w:t>
      </w:r>
      <w:r>
        <w:rPr>
          <w:rFonts w:ascii="Georgia" w:cs="Times New Roman" w:eastAsia="Times New Roman" w:hAnsi="Georgia"/>
          <w:i/>
          <w:iCs/>
          <w:szCs w:val="24"/>
          <w:lang w:eastAsia="en-GB"/>
        </w:rPr>
        <w:t>Strategic management for tourism, hospitality and events</w:t>
      </w:r>
      <w:r>
        <w:rPr>
          <w:rFonts w:ascii="Georgia" w:cs="Times New Roman" w:eastAsia="Times New Roman" w:hAnsi="Georgia"/>
          <w:szCs w:val="24"/>
          <w:lang w:eastAsia="en-GB"/>
        </w:rPr>
        <w:t xml:space="preserve">. 3rd </w:t>
      </w:r>
      <w:r>
        <w:rPr>
          <w:rFonts w:ascii="Georgia" w:cs="Times New Roman" w:eastAsia="Times New Roman" w:hAnsi="Georgia"/>
          <w:szCs w:val="24"/>
          <w:lang w:eastAsia="en-GB"/>
        </w:rPr>
        <w:t>ed</w:t>
      </w:r>
      <w:r>
        <w:rPr>
          <w:rFonts w:ascii="Georgia" w:cs="Times New Roman" w:eastAsia="Times New Roman" w:hAnsi="Georgia"/>
          <w:szCs w:val="24"/>
          <w:lang w:eastAsia="en-GB"/>
        </w:rPr>
        <w:t>. London: Routledge.</w:t>
      </w:r>
    </w:p>
    <w:p w14:paraId="0000006E">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Faulkner, G. (ed.) (2020) </w:t>
      </w:r>
      <w:r>
        <w:rPr>
          <w:rFonts w:ascii="Georgia" w:cs="Times New Roman" w:eastAsia="Times New Roman" w:hAnsi="Georgia"/>
          <w:i/>
          <w:iCs/>
          <w:szCs w:val="24"/>
          <w:lang w:eastAsia="en-GB"/>
        </w:rPr>
        <w:t>Hospitality and Tourism Management</w:t>
      </w:r>
      <w:r>
        <w:rPr>
          <w:rFonts w:ascii="Georgia" w:cs="Times New Roman" w:eastAsia="Times New Roman" w:hAnsi="Georgia"/>
          <w:szCs w:val="24"/>
          <w:lang w:eastAsia="en-GB"/>
        </w:rPr>
        <w:t xml:space="preserve">. </w:t>
      </w:r>
      <w:r>
        <w:rPr>
          <w:rFonts w:ascii="Georgia" w:cs="Times New Roman" w:eastAsia="Times New Roman" w:hAnsi="Georgia"/>
          <w:szCs w:val="24"/>
          <w:lang w:eastAsia="en-GB"/>
        </w:rPr>
        <w:t>Willford</w:t>
      </w:r>
      <w:r>
        <w:rPr>
          <w:rFonts w:ascii="Georgia" w:cs="Times New Roman" w:eastAsia="Times New Roman" w:hAnsi="Georgia"/>
          <w:szCs w:val="24"/>
          <w:lang w:eastAsia="en-GB"/>
        </w:rPr>
        <w:t xml:space="preserve"> Press.</w:t>
      </w:r>
    </w:p>
    <w:p w14:paraId="0000006F">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Fyall</w:t>
      </w:r>
      <w:r>
        <w:rPr>
          <w:rFonts w:ascii="Georgia" w:cs="Times New Roman" w:eastAsia="Times New Roman" w:hAnsi="Georgia"/>
          <w:szCs w:val="24"/>
          <w:lang w:eastAsia="en-GB"/>
        </w:rPr>
        <w:t xml:space="preserve">, A., </w:t>
      </w:r>
      <w:r>
        <w:rPr>
          <w:rFonts w:ascii="Georgia" w:cs="Times New Roman" w:eastAsia="Times New Roman" w:hAnsi="Georgia"/>
          <w:szCs w:val="24"/>
          <w:lang w:eastAsia="en-GB"/>
        </w:rPr>
        <w:t>Legoherel</w:t>
      </w:r>
      <w:r>
        <w:rPr>
          <w:rFonts w:ascii="Georgia" w:cs="Times New Roman" w:eastAsia="Times New Roman" w:hAnsi="Georgia"/>
          <w:szCs w:val="24"/>
          <w:lang w:eastAsia="en-GB"/>
        </w:rPr>
        <w:t>, P. and Poutier, E. (eds) (2013) </w:t>
      </w:r>
      <w:r>
        <w:rPr>
          <w:rFonts w:ascii="Georgia" w:cs="Times New Roman" w:eastAsia="Times New Roman" w:hAnsi="Georgia"/>
          <w:i/>
          <w:iCs/>
          <w:szCs w:val="24"/>
          <w:lang w:eastAsia="en-GB"/>
        </w:rPr>
        <w:t>Revenue Management for Hospitality and Tourism</w:t>
      </w:r>
      <w:r>
        <w:rPr>
          <w:rFonts w:ascii="Georgia" w:cs="Times New Roman" w:eastAsia="Times New Roman" w:hAnsi="Georgia"/>
          <w:szCs w:val="24"/>
          <w:lang w:eastAsia="en-GB"/>
        </w:rPr>
        <w:t>. Oxford: Goodfellow.</w:t>
      </w:r>
    </w:p>
    <w:p w14:paraId="00000070">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 xml:space="preserve">Ghaderi, Z. and </w:t>
      </w:r>
      <w:r>
        <w:rPr>
          <w:rFonts w:ascii="Georgia" w:cs="Times New Roman" w:eastAsia="Times New Roman" w:hAnsi="Georgia"/>
          <w:szCs w:val="24"/>
          <w:lang w:eastAsia="en-GB"/>
        </w:rPr>
        <w:t>Paraskevas</w:t>
      </w:r>
      <w:r>
        <w:rPr>
          <w:rFonts w:ascii="Georgia" w:cs="Times New Roman" w:eastAsia="Times New Roman" w:hAnsi="Georgia"/>
          <w:szCs w:val="24"/>
          <w:lang w:eastAsia="en-GB"/>
        </w:rPr>
        <w:t>, A. (eds) (2021) </w:t>
      </w:r>
      <w:r>
        <w:rPr>
          <w:rFonts w:ascii="Georgia" w:cs="Times New Roman" w:eastAsia="Times New Roman" w:hAnsi="Georgia"/>
          <w:i/>
          <w:iCs/>
          <w:szCs w:val="24"/>
          <w:lang w:eastAsia="en-GB"/>
        </w:rPr>
        <w:t>Organizational learning in tourism and hospitality crisis management</w:t>
      </w:r>
      <w:r>
        <w:rPr>
          <w:rFonts w:ascii="Georgia" w:cs="Times New Roman" w:eastAsia="Times New Roman" w:hAnsi="Georgia"/>
          <w:szCs w:val="24"/>
          <w:lang w:eastAsia="en-GB"/>
        </w:rPr>
        <w:t>. Berlin, Germany: De Gruyter.</w:t>
      </w:r>
    </w:p>
    <w:p w14:paraId="00000071">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Gupta </w:t>
      </w:r>
      <w:r>
        <w:rPr>
          <w:rFonts w:ascii="Georgia" w:cs="Times New Roman" w:eastAsia="Times New Roman" w:hAnsi="Georgia"/>
          <w:i/>
          <w:iCs/>
          <w:szCs w:val="24"/>
          <w:lang w:eastAsia="en-GB"/>
        </w:rPr>
        <w:t>et al.</w:t>
      </w:r>
      <w:r>
        <w:rPr>
          <w:rFonts w:ascii="Georgia" w:cs="Times New Roman" w:eastAsia="Times New Roman" w:hAnsi="Georgia"/>
          <w:szCs w:val="24"/>
          <w:lang w:eastAsia="en-GB"/>
        </w:rPr>
        <w:t> (eds) (2023) </w:t>
      </w:r>
      <w:r>
        <w:rPr>
          <w:rFonts w:ascii="Georgia" w:cs="Times New Roman" w:eastAsia="Times New Roman" w:hAnsi="Georgia"/>
          <w:i/>
          <w:iCs/>
          <w:szCs w:val="24"/>
          <w:lang w:eastAsia="en-GB"/>
        </w:rPr>
        <w:t>Management and practices of pilgrimage tourism and hospitality</w:t>
      </w:r>
      <w:r>
        <w:rPr>
          <w:rFonts w:ascii="Georgia" w:cs="Times New Roman" w:eastAsia="Times New Roman" w:hAnsi="Georgia"/>
          <w:szCs w:val="24"/>
          <w:lang w:eastAsia="en-GB"/>
        </w:rPr>
        <w:t>. Hershey, PA, USA: IGI Global.</w:t>
      </w:r>
    </w:p>
    <w:p w14:paraId="00000072">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Kandampully</w:t>
      </w:r>
      <w:r>
        <w:rPr>
          <w:rFonts w:ascii="Georgia" w:cs="Times New Roman" w:eastAsia="Times New Roman" w:hAnsi="Georgia"/>
          <w:szCs w:val="24"/>
          <w:lang w:eastAsia="en-GB"/>
        </w:rPr>
        <w:t xml:space="preserve">, J. and </w:t>
      </w:r>
      <w:r>
        <w:rPr>
          <w:rFonts w:ascii="Georgia" w:cs="Times New Roman" w:eastAsia="Times New Roman" w:hAnsi="Georgia"/>
          <w:szCs w:val="24"/>
          <w:lang w:eastAsia="en-GB"/>
        </w:rPr>
        <w:t>Solnet</w:t>
      </w:r>
      <w:r>
        <w:rPr>
          <w:rFonts w:ascii="Georgia" w:cs="Times New Roman" w:eastAsia="Times New Roman" w:hAnsi="Georgia"/>
          <w:szCs w:val="24"/>
          <w:lang w:eastAsia="en-GB"/>
        </w:rPr>
        <w:t>, D. (2019) </w:t>
      </w:r>
      <w:r>
        <w:rPr>
          <w:rFonts w:ascii="Georgia" w:cs="Times New Roman" w:eastAsia="Times New Roman" w:hAnsi="Georgia"/>
          <w:i/>
          <w:iCs/>
          <w:szCs w:val="24"/>
          <w:lang w:eastAsia="en-GB"/>
        </w:rPr>
        <w:t>Service management principles for hospitality &amp; tourism</w:t>
      </w:r>
      <w:r>
        <w:rPr>
          <w:rFonts w:ascii="Georgia" w:cs="Times New Roman" w:eastAsia="Times New Roman" w:hAnsi="Georgia"/>
          <w:szCs w:val="24"/>
          <w:lang w:eastAsia="en-GB"/>
        </w:rPr>
        <w:t xml:space="preserve">. 3rd </w:t>
      </w:r>
      <w:r>
        <w:rPr>
          <w:rFonts w:ascii="Georgia" w:cs="Times New Roman" w:eastAsia="Times New Roman" w:hAnsi="Georgia"/>
          <w:szCs w:val="24"/>
          <w:lang w:eastAsia="en-GB"/>
        </w:rPr>
        <w:t>ed</w:t>
      </w:r>
      <w:r>
        <w:rPr>
          <w:rFonts w:ascii="Georgia" w:cs="Times New Roman" w:eastAsia="Times New Roman" w:hAnsi="Georgia"/>
          <w:szCs w:val="24"/>
          <w:lang w:eastAsia="en-GB"/>
        </w:rPr>
        <w:t>. Oxford: Goodfellow.</w:t>
      </w:r>
    </w:p>
    <w:p w14:paraId="00000073">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Kotur</w:t>
      </w:r>
      <w:r>
        <w:rPr>
          <w:rFonts w:ascii="Georgia" w:cs="Times New Roman" w:eastAsia="Times New Roman" w:hAnsi="Georgia"/>
          <w:szCs w:val="24"/>
          <w:lang w:eastAsia="en-GB"/>
        </w:rPr>
        <w:t>, A. S. and Dixit, S. K. (eds) (2022) </w:t>
      </w:r>
      <w:r>
        <w:rPr>
          <w:rFonts w:ascii="Georgia" w:cs="Times New Roman" w:eastAsia="Times New Roman" w:hAnsi="Georgia"/>
          <w:i/>
          <w:iCs/>
          <w:szCs w:val="24"/>
          <w:lang w:eastAsia="en-GB"/>
        </w:rPr>
        <w:t>The emerald handbook of luxury management for hospitality and tourism</w:t>
      </w:r>
      <w:r>
        <w:rPr>
          <w:rFonts w:ascii="Georgia" w:cs="Times New Roman" w:eastAsia="Times New Roman" w:hAnsi="Georgia"/>
          <w:szCs w:val="24"/>
          <w:lang w:eastAsia="en-GB"/>
        </w:rPr>
        <w:t>. Bingley: Emerald Publishing.</w:t>
      </w:r>
    </w:p>
    <w:p w14:paraId="00000074">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Nagpal (2020) </w:t>
      </w:r>
      <w:r>
        <w:rPr>
          <w:rFonts w:ascii="Georgia" w:cs="Times New Roman" w:eastAsia="Times New Roman" w:hAnsi="Georgia"/>
          <w:i/>
          <w:iCs/>
          <w:szCs w:val="24"/>
          <w:lang w:eastAsia="en-GB"/>
        </w:rPr>
        <w:t xml:space="preserve">Tourism &amp; hospitality management: Becoming a call </w:t>
      </w:r>
      <w:r>
        <w:rPr>
          <w:rFonts w:ascii="Georgia" w:cs="Times New Roman" w:eastAsia="Times New Roman" w:hAnsi="Georgia"/>
          <w:i/>
          <w:iCs/>
          <w:szCs w:val="24"/>
          <w:lang w:eastAsia="en-GB"/>
        </w:rPr>
        <w:t>centre</w:t>
      </w:r>
      <w:r>
        <w:rPr>
          <w:rFonts w:ascii="Georgia" w:cs="Times New Roman" w:eastAsia="Times New Roman" w:hAnsi="Georgia"/>
          <w:i/>
          <w:iCs/>
          <w:szCs w:val="24"/>
          <w:lang w:eastAsia="en-GB"/>
        </w:rPr>
        <w:t xml:space="preserve"> employee</w:t>
      </w:r>
      <w:r>
        <w:rPr>
          <w:rFonts w:ascii="Georgia" w:cs="Times New Roman" w:eastAsia="Times New Roman" w:hAnsi="Georgia"/>
          <w:szCs w:val="24"/>
          <w:lang w:eastAsia="en-GB"/>
        </w:rPr>
        <w:t>. New Delhi, India: Shree Publishers &amp; Distributors.</w:t>
      </w:r>
    </w:p>
    <w:p w14:paraId="00000075">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Okumus</w:t>
      </w:r>
      <w:r>
        <w:rPr>
          <w:rFonts w:ascii="Georgia" w:cs="Times New Roman" w:eastAsia="Times New Roman" w:hAnsi="Georgia"/>
          <w:szCs w:val="24"/>
          <w:lang w:eastAsia="en-GB"/>
        </w:rPr>
        <w:t>, B. and Linton-Kelly, H. (2022) </w:t>
      </w:r>
      <w:r>
        <w:rPr>
          <w:rFonts w:ascii="Georgia" w:cs="Times New Roman" w:eastAsia="Times New Roman" w:hAnsi="Georgia"/>
          <w:i/>
          <w:iCs/>
          <w:szCs w:val="24"/>
          <w:lang w:eastAsia="en-GB"/>
        </w:rPr>
        <w:t>Wellness management in hospitality and tourism</w:t>
      </w:r>
      <w:r>
        <w:rPr>
          <w:rFonts w:ascii="Georgia" w:cs="Times New Roman" w:eastAsia="Times New Roman" w:hAnsi="Georgia"/>
          <w:szCs w:val="24"/>
          <w:lang w:eastAsia="en-GB"/>
        </w:rPr>
        <w:t>. Oxford: Goodfellow.</w:t>
      </w:r>
    </w:p>
    <w:p w14:paraId="00000076">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Okumus</w:t>
      </w:r>
      <w:r>
        <w:rPr>
          <w:rFonts w:ascii="Georgia" w:cs="Times New Roman" w:eastAsia="Times New Roman" w:hAnsi="Georgia"/>
          <w:szCs w:val="24"/>
          <w:lang w:eastAsia="en-GB"/>
        </w:rPr>
        <w:t>, F. </w:t>
      </w:r>
      <w:r>
        <w:rPr>
          <w:rFonts w:ascii="Georgia" w:cs="Times New Roman" w:eastAsia="Times New Roman" w:hAnsi="Georgia"/>
          <w:i/>
          <w:iCs/>
          <w:szCs w:val="24"/>
          <w:lang w:eastAsia="en-GB"/>
        </w:rPr>
        <w:t>et al.</w:t>
      </w:r>
      <w:r>
        <w:rPr>
          <w:rFonts w:ascii="Georgia" w:cs="Times New Roman" w:eastAsia="Times New Roman" w:hAnsi="Georgia"/>
          <w:szCs w:val="24"/>
          <w:lang w:eastAsia="en-GB"/>
        </w:rPr>
        <w:t> (2019) </w:t>
      </w:r>
      <w:r>
        <w:rPr>
          <w:rFonts w:ascii="Georgia" w:cs="Times New Roman" w:eastAsia="Times New Roman" w:hAnsi="Georgia"/>
          <w:i/>
          <w:iCs/>
          <w:szCs w:val="24"/>
          <w:lang w:eastAsia="en-GB"/>
        </w:rPr>
        <w:t>Strategic management for hospitality and tourism</w:t>
      </w:r>
      <w:r>
        <w:rPr>
          <w:rFonts w:ascii="Georgia" w:cs="Times New Roman" w:eastAsia="Times New Roman" w:hAnsi="Georgia"/>
          <w:szCs w:val="24"/>
          <w:lang w:eastAsia="en-GB"/>
        </w:rPr>
        <w:t xml:space="preserve">. 2nd </w:t>
      </w:r>
      <w:r>
        <w:rPr>
          <w:rFonts w:ascii="Georgia" w:cs="Times New Roman" w:eastAsia="Times New Roman" w:hAnsi="Georgia"/>
          <w:szCs w:val="24"/>
          <w:lang w:eastAsia="en-GB"/>
        </w:rPr>
        <w:t>ed</w:t>
      </w:r>
      <w:r>
        <w:rPr>
          <w:rFonts w:ascii="Georgia" w:cs="Times New Roman" w:eastAsia="Times New Roman" w:hAnsi="Georgia"/>
          <w:szCs w:val="24"/>
          <w:lang w:eastAsia="en-GB"/>
        </w:rPr>
        <w:t>. New York, NY, USA: Routledge Member of the Taylor and Francis Group.</w:t>
      </w:r>
    </w:p>
    <w:p w14:paraId="00000077">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Peterson, D. (ed.) (2016) </w:t>
      </w:r>
      <w:r>
        <w:rPr>
          <w:rFonts w:ascii="Georgia" w:cs="Times New Roman" w:eastAsia="Times New Roman" w:hAnsi="Georgia"/>
          <w:i/>
          <w:iCs/>
          <w:szCs w:val="24"/>
          <w:lang w:eastAsia="en-GB"/>
        </w:rPr>
        <w:t>Strategic management for tourism and hospitality</w:t>
      </w:r>
      <w:r>
        <w:rPr>
          <w:rFonts w:ascii="Georgia" w:cs="Times New Roman" w:eastAsia="Times New Roman" w:hAnsi="Georgia"/>
          <w:szCs w:val="24"/>
          <w:lang w:eastAsia="en-GB"/>
        </w:rPr>
        <w:t xml:space="preserve">. </w:t>
      </w:r>
      <w:r>
        <w:rPr>
          <w:rFonts w:ascii="Georgia" w:cs="Times New Roman" w:eastAsia="Times New Roman" w:hAnsi="Georgia"/>
          <w:szCs w:val="24"/>
          <w:lang w:eastAsia="en-GB"/>
        </w:rPr>
        <w:t>Willford</w:t>
      </w:r>
      <w:r>
        <w:rPr>
          <w:rFonts w:ascii="Georgia" w:cs="Times New Roman" w:eastAsia="Times New Roman" w:hAnsi="Georgia"/>
          <w:szCs w:val="24"/>
          <w:lang w:eastAsia="en-GB"/>
        </w:rPr>
        <w:t xml:space="preserve"> Press.</w:t>
      </w:r>
    </w:p>
    <w:p w14:paraId="00000078">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Raga, J. (2019) </w:t>
      </w:r>
      <w:r>
        <w:rPr>
          <w:rFonts w:ascii="Georgia" w:cs="Times New Roman" w:eastAsia="Times New Roman" w:hAnsi="Georgia"/>
          <w:i/>
          <w:iCs/>
          <w:szCs w:val="24"/>
          <w:lang w:eastAsia="en-GB"/>
        </w:rPr>
        <w:t>Strategic management for hospitality &amp; tourism sector</w:t>
      </w:r>
      <w:r>
        <w:rPr>
          <w:rFonts w:ascii="Georgia" w:cs="Times New Roman" w:eastAsia="Times New Roman" w:hAnsi="Georgia"/>
          <w:szCs w:val="24"/>
          <w:lang w:eastAsia="en-GB"/>
        </w:rPr>
        <w:t xml:space="preserve">. Oakville, ON, Canada: </w:t>
      </w:r>
      <w:r>
        <w:rPr>
          <w:rFonts w:ascii="Georgia" w:cs="Times New Roman" w:eastAsia="Times New Roman" w:hAnsi="Georgia"/>
          <w:szCs w:val="24"/>
          <w:lang w:eastAsia="en-GB"/>
        </w:rPr>
        <w:t>Arcler</w:t>
      </w:r>
      <w:r>
        <w:rPr>
          <w:rFonts w:ascii="Georgia" w:cs="Times New Roman" w:eastAsia="Times New Roman" w:hAnsi="Georgia"/>
          <w:szCs w:val="24"/>
          <w:lang w:eastAsia="en-GB"/>
        </w:rPr>
        <w:t xml:space="preserve"> Education.</w:t>
      </w:r>
    </w:p>
    <w:p w14:paraId="00000079">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Sabourin, V. (2021) </w:t>
      </w:r>
      <w:r>
        <w:rPr>
          <w:rFonts w:ascii="Georgia" w:cs="Times New Roman" w:eastAsia="Times New Roman" w:hAnsi="Georgia"/>
          <w:i/>
          <w:iCs/>
          <w:szCs w:val="24"/>
          <w:lang w:eastAsia="en-GB"/>
        </w:rPr>
        <w:t>Strategic management for the hospitality and tourism industry: Developing a competitive advantage</w:t>
      </w:r>
      <w:r>
        <w:rPr>
          <w:rFonts w:ascii="Georgia" w:cs="Times New Roman" w:eastAsia="Times New Roman" w:hAnsi="Georgia"/>
          <w:szCs w:val="24"/>
          <w:lang w:eastAsia="en-GB"/>
        </w:rPr>
        <w:t>. Oakville, MO, USA: Apple Academic Press.</w:t>
      </w:r>
    </w:p>
    <w:p w14:paraId="0000007A">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Sharma, S. (2022) </w:t>
      </w:r>
      <w:r>
        <w:rPr>
          <w:rFonts w:ascii="Georgia" w:cs="Times New Roman" w:eastAsia="Times New Roman" w:hAnsi="Georgia"/>
          <w:i/>
          <w:iCs/>
          <w:szCs w:val="24"/>
          <w:lang w:eastAsia="en-GB"/>
        </w:rPr>
        <w:t>Hospitality and tourism management strategies</w:t>
      </w:r>
      <w:r>
        <w:rPr>
          <w:rFonts w:ascii="Georgia" w:cs="Times New Roman" w:eastAsia="Times New Roman" w:hAnsi="Georgia"/>
          <w:szCs w:val="24"/>
          <w:lang w:eastAsia="en-GB"/>
        </w:rPr>
        <w:t xml:space="preserve">. Guwahati, India: </w:t>
      </w:r>
      <w:r>
        <w:rPr>
          <w:rFonts w:ascii="Georgia" w:cs="Times New Roman" w:eastAsia="Times New Roman" w:hAnsi="Georgia"/>
          <w:szCs w:val="24"/>
          <w:lang w:eastAsia="en-GB"/>
        </w:rPr>
        <w:t>Akansha</w:t>
      </w:r>
      <w:r>
        <w:rPr>
          <w:rFonts w:ascii="Georgia" w:cs="Times New Roman" w:eastAsia="Times New Roman" w:hAnsi="Georgia"/>
          <w:szCs w:val="24"/>
          <w:lang w:eastAsia="en-GB"/>
        </w:rPr>
        <w:t xml:space="preserve"> Publishing.</w:t>
      </w:r>
    </w:p>
    <w:p w14:paraId="0000007B">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Uysal</w:t>
      </w:r>
      <w:r>
        <w:rPr>
          <w:rFonts w:ascii="Georgia" w:cs="Times New Roman" w:eastAsia="Times New Roman" w:hAnsi="Georgia"/>
          <w:szCs w:val="24"/>
          <w:lang w:eastAsia="en-GB"/>
        </w:rPr>
        <w:t xml:space="preserve">, M., Schwartz, Z. and </w:t>
      </w:r>
      <w:r>
        <w:rPr>
          <w:rFonts w:ascii="Georgia" w:cs="Times New Roman" w:eastAsia="Times New Roman" w:hAnsi="Georgia"/>
          <w:szCs w:val="24"/>
          <w:lang w:eastAsia="en-GB"/>
        </w:rPr>
        <w:t>Sirakaya</w:t>
      </w:r>
      <w:r>
        <w:rPr>
          <w:rFonts w:ascii="Georgia" w:cs="Times New Roman" w:eastAsia="Times New Roman" w:hAnsi="Georgia"/>
          <w:szCs w:val="24"/>
          <w:lang w:eastAsia="en-GB"/>
        </w:rPr>
        <w:t>-Turk, E. (eds) (2021) </w:t>
      </w:r>
      <w:r>
        <w:rPr>
          <w:rFonts w:ascii="Georgia" w:cs="Times New Roman" w:eastAsia="Times New Roman" w:hAnsi="Georgia"/>
          <w:i/>
          <w:iCs/>
          <w:szCs w:val="24"/>
          <w:lang w:eastAsia="en-GB"/>
        </w:rPr>
        <w:t>Management science in hospitality and tourism: Theory, practice, and applications</w:t>
      </w:r>
      <w:r>
        <w:rPr>
          <w:rFonts w:ascii="Georgia" w:cs="Times New Roman" w:eastAsia="Times New Roman" w:hAnsi="Georgia"/>
          <w:szCs w:val="24"/>
          <w:lang w:eastAsia="en-GB"/>
        </w:rPr>
        <w:t>. Oakville, MO, USA: Apple Academic Press.</w:t>
      </w:r>
    </w:p>
    <w:p w14:paraId="0000007C">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Walker, L. (ed.) (2017) </w:t>
      </w:r>
      <w:r>
        <w:rPr>
          <w:rFonts w:ascii="Georgia" w:cs="Times New Roman" w:eastAsia="Times New Roman" w:hAnsi="Georgia"/>
          <w:i/>
          <w:iCs/>
          <w:szCs w:val="24"/>
          <w:lang w:eastAsia="en-GB"/>
        </w:rPr>
        <w:t>Tourism and Hospitality Management</w:t>
      </w:r>
      <w:r>
        <w:rPr>
          <w:rFonts w:ascii="Georgia" w:cs="Times New Roman" w:eastAsia="Times New Roman" w:hAnsi="Georgia"/>
          <w:szCs w:val="24"/>
          <w:lang w:eastAsia="en-GB"/>
        </w:rPr>
        <w:t>. Larsen and Keller Education.</w:t>
      </w:r>
    </w:p>
    <w:p w14:paraId="0000007D">
      <w:pPr>
        <w:spacing w:before="120" w:after="120"/>
        <w:rPr>
          <w:rFonts w:ascii="Georgia" w:cs="Times New Roman" w:eastAsia="Times New Roman" w:hAnsi="Georgia"/>
          <w:szCs w:val="24"/>
          <w:lang w:eastAsia="en-GB"/>
        </w:rPr>
      </w:pPr>
      <w:r>
        <w:rPr>
          <w:rFonts w:ascii="Georgia" w:cs="Times New Roman" w:eastAsia="Times New Roman" w:hAnsi="Georgia"/>
          <w:szCs w:val="24"/>
          <w:lang w:eastAsia="en-GB"/>
        </w:rPr>
        <w:t>Wilson-</w:t>
      </w:r>
      <w:r>
        <w:rPr>
          <w:rFonts w:ascii="Georgia" w:cs="Times New Roman" w:eastAsia="Times New Roman" w:hAnsi="Georgia"/>
          <w:szCs w:val="24"/>
          <w:lang w:eastAsia="en-GB"/>
        </w:rPr>
        <w:t>Mah</w:t>
      </w:r>
      <w:r>
        <w:rPr>
          <w:rFonts w:ascii="Georgia" w:cs="Times New Roman" w:eastAsia="Times New Roman" w:hAnsi="Georgia"/>
          <w:szCs w:val="24"/>
          <w:lang w:eastAsia="en-GB"/>
        </w:rPr>
        <w:t>, R. (ed.) (2023) </w:t>
      </w:r>
      <w:r>
        <w:rPr>
          <w:rFonts w:ascii="Georgia" w:cs="Times New Roman" w:eastAsia="Times New Roman" w:hAnsi="Georgia"/>
          <w:i/>
          <w:iCs/>
          <w:szCs w:val="24"/>
          <w:lang w:eastAsia="en-GB"/>
        </w:rPr>
        <w:t>Tourism and hospitality management in practice: A case study collection</w:t>
      </w:r>
      <w:r>
        <w:rPr>
          <w:rFonts w:ascii="Georgia" w:cs="Times New Roman" w:eastAsia="Times New Roman" w:hAnsi="Georgia"/>
          <w:szCs w:val="24"/>
          <w:lang w:eastAsia="en-GB"/>
        </w:rPr>
        <w:t>. London: Taylor &amp; Francis.</w:t>
      </w:r>
    </w:p>
    <w:p w14:paraId="0000007E">
      <w:pPr>
        <w:spacing w:line="259" w:lineRule="auto"/>
        <w:jc w:val="left"/>
        <w:rPr>
          <w:rFonts w:ascii="Georgia" w:cs="Times New Roman" w:eastAsia="Times New Roman" w:hAnsi="Georgia"/>
          <w:szCs w:val="24"/>
          <w:lang w:eastAsia="en-GB"/>
        </w:rPr>
      </w:pPr>
      <w:r>
        <w:rPr>
          <w:rFonts w:ascii="Georgia" w:cs="Times New Roman" w:eastAsia="Times New Roman" w:hAnsi="Georgia"/>
          <w:szCs w:val="24"/>
          <w:lang w:eastAsia="en-GB"/>
        </w:rPr>
        <w:br w:type="page"/>
      </w:r>
    </w:p>
    <w:p w14:paraId="0000007F">
      <w:pPr>
        <w:spacing w:line="259" w:lineRule="auto"/>
        <w:jc w:val="left"/>
        <w:rPr>
          <w:rFonts w:ascii="Georgia" w:cs="Times New Roman" w:eastAsia="Times New Roman" w:hAnsi="Georgia"/>
          <w:szCs w:val="24"/>
          <w:lang w:eastAsia="en-GB"/>
        </w:rPr>
      </w:pPr>
      <w:r>
        <w:rPr>
          <w:rFonts w:ascii="Georgia" w:cs="Times New Roman" w:eastAsia="Times New Roman" w:hAnsi="Georgia"/>
          <w:szCs w:val="24"/>
          <w:lang w:eastAsia="en-GB"/>
        </w:rPr>
        <w:t xml:space="preserve">Link : </w:t>
      </w:r>
    </w:p>
    <w:p w14:paraId="00000080">
      <w:pPr>
        <w:spacing w:line="259" w:lineRule="auto"/>
        <w:jc w:val="left"/>
        <w:rPr>
          <w:rFonts w:ascii="Georgia" w:cs="Times New Roman" w:eastAsia="Times New Roman" w:hAnsi="Georgia"/>
          <w:szCs w:val="24"/>
          <w:lang w:eastAsia="en-GB"/>
        </w:rPr>
      </w:pPr>
      <w:r>
        <w:rPr>
          <w:rFonts w:ascii="Georgia" w:cs="Times New Roman" w:eastAsia="Times New Roman" w:hAnsi="Georgia"/>
          <w:szCs w:val="24"/>
          <w:lang w:eastAsia="en-GB"/>
        </w:rPr>
        <w:t>https://uowtsd-my.sharepoint.com/:v:/g/personal/2117199_student_uwtsd_ac_uk/EfyOKw8nxQVNlL90sUR0_aoBBI3Wo6IvdYAnVQGZLG2Y5w?referrer=Teams.TEAMS-WEB&amp;referrerScenario=MeetingChicletGetLink.view.view</w:t>
      </w:r>
    </w:p>
    <w:p w14:paraId="00000081"/>
    <w:sectPr>
      <w:pgSz w:w="12240" w:h="15840"/>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SwMDY3sbAwM7E0sjRQ0lEKTi0uzszPAykwqgUAN+FeQywAAAA="/>
  </w:docVars>
  <w:rsids>
    <w:rsidRoot w:val="005C0C6C"/>
    <w:rsid w:val="00001C30"/>
    <w:rsid w:val="00012BC9"/>
    <w:rsid w:val="00024A43"/>
    <w:rsid w:val="00024DF6"/>
    <w:rsid w:val="00030C49"/>
    <w:rsid w:val="00045FB8"/>
    <w:rsid w:val="00047566"/>
    <w:rsid w:val="00051947"/>
    <w:rsid w:val="000562BB"/>
    <w:rsid w:val="0005755F"/>
    <w:rsid w:val="00065F24"/>
    <w:rsid w:val="0007407C"/>
    <w:rsid w:val="00086D05"/>
    <w:rsid w:val="000872C0"/>
    <w:rsid w:val="0009425F"/>
    <w:rsid w:val="000B6EC5"/>
    <w:rsid w:val="000D4C3E"/>
    <w:rsid w:val="000D76B7"/>
    <w:rsid w:val="000E2A56"/>
    <w:rsid w:val="000E36FB"/>
    <w:rsid w:val="000F32DD"/>
    <w:rsid w:val="000F7ACE"/>
    <w:rsid w:val="00113C8B"/>
    <w:rsid w:val="001145DB"/>
    <w:rsid w:val="00121CE7"/>
    <w:rsid w:val="00126DB5"/>
    <w:rsid w:val="001336B0"/>
    <w:rsid w:val="00143203"/>
    <w:rsid w:val="00146CA0"/>
    <w:rsid w:val="001542E1"/>
    <w:rsid w:val="00171CE0"/>
    <w:rsid w:val="00172577"/>
    <w:rsid w:val="00184551"/>
    <w:rsid w:val="00197C33"/>
    <w:rsid w:val="001A2AD8"/>
    <w:rsid w:val="001B2C79"/>
    <w:rsid w:val="001B4C6A"/>
    <w:rsid w:val="001C205F"/>
    <w:rsid w:val="001C374F"/>
    <w:rsid w:val="001C3DD0"/>
    <w:rsid w:val="001D0D6C"/>
    <w:rsid w:val="001D6DF4"/>
    <w:rsid w:val="001E5D24"/>
    <w:rsid w:val="001E6E17"/>
    <w:rsid w:val="001F05E4"/>
    <w:rsid w:val="001F12E5"/>
    <w:rsid w:val="001F7A29"/>
    <w:rsid w:val="00217C9E"/>
    <w:rsid w:val="00220CDD"/>
    <w:rsid w:val="0022522E"/>
    <w:rsid w:val="00237BCE"/>
    <w:rsid w:val="00245840"/>
    <w:rsid w:val="0026458F"/>
    <w:rsid w:val="002767F6"/>
    <w:rsid w:val="00285325"/>
    <w:rsid w:val="00291066"/>
    <w:rsid w:val="00292126"/>
    <w:rsid w:val="002962A1"/>
    <w:rsid w:val="002A6067"/>
    <w:rsid w:val="002B0717"/>
    <w:rsid w:val="002C1101"/>
    <w:rsid w:val="002D0698"/>
    <w:rsid w:val="002D1349"/>
    <w:rsid w:val="002D733F"/>
    <w:rsid w:val="002F30BF"/>
    <w:rsid w:val="002F3D13"/>
    <w:rsid w:val="002F5EEE"/>
    <w:rsid w:val="002F68C8"/>
    <w:rsid w:val="003074E1"/>
    <w:rsid w:val="003310A5"/>
    <w:rsid w:val="00333F7C"/>
    <w:rsid w:val="00345A57"/>
    <w:rsid w:val="00375FCC"/>
    <w:rsid w:val="00394808"/>
    <w:rsid w:val="00394B60"/>
    <w:rsid w:val="00394EB5"/>
    <w:rsid w:val="003960E4"/>
    <w:rsid w:val="00396A5C"/>
    <w:rsid w:val="003A3A2A"/>
    <w:rsid w:val="003A789E"/>
    <w:rsid w:val="003D047D"/>
    <w:rsid w:val="003E51D1"/>
    <w:rsid w:val="003E6F5E"/>
    <w:rsid w:val="0040625B"/>
    <w:rsid w:val="004075EE"/>
    <w:rsid w:val="004075FA"/>
    <w:rsid w:val="0041097E"/>
    <w:rsid w:val="004130C9"/>
    <w:rsid w:val="00413CE8"/>
    <w:rsid w:val="00414120"/>
    <w:rsid w:val="004167D5"/>
    <w:rsid w:val="004256C5"/>
    <w:rsid w:val="00432225"/>
    <w:rsid w:val="00432F43"/>
    <w:rsid w:val="00467C50"/>
    <w:rsid w:val="00484284"/>
    <w:rsid w:val="004852DC"/>
    <w:rsid w:val="0049756B"/>
    <w:rsid w:val="004A765C"/>
    <w:rsid w:val="004B783E"/>
    <w:rsid w:val="004C219D"/>
    <w:rsid w:val="004C7873"/>
    <w:rsid w:val="004D2352"/>
    <w:rsid w:val="004D6116"/>
    <w:rsid w:val="004D7D7B"/>
    <w:rsid w:val="004E12B0"/>
    <w:rsid w:val="004F5111"/>
    <w:rsid w:val="00501BEC"/>
    <w:rsid w:val="00503454"/>
    <w:rsid w:val="005164E7"/>
    <w:rsid w:val="005279D2"/>
    <w:rsid w:val="0053222A"/>
    <w:rsid w:val="0054558C"/>
    <w:rsid w:val="005523D9"/>
    <w:rsid w:val="0055477C"/>
    <w:rsid w:val="00561594"/>
    <w:rsid w:val="005671D2"/>
    <w:rsid w:val="005679AE"/>
    <w:rsid w:val="00567D07"/>
    <w:rsid w:val="00575EAF"/>
    <w:rsid w:val="00577089"/>
    <w:rsid w:val="00582231"/>
    <w:rsid w:val="005828A3"/>
    <w:rsid w:val="00582C20"/>
    <w:rsid w:val="00586A27"/>
    <w:rsid w:val="0059494E"/>
    <w:rsid w:val="00595A41"/>
    <w:rsid w:val="005A42D7"/>
    <w:rsid w:val="005B2C3E"/>
    <w:rsid w:val="005B3C18"/>
    <w:rsid w:val="005C0C6C"/>
    <w:rsid w:val="005C108A"/>
    <w:rsid w:val="005C46A0"/>
    <w:rsid w:val="005E7C01"/>
    <w:rsid w:val="00607474"/>
    <w:rsid w:val="0061654E"/>
    <w:rsid w:val="006302AF"/>
    <w:rsid w:val="00643585"/>
    <w:rsid w:val="00657754"/>
    <w:rsid w:val="00660B13"/>
    <w:rsid w:val="00662029"/>
    <w:rsid w:val="00666D9C"/>
    <w:rsid w:val="00667043"/>
    <w:rsid w:val="006810D8"/>
    <w:rsid w:val="006845A6"/>
    <w:rsid w:val="006866F5"/>
    <w:rsid w:val="00686BBE"/>
    <w:rsid w:val="006910F5"/>
    <w:rsid w:val="006945C4"/>
    <w:rsid w:val="006A692E"/>
    <w:rsid w:val="006A6B5B"/>
    <w:rsid w:val="006B100A"/>
    <w:rsid w:val="006B303F"/>
    <w:rsid w:val="006D0000"/>
    <w:rsid w:val="006D522C"/>
    <w:rsid w:val="006F02BE"/>
    <w:rsid w:val="00703CAC"/>
    <w:rsid w:val="00707A62"/>
    <w:rsid w:val="00712869"/>
    <w:rsid w:val="00735BC3"/>
    <w:rsid w:val="00737D19"/>
    <w:rsid w:val="00737E7E"/>
    <w:rsid w:val="0074450F"/>
    <w:rsid w:val="0074599B"/>
    <w:rsid w:val="0075541D"/>
    <w:rsid w:val="00761FA6"/>
    <w:rsid w:val="00764DB4"/>
    <w:rsid w:val="00770F72"/>
    <w:rsid w:val="00774B32"/>
    <w:rsid w:val="00775D84"/>
    <w:rsid w:val="007767FC"/>
    <w:rsid w:val="00792456"/>
    <w:rsid w:val="007C0F3F"/>
    <w:rsid w:val="007C1992"/>
    <w:rsid w:val="007D553C"/>
    <w:rsid w:val="007E1D2A"/>
    <w:rsid w:val="007F05D9"/>
    <w:rsid w:val="007F3A48"/>
    <w:rsid w:val="007F4C4D"/>
    <w:rsid w:val="00832CB9"/>
    <w:rsid w:val="00832EDE"/>
    <w:rsid w:val="00834AE0"/>
    <w:rsid w:val="00836AFB"/>
    <w:rsid w:val="008422D6"/>
    <w:rsid w:val="00843B01"/>
    <w:rsid w:val="00850757"/>
    <w:rsid w:val="00862ACF"/>
    <w:rsid w:val="00866630"/>
    <w:rsid w:val="008667D8"/>
    <w:rsid w:val="00870D90"/>
    <w:rsid w:val="00875E8B"/>
    <w:rsid w:val="00881B9C"/>
    <w:rsid w:val="00895842"/>
    <w:rsid w:val="00896467"/>
    <w:rsid w:val="008964EA"/>
    <w:rsid w:val="008C1428"/>
    <w:rsid w:val="008C1507"/>
    <w:rsid w:val="008C2057"/>
    <w:rsid w:val="008C3EFE"/>
    <w:rsid w:val="008C574A"/>
    <w:rsid w:val="008D251D"/>
    <w:rsid w:val="008D3B6A"/>
    <w:rsid w:val="008D500E"/>
    <w:rsid w:val="008D7984"/>
    <w:rsid w:val="008E2CDE"/>
    <w:rsid w:val="008E3019"/>
    <w:rsid w:val="008E5B15"/>
    <w:rsid w:val="008E68A6"/>
    <w:rsid w:val="009146AD"/>
    <w:rsid w:val="009161B9"/>
    <w:rsid w:val="00917D59"/>
    <w:rsid w:val="00925200"/>
    <w:rsid w:val="00940E35"/>
    <w:rsid w:val="00946CE3"/>
    <w:rsid w:val="009508C7"/>
    <w:rsid w:val="00953BCF"/>
    <w:rsid w:val="00962B5E"/>
    <w:rsid w:val="009739AA"/>
    <w:rsid w:val="00974DBF"/>
    <w:rsid w:val="009767E6"/>
    <w:rsid w:val="0097686B"/>
    <w:rsid w:val="00977B52"/>
    <w:rsid w:val="00993FD5"/>
    <w:rsid w:val="009A1173"/>
    <w:rsid w:val="009A1678"/>
    <w:rsid w:val="009A5D68"/>
    <w:rsid w:val="009B2CDF"/>
    <w:rsid w:val="009B33EB"/>
    <w:rsid w:val="009B3A42"/>
    <w:rsid w:val="009B3CFB"/>
    <w:rsid w:val="009B5167"/>
    <w:rsid w:val="009C3900"/>
    <w:rsid w:val="009C5F6E"/>
    <w:rsid w:val="009D107D"/>
    <w:rsid w:val="009D5849"/>
    <w:rsid w:val="00A0047E"/>
    <w:rsid w:val="00A02697"/>
    <w:rsid w:val="00A03DA0"/>
    <w:rsid w:val="00A04E9C"/>
    <w:rsid w:val="00A11458"/>
    <w:rsid w:val="00A2225A"/>
    <w:rsid w:val="00A3028A"/>
    <w:rsid w:val="00A42593"/>
    <w:rsid w:val="00A44437"/>
    <w:rsid w:val="00A47C99"/>
    <w:rsid w:val="00A63C33"/>
    <w:rsid w:val="00A652CF"/>
    <w:rsid w:val="00A70875"/>
    <w:rsid w:val="00A7146C"/>
    <w:rsid w:val="00A73582"/>
    <w:rsid w:val="00A743E4"/>
    <w:rsid w:val="00A7749B"/>
    <w:rsid w:val="00A870D6"/>
    <w:rsid w:val="00A95557"/>
    <w:rsid w:val="00A978FA"/>
    <w:rsid w:val="00AA1F11"/>
    <w:rsid w:val="00AA38A9"/>
    <w:rsid w:val="00AA7222"/>
    <w:rsid w:val="00AC6C2F"/>
    <w:rsid w:val="00AD1467"/>
    <w:rsid w:val="00AD1932"/>
    <w:rsid w:val="00AE1052"/>
    <w:rsid w:val="00AE75D1"/>
    <w:rsid w:val="00AF3212"/>
    <w:rsid w:val="00AF41BE"/>
    <w:rsid w:val="00B02CB0"/>
    <w:rsid w:val="00B05FC4"/>
    <w:rsid w:val="00B07AEE"/>
    <w:rsid w:val="00B12041"/>
    <w:rsid w:val="00B255FB"/>
    <w:rsid w:val="00B301CB"/>
    <w:rsid w:val="00B35CFA"/>
    <w:rsid w:val="00B42466"/>
    <w:rsid w:val="00B443FC"/>
    <w:rsid w:val="00B53E14"/>
    <w:rsid w:val="00B603BD"/>
    <w:rsid w:val="00B73EFF"/>
    <w:rsid w:val="00B858A8"/>
    <w:rsid w:val="00B93EF0"/>
    <w:rsid w:val="00B978CD"/>
    <w:rsid w:val="00BA75FB"/>
    <w:rsid w:val="00BB08B3"/>
    <w:rsid w:val="00BB18AB"/>
    <w:rsid w:val="00BC0937"/>
    <w:rsid w:val="00BC65A7"/>
    <w:rsid w:val="00BD13F6"/>
    <w:rsid w:val="00BD53F7"/>
    <w:rsid w:val="00BE0794"/>
    <w:rsid w:val="00BE3908"/>
    <w:rsid w:val="00BE743D"/>
    <w:rsid w:val="00BF134B"/>
    <w:rsid w:val="00BF1DF3"/>
    <w:rsid w:val="00C0078F"/>
    <w:rsid w:val="00C02279"/>
    <w:rsid w:val="00C048DE"/>
    <w:rsid w:val="00C10725"/>
    <w:rsid w:val="00C163F6"/>
    <w:rsid w:val="00C16933"/>
    <w:rsid w:val="00C21258"/>
    <w:rsid w:val="00C24B9E"/>
    <w:rsid w:val="00C275FC"/>
    <w:rsid w:val="00C36CCB"/>
    <w:rsid w:val="00C41A39"/>
    <w:rsid w:val="00C42B24"/>
    <w:rsid w:val="00C47FC8"/>
    <w:rsid w:val="00C53FD1"/>
    <w:rsid w:val="00C54B73"/>
    <w:rsid w:val="00C6208B"/>
    <w:rsid w:val="00C749BB"/>
    <w:rsid w:val="00C8319A"/>
    <w:rsid w:val="00C85A7B"/>
    <w:rsid w:val="00C92802"/>
    <w:rsid w:val="00C92A70"/>
    <w:rsid w:val="00C9576E"/>
    <w:rsid w:val="00C9750B"/>
    <w:rsid w:val="00CA2CCE"/>
    <w:rsid w:val="00CC2CB9"/>
    <w:rsid w:val="00CD0CD4"/>
    <w:rsid w:val="00CD17B6"/>
    <w:rsid w:val="00CD1887"/>
    <w:rsid w:val="00CE1548"/>
    <w:rsid w:val="00CE5ED5"/>
    <w:rsid w:val="00D03117"/>
    <w:rsid w:val="00D120F8"/>
    <w:rsid w:val="00D17F01"/>
    <w:rsid w:val="00D339AF"/>
    <w:rsid w:val="00D4019F"/>
    <w:rsid w:val="00D53189"/>
    <w:rsid w:val="00D62490"/>
    <w:rsid w:val="00D85BB2"/>
    <w:rsid w:val="00DC39BD"/>
    <w:rsid w:val="00DC582A"/>
    <w:rsid w:val="00DC638D"/>
    <w:rsid w:val="00DD1E16"/>
    <w:rsid w:val="00DD4499"/>
    <w:rsid w:val="00DE201C"/>
    <w:rsid w:val="00DF3084"/>
    <w:rsid w:val="00DF6C2B"/>
    <w:rsid w:val="00E177DB"/>
    <w:rsid w:val="00E2500A"/>
    <w:rsid w:val="00E3658B"/>
    <w:rsid w:val="00E37959"/>
    <w:rsid w:val="00E51D27"/>
    <w:rsid w:val="00E53CB9"/>
    <w:rsid w:val="00E57B3D"/>
    <w:rsid w:val="00E623B8"/>
    <w:rsid w:val="00E62B2A"/>
    <w:rsid w:val="00E66C00"/>
    <w:rsid w:val="00E70CD1"/>
    <w:rsid w:val="00E72179"/>
    <w:rsid w:val="00E72219"/>
    <w:rsid w:val="00E761FB"/>
    <w:rsid w:val="00E8641B"/>
    <w:rsid w:val="00E928F6"/>
    <w:rsid w:val="00EA0769"/>
    <w:rsid w:val="00EB38B4"/>
    <w:rsid w:val="00ED1152"/>
    <w:rsid w:val="00ED1776"/>
    <w:rsid w:val="00ED7E60"/>
    <w:rsid w:val="00EE67EB"/>
    <w:rsid w:val="00EE6B91"/>
    <w:rsid w:val="00EF093E"/>
    <w:rsid w:val="00EF39F0"/>
    <w:rsid w:val="00EF6E9E"/>
    <w:rsid w:val="00F03538"/>
    <w:rsid w:val="00F11B30"/>
    <w:rsid w:val="00F16C57"/>
    <w:rsid w:val="00F23949"/>
    <w:rsid w:val="00F25A15"/>
    <w:rsid w:val="00F460AC"/>
    <w:rsid w:val="00F53740"/>
    <w:rsid w:val="00F70EAE"/>
    <w:rsid w:val="00F90AF0"/>
    <w:rsid w:val="00FA3D81"/>
    <w:rsid w:val="00FA4E13"/>
    <w:rsid w:val="00FA6336"/>
    <w:rsid w:val="00FB282F"/>
    <w:rsid w:val="00FC0439"/>
    <w:rsid w:val="00FC3AE6"/>
    <w:rsid w:val="00FC4E0F"/>
    <w:rsid w:val="00FC590A"/>
    <w:rsid w:val="00FD1D34"/>
    <w:rsid w:val="00FD7491"/>
    <w:rsid w:val="00FD7EAA"/>
    <w:rsid w:val="00FE3EB8"/>
    <w:rsid w:val="00FE5567"/>
    <w:rsid w:val="00FE570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9ED60E"/>
  <w15:chartTrackingRefBased/>
  <w15:docId w15:val="{7B835DBF-9F78-4486-BB90-FBE102E05209}"/>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heme="minorBidi" w:eastAsiaTheme="minorHAnsi" w:hAnsi="Times New Roman"/>
        <w:sz w:val="24"/>
        <w:szCs w:val="22"/>
        <w:lang w:val="en-GB" w:bidi="ar-SA" w:eastAsia="en-US"/>
        <w14:ligatures w14:val="standardContextual"/>
      </w:rPr>
    </w:rPrDefault>
    <w:pPrDefault>
      <w:pPr>
        <w:spacing w:after="160" w:line="259" w:lineRule="auto"/>
      </w:pPr>
    </w:pPrDefault>
  </w:docDefaults>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pPr>
      <w:spacing w:line="360" w:lineRule="auto"/>
      <w:jc w:val="both"/>
    </w:pPr>
  </w:style>
  <w:style w:type="paragraph" w:styleId="Heading1">
    <w:name w:val="Heading 1"/>
    <w:basedOn w:val="Normal"/>
    <w:next w:val="Normal"/>
    <w:link w:val="Heading1Char"/>
    <w:uiPriority w:val="9"/>
    <w:qFormat w:val="on"/>
    <w:pPr>
      <w:keepNext w:val="on"/>
      <w:keepLines w:val="on"/>
      <w:spacing w:before="120" w:after="120"/>
    </w:pPr>
    <w:rPr>
      <w:rFonts w:cstheme="majorBidi" w:eastAsiaTheme="majorEastAsia"/>
      <w:b/>
      <w:color w:val="00b0f0"/>
      <w:sz w:val="32"/>
      <w:szCs w:val="32"/>
    </w:rPr>
  </w:style>
  <w:style w:type="paragraph" w:styleId="Heading2">
    <w:name w:val="Heading 2"/>
    <w:basedOn w:val="Normal"/>
    <w:next w:val="Normal"/>
    <w:link w:val="Heading2Char"/>
    <w:uiPriority w:val="9"/>
    <w:unhideWhenUsed w:val="on"/>
    <w:qFormat w:val="on"/>
    <w:pPr>
      <w:keepNext w:val="on"/>
      <w:keepLines w:val="on"/>
      <w:spacing w:before="120" w:after="120"/>
    </w:pPr>
    <w:rPr>
      <w:rFonts w:cstheme="majorBidi" w:eastAsiaTheme="majorEastAsia"/>
      <w:b/>
      <w:bCs/>
      <w:color w:val="7030a0"/>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40" w:after="0"/>
    </w:pPr>
    <w:rPr>
      <w:rFonts w:eastAsia="Times New Roman"/>
      <w:b/>
      <w:color w:val="7f7f7f"/>
      <w:sz w:val="26"/>
      <w:szCs w:val="24"/>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cstheme="majorBidi" w:eastAsiaTheme="majorEastAsia"/>
      <w:b/>
      <w:color w:val="00b0f0"/>
      <w:sz w:val="32"/>
      <w:szCs w:val="32"/>
    </w:rPr>
  </w:style>
  <w:style w:type="character" w:customStyle="1" w:styleId="Heading2Char">
    <w:name w:val="Heading 2 Char"/>
    <w:basedOn w:val="DefaultParagraphFont"/>
    <w:link w:val="Heading2"/>
    <w:uiPriority w:val="9"/>
    <w:rPr>
      <w:rFonts w:cstheme="majorBidi" w:eastAsiaTheme="majorEastAsia"/>
      <w:b/>
      <w:bCs/>
      <w:color w:val="7030a0"/>
      <w:sz w:val="26"/>
      <w:szCs w:val="26"/>
    </w:rPr>
  </w:style>
  <w:style w:type="character" w:customStyle="1" w:styleId="Heading3Char">
    <w:name w:val="Heading 3 Char"/>
    <w:link w:val="Heading3"/>
    <w:uiPriority w:val="9"/>
    <w:semiHidden w:val="on"/>
    <w:rPr>
      <w:rFonts w:ascii="Times New Roman" w:eastAsia="Times New Roman" w:hAnsi="Times New Roman"/>
      <w:b/>
      <w:color w:val="7f7f7f"/>
      <w:sz w:val="26"/>
      <w:szCs w:val="24"/>
    </w:rPr>
  </w:style>
  <w:style w:type="paragraph" w:styleId="Title">
    <w:name w:val="Title"/>
    <w:basedOn w:val="Normal"/>
    <w:next w:val="Normal"/>
    <w:link w:val="TitleChar"/>
    <w:uiPriority w:val="10"/>
    <w:qFormat w:val="on"/>
    <w:pPr>
      <w:spacing w:after="0"/>
      <w:contextualSpacing w:val="on"/>
      <w:jc w:val="center"/>
    </w:pPr>
    <w:rPr>
      <w:rFonts w:cstheme="majorBidi" w:eastAsiaTheme="majorEastAsia"/>
      <w:b/>
      <w:spacing w:val="-10"/>
      <w:sz w:val="96"/>
      <w:szCs w:val="56"/>
    </w:rPr>
  </w:style>
  <w:style w:type="character" w:customStyle="1" w:styleId="TitleChar">
    <w:name w:val="Title Char"/>
    <w:basedOn w:val="DefaultParagraphFont"/>
    <w:link w:val="Title"/>
    <w:uiPriority w:val="10"/>
    <w:rPr>
      <w:rFonts w:ascii="Times New Roman" w:cstheme="majorBidi" w:eastAsiaTheme="majorEastAsia" w:hAnsi="Times New Roman"/>
      <w:b/>
      <w:color w:val="000000" w:themeColor="text1"/>
      <w:spacing w:val="-10"/>
      <w:sz w:val="96"/>
      <w:szCs w:val="56"/>
    </w:rPr>
  </w:style>
  <w:style w:type="paragraph" w:styleId="Subtitle">
    <w:name w:val="Subtitle"/>
    <w:basedOn w:val="Normal"/>
    <w:next w:val="Normal"/>
    <w:link w:val="SubtitleChar"/>
    <w:uiPriority w:val="11"/>
    <w:qFormat w:val="on"/>
    <w:pPr/>
    <w:rPr>
      <w:rFonts w:eastAsiaTheme="minorEastAsia"/>
      <w:color w:val="808080" w:themeColor="background1" w:themeShade="80"/>
      <w:spacing w:val="15"/>
      <w:sz w:val="72"/>
    </w:rPr>
  </w:style>
  <w:style w:type="character" w:customStyle="1" w:styleId="SubtitleChar">
    <w:name w:val="Subtitle Char"/>
    <w:basedOn w:val="DefaultParagraphFont"/>
    <w:link w:val="Subtitle"/>
    <w:uiPriority w:val="11"/>
    <w:rPr>
      <w:rFonts w:ascii="Times New Roman" w:eastAsiaTheme="minorEastAsia" w:hAnsi="Times New Roman"/>
      <w:color w:val="808080" w:themeColor="background1" w:themeShade="80"/>
      <w:spacing w:val="15"/>
      <w:sz w:val="72"/>
    </w:r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val="on"/>
    <w:unhideWhenUsed w:val="on"/>
    <w:pPr>
      <w:spacing w:before="100" w:after="100" w:line="240" w:lineRule="auto"/>
      <w:jc w:val="left"/>
    </w:pPr>
    <w:rPr>
      <w:rFonts w:cs="Times New Roman" w:eastAsia="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755351">
      <w:bodyDiv w:val="1"/>
      <w:marLeft w:val="0"/>
      <w:marRight w:val="0"/>
      <w:marTop w:val="0"/>
      <w:marBottom w:val="0"/>
      <w:divBdr>
        <w:top w:val="none" w:sz="0" w:space="0" w:color="auto"/>
        <w:left w:val="none" w:sz="0" w:space="0" w:color="auto"/>
        <w:bottom w:val="none" w:sz="0" w:space="0" w:color="auto"/>
        <w:right w:val="none" w:sz="0" w:space="0" w:color="auto"/>
      </w:divBdr>
      <w:divsChild>
        <w:div w:id="1942950209">
          <w:marLeft w:val="0"/>
          <w:marRight w:val="0"/>
          <w:marTop w:val="0"/>
          <w:marBottom w:val="0"/>
          <w:divBdr>
            <w:top w:val="none" w:sz="0" w:space="0" w:color="auto"/>
            <w:left w:val="none" w:sz="0" w:space="0" w:color="auto"/>
            <w:bottom w:val="none" w:sz="0" w:space="0" w:color="auto"/>
            <w:right w:val="none" w:sz="0" w:space="0" w:color="auto"/>
          </w:divBdr>
          <w:divsChild>
            <w:div w:id="1820614943">
              <w:marLeft w:val="0"/>
              <w:marRight w:val="0"/>
              <w:marTop w:val="0"/>
              <w:marBottom w:val="0"/>
              <w:divBdr>
                <w:top w:val="none" w:sz="0" w:space="0" w:color="auto"/>
                <w:left w:val="none" w:sz="0" w:space="0" w:color="auto"/>
                <w:bottom w:val="none" w:sz="0" w:space="0" w:color="auto"/>
                <w:right w:val="none" w:sz="0" w:space="0" w:color="auto"/>
              </w:divBdr>
            </w:div>
            <w:div w:id="337315899">
              <w:marLeft w:val="0"/>
              <w:marRight w:val="0"/>
              <w:marTop w:val="0"/>
              <w:marBottom w:val="0"/>
              <w:divBdr>
                <w:top w:val="none" w:sz="0" w:space="0" w:color="auto"/>
                <w:left w:val="none" w:sz="0" w:space="0" w:color="auto"/>
                <w:bottom w:val="none" w:sz="0" w:space="0" w:color="auto"/>
                <w:right w:val="none" w:sz="0" w:space="0" w:color="auto"/>
              </w:divBdr>
            </w:div>
            <w:div w:id="1266301816">
              <w:marLeft w:val="0"/>
              <w:marRight w:val="0"/>
              <w:marTop w:val="0"/>
              <w:marBottom w:val="0"/>
              <w:divBdr>
                <w:top w:val="none" w:sz="0" w:space="0" w:color="auto"/>
                <w:left w:val="none" w:sz="0" w:space="0" w:color="auto"/>
                <w:bottom w:val="none" w:sz="0" w:space="0" w:color="auto"/>
                <w:right w:val="none" w:sz="0" w:space="0" w:color="auto"/>
              </w:divBdr>
            </w:div>
            <w:div w:id="99616733">
              <w:marLeft w:val="0"/>
              <w:marRight w:val="0"/>
              <w:marTop w:val="0"/>
              <w:marBottom w:val="0"/>
              <w:divBdr>
                <w:top w:val="none" w:sz="0" w:space="0" w:color="auto"/>
                <w:left w:val="none" w:sz="0" w:space="0" w:color="auto"/>
                <w:bottom w:val="none" w:sz="0" w:space="0" w:color="auto"/>
                <w:right w:val="none" w:sz="0" w:space="0" w:color="auto"/>
              </w:divBdr>
            </w:div>
            <w:div w:id="834614080">
              <w:marLeft w:val="0"/>
              <w:marRight w:val="0"/>
              <w:marTop w:val="0"/>
              <w:marBottom w:val="0"/>
              <w:divBdr>
                <w:top w:val="none" w:sz="0" w:space="0" w:color="auto"/>
                <w:left w:val="none" w:sz="0" w:space="0" w:color="auto"/>
                <w:bottom w:val="none" w:sz="0" w:space="0" w:color="auto"/>
                <w:right w:val="none" w:sz="0" w:space="0" w:color="auto"/>
              </w:divBdr>
            </w:div>
            <w:div w:id="577374122">
              <w:marLeft w:val="0"/>
              <w:marRight w:val="0"/>
              <w:marTop w:val="0"/>
              <w:marBottom w:val="0"/>
              <w:divBdr>
                <w:top w:val="none" w:sz="0" w:space="0" w:color="auto"/>
                <w:left w:val="none" w:sz="0" w:space="0" w:color="auto"/>
                <w:bottom w:val="none" w:sz="0" w:space="0" w:color="auto"/>
                <w:right w:val="none" w:sz="0" w:space="0" w:color="auto"/>
              </w:divBdr>
            </w:div>
            <w:div w:id="247352211">
              <w:marLeft w:val="0"/>
              <w:marRight w:val="0"/>
              <w:marTop w:val="0"/>
              <w:marBottom w:val="0"/>
              <w:divBdr>
                <w:top w:val="none" w:sz="0" w:space="0" w:color="auto"/>
                <w:left w:val="none" w:sz="0" w:space="0" w:color="auto"/>
                <w:bottom w:val="none" w:sz="0" w:space="0" w:color="auto"/>
                <w:right w:val="none" w:sz="0" w:space="0" w:color="auto"/>
              </w:divBdr>
            </w:div>
            <w:div w:id="1782451269">
              <w:marLeft w:val="0"/>
              <w:marRight w:val="0"/>
              <w:marTop w:val="0"/>
              <w:marBottom w:val="0"/>
              <w:divBdr>
                <w:top w:val="none" w:sz="0" w:space="0" w:color="auto"/>
                <w:left w:val="none" w:sz="0" w:space="0" w:color="auto"/>
                <w:bottom w:val="none" w:sz="0" w:space="0" w:color="auto"/>
                <w:right w:val="none" w:sz="0" w:space="0" w:color="auto"/>
              </w:divBdr>
            </w:div>
            <w:div w:id="971060183">
              <w:marLeft w:val="0"/>
              <w:marRight w:val="0"/>
              <w:marTop w:val="0"/>
              <w:marBottom w:val="0"/>
              <w:divBdr>
                <w:top w:val="none" w:sz="0" w:space="0" w:color="auto"/>
                <w:left w:val="none" w:sz="0" w:space="0" w:color="auto"/>
                <w:bottom w:val="none" w:sz="0" w:space="0" w:color="auto"/>
                <w:right w:val="none" w:sz="0" w:space="0" w:color="auto"/>
              </w:divBdr>
            </w:div>
            <w:div w:id="1359818366">
              <w:marLeft w:val="0"/>
              <w:marRight w:val="0"/>
              <w:marTop w:val="0"/>
              <w:marBottom w:val="0"/>
              <w:divBdr>
                <w:top w:val="none" w:sz="0" w:space="0" w:color="auto"/>
                <w:left w:val="none" w:sz="0" w:space="0" w:color="auto"/>
                <w:bottom w:val="none" w:sz="0" w:space="0" w:color="auto"/>
                <w:right w:val="none" w:sz="0" w:space="0" w:color="auto"/>
              </w:divBdr>
            </w:div>
            <w:div w:id="904805628">
              <w:marLeft w:val="0"/>
              <w:marRight w:val="0"/>
              <w:marTop w:val="0"/>
              <w:marBottom w:val="0"/>
              <w:divBdr>
                <w:top w:val="none" w:sz="0" w:space="0" w:color="auto"/>
                <w:left w:val="none" w:sz="0" w:space="0" w:color="auto"/>
                <w:bottom w:val="none" w:sz="0" w:space="0" w:color="auto"/>
                <w:right w:val="none" w:sz="0" w:space="0" w:color="auto"/>
              </w:divBdr>
            </w:div>
            <w:div w:id="872811995">
              <w:marLeft w:val="0"/>
              <w:marRight w:val="0"/>
              <w:marTop w:val="0"/>
              <w:marBottom w:val="0"/>
              <w:divBdr>
                <w:top w:val="none" w:sz="0" w:space="0" w:color="auto"/>
                <w:left w:val="none" w:sz="0" w:space="0" w:color="auto"/>
                <w:bottom w:val="none" w:sz="0" w:space="0" w:color="auto"/>
                <w:right w:val="none" w:sz="0" w:space="0" w:color="auto"/>
              </w:divBdr>
            </w:div>
            <w:div w:id="604194536">
              <w:marLeft w:val="0"/>
              <w:marRight w:val="0"/>
              <w:marTop w:val="0"/>
              <w:marBottom w:val="0"/>
              <w:divBdr>
                <w:top w:val="none" w:sz="0" w:space="0" w:color="auto"/>
                <w:left w:val="none" w:sz="0" w:space="0" w:color="auto"/>
                <w:bottom w:val="none" w:sz="0" w:space="0" w:color="auto"/>
                <w:right w:val="none" w:sz="0" w:space="0" w:color="auto"/>
              </w:divBdr>
            </w:div>
            <w:div w:id="1066293848">
              <w:marLeft w:val="0"/>
              <w:marRight w:val="0"/>
              <w:marTop w:val="0"/>
              <w:marBottom w:val="0"/>
              <w:divBdr>
                <w:top w:val="none" w:sz="0" w:space="0" w:color="auto"/>
                <w:left w:val="none" w:sz="0" w:space="0" w:color="auto"/>
                <w:bottom w:val="none" w:sz="0" w:space="0" w:color="auto"/>
                <w:right w:val="none" w:sz="0" w:space="0" w:color="auto"/>
              </w:divBdr>
            </w:div>
            <w:div w:id="1947273757">
              <w:marLeft w:val="0"/>
              <w:marRight w:val="0"/>
              <w:marTop w:val="0"/>
              <w:marBottom w:val="0"/>
              <w:divBdr>
                <w:top w:val="none" w:sz="0" w:space="0" w:color="auto"/>
                <w:left w:val="none" w:sz="0" w:space="0" w:color="auto"/>
                <w:bottom w:val="none" w:sz="0" w:space="0" w:color="auto"/>
                <w:right w:val="none" w:sz="0" w:space="0" w:color="auto"/>
              </w:divBdr>
            </w:div>
            <w:div w:id="371657391">
              <w:marLeft w:val="0"/>
              <w:marRight w:val="0"/>
              <w:marTop w:val="0"/>
              <w:marBottom w:val="0"/>
              <w:divBdr>
                <w:top w:val="none" w:sz="0" w:space="0" w:color="auto"/>
                <w:left w:val="none" w:sz="0" w:space="0" w:color="auto"/>
                <w:bottom w:val="none" w:sz="0" w:space="0" w:color="auto"/>
                <w:right w:val="none" w:sz="0" w:space="0" w:color="auto"/>
              </w:divBdr>
            </w:div>
            <w:div w:id="1473980557">
              <w:marLeft w:val="0"/>
              <w:marRight w:val="0"/>
              <w:marTop w:val="0"/>
              <w:marBottom w:val="0"/>
              <w:divBdr>
                <w:top w:val="none" w:sz="0" w:space="0" w:color="auto"/>
                <w:left w:val="none" w:sz="0" w:space="0" w:color="auto"/>
                <w:bottom w:val="none" w:sz="0" w:space="0" w:color="auto"/>
                <w:right w:val="none" w:sz="0" w:space="0" w:color="auto"/>
              </w:divBdr>
            </w:div>
            <w:div w:id="853223421">
              <w:marLeft w:val="0"/>
              <w:marRight w:val="0"/>
              <w:marTop w:val="0"/>
              <w:marBottom w:val="0"/>
              <w:divBdr>
                <w:top w:val="none" w:sz="0" w:space="0" w:color="auto"/>
                <w:left w:val="none" w:sz="0" w:space="0" w:color="auto"/>
                <w:bottom w:val="none" w:sz="0" w:space="0" w:color="auto"/>
                <w:right w:val="none" w:sz="0" w:space="0" w:color="auto"/>
              </w:divBdr>
            </w:div>
            <w:div w:id="511260910">
              <w:marLeft w:val="0"/>
              <w:marRight w:val="0"/>
              <w:marTop w:val="0"/>
              <w:marBottom w:val="0"/>
              <w:divBdr>
                <w:top w:val="none" w:sz="0" w:space="0" w:color="auto"/>
                <w:left w:val="none" w:sz="0" w:space="0" w:color="auto"/>
                <w:bottom w:val="none" w:sz="0" w:space="0" w:color="auto"/>
                <w:right w:val="none" w:sz="0" w:space="0" w:color="auto"/>
              </w:divBdr>
            </w:div>
            <w:div w:id="59652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449413">
      <w:bodyDiv w:val="1"/>
      <w:marLeft w:val="0"/>
      <w:marRight w:val="0"/>
      <w:marTop w:val="0"/>
      <w:marBottom w:val="0"/>
      <w:divBdr>
        <w:top w:val="none" w:sz="0" w:space="0" w:color="auto"/>
        <w:left w:val="none" w:sz="0" w:space="0" w:color="auto"/>
        <w:bottom w:val="none" w:sz="0" w:space="0" w:color="auto"/>
        <w:right w:val="none" w:sz="0" w:space="0" w:color="auto"/>
      </w:divBdr>
    </w:div>
    <w:div w:id="832184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11" Type="http://schemas.openxmlformats.org/officeDocument/2006/relationships/fontTable" Target="fontTable.xml"/><Relationship Id="rId12" Type="http://schemas.openxmlformats.org/officeDocument/2006/relationships/theme" Target="theme/theme1.xml"/><Relationship Id="rId2" Type="http://schemas.openxmlformats.org/officeDocument/2006/relationships/settings" Target="settings.xml"/><Relationship Id="rId20" Type="http://schemas.openxmlformats.org/officeDocument/2006/relationships/image" Target="media/image1.png"/><Relationship Id="rId21" Type="http://schemas.openxmlformats.org/officeDocument/2006/relationships/image" Target="media/image2.jpeg"/><Relationship Id="rId22" Type="http://schemas.openxmlformats.org/officeDocument/2006/relationships/image" Target="media/image3.jpeg"/><Relationship Id="rId23" Type="http://schemas.openxmlformats.org/officeDocument/2006/relationships/image" Target="media/image4.jpeg"/><Relationship Id="rId24" Type="http://schemas.openxmlformats.org/officeDocument/2006/relationships/image" Target="media/image5.jpeg"/><Relationship Id="rId25" Type="http://schemas.openxmlformats.org/officeDocument/2006/relationships/image" Target="media/image6.jpeg"/><Relationship Id="rId26" Type="http://schemas.openxmlformats.org/officeDocument/2006/relationships/image" Target="media/image7.jpeg"/><Relationship Id="rId27" Type="http://schemas.openxmlformats.org/officeDocument/2006/relationships/image" Target="media/image1.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14</Pages>
  <Words>1893</Words>
  <Characters>12305</Characters>
  <DocSecurity>0</DocSecurity>
  <Lines>249</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Iova</dc:creator>
  <cp:lastModifiedBy>Alexandra Iova</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ca9e6ab905a7049188660a97146650b87916370c790ee0eecdaae23aa6e5b7f0</vt:lpwstr>
  </property>
</Properties>
</file>