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BAF7C0">
      <w:pPr>
        <w:pStyle w:val="3"/>
        <w:jc w:val="center"/>
        <w:rPr>
          <w:rFonts w:cs="Arial"/>
          <w:b/>
          <w:bCs/>
          <w:highlight w:val="none"/>
          <w:lang w:val="en-GB"/>
        </w:rPr>
      </w:pPr>
      <w:bookmarkStart w:id="0" w:name="X6d146d43dd29926f0a8319cf56d17e105824c16"/>
      <w:bookmarkStart w:id="1" w:name="content"/>
      <w:r>
        <w:rPr>
          <w:rFonts w:cs="Arial"/>
          <w:highlight w:val="none"/>
          <w:lang w:val="en-GB"/>
        </w:rPr>
        <w:drawing>
          <wp:inline distT="0" distB="0" distL="0" distR="0">
            <wp:extent cx="3001010" cy="1390650"/>
            <wp:effectExtent l="0" t="0" r="0" b="0"/>
            <wp:docPr id="24" name="image10.jpg"/>
            <wp:cNvGraphicFramePr/>
            <a:graphic xmlns:a="http://schemas.openxmlformats.org/drawingml/2006/main">
              <a:graphicData uri="http://schemas.openxmlformats.org/drawingml/2006/picture">
                <pic:pic xmlns:pic="http://schemas.openxmlformats.org/drawingml/2006/picture">
                  <pic:nvPicPr>
                    <pic:cNvPr id="24" name="image10.jpg"/>
                    <pic:cNvPicPr/>
                  </pic:nvPicPr>
                  <pic:blipFill>
                    <a:blip r:embed="rId7"/>
                    <a:srcRect t="26123" b="26104"/>
                    <a:stretch>
                      <a:fillRect/>
                    </a:stretch>
                  </pic:blipFill>
                  <pic:spPr>
                    <a:xfrm>
                      <a:off x="0" y="0"/>
                      <a:ext cx="3027778" cy="1403054"/>
                    </a:xfrm>
                    <a:prstGeom prst="rect">
                      <a:avLst/>
                    </a:prstGeom>
                    <a:ln>
                      <a:noFill/>
                    </a:ln>
                  </pic:spPr>
                </pic:pic>
              </a:graphicData>
            </a:graphic>
          </wp:inline>
        </w:drawing>
      </w:r>
    </w:p>
    <w:p w14:paraId="1789EE35">
      <w:pPr>
        <w:pStyle w:val="3"/>
        <w:jc w:val="center"/>
        <w:rPr>
          <w:rFonts w:cs="Arial"/>
          <w:b/>
          <w:bCs/>
          <w:sz w:val="32"/>
          <w:szCs w:val="32"/>
          <w:highlight w:val="none"/>
          <w:lang w:val="en-GB"/>
        </w:rPr>
      </w:pPr>
      <w:r>
        <w:rPr>
          <w:rFonts w:cs="Arial"/>
          <w:b/>
          <w:bCs/>
          <w:color w:val="262626" w:themeColor="text1" w:themeTint="D9"/>
          <w:sz w:val="32"/>
          <w:szCs w:val="32"/>
          <w:highlight w:val="none"/>
          <w:lang w:val="en-GB"/>
          <w14:textFill>
            <w14:solidFill>
              <w14:schemeClr w14:val="tx1">
                <w14:lumMod w14:val="85000"/>
                <w14:lumOff w14:val="15000"/>
              </w14:schemeClr>
            </w14:solidFill>
          </w14:textFill>
        </w:rPr>
        <w:t>Apple Inc. and the U.S. Consumer Electronics Industry: International Business Report</w:t>
      </w:r>
    </w:p>
    <w:p w14:paraId="6E178659">
      <w:pPr>
        <w:pStyle w:val="3"/>
        <w:rPr>
          <w:rFonts w:cs="Arial"/>
          <w:sz w:val="32"/>
          <w:szCs w:val="32"/>
          <w:highlight w:val="none"/>
          <w:lang w:val="en-GB"/>
        </w:rPr>
      </w:pPr>
    </w:p>
    <w:p w14:paraId="27669AC3">
      <w:pPr>
        <w:pStyle w:val="3"/>
        <w:jc w:val="center"/>
        <w:rPr>
          <w:rFonts w:cs="Arial"/>
          <w:b/>
          <w:bCs/>
          <w:highlight w:val="none"/>
          <w:lang w:val="en-GB"/>
        </w:rPr>
      </w:pPr>
      <w:r>
        <w:rPr>
          <w:rFonts w:cs="Arial"/>
          <w:b/>
          <w:bCs/>
          <w:highlight w:val="none"/>
          <w:lang w:val="en-GB"/>
        </w:rPr>
        <w:t>Programme: Master Of Business Administration</w:t>
      </w:r>
    </w:p>
    <w:p w14:paraId="264BECEE">
      <w:pPr>
        <w:pStyle w:val="3"/>
        <w:jc w:val="center"/>
        <w:rPr>
          <w:rFonts w:cs="Arial"/>
          <w:b/>
          <w:bCs/>
          <w:highlight w:val="none"/>
          <w:lang w:val="en-GB"/>
        </w:rPr>
      </w:pPr>
      <w:bookmarkStart w:id="44" w:name="_GoBack"/>
      <w:bookmarkEnd w:id="44"/>
      <w:r>
        <w:rPr>
          <w:rFonts w:cs="Arial"/>
          <w:b/>
          <w:bCs/>
          <w:highlight w:val="none"/>
          <w:lang w:val="en-GB"/>
        </w:rPr>
        <w:t>Module:  International Business Concepts</w:t>
      </w:r>
    </w:p>
    <w:p w14:paraId="41C4418B">
      <w:pPr>
        <w:pStyle w:val="3"/>
        <w:jc w:val="center"/>
        <w:rPr>
          <w:rFonts w:cs="Arial"/>
          <w:b/>
          <w:bCs/>
          <w:highlight w:val="none"/>
          <w:lang w:val="en-GB"/>
        </w:rPr>
      </w:pPr>
      <w:r>
        <w:rPr>
          <w:rFonts w:cs="Arial"/>
          <w:b/>
          <w:bCs/>
          <w:highlight w:val="none"/>
          <w:lang w:val="en-GB"/>
        </w:rPr>
        <w:t>Module code: LCMB7034</w:t>
      </w:r>
    </w:p>
    <w:p w14:paraId="7F4269DB">
      <w:pPr>
        <w:pStyle w:val="3"/>
        <w:jc w:val="center"/>
        <w:rPr>
          <w:rFonts w:cs="Arial"/>
          <w:b/>
          <w:bCs/>
          <w:highlight w:val="none"/>
          <w:lang w:val="en-GB"/>
        </w:rPr>
      </w:pPr>
      <w:r>
        <w:rPr>
          <w:rFonts w:cs="Arial"/>
          <w:b/>
          <w:bCs/>
          <w:highlight w:val="none"/>
          <w:lang w:val="en-GB"/>
        </w:rPr>
        <w:t>Lecturer: JEAN WANG</w:t>
      </w:r>
    </w:p>
    <w:p w14:paraId="426C5D9E">
      <w:pPr>
        <w:pStyle w:val="3"/>
        <w:rPr>
          <w:rFonts w:cs="Arial"/>
          <w:b/>
          <w:bCs/>
          <w:sz w:val="28"/>
          <w:szCs w:val="28"/>
          <w:highlight w:val="none"/>
          <w:lang w:val="en-GB"/>
        </w:rPr>
      </w:pPr>
    </w:p>
    <w:p w14:paraId="673BF2B8">
      <w:pPr>
        <w:pStyle w:val="3"/>
        <w:jc w:val="center"/>
        <w:rPr>
          <w:rFonts w:cs="Arial"/>
          <w:b/>
          <w:bCs/>
          <w:highlight w:val="none"/>
          <w:lang w:val="en-GB"/>
        </w:rPr>
      </w:pPr>
      <w:r>
        <w:rPr>
          <w:rFonts w:cs="Arial"/>
          <w:b/>
          <w:bCs/>
          <w:highlight w:val="none"/>
          <w:lang w:val="en-GB"/>
        </w:rPr>
        <w:t>Student Name:  AMISHA LEUVA</w:t>
      </w:r>
    </w:p>
    <w:p w14:paraId="01DB72C9">
      <w:pPr>
        <w:pStyle w:val="3"/>
        <w:jc w:val="center"/>
        <w:rPr>
          <w:rFonts w:cs="Arial"/>
          <w:b/>
          <w:bCs/>
          <w:highlight w:val="none"/>
          <w:lang w:val="en-GB"/>
        </w:rPr>
      </w:pPr>
      <w:r>
        <w:rPr>
          <w:rFonts w:cs="Arial"/>
          <w:b/>
          <w:bCs/>
          <w:highlight w:val="none"/>
          <w:lang w:val="en-GB"/>
        </w:rPr>
        <w:t>Student ID: 2504370</w:t>
      </w:r>
    </w:p>
    <w:p w14:paraId="3D5F47B1">
      <w:pPr>
        <w:pStyle w:val="3"/>
        <w:jc w:val="center"/>
        <w:rPr>
          <w:rFonts w:cs="Arial"/>
          <w:b/>
          <w:bCs/>
          <w:highlight w:val="none"/>
          <w:lang w:val="en-GB"/>
        </w:rPr>
      </w:pPr>
      <w:r>
        <w:rPr>
          <w:rFonts w:cs="Arial"/>
          <w:b/>
          <w:bCs/>
          <w:highlight w:val="none"/>
          <w:lang w:val="en-GB"/>
        </w:rPr>
        <w:t>Submission date: 14 Aug 2026</w:t>
      </w:r>
    </w:p>
    <w:p w14:paraId="47F1DEB3">
      <w:pPr>
        <w:pStyle w:val="3"/>
        <w:jc w:val="center"/>
        <w:rPr>
          <w:rFonts w:cs="Arial"/>
          <w:b/>
          <w:bCs/>
          <w:sz w:val="28"/>
          <w:szCs w:val="28"/>
          <w:highlight w:val="none"/>
          <w:lang w:val="en-GB"/>
        </w:rPr>
      </w:pPr>
    </w:p>
    <w:p w14:paraId="5B16C9B6">
      <w:pPr>
        <w:pStyle w:val="3"/>
        <w:jc w:val="center"/>
        <w:rPr>
          <w:rFonts w:cs="Arial"/>
          <w:b/>
          <w:bCs/>
          <w:sz w:val="28"/>
          <w:szCs w:val="28"/>
          <w:highlight w:val="none"/>
          <w:lang w:val="en-GB"/>
        </w:rPr>
      </w:pPr>
      <w:r>
        <w:rPr>
          <w:rFonts w:cs="Arial"/>
          <w:b/>
          <w:bCs/>
          <w:sz w:val="28"/>
          <w:szCs w:val="28"/>
          <w:highlight w:val="none"/>
          <w:lang w:val="en-GB"/>
        </w:rPr>
        <w:t>Word Count: 5132</w:t>
      </w:r>
    </w:p>
    <w:p w14:paraId="28172ECE">
      <w:pPr>
        <w:spacing w:after="200"/>
        <w:rPr>
          <w:rFonts w:ascii="Arial" w:hAnsi="Arial" w:cs="Arial" w:eastAsiaTheme="minorHAnsi"/>
          <w:b/>
          <w:bCs/>
          <w:sz w:val="28"/>
          <w:szCs w:val="28"/>
          <w:highlight w:val="none"/>
          <w:lang w:val="en-GB" w:eastAsia="en-US"/>
        </w:rPr>
      </w:pPr>
      <w:r>
        <w:rPr>
          <w:rFonts w:cs="Arial"/>
          <w:b/>
          <w:bCs/>
          <w:sz w:val="28"/>
          <w:szCs w:val="28"/>
          <w:highlight w:val="none"/>
          <w:lang w:val="en-GB"/>
        </w:rPr>
        <w:br w:type="page"/>
      </w:r>
    </w:p>
    <w:p w14:paraId="5DEB17A6">
      <w:pPr>
        <w:pStyle w:val="105"/>
        <w:spacing w:line="360" w:lineRule="auto"/>
        <w:jc w:val="center"/>
        <w:rPr>
          <w:rFonts w:ascii="Arial" w:hAnsi="Arial" w:cs="Arial"/>
          <w:sz w:val="28"/>
          <w:szCs w:val="28"/>
          <w:highlight w:val="none"/>
          <w:lang w:val="en-GB"/>
        </w:rPr>
      </w:pPr>
      <w:r>
        <w:rPr>
          <w:rStyle w:val="26"/>
          <w:rFonts w:ascii="Arial" w:hAnsi="Arial" w:cs="Arial"/>
          <w:sz w:val="28"/>
          <w:szCs w:val="28"/>
          <w:highlight w:val="none"/>
          <w:lang w:val="en-GB"/>
        </w:rPr>
        <w:t>AI Acknowledgement</w:t>
      </w:r>
    </w:p>
    <w:p w14:paraId="1EF71898">
      <w:pPr>
        <w:pStyle w:val="24"/>
        <w:spacing w:line="360" w:lineRule="auto"/>
        <w:rPr>
          <w:rFonts w:ascii="Arial" w:hAnsi="Arial" w:cs="Arial"/>
          <w:highlight w:val="none"/>
          <w:lang w:val="en-GB"/>
        </w:rPr>
      </w:pPr>
      <w:r>
        <w:rPr>
          <w:rFonts w:ascii="Arial" w:hAnsi="Arial" w:cs="Arial"/>
          <w:highlight w:val="none"/>
          <w:lang w:val="en-GB"/>
        </w:rPr>
        <w:t>I acknowledge the use of ChatGPT (</w:t>
      </w:r>
      <w:r>
        <w:rPr>
          <w:highlight w:val="none"/>
        </w:rPr>
        <w:fldChar w:fldCharType="begin"/>
      </w:r>
      <w:r>
        <w:rPr>
          <w:highlight w:val="none"/>
        </w:rPr>
        <w:instrText xml:space="preserve"> HYPERLINK "https://chatgpt.com/" \t "_new" </w:instrText>
      </w:r>
      <w:r>
        <w:rPr>
          <w:highlight w:val="none"/>
        </w:rPr>
        <w:fldChar w:fldCharType="separate"/>
      </w:r>
      <w:r>
        <w:rPr>
          <w:rStyle w:val="23"/>
          <w:rFonts w:ascii="Arial" w:hAnsi="Arial" w:cs="Arial"/>
          <w:highlight w:val="none"/>
          <w:lang w:val="en-GB"/>
        </w:rPr>
        <w:t>https://chatgpt.com/</w:t>
      </w:r>
      <w:r>
        <w:rPr>
          <w:rStyle w:val="23"/>
          <w:rFonts w:ascii="Arial" w:hAnsi="Arial" w:cs="Arial"/>
          <w:highlight w:val="none"/>
          <w:lang w:val="en-GB"/>
        </w:rPr>
        <w:fldChar w:fldCharType="end"/>
      </w:r>
      <w:r>
        <w:rPr>
          <w:rFonts w:ascii="Arial" w:hAnsi="Arial" w:cs="Arial"/>
          <w:highlight w:val="none"/>
          <w:lang w:val="en-GB"/>
        </w:rPr>
        <w:t>) on 6 August 2026 to support my research using the prompt:</w:t>
      </w:r>
    </w:p>
    <w:p w14:paraId="0877382B">
      <w:pPr>
        <w:pStyle w:val="3"/>
        <w:numPr>
          <w:ilvl w:val="0"/>
          <w:numId w:val="1"/>
        </w:numPr>
        <w:rPr>
          <w:highlight w:val="none"/>
          <w:lang w:val="en-GB"/>
        </w:rPr>
      </w:pPr>
      <w:r>
        <w:rPr>
          <w:rStyle w:val="26"/>
          <w:highlight w:val="none"/>
          <w:lang w:val="en-GB"/>
        </w:rPr>
        <w:t>“Please provide me with accurate and relevant information about Apple INC, its strategic management, recent developments, and relevant case studies to support my academic research”</w:t>
      </w:r>
    </w:p>
    <w:p w14:paraId="7EBD11F3">
      <w:pPr>
        <w:pStyle w:val="3"/>
        <w:ind w:right="83"/>
        <w:rPr>
          <w:highlight w:val="none"/>
          <w:lang w:val="en-GB"/>
        </w:rPr>
      </w:pPr>
      <w:bookmarkStart w:id="2" w:name="_Toc228188563"/>
      <w:bookmarkStart w:id="3" w:name="_Toc228189072"/>
      <w:r>
        <w:rPr>
          <w:highlight w:val="none"/>
          <w:lang w:val="en-GB"/>
        </w:rPr>
        <w:t>I</w:t>
      </w:r>
      <w:r>
        <w:rPr>
          <w:spacing w:val="-17"/>
          <w:highlight w:val="none"/>
          <w:lang w:val="en-GB"/>
        </w:rPr>
        <w:t xml:space="preserve"> </w:t>
      </w:r>
      <w:r>
        <w:rPr>
          <w:highlight w:val="none"/>
          <w:lang w:val="en-GB"/>
        </w:rPr>
        <w:t>confirm</w:t>
      </w:r>
      <w:r>
        <w:rPr>
          <w:spacing w:val="-17"/>
          <w:highlight w:val="none"/>
          <w:lang w:val="en-GB"/>
        </w:rPr>
        <w:t xml:space="preserve"> </w:t>
      </w:r>
      <w:r>
        <w:rPr>
          <w:highlight w:val="none"/>
          <w:lang w:val="en-GB"/>
        </w:rPr>
        <w:t>that</w:t>
      </w:r>
      <w:r>
        <w:rPr>
          <w:spacing w:val="-16"/>
          <w:highlight w:val="none"/>
          <w:lang w:val="en-GB"/>
        </w:rPr>
        <w:t xml:space="preserve"> </w:t>
      </w:r>
      <w:r>
        <w:rPr>
          <w:highlight w:val="none"/>
          <w:lang w:val="en-GB"/>
        </w:rPr>
        <w:t>I</w:t>
      </w:r>
      <w:r>
        <w:rPr>
          <w:spacing w:val="-20"/>
          <w:highlight w:val="none"/>
          <w:lang w:val="en-GB"/>
        </w:rPr>
        <w:t xml:space="preserve"> </w:t>
      </w:r>
      <w:r>
        <w:rPr>
          <w:highlight w:val="none"/>
          <w:lang w:val="en-GB"/>
        </w:rPr>
        <w:t>have</w:t>
      </w:r>
      <w:r>
        <w:rPr>
          <w:spacing w:val="-17"/>
          <w:highlight w:val="none"/>
          <w:lang w:val="en-GB"/>
        </w:rPr>
        <w:t xml:space="preserve"> </w:t>
      </w:r>
      <w:r>
        <w:rPr>
          <w:highlight w:val="none"/>
          <w:lang w:val="en-GB"/>
        </w:rPr>
        <w:t>not</w:t>
      </w:r>
      <w:r>
        <w:rPr>
          <w:spacing w:val="-17"/>
          <w:highlight w:val="none"/>
          <w:lang w:val="en-GB"/>
        </w:rPr>
        <w:t xml:space="preserve"> </w:t>
      </w:r>
      <w:r>
        <w:rPr>
          <w:highlight w:val="none"/>
          <w:lang w:val="en-GB"/>
        </w:rPr>
        <w:t>presented</w:t>
      </w:r>
      <w:r>
        <w:rPr>
          <w:spacing w:val="-17"/>
          <w:highlight w:val="none"/>
          <w:lang w:val="en-GB"/>
        </w:rPr>
        <w:t xml:space="preserve"> </w:t>
      </w:r>
      <w:r>
        <w:rPr>
          <w:highlight w:val="none"/>
          <w:lang w:val="en-GB"/>
        </w:rPr>
        <w:t>any</w:t>
      </w:r>
      <w:r>
        <w:rPr>
          <w:spacing w:val="-17"/>
          <w:highlight w:val="none"/>
          <w:lang w:val="en-GB"/>
        </w:rPr>
        <w:t xml:space="preserve"> AI-generated </w:t>
      </w:r>
      <w:r>
        <w:rPr>
          <w:highlight w:val="none"/>
          <w:lang w:val="en-GB"/>
        </w:rPr>
        <w:t>text</w:t>
      </w:r>
      <w:r>
        <w:rPr>
          <w:spacing w:val="-21"/>
          <w:highlight w:val="none"/>
          <w:lang w:val="en-GB"/>
        </w:rPr>
        <w:t xml:space="preserve"> </w:t>
      </w:r>
      <w:r>
        <w:rPr>
          <w:highlight w:val="none"/>
          <w:lang w:val="en-GB"/>
        </w:rPr>
        <w:t>as</w:t>
      </w:r>
      <w:r>
        <w:rPr>
          <w:spacing w:val="-17"/>
          <w:highlight w:val="none"/>
          <w:lang w:val="en-GB"/>
        </w:rPr>
        <w:t xml:space="preserve"> </w:t>
      </w:r>
      <w:r>
        <w:rPr>
          <w:highlight w:val="none"/>
          <w:lang w:val="en-GB"/>
        </w:rPr>
        <w:t>my</w:t>
      </w:r>
      <w:r>
        <w:rPr>
          <w:spacing w:val="-16"/>
          <w:highlight w:val="none"/>
          <w:lang w:val="en-GB"/>
        </w:rPr>
        <w:t xml:space="preserve"> </w:t>
      </w:r>
      <w:r>
        <w:rPr>
          <w:highlight w:val="none"/>
          <w:lang w:val="en-GB"/>
        </w:rPr>
        <w:t>own</w:t>
      </w:r>
      <w:r>
        <w:rPr>
          <w:spacing w:val="-16"/>
          <w:highlight w:val="none"/>
          <w:lang w:val="en-GB"/>
        </w:rPr>
        <w:t xml:space="preserve"> </w:t>
      </w:r>
      <w:r>
        <w:rPr>
          <w:highlight w:val="none"/>
          <w:lang w:val="en-GB"/>
        </w:rPr>
        <w:t>work.</w:t>
      </w:r>
      <w:r>
        <w:rPr>
          <w:spacing w:val="-16"/>
          <w:highlight w:val="none"/>
          <w:lang w:val="en-GB"/>
        </w:rPr>
        <w:t xml:space="preserve"> </w:t>
      </w:r>
      <w:r>
        <w:rPr>
          <w:highlight w:val="none"/>
          <w:lang w:val="en-GB"/>
        </w:rPr>
        <w:t>I</w:t>
      </w:r>
      <w:r>
        <w:rPr>
          <w:spacing w:val="-17"/>
          <w:highlight w:val="none"/>
          <w:lang w:val="en-GB"/>
        </w:rPr>
        <w:t xml:space="preserve"> </w:t>
      </w:r>
      <w:r>
        <w:rPr>
          <w:highlight w:val="none"/>
          <w:lang w:val="en-GB"/>
        </w:rPr>
        <w:t>confirm</w:t>
      </w:r>
      <w:r>
        <w:rPr>
          <w:spacing w:val="-21"/>
          <w:highlight w:val="none"/>
          <w:lang w:val="en-GB"/>
        </w:rPr>
        <w:t xml:space="preserve"> </w:t>
      </w:r>
      <w:r>
        <w:rPr>
          <w:highlight w:val="none"/>
          <w:lang w:val="en-GB"/>
        </w:rPr>
        <w:t xml:space="preserve">I </w:t>
      </w:r>
      <w:r>
        <w:rPr>
          <w:spacing w:val="-2"/>
          <w:highlight w:val="none"/>
          <w:lang w:val="en-GB"/>
        </w:rPr>
        <w:t>have</w:t>
      </w:r>
      <w:r>
        <w:rPr>
          <w:spacing w:val="-12"/>
          <w:highlight w:val="none"/>
          <w:lang w:val="en-GB"/>
        </w:rPr>
        <w:t xml:space="preserve"> </w:t>
      </w:r>
      <w:r>
        <w:rPr>
          <w:spacing w:val="-2"/>
          <w:highlight w:val="none"/>
          <w:lang w:val="en-GB"/>
        </w:rPr>
        <w:t>copies</w:t>
      </w:r>
      <w:r>
        <w:rPr>
          <w:spacing w:val="-11"/>
          <w:highlight w:val="none"/>
          <w:lang w:val="en-GB"/>
        </w:rPr>
        <w:t xml:space="preserve"> </w:t>
      </w:r>
      <w:r>
        <w:rPr>
          <w:spacing w:val="-2"/>
          <w:highlight w:val="none"/>
          <w:lang w:val="en-GB"/>
        </w:rPr>
        <w:t>of</w:t>
      </w:r>
      <w:r>
        <w:rPr>
          <w:spacing w:val="-10"/>
          <w:highlight w:val="none"/>
          <w:lang w:val="en-GB"/>
        </w:rPr>
        <w:t xml:space="preserve"> </w:t>
      </w:r>
      <w:r>
        <w:rPr>
          <w:spacing w:val="-2"/>
          <w:highlight w:val="none"/>
          <w:lang w:val="en-GB"/>
        </w:rPr>
        <w:t>my</w:t>
      </w:r>
      <w:r>
        <w:rPr>
          <w:spacing w:val="-12"/>
          <w:highlight w:val="none"/>
          <w:lang w:val="en-GB"/>
        </w:rPr>
        <w:t xml:space="preserve"> </w:t>
      </w:r>
      <w:r>
        <w:rPr>
          <w:spacing w:val="-2"/>
          <w:highlight w:val="none"/>
          <w:lang w:val="en-GB"/>
        </w:rPr>
        <w:t>drafts,</w:t>
      </w:r>
      <w:r>
        <w:rPr>
          <w:spacing w:val="-11"/>
          <w:highlight w:val="none"/>
          <w:lang w:val="en-GB"/>
        </w:rPr>
        <w:t xml:space="preserve"> </w:t>
      </w:r>
      <w:r>
        <w:rPr>
          <w:spacing w:val="-2"/>
          <w:highlight w:val="none"/>
          <w:lang w:val="en-GB"/>
        </w:rPr>
        <w:t>notes,</w:t>
      </w:r>
      <w:r>
        <w:rPr>
          <w:spacing w:val="-11"/>
          <w:highlight w:val="none"/>
          <w:lang w:val="en-GB"/>
        </w:rPr>
        <w:t xml:space="preserve"> </w:t>
      </w:r>
      <w:r>
        <w:rPr>
          <w:spacing w:val="-2"/>
          <w:highlight w:val="none"/>
          <w:lang w:val="en-GB"/>
        </w:rPr>
        <w:t>and</w:t>
      </w:r>
      <w:r>
        <w:rPr>
          <w:spacing w:val="-17"/>
          <w:highlight w:val="none"/>
          <w:lang w:val="en-GB"/>
        </w:rPr>
        <w:t xml:space="preserve"> </w:t>
      </w:r>
      <w:r>
        <w:rPr>
          <w:spacing w:val="-2"/>
          <w:highlight w:val="none"/>
          <w:lang w:val="en-GB"/>
        </w:rPr>
        <w:t>other</w:t>
      </w:r>
      <w:r>
        <w:rPr>
          <w:spacing w:val="-12"/>
          <w:highlight w:val="none"/>
          <w:lang w:val="en-GB"/>
        </w:rPr>
        <w:t xml:space="preserve"> </w:t>
      </w:r>
      <w:r>
        <w:rPr>
          <w:spacing w:val="-2"/>
          <w:highlight w:val="none"/>
          <w:lang w:val="en-GB"/>
        </w:rPr>
        <w:t>resources</w:t>
      </w:r>
      <w:r>
        <w:rPr>
          <w:spacing w:val="-12"/>
          <w:highlight w:val="none"/>
          <w:lang w:val="en-GB"/>
        </w:rPr>
        <w:t xml:space="preserve"> </w:t>
      </w:r>
      <w:r>
        <w:rPr>
          <w:spacing w:val="-2"/>
          <w:highlight w:val="none"/>
          <w:lang w:val="en-GB"/>
        </w:rPr>
        <w:t>I</w:t>
      </w:r>
      <w:r>
        <w:rPr>
          <w:spacing w:val="-12"/>
          <w:highlight w:val="none"/>
          <w:lang w:val="en-GB"/>
        </w:rPr>
        <w:t xml:space="preserve"> </w:t>
      </w:r>
      <w:r>
        <w:rPr>
          <w:spacing w:val="-2"/>
          <w:highlight w:val="none"/>
          <w:lang w:val="en-GB"/>
        </w:rPr>
        <w:t>used</w:t>
      </w:r>
      <w:r>
        <w:rPr>
          <w:spacing w:val="-10"/>
          <w:highlight w:val="none"/>
          <w:lang w:val="en-GB"/>
        </w:rPr>
        <w:t xml:space="preserve"> </w:t>
      </w:r>
      <w:r>
        <w:rPr>
          <w:spacing w:val="-2"/>
          <w:highlight w:val="none"/>
          <w:lang w:val="en-GB"/>
        </w:rPr>
        <w:t>before,</w:t>
      </w:r>
      <w:r>
        <w:rPr>
          <w:spacing w:val="-11"/>
          <w:highlight w:val="none"/>
          <w:lang w:val="en-GB"/>
        </w:rPr>
        <w:t xml:space="preserve"> </w:t>
      </w:r>
      <w:r>
        <w:rPr>
          <w:spacing w:val="-2"/>
          <w:highlight w:val="none"/>
          <w:lang w:val="en-GB"/>
        </w:rPr>
        <w:t>and</w:t>
      </w:r>
      <w:r>
        <w:rPr>
          <w:spacing w:val="-12"/>
          <w:highlight w:val="none"/>
          <w:lang w:val="en-GB"/>
        </w:rPr>
        <w:t xml:space="preserve"> </w:t>
      </w:r>
      <w:r>
        <w:rPr>
          <w:spacing w:val="-2"/>
          <w:highlight w:val="none"/>
          <w:lang w:val="en-GB"/>
        </w:rPr>
        <w:t>after</w:t>
      </w:r>
      <w:r>
        <w:rPr>
          <w:spacing w:val="-12"/>
          <w:highlight w:val="none"/>
          <w:lang w:val="en-GB"/>
        </w:rPr>
        <w:t xml:space="preserve"> </w:t>
      </w:r>
      <w:r>
        <w:rPr>
          <w:spacing w:val="-2"/>
          <w:highlight w:val="none"/>
          <w:lang w:val="en-GB"/>
        </w:rPr>
        <w:t>the</w:t>
      </w:r>
      <w:r>
        <w:rPr>
          <w:spacing w:val="-11"/>
          <w:highlight w:val="none"/>
          <w:lang w:val="en-GB"/>
        </w:rPr>
        <w:t xml:space="preserve"> </w:t>
      </w:r>
      <w:r>
        <w:rPr>
          <w:spacing w:val="-2"/>
          <w:highlight w:val="none"/>
          <w:lang w:val="en-GB"/>
        </w:rPr>
        <w:t>use</w:t>
      </w:r>
      <w:r>
        <w:rPr>
          <w:spacing w:val="-12"/>
          <w:highlight w:val="none"/>
          <w:lang w:val="en-GB"/>
        </w:rPr>
        <w:t xml:space="preserve"> </w:t>
      </w:r>
      <w:r>
        <w:rPr>
          <w:spacing w:val="-2"/>
          <w:highlight w:val="none"/>
          <w:lang w:val="en-GB"/>
        </w:rPr>
        <w:t xml:space="preserve">of </w:t>
      </w:r>
      <w:r>
        <w:rPr>
          <w:highlight w:val="none"/>
          <w:lang w:val="en-GB"/>
        </w:rPr>
        <w:t>AI</w:t>
      </w:r>
      <w:r>
        <w:rPr>
          <w:spacing w:val="-8"/>
          <w:highlight w:val="none"/>
          <w:lang w:val="en-GB"/>
        </w:rPr>
        <w:t xml:space="preserve"> </w:t>
      </w:r>
      <w:r>
        <w:rPr>
          <w:highlight w:val="none"/>
          <w:lang w:val="en-GB"/>
        </w:rPr>
        <w:t>tools</w:t>
      </w:r>
      <w:r>
        <w:rPr>
          <w:spacing w:val="-7"/>
          <w:highlight w:val="none"/>
          <w:lang w:val="en-GB"/>
        </w:rPr>
        <w:t xml:space="preserve"> </w:t>
      </w:r>
      <w:r>
        <w:rPr>
          <w:highlight w:val="none"/>
          <w:lang w:val="en-GB"/>
        </w:rPr>
        <w:t>which</w:t>
      </w:r>
      <w:r>
        <w:rPr>
          <w:spacing w:val="-8"/>
          <w:highlight w:val="none"/>
          <w:lang w:val="en-GB"/>
        </w:rPr>
        <w:t xml:space="preserve"> </w:t>
      </w:r>
      <w:r>
        <w:rPr>
          <w:highlight w:val="none"/>
          <w:lang w:val="en-GB"/>
        </w:rPr>
        <w:t>I</w:t>
      </w:r>
      <w:r>
        <w:rPr>
          <w:spacing w:val="-8"/>
          <w:highlight w:val="none"/>
          <w:lang w:val="en-GB"/>
        </w:rPr>
        <w:t xml:space="preserve"> </w:t>
      </w:r>
      <w:r>
        <w:rPr>
          <w:highlight w:val="none"/>
          <w:lang w:val="en-GB"/>
        </w:rPr>
        <w:t>may</w:t>
      </w:r>
      <w:r>
        <w:rPr>
          <w:spacing w:val="-7"/>
          <w:highlight w:val="none"/>
          <w:lang w:val="en-GB"/>
        </w:rPr>
        <w:t xml:space="preserve"> </w:t>
      </w:r>
      <w:r>
        <w:rPr>
          <w:highlight w:val="none"/>
          <w:lang w:val="en-GB"/>
        </w:rPr>
        <w:t>be</w:t>
      </w:r>
      <w:r>
        <w:rPr>
          <w:spacing w:val="-4"/>
          <w:highlight w:val="none"/>
          <w:lang w:val="en-GB"/>
        </w:rPr>
        <w:t xml:space="preserve"> </w:t>
      </w:r>
      <w:r>
        <w:rPr>
          <w:highlight w:val="none"/>
          <w:lang w:val="en-GB"/>
        </w:rPr>
        <w:t>asked</w:t>
      </w:r>
      <w:r>
        <w:rPr>
          <w:spacing w:val="-8"/>
          <w:highlight w:val="none"/>
          <w:lang w:val="en-GB"/>
        </w:rPr>
        <w:t xml:space="preserve"> </w:t>
      </w:r>
      <w:r>
        <w:rPr>
          <w:highlight w:val="none"/>
          <w:lang w:val="en-GB"/>
        </w:rPr>
        <w:t>to</w:t>
      </w:r>
      <w:r>
        <w:rPr>
          <w:spacing w:val="-13"/>
          <w:highlight w:val="none"/>
          <w:lang w:val="en-GB"/>
        </w:rPr>
        <w:t xml:space="preserve"> </w:t>
      </w:r>
      <w:r>
        <w:rPr>
          <w:highlight w:val="none"/>
          <w:lang w:val="en-GB"/>
        </w:rPr>
        <w:t>provide</w:t>
      </w:r>
      <w:r>
        <w:rPr>
          <w:spacing w:val="-7"/>
          <w:highlight w:val="none"/>
          <w:lang w:val="en-GB"/>
        </w:rPr>
        <w:t xml:space="preserve"> </w:t>
      </w:r>
      <w:r>
        <w:rPr>
          <w:highlight w:val="none"/>
          <w:lang w:val="en-GB"/>
        </w:rPr>
        <w:t>in</w:t>
      </w:r>
      <w:r>
        <w:rPr>
          <w:spacing w:val="-8"/>
          <w:highlight w:val="none"/>
          <w:lang w:val="en-GB"/>
        </w:rPr>
        <w:t xml:space="preserve"> </w:t>
      </w:r>
      <w:r>
        <w:rPr>
          <w:highlight w:val="none"/>
          <w:lang w:val="en-GB"/>
        </w:rPr>
        <w:t>evidence.</w:t>
      </w:r>
    </w:p>
    <w:p w14:paraId="78DEFC02">
      <w:pPr>
        <w:spacing w:after="200" w:line="360" w:lineRule="auto"/>
        <w:rPr>
          <w:rFonts w:ascii="Arial" w:hAnsi="Arial" w:cs="Arial" w:eastAsiaTheme="majorEastAsia"/>
          <w:b/>
          <w:sz w:val="28"/>
          <w:szCs w:val="40"/>
          <w:highlight w:val="none"/>
          <w:lang w:val="en-GB" w:eastAsia="en-US"/>
        </w:rPr>
      </w:pPr>
      <w:r>
        <w:rPr>
          <w:rFonts w:ascii="Arial" w:hAnsi="Arial" w:cs="Arial"/>
          <w:highlight w:val="none"/>
          <w:lang w:val="en-GB"/>
        </w:rPr>
        <w:br w:type="page"/>
      </w:r>
    </w:p>
    <w:sdt>
      <w:sdtPr>
        <w:rPr>
          <w:rFonts w:ascii="Arial" w:hAnsi="Arial" w:eastAsia="Times New Roman" w:cs="Arial"/>
          <w:b w:val="0"/>
          <w:color w:val="auto"/>
          <w:sz w:val="24"/>
          <w:szCs w:val="24"/>
          <w:highlight w:val="none"/>
          <w:lang w:val="en-GB" w:eastAsia="en-GB"/>
        </w:rPr>
        <w:id w:val="-1300147330"/>
        <w:docPartObj>
          <w:docPartGallery w:val="Table of Contents"/>
          <w:docPartUnique/>
        </w:docPartObj>
      </w:sdtPr>
      <w:sdtEndPr>
        <w:rPr>
          <w:rFonts w:ascii="Arial" w:hAnsi="Arial" w:eastAsia="Times New Roman" w:cs="Arial"/>
          <w:b w:val="0"/>
          <w:bCs/>
          <w:color w:val="auto"/>
          <w:sz w:val="24"/>
          <w:szCs w:val="24"/>
          <w:highlight w:val="none"/>
          <w:lang w:val="en-GB" w:eastAsia="en-GB"/>
        </w:rPr>
      </w:sdtEndPr>
      <w:sdtContent>
        <w:p w14:paraId="5586985D">
          <w:pPr>
            <w:pStyle w:val="67"/>
            <w:spacing w:line="360" w:lineRule="auto"/>
            <w:jc w:val="center"/>
            <w:rPr>
              <w:rFonts w:ascii="Arial" w:hAnsi="Arial" w:cs="Arial"/>
              <w:color w:val="auto"/>
              <w:szCs w:val="28"/>
              <w:highlight w:val="none"/>
              <w:lang w:val="en-GB"/>
            </w:rPr>
          </w:pPr>
          <w:r>
            <w:rPr>
              <w:rFonts w:ascii="Arial" w:hAnsi="Arial" w:cs="Arial"/>
              <w:color w:val="auto"/>
              <w:szCs w:val="28"/>
              <w:highlight w:val="none"/>
              <w:lang w:val="en-GB"/>
            </w:rPr>
            <w:t>Table of Contents</w:t>
          </w:r>
        </w:p>
        <w:p w14:paraId="3C3FCAB5">
          <w:pPr>
            <w:pStyle w:val="30"/>
            <w:tabs>
              <w:tab w:val="right" w:leader="dot" w:pos="9350"/>
            </w:tabs>
            <w:spacing w:line="360" w:lineRule="auto"/>
            <w:rPr>
              <w:rFonts w:ascii="Arial" w:hAnsi="Arial" w:cs="Arial" w:eastAsiaTheme="minorEastAsia"/>
              <w:b w:val="0"/>
              <w:bCs w:val="0"/>
              <w:i w:val="0"/>
              <w:iCs w:val="0"/>
              <w:kern w:val="2"/>
              <w:highlight w:val="none"/>
              <w:lang w:val="en-GB"/>
              <w14:ligatures w14:val="standardContextual"/>
            </w:rPr>
          </w:pP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TOC \o "1-3" \h \z \u </w:instrText>
          </w:r>
          <w:r>
            <w:rPr>
              <w:rFonts w:ascii="Arial" w:hAnsi="Arial" w:cs="Arial"/>
              <w:b w:val="0"/>
              <w:bCs w:val="0"/>
              <w:i w:val="0"/>
              <w:iCs w:val="0"/>
              <w:highlight w:val="none"/>
              <w:lang w:val="en-GB"/>
            </w:rPr>
            <w:fldChar w:fldCharType="separate"/>
          </w:r>
          <w:r>
            <w:rPr>
              <w:highlight w:val="none"/>
            </w:rPr>
            <w:fldChar w:fldCharType="begin"/>
          </w:r>
          <w:r>
            <w:rPr>
              <w:highlight w:val="none"/>
            </w:rPr>
            <w:instrText xml:space="preserve"> HYPERLINK \l "_Toc236919116" </w:instrText>
          </w:r>
          <w:r>
            <w:rPr>
              <w:highlight w:val="none"/>
            </w:rPr>
            <w:fldChar w:fldCharType="separate"/>
          </w:r>
          <w:r>
            <w:rPr>
              <w:rStyle w:val="23"/>
              <w:rFonts w:ascii="Arial" w:hAnsi="Arial" w:cs="Arial"/>
              <w:b w:val="0"/>
              <w:bCs w:val="0"/>
              <w:i w:val="0"/>
              <w:iCs w:val="0"/>
              <w:highlight w:val="none"/>
              <w:lang w:val="en-GB"/>
            </w:rPr>
            <w:t>Section 1: Apple Inc. and the U.S. Consumer Electronics Industry: International Business Report</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_Toc236919116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3</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765051ED">
          <w:pPr>
            <w:pStyle w:val="30"/>
            <w:tabs>
              <w:tab w:val="right" w:leader="dot" w:pos="9350"/>
            </w:tabs>
            <w:spacing w:line="360" w:lineRule="auto"/>
            <w:ind w:left="426"/>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"_Toc236919117" </w:instrText>
          </w:r>
          <w:r>
            <w:rPr>
              <w:highlight w:val="none"/>
            </w:rPr>
            <w:fldChar w:fldCharType="separate"/>
          </w:r>
          <w:r>
            <w:rPr>
              <w:rStyle w:val="23"/>
              <w:rFonts w:ascii="Arial" w:hAnsi="Arial" w:cs="Arial"/>
              <w:b w:val="0"/>
              <w:bCs w:val="0"/>
              <w:i w:val="0"/>
              <w:iCs w:val="0"/>
              <w:highlight w:val="none"/>
              <w:lang w:val="en-GB"/>
            </w:rPr>
            <w:t>1. Introduction</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_Toc236919117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3</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0263D894">
          <w:pPr>
            <w:pStyle w:val="30"/>
            <w:tabs>
              <w:tab w:val="right" w:leader="dot" w:pos="9350"/>
            </w:tabs>
            <w:spacing w:line="360" w:lineRule="auto"/>
            <w:ind w:left="426"/>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"_Toc236919118" </w:instrText>
          </w:r>
          <w:r>
            <w:rPr>
              <w:highlight w:val="none"/>
            </w:rPr>
            <w:fldChar w:fldCharType="separate"/>
          </w:r>
          <w:r>
            <w:rPr>
              <w:rStyle w:val="23"/>
              <w:rFonts w:ascii="Arial" w:hAnsi="Arial" w:cs="Arial"/>
              <w:b w:val="0"/>
              <w:bCs w:val="0"/>
              <w:i w:val="0"/>
              <w:iCs w:val="0"/>
              <w:highlight w:val="none"/>
              <w:lang w:val="en-GB"/>
            </w:rPr>
            <w:t>2. Industry and Country Overview</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_Toc236919118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3</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4B785366">
          <w:pPr>
            <w:pStyle w:val="30"/>
            <w:tabs>
              <w:tab w:val="right" w:leader="dot" w:pos="9350"/>
            </w:tabs>
            <w:spacing w:line="360" w:lineRule="auto"/>
            <w:ind w:left="426"/>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"_Toc236919119" </w:instrText>
          </w:r>
          <w:r>
            <w:rPr>
              <w:highlight w:val="none"/>
            </w:rPr>
            <w:fldChar w:fldCharType="separate"/>
          </w:r>
          <w:r>
            <w:rPr>
              <w:rStyle w:val="23"/>
              <w:rFonts w:ascii="Arial" w:hAnsi="Arial" w:cs="Arial"/>
              <w:b w:val="0"/>
              <w:bCs w:val="0"/>
              <w:i w:val="0"/>
              <w:iCs w:val="0"/>
              <w:highlight w:val="none"/>
              <w:lang w:val="en-GB"/>
            </w:rPr>
            <w:t>2.1 Industry Context in the U.S.</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_Toc236919119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3</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62243B49">
          <w:pPr>
            <w:pStyle w:val="30"/>
            <w:tabs>
              <w:tab w:val="right" w:leader="dot" w:pos="9350"/>
            </w:tabs>
            <w:spacing w:line="360" w:lineRule="auto"/>
            <w:ind w:left="426"/>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"_Toc236919120" </w:instrText>
          </w:r>
          <w:r>
            <w:rPr>
              <w:highlight w:val="none"/>
            </w:rPr>
            <w:fldChar w:fldCharType="separate"/>
          </w:r>
          <w:r>
            <w:rPr>
              <w:rStyle w:val="23"/>
              <w:rFonts w:ascii="Arial" w:hAnsi="Arial" w:cs="Arial"/>
              <w:b w:val="0"/>
              <w:bCs w:val="0"/>
              <w:i w:val="0"/>
              <w:iCs w:val="0"/>
              <w:highlight w:val="none"/>
              <w:lang w:val="en-GB"/>
            </w:rPr>
            <w:t>2.2 Size, Scope and Economic Importance</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_Toc236919120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4</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23033816">
          <w:pPr>
            <w:pStyle w:val="30"/>
            <w:tabs>
              <w:tab w:val="right" w:leader="dot" w:pos="9350"/>
            </w:tabs>
            <w:spacing w:line="360" w:lineRule="auto"/>
            <w:ind w:left="426"/>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"_Toc236919121" </w:instrText>
          </w:r>
          <w:r>
            <w:rPr>
              <w:highlight w:val="none"/>
            </w:rPr>
            <w:fldChar w:fldCharType="separate"/>
          </w:r>
          <w:r>
            <w:rPr>
              <w:rStyle w:val="23"/>
              <w:rFonts w:ascii="Arial" w:hAnsi="Arial" w:cs="Arial"/>
              <w:b w:val="0"/>
              <w:bCs w:val="0"/>
              <w:i w:val="0"/>
              <w:iCs w:val="0"/>
              <w:highlight w:val="none"/>
              <w:lang w:val="en-GB"/>
            </w:rPr>
            <w:t>2.3 Major Domestic and Multinational Players</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_Toc236919121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5</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4D8B724B">
          <w:pPr>
            <w:pStyle w:val="30"/>
            <w:tabs>
              <w:tab w:val="right" w:leader="dot" w:pos="9350"/>
            </w:tabs>
            <w:spacing w:line="360" w:lineRule="auto"/>
            <w:ind w:left="426"/>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"_Toc236919122" </w:instrText>
          </w:r>
          <w:r>
            <w:rPr>
              <w:highlight w:val="none"/>
            </w:rPr>
            <w:fldChar w:fldCharType="separate"/>
          </w:r>
          <w:r>
            <w:rPr>
              <w:rStyle w:val="23"/>
              <w:rFonts w:ascii="Arial" w:hAnsi="Arial" w:cs="Arial"/>
              <w:b w:val="0"/>
              <w:bCs w:val="0"/>
              <w:i w:val="0"/>
              <w:iCs w:val="0"/>
              <w:highlight w:val="none"/>
              <w:lang w:val="en-GB"/>
            </w:rPr>
            <w:t>2.4 Comparative Positioning of Key Companies</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_Toc236919122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6</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79AC79F7">
          <w:pPr>
            <w:pStyle w:val="30"/>
            <w:tabs>
              <w:tab w:val="right" w:leader="dot" w:pos="9350"/>
            </w:tabs>
            <w:spacing w:line="360" w:lineRule="auto"/>
            <w:ind w:left="426"/>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"_Toc236919123" </w:instrText>
          </w:r>
          <w:r>
            <w:rPr>
              <w:highlight w:val="none"/>
            </w:rPr>
            <w:fldChar w:fldCharType="separate"/>
          </w:r>
          <w:r>
            <w:rPr>
              <w:rStyle w:val="23"/>
              <w:rFonts w:ascii="Arial" w:hAnsi="Arial" w:cs="Arial"/>
              <w:b w:val="0"/>
              <w:bCs w:val="0"/>
              <w:i w:val="0"/>
              <w:iCs w:val="0"/>
              <w:highlight w:val="none"/>
              <w:lang w:val="en-GB"/>
            </w:rPr>
            <w:t>3. Porter’s Diamond Model Analysis</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_Toc236919123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7</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68CFE6F3">
          <w:pPr>
            <w:pStyle w:val="30"/>
            <w:tabs>
              <w:tab w:val="right" w:leader="dot" w:pos="9350"/>
            </w:tabs>
            <w:spacing w:line="360" w:lineRule="auto"/>
            <w:ind w:left="426"/>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"_Toc236919124" </w:instrText>
          </w:r>
          <w:r>
            <w:rPr>
              <w:highlight w:val="none"/>
            </w:rPr>
            <w:fldChar w:fldCharType="separate"/>
          </w:r>
          <w:r>
            <w:rPr>
              <w:rStyle w:val="23"/>
              <w:rFonts w:ascii="Arial" w:hAnsi="Arial" w:cs="Arial"/>
              <w:b w:val="0"/>
              <w:bCs w:val="0"/>
              <w:i w:val="0"/>
              <w:iCs w:val="0"/>
              <w:highlight w:val="none"/>
              <w:lang w:val="en-GB"/>
            </w:rPr>
            <w:t>4.  Samsung Electronics in the U.S: PESTLE and VRIO Analysis</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_Toc236919124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10</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0ADBD99D">
          <w:pPr>
            <w:pStyle w:val="30"/>
            <w:tabs>
              <w:tab w:val="right" w:leader="dot" w:pos="9350"/>
            </w:tabs>
            <w:spacing w:line="360" w:lineRule="auto"/>
            <w:ind w:left="426"/>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"_Toc236919125" </w:instrText>
          </w:r>
          <w:r>
            <w:rPr>
              <w:highlight w:val="none"/>
            </w:rPr>
            <w:fldChar w:fldCharType="separate"/>
          </w:r>
          <w:r>
            <w:rPr>
              <w:rStyle w:val="23"/>
              <w:rFonts w:ascii="Arial" w:hAnsi="Arial" w:cs="Arial"/>
              <w:b w:val="0"/>
              <w:bCs w:val="0"/>
              <w:i w:val="0"/>
              <w:iCs w:val="0"/>
              <w:highlight w:val="none"/>
              <w:lang w:val="en-GB"/>
            </w:rPr>
            <w:t>4.1 PESTLE Analysis</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_Toc236919125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10</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2F380DA4">
          <w:pPr>
            <w:pStyle w:val="30"/>
            <w:tabs>
              <w:tab w:val="right" w:leader="dot" w:pos="9350"/>
            </w:tabs>
            <w:spacing w:line="360" w:lineRule="auto"/>
            <w:ind w:left="426"/>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"_Toc236919126" </w:instrText>
          </w:r>
          <w:r>
            <w:rPr>
              <w:highlight w:val="none"/>
            </w:rPr>
            <w:fldChar w:fldCharType="separate"/>
          </w:r>
          <w:r>
            <w:rPr>
              <w:rStyle w:val="23"/>
              <w:rFonts w:ascii="Arial" w:hAnsi="Arial" w:cs="Arial"/>
              <w:b w:val="0"/>
              <w:bCs w:val="0"/>
              <w:i w:val="0"/>
              <w:iCs w:val="0"/>
              <w:highlight w:val="none"/>
              <w:lang w:val="en-GB"/>
            </w:rPr>
            <w:t>4.2 VRIO Analysis</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_Toc236919126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14</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1470097F">
          <w:pPr>
            <w:pStyle w:val="30"/>
            <w:tabs>
              <w:tab w:val="right" w:leader="dot" w:pos="9350"/>
            </w:tabs>
            <w:spacing w:line="360" w:lineRule="auto"/>
            <w:ind w:left="426"/>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"_Toc236919127" </w:instrText>
          </w:r>
          <w:r>
            <w:rPr>
              <w:highlight w:val="none"/>
            </w:rPr>
            <w:fldChar w:fldCharType="separate"/>
          </w:r>
          <w:r>
            <w:rPr>
              <w:rStyle w:val="23"/>
              <w:rFonts w:ascii="Arial" w:hAnsi="Arial" w:cs="Arial"/>
              <w:b w:val="0"/>
              <w:bCs w:val="0"/>
              <w:i w:val="0"/>
              <w:iCs w:val="0"/>
              <w:highlight w:val="none"/>
              <w:lang w:val="en-GB"/>
            </w:rPr>
            <w:t>5. Conclusion</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_Toc236919127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17</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29291A77">
          <w:pPr>
            <w:pStyle w:val="30"/>
            <w:tabs>
              <w:tab w:val="right" w:leader="dot" w:pos="9350"/>
            </w:tabs>
            <w:spacing w:line="360" w:lineRule="auto"/>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"_Toc236919128" </w:instrText>
          </w:r>
          <w:r>
            <w:rPr>
              <w:highlight w:val="none"/>
            </w:rPr>
            <w:fldChar w:fldCharType="separate"/>
          </w:r>
          <w:r>
            <w:rPr>
              <w:rStyle w:val="23"/>
              <w:rFonts w:ascii="Arial" w:hAnsi="Arial" w:cs="Arial"/>
              <w:b w:val="0"/>
              <w:bCs w:val="0"/>
              <w:i w:val="0"/>
              <w:iCs w:val="0"/>
              <w:highlight w:val="none"/>
              <w:lang w:val="en-GB"/>
            </w:rPr>
            <w:t>Section 2: Reflective Account</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_Toc236919128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19</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28E90C17">
          <w:pPr>
            <w:pStyle w:val="30"/>
            <w:tabs>
              <w:tab w:val="right" w:leader="dot" w:pos="9350"/>
            </w:tabs>
            <w:spacing w:line="360" w:lineRule="auto"/>
            <w:ind w:left="567"/>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"_Toc236919129" </w:instrText>
          </w:r>
          <w:r>
            <w:rPr>
              <w:highlight w:val="none"/>
            </w:rPr>
            <w:fldChar w:fldCharType="separate"/>
          </w:r>
          <w:r>
            <w:rPr>
              <w:rStyle w:val="23"/>
              <w:rFonts w:ascii="Arial" w:hAnsi="Arial" w:cs="Arial"/>
              <w:b w:val="0"/>
              <w:bCs w:val="0"/>
              <w:i w:val="0"/>
              <w:iCs w:val="0"/>
              <w:highlight w:val="none"/>
              <w:lang w:val="en-GB"/>
            </w:rPr>
            <w:t>Introduction</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_Toc236919129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19</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0F81A56D">
          <w:pPr>
            <w:pStyle w:val="30"/>
            <w:tabs>
              <w:tab w:val="right" w:leader="dot" w:pos="9350"/>
            </w:tabs>
            <w:spacing w:line="360" w:lineRule="auto"/>
            <w:ind w:left="567"/>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"_Toc236919130" </w:instrText>
          </w:r>
          <w:r>
            <w:rPr>
              <w:highlight w:val="none"/>
            </w:rPr>
            <w:fldChar w:fldCharType="separate"/>
          </w:r>
          <w:r>
            <w:rPr>
              <w:rStyle w:val="23"/>
              <w:rFonts w:ascii="Arial" w:hAnsi="Arial" w:cs="Arial"/>
              <w:b w:val="0"/>
              <w:bCs w:val="0"/>
              <w:i w:val="0"/>
              <w:iCs w:val="0"/>
              <w:highlight w:val="none"/>
              <w:lang w:val="en-GB"/>
            </w:rPr>
            <w:t>Main Content</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_Toc236919130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19</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7BB3FC9E">
          <w:pPr>
            <w:pStyle w:val="30"/>
            <w:tabs>
              <w:tab w:val="right" w:leader="dot" w:pos="9350"/>
            </w:tabs>
            <w:spacing w:line="360" w:lineRule="auto"/>
            <w:ind w:left="567"/>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"_Toc236919131" </w:instrText>
          </w:r>
          <w:r>
            <w:rPr>
              <w:highlight w:val="none"/>
            </w:rPr>
            <w:fldChar w:fldCharType="separate"/>
          </w:r>
          <w:r>
            <w:rPr>
              <w:rStyle w:val="23"/>
              <w:rFonts w:ascii="Arial" w:hAnsi="Arial" w:cs="Arial"/>
              <w:b w:val="0"/>
              <w:bCs w:val="0"/>
              <w:i w:val="0"/>
              <w:iCs w:val="0"/>
              <w:highlight w:val="none"/>
              <w:lang w:val="en-GB"/>
            </w:rPr>
            <w:t>Conclusion</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_Toc236919131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21</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42EF382D">
          <w:pPr>
            <w:pStyle w:val="30"/>
            <w:tabs>
              <w:tab w:val="right" w:leader="dot" w:pos="9350"/>
            </w:tabs>
            <w:spacing w:line="360" w:lineRule="auto"/>
            <w:rPr>
              <w:rFonts w:ascii="Arial" w:hAnsi="Arial" w:cs="Arial" w:eastAsiaTheme="minorEastAsia"/>
              <w:b w:val="0"/>
              <w:bCs w:val="0"/>
              <w:i w:val="0"/>
              <w:iCs w:val="0"/>
              <w:kern w:val="2"/>
              <w:highlight w:val="none"/>
              <w:lang w:val="en-GB"/>
              <w14:ligatures w14:val="standardContextual"/>
            </w:rPr>
          </w:pPr>
          <w:r>
            <w:rPr>
              <w:highlight w:val="none"/>
            </w:rPr>
            <w:fldChar w:fldCharType="begin"/>
          </w:r>
          <w:r>
            <w:rPr>
              <w:highlight w:val="none"/>
            </w:rPr>
            <w:instrText xml:space="preserve"> HYPERLINK \l "_Toc236919132" </w:instrText>
          </w:r>
          <w:r>
            <w:rPr>
              <w:highlight w:val="none"/>
            </w:rPr>
            <w:fldChar w:fldCharType="separate"/>
          </w:r>
          <w:r>
            <w:rPr>
              <w:rStyle w:val="23"/>
              <w:rFonts w:ascii="Arial" w:hAnsi="Arial" w:cs="Arial"/>
              <w:b w:val="0"/>
              <w:bCs w:val="0"/>
              <w:i w:val="0"/>
              <w:iCs w:val="0"/>
              <w:highlight w:val="none"/>
              <w:lang w:val="en-GB"/>
            </w:rPr>
            <w:t>References</w:t>
          </w:r>
          <w:r>
            <w:rPr>
              <w:rFonts w:ascii="Arial" w:hAnsi="Arial" w:cs="Arial"/>
              <w:b w:val="0"/>
              <w:bCs w:val="0"/>
              <w:i w:val="0"/>
              <w:iCs w:val="0"/>
              <w:highlight w:val="none"/>
              <w:lang w:val="en-GB"/>
            </w:rPr>
            <w:tab/>
          </w:r>
          <w:r>
            <w:rPr>
              <w:rFonts w:ascii="Arial" w:hAnsi="Arial" w:cs="Arial"/>
              <w:b w:val="0"/>
              <w:bCs w:val="0"/>
              <w:i w:val="0"/>
              <w:iCs w:val="0"/>
              <w:highlight w:val="none"/>
              <w:lang w:val="en-GB"/>
            </w:rPr>
            <w:fldChar w:fldCharType="begin"/>
          </w:r>
          <w:r>
            <w:rPr>
              <w:rFonts w:ascii="Arial" w:hAnsi="Arial" w:cs="Arial"/>
              <w:b w:val="0"/>
              <w:bCs w:val="0"/>
              <w:i w:val="0"/>
              <w:iCs w:val="0"/>
              <w:highlight w:val="none"/>
              <w:lang w:val="en-GB"/>
            </w:rPr>
            <w:instrText xml:space="preserve"> PAGEREF _Toc236919132 \h </w:instrText>
          </w:r>
          <w:r>
            <w:rPr>
              <w:rFonts w:ascii="Arial" w:hAnsi="Arial" w:cs="Arial"/>
              <w:b w:val="0"/>
              <w:bCs w:val="0"/>
              <w:i w:val="0"/>
              <w:iCs w:val="0"/>
              <w:highlight w:val="none"/>
              <w:lang w:val="en-GB"/>
            </w:rPr>
            <w:fldChar w:fldCharType="separate"/>
          </w:r>
          <w:r>
            <w:rPr>
              <w:rFonts w:ascii="Arial" w:hAnsi="Arial" w:cs="Arial"/>
              <w:b w:val="0"/>
              <w:bCs w:val="0"/>
              <w:i w:val="0"/>
              <w:iCs w:val="0"/>
              <w:highlight w:val="none"/>
              <w:lang w:val="en-GB"/>
            </w:rPr>
            <w:t>23</w:t>
          </w:r>
          <w:r>
            <w:rPr>
              <w:rFonts w:ascii="Arial" w:hAnsi="Arial" w:cs="Arial"/>
              <w:b w:val="0"/>
              <w:bCs w:val="0"/>
              <w:i w:val="0"/>
              <w:iCs w:val="0"/>
              <w:highlight w:val="none"/>
              <w:lang w:val="en-GB"/>
            </w:rPr>
            <w:fldChar w:fldCharType="end"/>
          </w:r>
          <w:r>
            <w:rPr>
              <w:rFonts w:ascii="Arial" w:hAnsi="Arial" w:cs="Arial"/>
              <w:b w:val="0"/>
              <w:bCs w:val="0"/>
              <w:i w:val="0"/>
              <w:iCs w:val="0"/>
              <w:highlight w:val="none"/>
              <w:lang w:val="en-GB"/>
            </w:rPr>
            <w:fldChar w:fldCharType="end"/>
          </w:r>
        </w:p>
        <w:p w14:paraId="2790042C">
          <w:pPr>
            <w:spacing w:line="360" w:lineRule="auto"/>
            <w:rPr>
              <w:rFonts w:ascii="Arial" w:hAnsi="Arial" w:cs="Arial"/>
              <w:highlight w:val="none"/>
              <w:lang w:val="en-GB"/>
            </w:rPr>
          </w:pPr>
          <w:r>
            <w:rPr>
              <w:rFonts w:ascii="Arial" w:hAnsi="Arial" w:cs="Arial"/>
              <w:highlight w:val="none"/>
              <w:lang w:val="en-GB"/>
            </w:rPr>
            <w:fldChar w:fldCharType="end"/>
          </w:r>
        </w:p>
      </w:sdtContent>
    </w:sdt>
    <w:p w14:paraId="128B2877">
      <w:pPr>
        <w:pStyle w:val="3"/>
        <w:rPr>
          <w:rFonts w:cs="Arial" w:eastAsiaTheme="majorEastAsia"/>
          <w:sz w:val="28"/>
          <w:szCs w:val="40"/>
          <w:highlight w:val="none"/>
          <w:lang w:val="en-GB"/>
        </w:rPr>
      </w:pPr>
      <w:r>
        <w:rPr>
          <w:rFonts w:cs="Arial"/>
          <w:highlight w:val="none"/>
          <w:lang w:val="en-GB"/>
        </w:rPr>
        <w:br w:type="page"/>
      </w:r>
    </w:p>
    <w:p w14:paraId="0B626328">
      <w:pPr>
        <w:pStyle w:val="2"/>
        <w:rPr>
          <w:rFonts w:cs="Arial"/>
          <w:highlight w:val="none"/>
          <w:lang w:val="en-GB"/>
        </w:rPr>
      </w:pPr>
      <w:bookmarkStart w:id="4" w:name="_Toc236919116"/>
      <w:r>
        <w:rPr>
          <w:rFonts w:cs="Arial"/>
          <w:highlight w:val="none"/>
          <w:lang w:val="en-GB"/>
        </w:rPr>
        <w:t>Section 1: Apple Inc. and the U.S. Consumer Electronics Industry: International Business Report</w:t>
      </w:r>
      <w:bookmarkEnd w:id="2"/>
      <w:bookmarkEnd w:id="3"/>
      <w:bookmarkEnd w:id="4"/>
    </w:p>
    <w:p w14:paraId="2A784193">
      <w:pPr>
        <w:pStyle w:val="2"/>
        <w:rPr>
          <w:rFonts w:cs="Arial"/>
          <w:highlight w:val="none"/>
          <w:lang w:val="en-GB"/>
        </w:rPr>
      </w:pPr>
      <w:bookmarkStart w:id="5" w:name="_Toc236919117"/>
      <w:bookmarkStart w:id="6" w:name="size-scope-and-economic-importance"/>
      <w:bookmarkStart w:id="7" w:name="industry-and-country-overview"/>
      <w:r>
        <w:rPr>
          <w:rFonts w:cs="Arial"/>
          <w:highlight w:val="none"/>
          <w:lang w:val="en-GB"/>
        </w:rPr>
        <w:t>1. Introduction</w:t>
      </w:r>
      <w:bookmarkEnd w:id="5"/>
    </w:p>
    <w:p w14:paraId="7231DC9D">
      <w:pPr>
        <w:pStyle w:val="3"/>
        <w:rPr>
          <w:rFonts w:cs="Arial"/>
          <w:highlight w:val="none"/>
          <w:lang w:val="en-GB"/>
        </w:rPr>
      </w:pPr>
      <w:r>
        <w:rPr>
          <w:rFonts w:cs="Arial"/>
          <w:highlight w:val="none"/>
          <w:lang w:val="en-GB"/>
        </w:rPr>
        <w:t xml:space="preserve">The United States is one of the world's foremost player at the height of the global consumer electronics sector with renowned innovation ecosystem, technological infrastructure, particularly investments in research and development (Agbeyegbe, 2026). The United States is one of the greatest innovation economies in the world, as evidenced by the World Intellectual Property Organization (2025), and innovation clusters are an important asset for strengthening the competitiveness of industry. The context has provided the companies like Apple, Google and Autodesk to build up competitive products globally, lured investment, and skilled workers and technological cooperations. This report examines the U.S. consumer electronics worldwide competitiveness, such as smartphones, personal computers, wearables, and connected devices, using the Porter's Diamond Model, which critiques a nation's Competitiveness. This report provides a critical analysis of the competitiveness of the U.S. consumer electronics industry in the world (smartphones, personal computers, wearables, connected devices) by way of the Porter's Diamond Model, a theory used to critique a nation's competitiveness. </w:t>
      </w:r>
    </w:p>
    <w:p w14:paraId="7CA6C2FB">
      <w:pPr>
        <w:pStyle w:val="2"/>
        <w:rPr>
          <w:rFonts w:cs="Arial"/>
          <w:highlight w:val="none"/>
          <w:lang w:val="en-GB"/>
        </w:rPr>
      </w:pPr>
      <w:bookmarkStart w:id="8" w:name="_Toc236919118"/>
      <w:r>
        <w:rPr>
          <w:rFonts w:cs="Arial"/>
          <w:highlight w:val="none"/>
          <w:lang w:val="en-GB"/>
        </w:rPr>
        <w:t>2. Industry and Country Overview</w:t>
      </w:r>
      <w:bookmarkEnd w:id="8"/>
    </w:p>
    <w:p w14:paraId="625A0A68">
      <w:pPr>
        <w:pStyle w:val="103"/>
        <w:rPr>
          <w:rFonts w:cs="Arial"/>
          <w:highlight w:val="none"/>
          <w:lang w:val="en-GB"/>
        </w:rPr>
      </w:pPr>
      <w:bookmarkStart w:id="9" w:name="_Toc236919119"/>
      <w:r>
        <w:rPr>
          <w:rFonts w:cs="Arial"/>
          <w:highlight w:val="none"/>
          <w:lang w:val="en-GB"/>
        </w:rPr>
        <w:t>2.1 Industry Context in the U.S.</w:t>
      </w:r>
      <w:bookmarkEnd w:id="9"/>
    </w:p>
    <w:p w14:paraId="611F23A6">
      <w:pPr>
        <w:pStyle w:val="3"/>
        <w:rPr>
          <w:rFonts w:cs="Arial"/>
          <w:highlight w:val="none"/>
          <w:lang w:val="en-GB"/>
        </w:rPr>
      </w:pPr>
      <w:r>
        <w:rPr>
          <w:rFonts w:cs="Arial"/>
          <w:highlight w:val="none"/>
          <w:lang w:val="en-GB"/>
        </w:rPr>
        <w:t xml:space="preserve">The U.S. consumer electronics industry includes mobile phones, PCs, TVs, Internet of Things (IoT) devices, software and software services and is one of the most innovative industries in the U.S. (International Trade Administration, 2025). The fuel it gets from technology companies, research labs, and talented people who are concentrated in Silicon Valley, Seattle, and Austin, among other key innovation centers, are evidenced by its competitiveness. In the view of Porter (1998), such industrial concentration could provide firms with competitive advantage in global markets, increasing productivity, fostering the exchange of knowledge, and creating speed of innovation within the cluster which can result in them gaining a competitive edge over others. The continued leadership of the U.S. in the global rankings of innovation further demonstrate the success of this innovation ecosystem (World Intellectual Property Organization, 2025). Pew Research Center (2025) stated that roughly 91% of U.S. adults had smartphones. Deloitte (2025) revealed that U.S. household spending on connected device grew, on average, by 17%. The high domestic demand also plays an important role in creating competitiveness in the sector. </w:t>
      </w:r>
    </w:p>
    <w:p w14:paraId="2D32921E">
      <w:pPr>
        <w:pStyle w:val="2"/>
        <w:rPr>
          <w:rFonts w:cs="Arial"/>
          <w:highlight w:val="none"/>
          <w:lang w:val="en-GB"/>
        </w:rPr>
      </w:pPr>
      <w:bookmarkStart w:id="10" w:name="_Toc228188567"/>
      <w:bookmarkStart w:id="11" w:name="_Toc236919120"/>
      <w:bookmarkStart w:id="12" w:name="_Toc228189076"/>
      <w:r>
        <w:rPr>
          <w:rFonts w:cs="Arial"/>
          <w:highlight w:val="none"/>
          <w:lang w:val="en-GB"/>
        </w:rPr>
        <w:t>2.2 Size, Scope and Economic Importance</w:t>
      </w:r>
      <w:bookmarkEnd w:id="6"/>
      <w:bookmarkEnd w:id="10"/>
      <w:bookmarkEnd w:id="11"/>
      <w:bookmarkEnd w:id="12"/>
      <w:bookmarkStart w:id="13" w:name="_Toc228188568"/>
      <w:bookmarkStart w:id="14" w:name="_Toc228189077"/>
      <w:bookmarkStart w:id="15" w:name="major-domestic-and-multinational-players"/>
    </w:p>
    <w:p w14:paraId="08ECB070">
      <w:pPr>
        <w:pStyle w:val="3"/>
        <w:rPr>
          <w:rFonts w:cs="Arial"/>
          <w:highlight w:val="none"/>
          <w:lang w:val="en-GB"/>
        </w:rPr>
      </w:pPr>
      <w:r>
        <w:rPr>
          <w:rFonts w:cs="Arial"/>
          <w:highlight w:val="none"/>
          <w:lang w:val="en-GB"/>
        </w:rPr>
        <w:t>Consumer electronics/Information Technology (IT) industry is one of the strongest industries in the United States which has a far-reaching influence on economic growth, technological advancement and international competitiveness (Bwemelo, Mmari and Mashenene, 2026). The sector is estimated to include over 585,000 software and IT firms, directly supporting the employment of around 6.6 million people and contributing to the value of software generation, fabrication of semiconductors, provision of cloud-based computing, digital services and other important areas, according to the International Trade Administration (2025). The vast number of industrial sites highlights the need for this industry to significantly enhance productivity and competitiveness of the U.S. technology industry against a global backdrop.</w:t>
      </w:r>
    </w:p>
    <w:p w14:paraId="4008F7BF">
      <w:pPr>
        <w:pStyle w:val="3"/>
        <w:rPr>
          <w:rFonts w:cs="Arial"/>
          <w:highlight w:val="none"/>
          <w:lang w:val="en-GB"/>
        </w:rPr>
      </w:pPr>
      <w:r>
        <w:rPr>
          <w:rFonts w:cs="Arial"/>
          <w:highlight w:val="none"/>
          <w:lang w:val="en-GB"/>
        </w:rPr>
        <w:t xml:space="preserve">This industry is not only economically significant for itself, but also because a substantial proportion of its products are exported (Firsova, 2026). According to Apple Inc. (2025), ongoing investments in research and development and product innovation and global integrated digital ecosystems have helped U.S. technology companies maintain their impressive financial results and world-leading positions. Likewise, Bruno et al. (2022) suggest that effective institutional structures, the protection of research and development and policies based on innovations increase the competitiveness of multinational firms in the international market by stimulating investment and innovation (Global Risk Community, 2025). </w:t>
      </w:r>
    </w:p>
    <w:p w14:paraId="007FA662">
      <w:pPr>
        <w:pStyle w:val="2"/>
        <w:rPr>
          <w:rFonts w:cs="Arial"/>
          <w:highlight w:val="none"/>
          <w:lang w:val="en-GB"/>
        </w:rPr>
      </w:pPr>
      <w:bookmarkStart w:id="16" w:name="_Toc236919121"/>
      <w:r>
        <w:rPr>
          <w:rFonts w:cs="Arial"/>
          <w:highlight w:val="none"/>
          <w:lang w:val="en-GB"/>
        </w:rPr>
        <w:t>2.3 Major Domestic and Multinational Players</w:t>
      </w:r>
      <w:bookmarkEnd w:id="13"/>
      <w:bookmarkEnd w:id="14"/>
      <w:bookmarkEnd w:id="16"/>
    </w:p>
    <w:tbl>
      <w:tblPr>
        <w:tblStyle w:val="106"/>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782"/>
        <w:gridCol w:w="3176"/>
        <w:gridCol w:w="2445"/>
        <w:gridCol w:w="2173"/>
      </w:tblGrid>
      <w:tr w14:paraId="4B147A2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Ex>
        <w:tc>
          <w:tcPr>
            <w:tcW w:w="0" w:type="auto"/>
          </w:tcPr>
          <w:p w14:paraId="69E27D61">
            <w:pPr>
              <w:spacing w:line="360" w:lineRule="auto"/>
              <w:jc w:val="center"/>
              <w:rPr>
                <w:rFonts w:ascii="Arial" w:hAnsi="Arial" w:cs="Arial"/>
                <w:b/>
                <w:bCs/>
                <w:highlight w:val="none"/>
                <w:lang w:val="en-GB"/>
              </w:rPr>
            </w:pPr>
            <w:r>
              <w:rPr>
                <w:rFonts w:ascii="Arial" w:hAnsi="Arial" w:cs="Arial"/>
                <w:b/>
                <w:bCs/>
                <w:highlight w:val="none"/>
                <w:lang w:val="en-GB"/>
              </w:rPr>
              <w:t>Company</w:t>
            </w:r>
          </w:p>
        </w:tc>
        <w:tc>
          <w:tcPr>
            <w:tcW w:w="0" w:type="auto"/>
          </w:tcPr>
          <w:p w14:paraId="30F0F058">
            <w:pPr>
              <w:spacing w:line="360" w:lineRule="auto"/>
              <w:jc w:val="center"/>
              <w:rPr>
                <w:rFonts w:ascii="Arial" w:hAnsi="Arial" w:cs="Arial"/>
                <w:b/>
                <w:bCs/>
                <w:highlight w:val="none"/>
                <w:lang w:val="en-GB"/>
              </w:rPr>
            </w:pPr>
            <w:r>
              <w:rPr>
                <w:rFonts w:ascii="Arial" w:hAnsi="Arial" w:cs="Arial"/>
                <w:b/>
                <w:bCs/>
                <w:highlight w:val="none"/>
                <w:lang w:val="en-GB"/>
              </w:rPr>
              <w:t>Market Position</w:t>
            </w:r>
          </w:p>
        </w:tc>
        <w:tc>
          <w:tcPr>
            <w:tcW w:w="0" w:type="auto"/>
          </w:tcPr>
          <w:p w14:paraId="26412E58">
            <w:pPr>
              <w:spacing w:line="360" w:lineRule="auto"/>
              <w:jc w:val="center"/>
              <w:rPr>
                <w:rFonts w:ascii="Arial" w:hAnsi="Arial" w:cs="Arial"/>
                <w:b/>
                <w:bCs/>
                <w:highlight w:val="none"/>
                <w:lang w:val="en-GB"/>
              </w:rPr>
            </w:pPr>
            <w:r>
              <w:rPr>
                <w:rFonts w:ascii="Arial" w:hAnsi="Arial" w:cs="Arial"/>
                <w:b/>
                <w:bCs/>
                <w:highlight w:val="none"/>
                <w:lang w:val="en-GB"/>
              </w:rPr>
              <w:t>Core Strategy</w:t>
            </w:r>
          </w:p>
        </w:tc>
        <w:tc>
          <w:tcPr>
            <w:tcW w:w="0" w:type="auto"/>
          </w:tcPr>
          <w:p w14:paraId="2D9BBFA9">
            <w:pPr>
              <w:spacing w:line="360" w:lineRule="auto"/>
              <w:jc w:val="center"/>
              <w:rPr>
                <w:rFonts w:ascii="Arial" w:hAnsi="Arial" w:cs="Arial"/>
                <w:b/>
                <w:bCs/>
                <w:highlight w:val="none"/>
                <w:lang w:val="en-GB"/>
              </w:rPr>
            </w:pPr>
            <w:r>
              <w:rPr>
                <w:rFonts w:ascii="Arial" w:hAnsi="Arial" w:cs="Arial"/>
                <w:b/>
                <w:bCs/>
                <w:highlight w:val="none"/>
                <w:lang w:val="en-GB"/>
              </w:rPr>
              <w:t>Key Strength</w:t>
            </w:r>
          </w:p>
        </w:tc>
      </w:tr>
      <w:tr w14:paraId="5042732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6B9E259E">
            <w:pPr>
              <w:spacing w:line="360" w:lineRule="auto"/>
              <w:rPr>
                <w:rFonts w:ascii="Arial" w:hAnsi="Arial" w:cs="Arial"/>
                <w:b/>
                <w:bCs/>
                <w:highlight w:val="none"/>
                <w:lang w:val="en-GB"/>
              </w:rPr>
            </w:pPr>
            <w:r>
              <w:rPr>
                <w:rFonts w:ascii="Arial" w:hAnsi="Arial" w:cs="Arial"/>
                <w:b/>
                <w:bCs/>
                <w:highlight w:val="none"/>
                <w:lang w:val="en-GB"/>
              </w:rPr>
              <w:t>Apple</w:t>
            </w:r>
          </w:p>
        </w:tc>
        <w:tc>
          <w:tcPr>
            <w:tcW w:w="0" w:type="auto"/>
            <w:shd w:val="clear" w:color="auto" w:fill="F1F1F1" w:themeFill="background1" w:themeFillShade="F2"/>
          </w:tcPr>
          <w:p w14:paraId="2D16123D">
            <w:pPr>
              <w:spacing w:line="360" w:lineRule="auto"/>
              <w:rPr>
                <w:rFonts w:ascii="Arial" w:hAnsi="Arial" w:cs="Arial"/>
                <w:highlight w:val="none"/>
                <w:lang w:val="en-GB"/>
              </w:rPr>
            </w:pPr>
            <w:r>
              <w:rPr>
                <w:rFonts w:ascii="Arial" w:hAnsi="Arial" w:cs="Arial"/>
                <w:highlight w:val="none"/>
                <w:lang w:val="en-GB"/>
              </w:rPr>
              <w:t>Premium Leader</w:t>
            </w:r>
          </w:p>
        </w:tc>
        <w:tc>
          <w:tcPr>
            <w:tcW w:w="0" w:type="auto"/>
            <w:shd w:val="clear" w:color="auto" w:fill="F1F1F1" w:themeFill="background1" w:themeFillShade="F2"/>
          </w:tcPr>
          <w:p w14:paraId="42C680F5">
            <w:pPr>
              <w:spacing w:line="360" w:lineRule="auto"/>
              <w:rPr>
                <w:rFonts w:ascii="Arial" w:hAnsi="Arial" w:cs="Arial"/>
                <w:highlight w:val="none"/>
                <w:lang w:val="en-GB"/>
              </w:rPr>
            </w:pPr>
            <w:r>
              <w:rPr>
                <w:rFonts w:ascii="Arial" w:hAnsi="Arial" w:cs="Arial"/>
                <w:highlight w:val="none"/>
                <w:lang w:val="en-GB"/>
              </w:rPr>
              <w:t>Ecosystem &amp; Innovation</w:t>
            </w:r>
          </w:p>
        </w:tc>
        <w:tc>
          <w:tcPr>
            <w:tcW w:w="0" w:type="auto"/>
            <w:shd w:val="clear" w:color="auto" w:fill="F1F1F1" w:themeFill="background1" w:themeFillShade="F2"/>
          </w:tcPr>
          <w:p w14:paraId="544E05D4">
            <w:pPr>
              <w:spacing w:line="360" w:lineRule="auto"/>
              <w:rPr>
                <w:rFonts w:ascii="Arial" w:hAnsi="Arial" w:cs="Arial"/>
                <w:highlight w:val="none"/>
                <w:lang w:val="en-GB"/>
              </w:rPr>
            </w:pPr>
            <w:r>
              <w:rPr>
                <w:rFonts w:ascii="Arial" w:hAnsi="Arial" w:cs="Arial"/>
                <w:highlight w:val="none"/>
                <w:lang w:val="en-GB"/>
              </w:rPr>
              <w:t>Brand Loyalty</w:t>
            </w:r>
          </w:p>
        </w:tc>
      </w:tr>
      <w:tr w14:paraId="086FD6A3">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048708B">
            <w:pPr>
              <w:spacing w:line="360" w:lineRule="auto"/>
              <w:rPr>
                <w:rFonts w:ascii="Arial" w:hAnsi="Arial" w:cs="Arial"/>
                <w:b/>
                <w:bCs/>
                <w:highlight w:val="none"/>
                <w:lang w:val="en-GB"/>
              </w:rPr>
            </w:pPr>
            <w:r>
              <w:rPr>
                <w:rFonts w:ascii="Arial" w:hAnsi="Arial" w:cs="Arial"/>
                <w:b/>
                <w:bCs/>
                <w:highlight w:val="none"/>
                <w:lang w:val="en-GB"/>
              </w:rPr>
              <w:t>Samsung</w:t>
            </w:r>
          </w:p>
        </w:tc>
        <w:tc>
          <w:tcPr>
            <w:tcW w:w="0" w:type="auto"/>
          </w:tcPr>
          <w:p w14:paraId="16124204">
            <w:pPr>
              <w:spacing w:line="360" w:lineRule="auto"/>
              <w:rPr>
                <w:rFonts w:ascii="Arial" w:hAnsi="Arial" w:cs="Arial"/>
                <w:highlight w:val="none"/>
                <w:lang w:val="en-GB"/>
              </w:rPr>
            </w:pPr>
            <w:r>
              <w:rPr>
                <w:rFonts w:ascii="Arial" w:hAnsi="Arial" w:cs="Arial"/>
                <w:highlight w:val="none"/>
                <w:lang w:val="en-GB"/>
              </w:rPr>
              <w:t>Global Challenger</w:t>
            </w:r>
          </w:p>
        </w:tc>
        <w:tc>
          <w:tcPr>
            <w:tcW w:w="0" w:type="auto"/>
          </w:tcPr>
          <w:p w14:paraId="557B4BCC">
            <w:pPr>
              <w:spacing w:line="360" w:lineRule="auto"/>
              <w:rPr>
                <w:rFonts w:ascii="Arial" w:hAnsi="Arial" w:cs="Arial"/>
                <w:highlight w:val="none"/>
                <w:lang w:val="en-GB"/>
              </w:rPr>
            </w:pPr>
            <w:r>
              <w:rPr>
                <w:rFonts w:ascii="Arial" w:hAnsi="Arial" w:cs="Arial"/>
                <w:highlight w:val="none"/>
                <w:lang w:val="en-GB"/>
              </w:rPr>
              <w:t>Product Diversification</w:t>
            </w:r>
          </w:p>
        </w:tc>
        <w:tc>
          <w:tcPr>
            <w:tcW w:w="0" w:type="auto"/>
          </w:tcPr>
          <w:p w14:paraId="7617C1B9">
            <w:pPr>
              <w:spacing w:line="360" w:lineRule="auto"/>
              <w:rPr>
                <w:rFonts w:ascii="Arial" w:hAnsi="Arial" w:cs="Arial"/>
                <w:highlight w:val="none"/>
                <w:lang w:val="en-GB"/>
              </w:rPr>
            </w:pPr>
            <w:r>
              <w:rPr>
                <w:rFonts w:ascii="Arial" w:hAnsi="Arial" w:cs="Arial"/>
                <w:highlight w:val="none"/>
                <w:lang w:val="en-GB"/>
              </w:rPr>
              <w:t>Vertical Integration</w:t>
            </w:r>
          </w:p>
        </w:tc>
      </w:tr>
      <w:tr w14:paraId="0BEB58EF">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4589EB6E">
            <w:pPr>
              <w:spacing w:line="360" w:lineRule="auto"/>
              <w:rPr>
                <w:rFonts w:ascii="Arial" w:hAnsi="Arial" w:cs="Arial"/>
                <w:b/>
                <w:bCs/>
                <w:highlight w:val="none"/>
                <w:lang w:val="en-GB"/>
              </w:rPr>
            </w:pPr>
            <w:r>
              <w:rPr>
                <w:rFonts w:ascii="Arial" w:hAnsi="Arial" w:cs="Arial"/>
                <w:b/>
                <w:bCs/>
                <w:highlight w:val="none"/>
                <w:lang w:val="en-GB"/>
              </w:rPr>
              <w:t>Google</w:t>
            </w:r>
          </w:p>
        </w:tc>
        <w:tc>
          <w:tcPr>
            <w:tcW w:w="0" w:type="auto"/>
            <w:shd w:val="clear" w:color="auto" w:fill="F1F1F1" w:themeFill="background1" w:themeFillShade="F2"/>
          </w:tcPr>
          <w:p w14:paraId="5719A7FC">
            <w:pPr>
              <w:spacing w:line="360" w:lineRule="auto"/>
              <w:rPr>
                <w:rFonts w:ascii="Arial" w:hAnsi="Arial" w:cs="Arial"/>
                <w:highlight w:val="none"/>
                <w:lang w:val="en-GB"/>
              </w:rPr>
            </w:pPr>
            <w:r>
              <w:rPr>
                <w:rFonts w:ascii="Arial" w:hAnsi="Arial" w:cs="Arial"/>
                <w:highlight w:val="none"/>
                <w:lang w:val="en-GB"/>
              </w:rPr>
              <w:t>Platform Leader</w:t>
            </w:r>
          </w:p>
        </w:tc>
        <w:tc>
          <w:tcPr>
            <w:tcW w:w="0" w:type="auto"/>
            <w:shd w:val="clear" w:color="auto" w:fill="F1F1F1" w:themeFill="background1" w:themeFillShade="F2"/>
          </w:tcPr>
          <w:p w14:paraId="0E4E6443">
            <w:pPr>
              <w:spacing w:line="360" w:lineRule="auto"/>
              <w:rPr>
                <w:rFonts w:ascii="Arial" w:hAnsi="Arial" w:cs="Arial"/>
                <w:highlight w:val="none"/>
                <w:lang w:val="en-GB"/>
              </w:rPr>
            </w:pPr>
            <w:r>
              <w:rPr>
                <w:rFonts w:ascii="Arial" w:hAnsi="Arial" w:cs="Arial"/>
                <w:highlight w:val="none"/>
                <w:lang w:val="en-GB"/>
              </w:rPr>
              <w:t>AI &amp; Android</w:t>
            </w:r>
          </w:p>
        </w:tc>
        <w:tc>
          <w:tcPr>
            <w:tcW w:w="0" w:type="auto"/>
            <w:shd w:val="clear" w:color="auto" w:fill="F1F1F1" w:themeFill="background1" w:themeFillShade="F2"/>
          </w:tcPr>
          <w:p w14:paraId="70691F86">
            <w:pPr>
              <w:spacing w:line="360" w:lineRule="auto"/>
              <w:rPr>
                <w:rFonts w:ascii="Arial" w:hAnsi="Arial" w:cs="Arial"/>
                <w:highlight w:val="none"/>
                <w:lang w:val="en-GB"/>
              </w:rPr>
            </w:pPr>
            <w:r>
              <w:rPr>
                <w:rFonts w:ascii="Arial" w:hAnsi="Arial" w:cs="Arial"/>
                <w:highlight w:val="none"/>
                <w:lang w:val="en-GB"/>
              </w:rPr>
              <w:t>Software Ecosystem</w:t>
            </w:r>
          </w:p>
        </w:tc>
      </w:tr>
      <w:tr w14:paraId="549DA92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EBF8909">
            <w:pPr>
              <w:spacing w:line="360" w:lineRule="auto"/>
              <w:rPr>
                <w:rFonts w:ascii="Arial" w:hAnsi="Arial" w:cs="Arial"/>
                <w:b/>
                <w:bCs/>
                <w:highlight w:val="none"/>
                <w:lang w:val="en-GB"/>
              </w:rPr>
            </w:pPr>
            <w:r>
              <w:rPr>
                <w:rFonts w:ascii="Arial" w:hAnsi="Arial" w:cs="Arial"/>
                <w:b/>
                <w:bCs/>
                <w:highlight w:val="none"/>
                <w:lang w:val="en-GB"/>
              </w:rPr>
              <w:t>Microsoft</w:t>
            </w:r>
          </w:p>
        </w:tc>
        <w:tc>
          <w:tcPr>
            <w:tcW w:w="0" w:type="auto"/>
          </w:tcPr>
          <w:p w14:paraId="74F911A8">
            <w:pPr>
              <w:spacing w:line="360" w:lineRule="auto"/>
              <w:rPr>
                <w:rFonts w:ascii="Arial" w:hAnsi="Arial" w:cs="Arial"/>
                <w:highlight w:val="none"/>
                <w:lang w:val="en-GB"/>
              </w:rPr>
            </w:pPr>
            <w:r>
              <w:rPr>
                <w:rFonts w:ascii="Arial" w:hAnsi="Arial" w:cs="Arial"/>
                <w:highlight w:val="none"/>
                <w:lang w:val="en-GB"/>
              </w:rPr>
              <w:t>Enterprise Leader (Apple Inc. 2025)</w:t>
            </w:r>
          </w:p>
        </w:tc>
        <w:tc>
          <w:tcPr>
            <w:tcW w:w="0" w:type="auto"/>
          </w:tcPr>
          <w:p w14:paraId="12274FBF">
            <w:pPr>
              <w:spacing w:line="360" w:lineRule="auto"/>
              <w:rPr>
                <w:rFonts w:ascii="Arial" w:hAnsi="Arial" w:cs="Arial"/>
                <w:highlight w:val="none"/>
                <w:lang w:val="en-GB"/>
              </w:rPr>
            </w:pPr>
            <w:r>
              <w:rPr>
                <w:rFonts w:ascii="Arial" w:hAnsi="Arial" w:cs="Arial"/>
                <w:highlight w:val="none"/>
                <w:lang w:val="en-GB"/>
              </w:rPr>
              <w:t>Cloud &amp; Devices</w:t>
            </w:r>
          </w:p>
        </w:tc>
        <w:tc>
          <w:tcPr>
            <w:tcW w:w="0" w:type="auto"/>
          </w:tcPr>
          <w:p w14:paraId="092B13A7">
            <w:pPr>
              <w:spacing w:line="360" w:lineRule="auto"/>
              <w:rPr>
                <w:rFonts w:ascii="Arial" w:hAnsi="Arial" w:cs="Arial"/>
                <w:highlight w:val="none"/>
                <w:lang w:val="en-GB"/>
              </w:rPr>
            </w:pPr>
            <w:r>
              <w:rPr>
                <w:rFonts w:ascii="Arial" w:hAnsi="Arial" w:cs="Arial"/>
                <w:highlight w:val="none"/>
                <w:lang w:val="en-GB"/>
              </w:rPr>
              <w:t>Productivity Solutions</w:t>
            </w:r>
          </w:p>
        </w:tc>
      </w:tr>
      <w:tr w14:paraId="2485474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3F6F6C47">
            <w:pPr>
              <w:spacing w:line="360" w:lineRule="auto"/>
              <w:rPr>
                <w:rFonts w:ascii="Arial" w:hAnsi="Arial" w:cs="Arial"/>
                <w:b/>
                <w:bCs/>
                <w:highlight w:val="none"/>
                <w:lang w:val="en-GB"/>
              </w:rPr>
            </w:pPr>
            <w:r>
              <w:rPr>
                <w:rFonts w:ascii="Arial" w:hAnsi="Arial" w:cs="Arial"/>
                <w:b/>
                <w:bCs/>
                <w:highlight w:val="none"/>
                <w:lang w:val="en-GB"/>
              </w:rPr>
              <w:t>Amazon</w:t>
            </w:r>
          </w:p>
        </w:tc>
        <w:tc>
          <w:tcPr>
            <w:tcW w:w="0" w:type="auto"/>
            <w:shd w:val="clear" w:color="auto" w:fill="F1F1F1" w:themeFill="background1" w:themeFillShade="F2"/>
          </w:tcPr>
          <w:p w14:paraId="3099A63A">
            <w:pPr>
              <w:spacing w:line="360" w:lineRule="auto"/>
              <w:rPr>
                <w:rFonts w:ascii="Arial" w:hAnsi="Arial" w:cs="Arial"/>
                <w:highlight w:val="none"/>
                <w:lang w:val="en-GB"/>
              </w:rPr>
            </w:pPr>
            <w:r>
              <w:rPr>
                <w:rFonts w:ascii="Arial" w:hAnsi="Arial" w:cs="Arial"/>
                <w:highlight w:val="none"/>
                <w:lang w:val="en-GB"/>
              </w:rPr>
              <w:t>Smart Device Player</w:t>
            </w:r>
          </w:p>
        </w:tc>
        <w:tc>
          <w:tcPr>
            <w:tcW w:w="0" w:type="auto"/>
            <w:shd w:val="clear" w:color="auto" w:fill="F1F1F1" w:themeFill="background1" w:themeFillShade="F2"/>
          </w:tcPr>
          <w:p w14:paraId="118ACF06">
            <w:pPr>
              <w:spacing w:line="360" w:lineRule="auto"/>
              <w:rPr>
                <w:rFonts w:ascii="Arial" w:hAnsi="Arial" w:cs="Arial"/>
                <w:highlight w:val="none"/>
                <w:lang w:val="en-GB"/>
              </w:rPr>
            </w:pPr>
            <w:r>
              <w:rPr>
                <w:rFonts w:ascii="Arial" w:hAnsi="Arial" w:cs="Arial"/>
                <w:highlight w:val="none"/>
                <w:lang w:val="en-GB"/>
              </w:rPr>
              <w:t>Service Ecosystem</w:t>
            </w:r>
          </w:p>
        </w:tc>
        <w:tc>
          <w:tcPr>
            <w:tcW w:w="0" w:type="auto"/>
            <w:shd w:val="clear" w:color="auto" w:fill="F1F1F1" w:themeFill="background1" w:themeFillShade="F2"/>
          </w:tcPr>
          <w:p w14:paraId="1534C564">
            <w:pPr>
              <w:spacing w:line="360" w:lineRule="auto"/>
              <w:rPr>
                <w:rFonts w:ascii="Arial" w:hAnsi="Arial" w:cs="Arial"/>
                <w:highlight w:val="none"/>
                <w:lang w:val="en-GB"/>
              </w:rPr>
            </w:pPr>
            <w:r>
              <w:rPr>
                <w:rFonts w:ascii="Arial" w:hAnsi="Arial" w:cs="Arial"/>
                <w:highlight w:val="none"/>
                <w:lang w:val="en-GB"/>
              </w:rPr>
              <w:t>Customer Integration</w:t>
            </w:r>
          </w:p>
        </w:tc>
      </w:tr>
      <w:tr w14:paraId="34AEB5A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80B2563">
            <w:pPr>
              <w:spacing w:line="360" w:lineRule="auto"/>
              <w:rPr>
                <w:rFonts w:ascii="Arial" w:hAnsi="Arial" w:cs="Arial"/>
                <w:b/>
                <w:bCs/>
                <w:highlight w:val="none"/>
                <w:lang w:val="en-GB"/>
              </w:rPr>
            </w:pPr>
            <w:r>
              <w:rPr>
                <w:rFonts w:ascii="Arial" w:hAnsi="Arial" w:cs="Arial"/>
                <w:b/>
                <w:bCs/>
                <w:highlight w:val="none"/>
                <w:lang w:val="en-GB"/>
              </w:rPr>
              <w:t>Sony</w:t>
            </w:r>
          </w:p>
        </w:tc>
        <w:tc>
          <w:tcPr>
            <w:tcW w:w="0" w:type="auto"/>
          </w:tcPr>
          <w:p w14:paraId="4EA61736">
            <w:pPr>
              <w:spacing w:line="360" w:lineRule="auto"/>
              <w:rPr>
                <w:rFonts w:ascii="Arial" w:hAnsi="Arial" w:cs="Arial"/>
                <w:highlight w:val="none"/>
                <w:lang w:val="en-GB"/>
              </w:rPr>
            </w:pPr>
            <w:r>
              <w:rPr>
                <w:rFonts w:ascii="Arial" w:hAnsi="Arial" w:cs="Arial"/>
                <w:highlight w:val="none"/>
                <w:lang w:val="en-GB"/>
              </w:rPr>
              <w:t>Premium Electronics</w:t>
            </w:r>
          </w:p>
        </w:tc>
        <w:tc>
          <w:tcPr>
            <w:tcW w:w="0" w:type="auto"/>
          </w:tcPr>
          <w:p w14:paraId="54D5610F">
            <w:pPr>
              <w:spacing w:line="360" w:lineRule="auto"/>
              <w:rPr>
                <w:rFonts w:ascii="Arial" w:hAnsi="Arial" w:cs="Arial"/>
                <w:highlight w:val="none"/>
                <w:lang w:val="en-GB"/>
              </w:rPr>
            </w:pPr>
            <w:r>
              <w:rPr>
                <w:rFonts w:ascii="Arial" w:hAnsi="Arial" w:cs="Arial"/>
                <w:highlight w:val="none"/>
                <w:lang w:val="en-GB"/>
              </w:rPr>
              <w:t>Gaming &amp; Imaging</w:t>
            </w:r>
          </w:p>
        </w:tc>
        <w:tc>
          <w:tcPr>
            <w:tcW w:w="0" w:type="auto"/>
          </w:tcPr>
          <w:p w14:paraId="18F9729D">
            <w:pPr>
              <w:spacing w:line="360" w:lineRule="auto"/>
              <w:rPr>
                <w:rFonts w:ascii="Arial" w:hAnsi="Arial" w:cs="Arial"/>
                <w:highlight w:val="none"/>
                <w:lang w:val="en-GB"/>
              </w:rPr>
            </w:pPr>
            <w:r>
              <w:rPr>
                <w:rFonts w:ascii="Arial" w:hAnsi="Arial" w:cs="Arial"/>
                <w:highlight w:val="none"/>
                <w:lang w:val="en-GB"/>
              </w:rPr>
              <w:t>Product Quality</w:t>
            </w:r>
          </w:p>
        </w:tc>
      </w:tr>
      <w:tr w14:paraId="3B5E4FD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2D7C49A6">
            <w:pPr>
              <w:spacing w:line="360" w:lineRule="auto"/>
              <w:rPr>
                <w:rFonts w:ascii="Arial" w:hAnsi="Arial" w:cs="Arial"/>
                <w:b/>
                <w:bCs/>
                <w:highlight w:val="none"/>
                <w:lang w:val="en-GB"/>
              </w:rPr>
            </w:pPr>
            <w:r>
              <w:rPr>
                <w:rFonts w:ascii="Arial" w:hAnsi="Arial" w:cs="Arial"/>
                <w:b/>
                <w:bCs/>
                <w:highlight w:val="none"/>
                <w:lang w:val="en-GB"/>
              </w:rPr>
              <w:t>LG Electronics</w:t>
            </w:r>
          </w:p>
        </w:tc>
        <w:tc>
          <w:tcPr>
            <w:tcW w:w="0" w:type="auto"/>
            <w:shd w:val="clear" w:color="auto" w:fill="F1F1F1" w:themeFill="background1" w:themeFillShade="F2"/>
          </w:tcPr>
          <w:p w14:paraId="142227B2">
            <w:pPr>
              <w:spacing w:line="360" w:lineRule="auto"/>
              <w:rPr>
                <w:rFonts w:ascii="Arial" w:hAnsi="Arial" w:cs="Arial"/>
                <w:highlight w:val="none"/>
                <w:lang w:val="en-GB"/>
              </w:rPr>
            </w:pPr>
            <w:r>
              <w:rPr>
                <w:rFonts w:ascii="Arial" w:hAnsi="Arial" w:cs="Arial"/>
                <w:highlight w:val="none"/>
                <w:lang w:val="en-GB"/>
              </w:rPr>
              <w:t>Home Appliance Leader</w:t>
            </w:r>
          </w:p>
        </w:tc>
        <w:tc>
          <w:tcPr>
            <w:tcW w:w="0" w:type="auto"/>
            <w:shd w:val="clear" w:color="auto" w:fill="F1F1F1" w:themeFill="background1" w:themeFillShade="F2"/>
          </w:tcPr>
          <w:p w14:paraId="7D598897">
            <w:pPr>
              <w:spacing w:line="360" w:lineRule="auto"/>
              <w:rPr>
                <w:rFonts w:ascii="Arial" w:hAnsi="Arial" w:cs="Arial"/>
                <w:highlight w:val="none"/>
                <w:lang w:val="en-GB"/>
              </w:rPr>
            </w:pPr>
            <w:r>
              <w:rPr>
                <w:rFonts w:ascii="Arial" w:hAnsi="Arial" w:cs="Arial"/>
                <w:highlight w:val="none"/>
                <w:lang w:val="en-GB"/>
              </w:rPr>
              <w:t>Smart Technology</w:t>
            </w:r>
          </w:p>
        </w:tc>
        <w:tc>
          <w:tcPr>
            <w:tcW w:w="0" w:type="auto"/>
            <w:shd w:val="clear" w:color="auto" w:fill="F1F1F1" w:themeFill="background1" w:themeFillShade="F2"/>
          </w:tcPr>
          <w:p w14:paraId="6ED9FA25">
            <w:pPr>
              <w:spacing w:line="360" w:lineRule="auto"/>
              <w:rPr>
                <w:rFonts w:ascii="Arial" w:hAnsi="Arial" w:cs="Arial"/>
                <w:highlight w:val="none"/>
                <w:lang w:val="en-GB"/>
              </w:rPr>
            </w:pPr>
            <w:r>
              <w:rPr>
                <w:rFonts w:ascii="Arial" w:hAnsi="Arial" w:cs="Arial"/>
                <w:highlight w:val="none"/>
                <w:lang w:val="en-GB"/>
              </w:rPr>
              <w:t>OLED Innovation</w:t>
            </w:r>
          </w:p>
        </w:tc>
      </w:tr>
    </w:tbl>
    <w:p w14:paraId="060C9820">
      <w:pPr>
        <w:pStyle w:val="3"/>
        <w:jc w:val="center"/>
        <w:rPr>
          <w:rFonts w:cs="Arial"/>
          <w:b/>
          <w:bCs/>
          <w:i/>
          <w:iCs/>
          <w:highlight w:val="none"/>
          <w:lang w:val="en-GB"/>
        </w:rPr>
      </w:pPr>
      <w:r>
        <w:rPr>
          <w:rFonts w:cs="Arial"/>
          <w:b/>
          <w:bCs/>
          <w:i/>
          <w:iCs/>
          <w:highlight w:val="none"/>
          <w:lang w:val="en-GB"/>
        </w:rPr>
        <w:t>Table-1: Major Domestic and Multinational Players</w:t>
      </w:r>
    </w:p>
    <w:p w14:paraId="30541819">
      <w:pPr>
        <w:pStyle w:val="3"/>
        <w:rPr>
          <w:rFonts w:cs="Arial"/>
          <w:highlight w:val="none"/>
          <w:lang w:val="en-GB"/>
        </w:rPr>
      </w:pPr>
      <w:r>
        <w:rPr>
          <w:rFonts w:cs="Arial"/>
          <w:highlight w:val="none"/>
          <w:lang w:val="en-GB"/>
        </w:rPr>
        <w:t xml:space="preserve">The U.S. consumer electronics industry is very competitive, with the technology majors at home competing with the multinationals for market share; innovation drives the competitive nature with differentiation in technology and products, ecosystem innovation; technological capability; and value chain integration along the global value chain. Domestic companies come next with Apple Inc. as the market leader in the industry. Apple Inc. (2025) is set to surpass US$416 billion in FY2025 revenues, highlighting the fantastic achievement of this smart premium differentiation strategy of the company in the business. </w:t>
      </w:r>
    </w:p>
    <w:p w14:paraId="083361DC">
      <w:pPr>
        <w:pStyle w:val="3"/>
        <w:rPr>
          <w:rFonts w:cs="Arial"/>
          <w:highlight w:val="none"/>
          <w:lang w:val="en-GB"/>
        </w:rPr>
      </w:pPr>
      <w:r>
        <w:rPr>
          <w:rFonts w:cs="Arial"/>
          <w:highlight w:val="none"/>
          <w:lang w:val="en-GB"/>
        </w:rPr>
        <w:t>Samsung Electronics is Apple's main American rival in terms of being a multinational company. Samsung Electronics (2025) is continuing its significant investments in semiconductor manufacturing, artificial intelligence and consumer electronics, and has a diverse product mix. Google's Android operating system is still leading the competition for the smartphone operating system in the global market, which allows Alphabet to leverage its mobile software platform to dominate the hardware markets, notes Business of Apps (2026). Alphabet is using its software, artificial intelligence and cloud services to influence the hardware market. Microsoft also is only beginning to move from enterprise software to cloud-based computing and consumer hardware to diversify its competitive approach.</w:t>
      </w:r>
    </w:p>
    <w:bookmarkEnd w:id="15"/>
    <w:p w14:paraId="7059A665">
      <w:pPr>
        <w:pStyle w:val="2"/>
        <w:rPr>
          <w:rFonts w:cs="Arial"/>
          <w:highlight w:val="none"/>
          <w:lang w:val="en-GB"/>
        </w:rPr>
      </w:pPr>
      <w:bookmarkStart w:id="17" w:name="_Toc228189078"/>
      <w:bookmarkStart w:id="18" w:name="_Toc228188569"/>
      <w:bookmarkStart w:id="19" w:name="_Toc236919122"/>
      <w:bookmarkStart w:id="20" w:name="comparative-positioning-of-key-companies"/>
      <w:r>
        <w:rPr>
          <w:rFonts w:cs="Arial"/>
          <w:highlight w:val="none"/>
          <w:lang w:val="en-GB"/>
        </w:rPr>
        <w:t>2.4 Comparative Positioning of Key Companies</w:t>
      </w:r>
      <w:bookmarkEnd w:id="17"/>
      <w:bookmarkEnd w:id="18"/>
      <w:bookmarkEnd w:id="19"/>
    </w:p>
    <w:p w14:paraId="60F4B7E8">
      <w:pPr>
        <w:pStyle w:val="3"/>
        <w:rPr>
          <w:rFonts w:cs="Arial"/>
          <w:highlight w:val="none"/>
          <w:lang w:val="en-GB"/>
        </w:rPr>
      </w:pPr>
      <w:r>
        <w:rPr>
          <w:rFonts w:cs="Arial"/>
          <w:highlight w:val="none"/>
          <w:lang w:val="en-GB"/>
        </w:rPr>
        <w:t xml:space="preserve">The competitive positioning of leading companies in the U.S. consumer electronics industry illustrates that achieving sustainable competitive advantage is not a one-size-fits-all (Ishigai, Pereira and Scavroni, 2021). Apple operates with a much more limited range of product variations but has found significant success in the premium smartphone market (Apple Inc. 2025). Almeida et al. (2021) also contend that the brand and customer loyalty of Apple contribute to the premium positioning of the brand and the company's future competitive advantage. By contrast, Samsung Electronics (2025) has diversified with vertical integration, comprehensive manufacturing skills and a wide range of products that enable it to compete in several market segments.  However, Google and Microsoft are competitors on platforms, not hardware. Business of Apps' research reveals that Android leads on the global platform, and Verbeke et al. (2026) underscore the role of digital ecosystems in driving international competitiveness. </w:t>
      </w:r>
    </w:p>
    <w:p w14:paraId="59E90C6A">
      <w:pPr>
        <w:pStyle w:val="3"/>
        <w:jc w:val="center"/>
        <w:rPr>
          <w:rFonts w:cs="Arial"/>
          <w:highlight w:val="none"/>
          <w:lang w:val="en-GB"/>
        </w:rPr>
      </w:pPr>
      <w:r>
        <w:rPr>
          <w:rFonts w:cs="Arial"/>
          <w:highlight w:val="none"/>
          <w:lang w:val="en-GB"/>
        </w:rPr>
        <w:drawing>
          <wp:inline distT="0" distB="0" distL="0" distR="0">
            <wp:extent cx="4902200" cy="3975100"/>
            <wp:effectExtent l="63500" t="63500" r="114300" b="114300"/>
            <wp:docPr id="785666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666958"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902200" cy="39751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47B16C49">
      <w:pPr>
        <w:pStyle w:val="3"/>
        <w:jc w:val="center"/>
        <w:rPr>
          <w:rFonts w:cs="Arial"/>
          <w:b/>
          <w:bCs/>
          <w:i/>
          <w:iCs/>
          <w:highlight w:val="none"/>
          <w:lang w:val="en-GB"/>
        </w:rPr>
      </w:pPr>
      <w:r>
        <w:rPr>
          <w:rFonts w:cs="Arial"/>
          <w:b/>
          <w:bCs/>
          <w:i/>
          <w:iCs/>
          <w:highlight w:val="none"/>
          <w:lang w:val="en-GB"/>
        </w:rPr>
        <w:t>Figure-1: Competitive Analysis of the Organizations</w:t>
      </w:r>
    </w:p>
    <w:p w14:paraId="13066F35">
      <w:pPr>
        <w:pStyle w:val="3"/>
        <w:jc w:val="center"/>
        <w:rPr>
          <w:rFonts w:cs="Arial"/>
          <w:highlight w:val="none"/>
          <w:lang w:val="en-GB"/>
        </w:rPr>
      </w:pPr>
      <w:r>
        <w:rPr>
          <w:rFonts w:cs="Arial"/>
          <w:highlight w:val="none"/>
          <w:lang w:val="en-GB"/>
        </w:rPr>
        <w:t>(Source- Self-made; idea from Apple Inc. 2025)</w:t>
      </w:r>
    </w:p>
    <w:bookmarkEnd w:id="7"/>
    <w:bookmarkEnd w:id="20"/>
    <w:p w14:paraId="1DF5A277">
      <w:pPr>
        <w:pStyle w:val="2"/>
        <w:rPr>
          <w:rFonts w:cs="Arial"/>
          <w:highlight w:val="none"/>
          <w:lang w:val="en-GB"/>
        </w:rPr>
      </w:pPr>
      <w:bookmarkStart w:id="21" w:name="_Toc228189079"/>
      <w:bookmarkStart w:id="22" w:name="_Toc236919123"/>
      <w:bookmarkStart w:id="23" w:name="_Toc228188570"/>
      <w:bookmarkStart w:id="24" w:name="porters-diamond-model-analysis"/>
      <w:r>
        <w:rPr>
          <w:rFonts w:cs="Arial"/>
          <w:highlight w:val="none"/>
          <w:lang w:val="en-GB"/>
        </w:rPr>
        <w:t>3. Porter’s Diamond Model Analysis</w:t>
      </w:r>
      <w:bookmarkEnd w:id="21"/>
      <w:bookmarkEnd w:id="22"/>
      <w:bookmarkEnd w:id="23"/>
    </w:p>
    <w:p w14:paraId="05D5A918">
      <w:pPr>
        <w:pStyle w:val="3"/>
        <w:rPr>
          <w:rFonts w:cs="Arial"/>
          <w:highlight w:val="none"/>
          <w:lang w:val="en-GB"/>
        </w:rPr>
      </w:pPr>
      <w:r>
        <w:rPr>
          <w:rFonts w:cs="Arial"/>
          <w:highlight w:val="none"/>
          <w:lang w:val="en-GB"/>
        </w:rPr>
        <w:t>Porter (1998) pointed out, a nation's level of competitive advantage is based on advanced factor conditions, and the United States is strong in this regard, namely its highly advanced innovation ecosystem. The nation also has many benefits such as a world-class workforce, top-notch information and communications technology and one of the world's largest venture capital markets, which continuously serve as the stage for innovation (Iwasaki and Ueki, 2026). Apple Inc. (2025) has also been spending heavily on its R&amp;D activities that have enabled it to remain at the forefront when it comes to technological advancements. Moreover, Apple Inc. (2025) states that more than US$25 billion has been made in investments in innovation and R&amp;D, ensuring the company's technological leadership in the sector. Bruno et al. (2022) note that an improved IP protection regime and institutions can assist the MNE with investing in innovation and so bolster their global competitiveness. The other factor which is just as significant is Demand conditions. Ambitions for AI-powered devices, connected environments and quality digital experience have led businesses to constantly push their products to the next level, as highlighted by Delhi (2025) and Samsung Newsroom (2018). Likewise, Pew Research Center (2025) highlights its identification of mobile smartphone adoption and introduces the level of digital engagement among U.S. consumers as another promising fertile land for businesses prior to foreign expansion. In this way, high levels of sophisticated domestic demand supplement sophisticated factor conditions, which can lead to very rapid innovation by firms and to improvement of the US firms' long term competitive changing their domestic advantage in the global consumer electronics market.</w:t>
      </w:r>
    </w:p>
    <w:tbl>
      <w:tblPr>
        <w:tblStyle w:val="108"/>
        <w:tblW w:w="0" w:type="auto"/>
        <w:tblInd w:w="0" w:type="dxa"/>
        <w:tblBorders>
          <w:top w:val="single" w:color="666666" w:themeColor="text1" w:themeTint="99" w:sz="2" w:space="0"/>
          <w:left w:val="none" w:color="auto" w:sz="0" w:space="0"/>
          <w:bottom w:val="single" w:color="666666" w:themeColor="text1" w:themeTint="99" w:sz="2" w:space="0"/>
          <w:right w:val="none" w:color="auto" w:sz="0" w:space="0"/>
          <w:insideH w:val="single" w:color="666666" w:themeColor="text1" w:themeTint="99" w:sz="2" w:space="0"/>
          <w:insideV w:val="single" w:color="666666" w:themeColor="text1" w:themeTint="99" w:sz="2" w:space="0"/>
        </w:tblBorders>
        <w:tblLayout w:type="autofit"/>
        <w:tblCellMar>
          <w:top w:w="0" w:type="dxa"/>
          <w:left w:w="108" w:type="dxa"/>
          <w:bottom w:w="0" w:type="dxa"/>
          <w:right w:w="108" w:type="dxa"/>
        </w:tblCellMar>
      </w:tblPr>
      <w:tblGrid>
        <w:gridCol w:w="2194"/>
        <w:gridCol w:w="3636"/>
        <w:gridCol w:w="3746"/>
      </w:tblGrid>
      <w:tr w14:paraId="1939BC26">
        <w:tblPrEx>
          <w:tblBorders>
            <w:top w:val="single" w:color="666666" w:themeColor="text1" w:themeTint="99" w:sz="2" w:space="0"/>
            <w:left w:val="none" w:color="auto" w:sz="0" w:space="0"/>
            <w:bottom w:val="single" w:color="666666" w:themeColor="text1" w:themeTint="99" w:sz="2" w:space="0"/>
            <w:right w:val="none" w:color="auto" w:sz="0" w:space="0"/>
            <w:insideH w:val="single" w:color="666666" w:themeColor="text1" w:themeTint="99" w:sz="2" w:space="0"/>
            <w:insideV w:val="single" w:color="666666" w:themeColor="text1" w:themeTint="99" w:sz="2" w:space="0"/>
          </w:tblBorders>
          <w:tblCellMar>
            <w:top w:w="0" w:type="dxa"/>
            <w:left w:w="108" w:type="dxa"/>
            <w:bottom w:w="0" w:type="dxa"/>
            <w:right w:w="108" w:type="dxa"/>
          </w:tblCellMar>
        </w:tblPrEx>
        <w:tc>
          <w:tcPr>
            <w:tcW w:w="0" w:type="auto"/>
            <w:tcBorders>
              <w:top w:val="nil"/>
              <w:bottom w:val="single" w:color="666666" w:themeColor="text1" w:themeTint="99" w:sz="12" w:space="0"/>
              <w:right w:val="nil"/>
              <w:insideH w:val="single" w:sz="12" w:space="0"/>
              <w:insideV w:val="nil"/>
            </w:tcBorders>
            <w:shd w:val="clear" w:color="auto" w:fill="FFFFFF" w:themeFill="background1"/>
          </w:tcPr>
          <w:p w14:paraId="043771BA">
            <w:pPr>
              <w:spacing w:line="360" w:lineRule="auto"/>
              <w:jc w:val="center"/>
              <w:rPr>
                <w:rFonts w:ascii="Arial" w:hAnsi="Arial" w:cs="Arial"/>
                <w:b/>
                <w:bCs/>
                <w:sz w:val="22"/>
                <w:szCs w:val="22"/>
                <w:highlight w:val="none"/>
                <w:lang w:val="en-GB"/>
              </w:rPr>
            </w:pPr>
            <w:r>
              <w:rPr>
                <w:rFonts w:ascii="Arial" w:hAnsi="Arial" w:cs="Arial"/>
                <w:b/>
                <w:bCs/>
                <w:sz w:val="22"/>
                <w:szCs w:val="22"/>
                <w:highlight w:val="none"/>
                <w:lang w:val="en-GB"/>
              </w:rPr>
              <w:t>Porter's Diamond Element</w:t>
            </w:r>
          </w:p>
        </w:tc>
        <w:tc>
          <w:tcPr>
            <w:tcW w:w="0" w:type="auto"/>
            <w:tcBorders>
              <w:top w:val="nil"/>
              <w:bottom w:val="single" w:color="666666" w:themeColor="text1" w:themeTint="99" w:sz="12" w:space="0"/>
              <w:right w:val="nil"/>
              <w:insideH w:val="single" w:sz="12" w:space="0"/>
              <w:insideV w:val="nil"/>
            </w:tcBorders>
            <w:shd w:val="clear" w:color="auto" w:fill="FFFFFF" w:themeFill="background1"/>
          </w:tcPr>
          <w:p w14:paraId="5E12AC7C">
            <w:pPr>
              <w:spacing w:line="360" w:lineRule="auto"/>
              <w:jc w:val="center"/>
              <w:rPr>
                <w:rFonts w:ascii="Arial" w:hAnsi="Arial" w:cs="Arial"/>
                <w:b/>
                <w:bCs/>
                <w:sz w:val="22"/>
                <w:szCs w:val="22"/>
                <w:highlight w:val="none"/>
                <w:lang w:val="en-GB"/>
              </w:rPr>
            </w:pPr>
            <w:r>
              <w:rPr>
                <w:rFonts w:ascii="Arial" w:hAnsi="Arial" w:cs="Arial"/>
                <w:b/>
                <w:bCs/>
                <w:sz w:val="22"/>
                <w:szCs w:val="22"/>
                <w:highlight w:val="none"/>
                <w:lang w:val="en-GB"/>
              </w:rPr>
              <w:t>Key Findings</w:t>
            </w:r>
          </w:p>
        </w:tc>
        <w:tc>
          <w:tcPr>
            <w:tcW w:w="0" w:type="auto"/>
            <w:tcBorders>
              <w:top w:val="nil"/>
              <w:bottom w:val="single" w:color="666666" w:themeColor="text1" w:themeTint="99" w:sz="12" w:space="0"/>
              <w:insideH w:val="single" w:sz="12" w:space="0"/>
              <w:insideV w:val="nil"/>
            </w:tcBorders>
            <w:shd w:val="clear" w:color="auto" w:fill="FFFFFF" w:themeFill="background1"/>
          </w:tcPr>
          <w:p w14:paraId="0D6FE891">
            <w:pPr>
              <w:spacing w:line="360" w:lineRule="auto"/>
              <w:jc w:val="center"/>
              <w:rPr>
                <w:rFonts w:ascii="Arial" w:hAnsi="Arial" w:cs="Arial"/>
                <w:b/>
                <w:bCs/>
                <w:sz w:val="22"/>
                <w:szCs w:val="22"/>
                <w:highlight w:val="none"/>
                <w:lang w:val="en-GB"/>
              </w:rPr>
            </w:pPr>
            <w:r>
              <w:rPr>
                <w:rFonts w:ascii="Arial" w:hAnsi="Arial" w:cs="Arial"/>
                <w:b/>
                <w:bCs/>
                <w:sz w:val="22"/>
                <w:szCs w:val="22"/>
                <w:highlight w:val="none"/>
                <w:lang w:val="en-GB"/>
              </w:rPr>
              <w:t>Impact on Competitiveness</w:t>
            </w:r>
          </w:p>
        </w:tc>
      </w:tr>
      <w:tr w14:paraId="035F0310">
        <w:tblPrEx>
          <w:tblBorders>
            <w:top w:val="single" w:color="666666" w:themeColor="text1" w:themeTint="99" w:sz="2" w:space="0"/>
            <w:left w:val="none" w:color="auto" w:sz="0" w:space="0"/>
            <w:bottom w:val="single" w:color="666666" w:themeColor="text1" w:themeTint="99" w:sz="2" w:space="0"/>
            <w:right w:val="none" w:color="auto" w:sz="0" w:space="0"/>
            <w:insideH w:val="single" w:color="666666" w:themeColor="text1" w:themeTint="99" w:sz="2" w:space="0"/>
            <w:insideV w:val="single" w:color="666666" w:themeColor="text1" w:themeTint="99" w:sz="2" w:space="0"/>
          </w:tblBorders>
          <w:tblCellMar>
            <w:top w:w="0" w:type="dxa"/>
            <w:left w:w="108" w:type="dxa"/>
            <w:bottom w:w="0" w:type="dxa"/>
            <w:right w:w="108" w:type="dxa"/>
          </w:tblCellMar>
        </w:tblPrEx>
        <w:tc>
          <w:tcPr>
            <w:tcW w:w="0" w:type="auto"/>
            <w:shd w:val="clear" w:color="auto" w:fill="CCCCCC" w:themeFill="text1" w:themeFillTint="33"/>
          </w:tcPr>
          <w:p w14:paraId="56F3BD7E">
            <w:pPr>
              <w:spacing w:line="360" w:lineRule="auto"/>
              <w:rPr>
                <w:rFonts w:ascii="Arial" w:hAnsi="Arial" w:cs="Arial"/>
                <w:b/>
                <w:bCs/>
                <w:sz w:val="22"/>
                <w:szCs w:val="22"/>
                <w:highlight w:val="none"/>
                <w:lang w:val="en-GB"/>
              </w:rPr>
            </w:pPr>
            <w:r>
              <w:rPr>
                <w:rFonts w:ascii="Arial" w:hAnsi="Arial" w:cs="Arial"/>
                <w:b/>
                <w:bCs/>
                <w:sz w:val="22"/>
                <w:szCs w:val="22"/>
                <w:highlight w:val="none"/>
                <w:lang w:val="en-GB"/>
              </w:rPr>
              <w:t>Factor Conditions</w:t>
            </w:r>
          </w:p>
        </w:tc>
        <w:tc>
          <w:tcPr>
            <w:tcW w:w="0" w:type="auto"/>
            <w:shd w:val="clear" w:color="auto" w:fill="CCCCCC" w:themeFill="text1" w:themeFillTint="33"/>
          </w:tcPr>
          <w:p w14:paraId="5FB973BF">
            <w:pPr>
              <w:spacing w:line="360" w:lineRule="auto"/>
              <w:rPr>
                <w:rFonts w:ascii="Arial" w:hAnsi="Arial" w:cs="Arial"/>
                <w:sz w:val="22"/>
                <w:szCs w:val="22"/>
                <w:highlight w:val="none"/>
                <w:lang w:val="en-GB"/>
              </w:rPr>
            </w:pPr>
            <w:r>
              <w:rPr>
                <w:rFonts w:ascii="Arial" w:hAnsi="Arial" w:cs="Arial"/>
                <w:sz w:val="22"/>
                <w:szCs w:val="22"/>
                <w:highlight w:val="none"/>
                <w:lang w:val="en-GB"/>
              </w:rPr>
              <w:t>Skilled workforce, R&amp;D, venture capital</w:t>
            </w:r>
          </w:p>
        </w:tc>
        <w:tc>
          <w:tcPr>
            <w:tcW w:w="0" w:type="auto"/>
            <w:shd w:val="clear" w:color="auto" w:fill="CCCCCC" w:themeFill="text1" w:themeFillTint="33"/>
          </w:tcPr>
          <w:p w14:paraId="689A5295">
            <w:pPr>
              <w:spacing w:line="360" w:lineRule="auto"/>
              <w:rPr>
                <w:rFonts w:ascii="Arial" w:hAnsi="Arial" w:cs="Arial"/>
                <w:sz w:val="22"/>
                <w:szCs w:val="22"/>
                <w:highlight w:val="none"/>
                <w:lang w:val="en-GB"/>
              </w:rPr>
            </w:pPr>
            <w:r>
              <w:rPr>
                <w:rFonts w:ascii="Arial" w:hAnsi="Arial" w:cs="Arial"/>
                <w:sz w:val="22"/>
                <w:szCs w:val="22"/>
                <w:highlight w:val="none"/>
                <w:lang w:val="en-GB"/>
              </w:rPr>
              <w:t>Drives continuous innovation and productivity</w:t>
            </w:r>
          </w:p>
        </w:tc>
      </w:tr>
      <w:tr w14:paraId="26A0EAA7">
        <w:tblPrEx>
          <w:tblBorders>
            <w:top w:val="single" w:color="666666" w:themeColor="text1" w:themeTint="99" w:sz="2" w:space="0"/>
            <w:left w:val="none" w:color="auto" w:sz="0" w:space="0"/>
            <w:bottom w:val="single" w:color="666666" w:themeColor="text1" w:themeTint="99" w:sz="2" w:space="0"/>
            <w:right w:val="none" w:color="auto" w:sz="0" w:space="0"/>
            <w:insideH w:val="single" w:color="666666" w:themeColor="text1" w:themeTint="99" w:sz="2" w:space="0"/>
            <w:insideV w:val="single" w:color="666666" w:themeColor="text1" w:themeTint="99" w:sz="2" w:space="0"/>
          </w:tblBorders>
          <w:tblCellMar>
            <w:top w:w="0" w:type="dxa"/>
            <w:left w:w="108" w:type="dxa"/>
            <w:bottom w:w="0" w:type="dxa"/>
            <w:right w:w="108" w:type="dxa"/>
          </w:tblCellMar>
        </w:tblPrEx>
        <w:tc>
          <w:tcPr>
            <w:tcW w:w="0" w:type="auto"/>
          </w:tcPr>
          <w:p w14:paraId="6F05239F">
            <w:pPr>
              <w:spacing w:line="360" w:lineRule="auto"/>
              <w:rPr>
                <w:rFonts w:ascii="Arial" w:hAnsi="Arial" w:cs="Arial"/>
                <w:b/>
                <w:bCs/>
                <w:sz w:val="22"/>
                <w:szCs w:val="22"/>
                <w:highlight w:val="none"/>
                <w:lang w:val="en-GB"/>
              </w:rPr>
            </w:pPr>
            <w:r>
              <w:rPr>
                <w:rFonts w:ascii="Arial" w:hAnsi="Arial" w:cs="Arial"/>
                <w:b/>
                <w:bCs/>
                <w:sz w:val="22"/>
                <w:szCs w:val="22"/>
                <w:highlight w:val="none"/>
                <w:lang w:val="en-GB"/>
              </w:rPr>
              <w:t>Demand Conditions</w:t>
            </w:r>
          </w:p>
        </w:tc>
        <w:tc>
          <w:tcPr>
            <w:tcW w:w="0" w:type="auto"/>
          </w:tcPr>
          <w:p w14:paraId="33348E69">
            <w:pPr>
              <w:spacing w:line="360" w:lineRule="auto"/>
              <w:rPr>
                <w:rFonts w:ascii="Arial" w:hAnsi="Arial" w:cs="Arial"/>
                <w:sz w:val="22"/>
                <w:szCs w:val="22"/>
                <w:highlight w:val="none"/>
                <w:lang w:val="en-GB"/>
              </w:rPr>
            </w:pPr>
            <w:r>
              <w:rPr>
                <w:rFonts w:ascii="Arial" w:hAnsi="Arial" w:cs="Arial"/>
                <w:sz w:val="22"/>
                <w:szCs w:val="22"/>
                <w:highlight w:val="none"/>
                <w:lang w:val="en-GB"/>
              </w:rPr>
              <w:t>Sophisticated consumers, high adoption</w:t>
            </w:r>
          </w:p>
        </w:tc>
        <w:tc>
          <w:tcPr>
            <w:tcW w:w="0" w:type="auto"/>
          </w:tcPr>
          <w:p w14:paraId="02483188">
            <w:pPr>
              <w:spacing w:line="360" w:lineRule="auto"/>
              <w:rPr>
                <w:rFonts w:ascii="Arial" w:hAnsi="Arial" w:cs="Arial"/>
                <w:sz w:val="22"/>
                <w:szCs w:val="22"/>
                <w:highlight w:val="none"/>
                <w:lang w:val="en-GB"/>
              </w:rPr>
            </w:pPr>
            <w:r>
              <w:rPr>
                <w:rFonts w:ascii="Arial" w:hAnsi="Arial" w:cs="Arial"/>
                <w:sz w:val="22"/>
                <w:szCs w:val="22"/>
                <w:highlight w:val="none"/>
                <w:lang w:val="en-GB"/>
              </w:rPr>
              <w:t>Accelerates product innovation and quality</w:t>
            </w:r>
          </w:p>
        </w:tc>
      </w:tr>
      <w:tr w14:paraId="07C210D1">
        <w:tblPrEx>
          <w:tblBorders>
            <w:top w:val="single" w:color="666666" w:themeColor="text1" w:themeTint="99" w:sz="2" w:space="0"/>
            <w:left w:val="none" w:color="auto" w:sz="0" w:space="0"/>
            <w:bottom w:val="single" w:color="666666" w:themeColor="text1" w:themeTint="99" w:sz="2" w:space="0"/>
            <w:right w:val="none" w:color="auto" w:sz="0" w:space="0"/>
            <w:insideH w:val="single" w:color="666666" w:themeColor="text1" w:themeTint="99" w:sz="2" w:space="0"/>
            <w:insideV w:val="single" w:color="666666" w:themeColor="text1" w:themeTint="99" w:sz="2" w:space="0"/>
          </w:tblBorders>
          <w:tblCellMar>
            <w:top w:w="0" w:type="dxa"/>
            <w:left w:w="108" w:type="dxa"/>
            <w:bottom w:w="0" w:type="dxa"/>
            <w:right w:w="108" w:type="dxa"/>
          </w:tblCellMar>
        </w:tblPrEx>
        <w:tc>
          <w:tcPr>
            <w:tcW w:w="0" w:type="auto"/>
            <w:shd w:val="clear" w:color="auto" w:fill="CCCCCC" w:themeFill="text1" w:themeFillTint="33"/>
          </w:tcPr>
          <w:p w14:paraId="0656BDA6">
            <w:pPr>
              <w:spacing w:line="360" w:lineRule="auto"/>
              <w:rPr>
                <w:rFonts w:ascii="Arial" w:hAnsi="Arial" w:cs="Arial"/>
                <w:b/>
                <w:bCs/>
                <w:sz w:val="22"/>
                <w:szCs w:val="22"/>
                <w:highlight w:val="none"/>
                <w:lang w:val="en-GB"/>
              </w:rPr>
            </w:pPr>
            <w:r>
              <w:rPr>
                <w:rFonts w:ascii="Arial" w:hAnsi="Arial" w:cs="Arial"/>
                <w:b/>
                <w:bCs/>
                <w:sz w:val="22"/>
                <w:szCs w:val="22"/>
                <w:highlight w:val="none"/>
                <w:lang w:val="en-GB"/>
              </w:rPr>
              <w:t>Related &amp; Supporting Industries</w:t>
            </w:r>
          </w:p>
        </w:tc>
        <w:tc>
          <w:tcPr>
            <w:tcW w:w="0" w:type="auto"/>
            <w:shd w:val="clear" w:color="auto" w:fill="CCCCCC" w:themeFill="text1" w:themeFillTint="33"/>
          </w:tcPr>
          <w:p w14:paraId="48B63D88">
            <w:pPr>
              <w:spacing w:line="360" w:lineRule="auto"/>
              <w:rPr>
                <w:rFonts w:ascii="Arial" w:hAnsi="Arial" w:cs="Arial"/>
                <w:sz w:val="22"/>
                <w:szCs w:val="22"/>
                <w:highlight w:val="none"/>
                <w:lang w:val="en-GB"/>
              </w:rPr>
            </w:pPr>
            <w:r>
              <w:rPr>
                <w:rFonts w:ascii="Arial" w:hAnsi="Arial" w:cs="Arial"/>
                <w:sz w:val="22"/>
                <w:szCs w:val="22"/>
                <w:highlight w:val="none"/>
                <w:lang w:val="en-GB"/>
              </w:rPr>
              <w:t>Semiconductor, AI and software clusters (Apple Inc. 2025)</w:t>
            </w:r>
          </w:p>
        </w:tc>
        <w:tc>
          <w:tcPr>
            <w:tcW w:w="0" w:type="auto"/>
            <w:shd w:val="clear" w:color="auto" w:fill="CCCCCC" w:themeFill="text1" w:themeFillTint="33"/>
          </w:tcPr>
          <w:p w14:paraId="1263550A">
            <w:pPr>
              <w:spacing w:line="360" w:lineRule="auto"/>
              <w:rPr>
                <w:rFonts w:ascii="Arial" w:hAnsi="Arial" w:cs="Arial"/>
                <w:sz w:val="22"/>
                <w:szCs w:val="22"/>
                <w:highlight w:val="none"/>
                <w:lang w:val="en-GB"/>
              </w:rPr>
            </w:pPr>
            <w:r>
              <w:rPr>
                <w:rFonts w:ascii="Arial" w:hAnsi="Arial" w:cs="Arial"/>
                <w:sz w:val="22"/>
                <w:szCs w:val="22"/>
                <w:highlight w:val="none"/>
                <w:lang w:val="en-GB"/>
              </w:rPr>
              <w:t xml:space="preserve">Strengthens collaboration and supply chains </w:t>
            </w:r>
            <w:r>
              <w:rPr>
                <w:rFonts w:ascii="Arial" w:hAnsi="Arial" w:cs="Arial" w:eastAsiaTheme="minorHAnsi"/>
                <w:sz w:val="22"/>
                <w:szCs w:val="22"/>
                <w:highlight w:val="none"/>
                <w:lang w:val="en-GB" w:eastAsia="en-US"/>
              </w:rPr>
              <w:t>(StatCounter Global Stats, 2026)</w:t>
            </w:r>
          </w:p>
        </w:tc>
      </w:tr>
      <w:tr w14:paraId="19B8F953">
        <w:tblPrEx>
          <w:tblBorders>
            <w:top w:val="single" w:color="666666" w:themeColor="text1" w:themeTint="99" w:sz="2" w:space="0"/>
            <w:left w:val="none" w:color="auto" w:sz="0" w:space="0"/>
            <w:bottom w:val="single" w:color="666666" w:themeColor="text1" w:themeTint="99" w:sz="2" w:space="0"/>
            <w:right w:val="none" w:color="auto" w:sz="0" w:space="0"/>
            <w:insideH w:val="single" w:color="666666" w:themeColor="text1" w:themeTint="99" w:sz="2" w:space="0"/>
            <w:insideV w:val="single" w:color="666666" w:themeColor="text1" w:themeTint="99" w:sz="2" w:space="0"/>
          </w:tblBorders>
          <w:tblCellMar>
            <w:top w:w="0" w:type="dxa"/>
            <w:left w:w="108" w:type="dxa"/>
            <w:bottom w:w="0" w:type="dxa"/>
            <w:right w:w="108" w:type="dxa"/>
          </w:tblCellMar>
        </w:tblPrEx>
        <w:tc>
          <w:tcPr>
            <w:tcW w:w="0" w:type="auto"/>
          </w:tcPr>
          <w:p w14:paraId="3B0BCD89">
            <w:pPr>
              <w:spacing w:line="360" w:lineRule="auto"/>
              <w:rPr>
                <w:rFonts w:ascii="Arial" w:hAnsi="Arial" w:cs="Arial"/>
                <w:b/>
                <w:bCs/>
                <w:sz w:val="22"/>
                <w:szCs w:val="22"/>
                <w:highlight w:val="none"/>
                <w:lang w:val="en-GB"/>
              </w:rPr>
            </w:pPr>
            <w:r>
              <w:rPr>
                <w:rFonts w:ascii="Arial" w:hAnsi="Arial" w:cs="Arial"/>
                <w:b/>
                <w:bCs/>
                <w:sz w:val="22"/>
                <w:szCs w:val="22"/>
                <w:highlight w:val="none"/>
                <w:lang w:val="en-GB"/>
              </w:rPr>
              <w:t>Firm Strategy, Structure &amp; Rivalry</w:t>
            </w:r>
          </w:p>
        </w:tc>
        <w:tc>
          <w:tcPr>
            <w:tcW w:w="0" w:type="auto"/>
          </w:tcPr>
          <w:p w14:paraId="4ED8CFAB">
            <w:pPr>
              <w:spacing w:line="360" w:lineRule="auto"/>
              <w:rPr>
                <w:rFonts w:ascii="Arial" w:hAnsi="Arial" w:cs="Arial"/>
                <w:sz w:val="22"/>
                <w:szCs w:val="22"/>
                <w:highlight w:val="none"/>
                <w:lang w:val="en-GB"/>
              </w:rPr>
            </w:pPr>
            <w:r>
              <w:rPr>
                <w:rFonts w:ascii="Arial" w:hAnsi="Arial" w:cs="Arial"/>
                <w:sz w:val="22"/>
                <w:szCs w:val="22"/>
                <w:highlight w:val="none"/>
                <w:lang w:val="en-GB"/>
              </w:rPr>
              <w:t>Intense competition and differentiation</w:t>
            </w:r>
          </w:p>
        </w:tc>
        <w:tc>
          <w:tcPr>
            <w:tcW w:w="0" w:type="auto"/>
          </w:tcPr>
          <w:p w14:paraId="6EA3B739">
            <w:pPr>
              <w:spacing w:line="360" w:lineRule="auto"/>
              <w:rPr>
                <w:rFonts w:ascii="Arial" w:hAnsi="Arial" w:cs="Arial"/>
                <w:sz w:val="22"/>
                <w:szCs w:val="22"/>
                <w:highlight w:val="none"/>
                <w:lang w:val="en-GB"/>
              </w:rPr>
            </w:pPr>
            <w:r>
              <w:rPr>
                <w:rFonts w:ascii="Arial" w:hAnsi="Arial" w:cs="Arial"/>
                <w:sz w:val="22"/>
                <w:szCs w:val="22"/>
                <w:highlight w:val="none"/>
                <w:lang w:val="en-GB"/>
              </w:rPr>
              <w:t>Encourages innovation and global leadership</w:t>
            </w:r>
          </w:p>
        </w:tc>
      </w:tr>
      <w:tr w14:paraId="4521DB22">
        <w:tblPrEx>
          <w:tblBorders>
            <w:top w:val="single" w:color="666666" w:themeColor="text1" w:themeTint="99" w:sz="2" w:space="0"/>
            <w:left w:val="none" w:color="auto" w:sz="0" w:space="0"/>
            <w:bottom w:val="single" w:color="666666" w:themeColor="text1" w:themeTint="99" w:sz="2" w:space="0"/>
            <w:right w:val="none" w:color="auto" w:sz="0" w:space="0"/>
            <w:insideH w:val="single" w:color="666666" w:themeColor="text1" w:themeTint="99" w:sz="2" w:space="0"/>
            <w:insideV w:val="single" w:color="666666" w:themeColor="text1" w:themeTint="99" w:sz="2" w:space="0"/>
          </w:tblBorders>
          <w:tblCellMar>
            <w:top w:w="0" w:type="dxa"/>
            <w:left w:w="108" w:type="dxa"/>
            <w:bottom w:w="0" w:type="dxa"/>
            <w:right w:w="108" w:type="dxa"/>
          </w:tblCellMar>
        </w:tblPrEx>
        <w:tc>
          <w:tcPr>
            <w:tcW w:w="0" w:type="auto"/>
            <w:shd w:val="clear" w:color="auto" w:fill="CCCCCC" w:themeFill="text1" w:themeFillTint="33"/>
          </w:tcPr>
          <w:p w14:paraId="6841A31E">
            <w:pPr>
              <w:spacing w:line="360" w:lineRule="auto"/>
              <w:rPr>
                <w:rFonts w:ascii="Arial" w:hAnsi="Arial" w:cs="Arial"/>
                <w:b/>
                <w:bCs/>
                <w:sz w:val="22"/>
                <w:szCs w:val="22"/>
                <w:highlight w:val="none"/>
                <w:lang w:val="en-GB"/>
              </w:rPr>
            </w:pPr>
            <w:r>
              <w:rPr>
                <w:rFonts w:ascii="Arial" w:hAnsi="Arial" w:cs="Arial"/>
                <w:b/>
                <w:bCs/>
                <w:sz w:val="22"/>
                <w:szCs w:val="22"/>
                <w:highlight w:val="none"/>
                <w:lang w:val="en-GB"/>
              </w:rPr>
              <w:t>Government &amp; Chance</w:t>
            </w:r>
          </w:p>
        </w:tc>
        <w:tc>
          <w:tcPr>
            <w:tcW w:w="0" w:type="auto"/>
            <w:shd w:val="clear" w:color="auto" w:fill="CCCCCC" w:themeFill="text1" w:themeFillTint="33"/>
          </w:tcPr>
          <w:p w14:paraId="391B980E">
            <w:pPr>
              <w:spacing w:line="360" w:lineRule="auto"/>
              <w:rPr>
                <w:rFonts w:ascii="Arial" w:hAnsi="Arial" w:cs="Arial"/>
                <w:sz w:val="22"/>
                <w:szCs w:val="22"/>
                <w:highlight w:val="none"/>
                <w:lang w:val="en-GB"/>
              </w:rPr>
            </w:pPr>
            <w:r>
              <w:rPr>
                <w:rFonts w:ascii="Arial" w:hAnsi="Arial" w:cs="Arial"/>
                <w:sz w:val="22"/>
                <w:szCs w:val="22"/>
                <w:highlight w:val="none"/>
                <w:lang w:val="en-GB"/>
              </w:rPr>
              <w:t xml:space="preserve">Innovation policies, AI, semiconductor support </w:t>
            </w:r>
            <w:r>
              <w:rPr>
                <w:rFonts w:ascii="Arial" w:hAnsi="Arial" w:cs="Arial" w:eastAsiaTheme="minorHAnsi"/>
                <w:sz w:val="22"/>
                <w:szCs w:val="22"/>
                <w:highlight w:val="none"/>
                <w:lang w:val="en-GB" w:eastAsia="en-US"/>
              </w:rPr>
              <w:t>(StatCounter Global Stats, 2026)</w:t>
            </w:r>
          </w:p>
        </w:tc>
        <w:tc>
          <w:tcPr>
            <w:tcW w:w="0" w:type="auto"/>
            <w:shd w:val="clear" w:color="auto" w:fill="CCCCCC" w:themeFill="text1" w:themeFillTint="33"/>
          </w:tcPr>
          <w:p w14:paraId="72A528F9">
            <w:pPr>
              <w:spacing w:line="360" w:lineRule="auto"/>
              <w:rPr>
                <w:rFonts w:ascii="Arial" w:hAnsi="Arial" w:cs="Arial"/>
                <w:sz w:val="22"/>
                <w:szCs w:val="22"/>
                <w:highlight w:val="none"/>
                <w:lang w:val="en-GB"/>
              </w:rPr>
            </w:pPr>
            <w:r>
              <w:rPr>
                <w:rFonts w:ascii="Arial" w:hAnsi="Arial" w:cs="Arial"/>
                <w:sz w:val="22"/>
                <w:szCs w:val="22"/>
                <w:highlight w:val="none"/>
                <w:lang w:val="en-GB"/>
              </w:rPr>
              <w:t>Enhances resilience and long-term growth</w:t>
            </w:r>
          </w:p>
        </w:tc>
      </w:tr>
      <w:tr w14:paraId="4B7DF2D9">
        <w:tblPrEx>
          <w:tblBorders>
            <w:top w:val="single" w:color="666666" w:themeColor="text1" w:themeTint="99" w:sz="2" w:space="0"/>
            <w:left w:val="none" w:color="auto" w:sz="0" w:space="0"/>
            <w:bottom w:val="single" w:color="666666" w:themeColor="text1" w:themeTint="99" w:sz="2" w:space="0"/>
            <w:right w:val="none" w:color="auto" w:sz="0" w:space="0"/>
            <w:insideH w:val="single" w:color="666666" w:themeColor="text1" w:themeTint="99" w:sz="2" w:space="0"/>
            <w:insideV w:val="single" w:color="666666" w:themeColor="text1" w:themeTint="99" w:sz="2" w:space="0"/>
          </w:tblBorders>
          <w:tblCellMar>
            <w:top w:w="0" w:type="dxa"/>
            <w:left w:w="108" w:type="dxa"/>
            <w:bottom w:w="0" w:type="dxa"/>
            <w:right w:w="108" w:type="dxa"/>
          </w:tblCellMar>
        </w:tblPrEx>
        <w:tc>
          <w:tcPr>
            <w:tcW w:w="0" w:type="auto"/>
          </w:tcPr>
          <w:p w14:paraId="3EE078CD">
            <w:pPr>
              <w:spacing w:line="360" w:lineRule="auto"/>
              <w:rPr>
                <w:rFonts w:ascii="Arial" w:hAnsi="Arial" w:cs="Arial"/>
                <w:b/>
                <w:bCs/>
                <w:sz w:val="22"/>
                <w:szCs w:val="22"/>
                <w:highlight w:val="none"/>
                <w:lang w:val="en-GB"/>
              </w:rPr>
            </w:pPr>
            <w:r>
              <w:rPr>
                <w:rFonts w:ascii="Arial" w:hAnsi="Arial" w:cs="Arial"/>
                <w:b/>
                <w:bCs/>
                <w:sz w:val="22"/>
                <w:szCs w:val="22"/>
                <w:highlight w:val="none"/>
                <w:lang w:val="en-GB"/>
              </w:rPr>
              <w:t>Overall Assessment</w:t>
            </w:r>
          </w:p>
        </w:tc>
        <w:tc>
          <w:tcPr>
            <w:tcW w:w="0" w:type="auto"/>
          </w:tcPr>
          <w:p w14:paraId="448714F5">
            <w:pPr>
              <w:spacing w:line="360" w:lineRule="auto"/>
              <w:rPr>
                <w:rFonts w:ascii="Arial" w:hAnsi="Arial" w:cs="Arial"/>
                <w:sz w:val="22"/>
                <w:szCs w:val="22"/>
                <w:highlight w:val="none"/>
                <w:lang w:val="en-GB"/>
              </w:rPr>
            </w:pPr>
            <w:r>
              <w:rPr>
                <w:rFonts w:ascii="Arial" w:hAnsi="Arial" w:cs="Arial"/>
                <w:sz w:val="22"/>
                <w:szCs w:val="22"/>
                <w:highlight w:val="none"/>
                <w:lang w:val="en-GB"/>
              </w:rPr>
              <w:t>Strong national innovation ecosystem</w:t>
            </w:r>
          </w:p>
        </w:tc>
        <w:tc>
          <w:tcPr>
            <w:tcW w:w="0" w:type="auto"/>
          </w:tcPr>
          <w:p w14:paraId="0D3BD598">
            <w:pPr>
              <w:spacing w:line="360" w:lineRule="auto"/>
              <w:rPr>
                <w:rFonts w:ascii="Arial" w:hAnsi="Arial" w:cs="Arial"/>
                <w:sz w:val="22"/>
                <w:szCs w:val="22"/>
                <w:highlight w:val="none"/>
                <w:lang w:val="en-GB"/>
              </w:rPr>
            </w:pPr>
            <w:r>
              <w:rPr>
                <w:rFonts w:ascii="Arial" w:hAnsi="Arial" w:cs="Arial"/>
                <w:sz w:val="22"/>
                <w:szCs w:val="22"/>
                <w:highlight w:val="none"/>
                <w:lang w:val="en-GB"/>
              </w:rPr>
              <w:t>Sustains global competitive advantage</w:t>
            </w:r>
          </w:p>
        </w:tc>
      </w:tr>
    </w:tbl>
    <w:p w14:paraId="39DA4560">
      <w:pPr>
        <w:spacing w:before="100" w:beforeAutospacing="1" w:after="100" w:afterAutospacing="1" w:line="360" w:lineRule="auto"/>
        <w:jc w:val="center"/>
        <w:rPr>
          <w:rFonts w:ascii="Arial" w:hAnsi="Arial" w:cs="Arial"/>
          <w:b/>
          <w:bCs/>
          <w:i/>
          <w:iCs/>
          <w:highlight w:val="none"/>
          <w:lang w:val="en-GB"/>
        </w:rPr>
      </w:pPr>
      <w:r>
        <w:rPr>
          <w:rFonts w:ascii="Arial" w:hAnsi="Arial" w:cs="Arial"/>
          <w:b/>
          <w:bCs/>
          <w:i/>
          <w:iCs/>
          <w:highlight w:val="none"/>
          <w:lang w:val="en-GB"/>
        </w:rPr>
        <w:t>Table 2: Porter's Diamond Analysis of the U.S. Consumer Electronics Industry</w:t>
      </w:r>
    </w:p>
    <w:p w14:paraId="6AE8D618">
      <w:pPr>
        <w:pStyle w:val="3"/>
        <w:rPr>
          <w:rFonts w:cs="Arial"/>
          <w:highlight w:val="none"/>
          <w:lang w:val="en-GB"/>
        </w:rPr>
      </w:pPr>
      <w:r>
        <w:rPr>
          <w:rFonts w:cs="Arial"/>
          <w:highlight w:val="none"/>
          <w:lang w:val="en-GB"/>
        </w:rPr>
        <w:t>Porter puts into perspective the importance of the presence of an efficient network of related and supporting industries to nurture, support and encourage internationally competitive industries. This is seen in the U.S., with the merger of the semiconductor industry, the software industry, research centers and financial services. Concentrated base of businesses and people along the same geographic axis is one example which demonstrates how innovation clusters can encourage knowledge sharing and technological development as suggested by the World Intellectual Property Organization (WIPO) which cited Silicon Valley as being one of the most important Lee et al. (2022) state that good integration of the supply chains can promote operational efficiency and resilience of organisations, particularly in the global information and communications technology sector. Moreover, Verbeke et al. (2026) claim that digital transformation has enhanced coordination along global value chains, which could help companies to better incorporate innovation. This rivalry of business companies add to the situation that was quite strong when comes to the performance of business. These two businesses (Apple Inc. 2025 and Samsung Electronics 2025) have totally different business models, one that of a premium differentiation based on integration with an ecosystem and one used by Samsung Electronics 2025 based on its product diversification and vertical integration strategy. Almeida et al. (2021) suggested that Apple's communication strategy helps its consumers maintain their brand loyalty, and Beckman et al. (2026) discussed the importance of preservation of company's Business competitiveness through Continuous Innovation capability. It means that product improvements and RnD spending, whether for new or existing products and certainly from a marketing perspective to differentiate, is becoming increasingly commonplace as the competition in the U.S. is so intense these days.</w:t>
      </w:r>
    </w:p>
    <w:p w14:paraId="70C4B3BD">
      <w:pPr>
        <w:pStyle w:val="3"/>
        <w:rPr>
          <w:rFonts w:cs="Arial"/>
          <w:highlight w:val="none"/>
          <w:lang w:val="en-GB"/>
        </w:rPr>
      </w:pPr>
      <w:r>
        <w:rPr>
          <w:rFonts w:cs="Arial"/>
          <w:highlight w:val="none"/>
          <w:lang w:val="en-GB"/>
        </w:rPr>
        <w:t xml:space="preserve">Retailer electronics sector is driven to its highest competitive level from outside sources as well as Government policies. Efforts to improve long-term resiliency of the semiconductor industry by government actions in the areas of semiconductor manufacturing, technological innovation and foreign investment have helped strengthen the semiconductor industry's long-term resiliency (International Trade Administration, 2025). In the future, it will also be the investment in manufacturing of new advanced technology along with the innovations in research, says Apple Inc. (2025). Today, the focus has moved towards digital sovereignty, antitrust considerations, data governance and other regulatory issues – priorities of tech companies have changed, and they seek flexibility and adaptability to be able to go global, conclude Hine and Floridi (2026). Brouthers et al. (2022) highlight, however, the need for a continuous adaptation of international strategies, which multinational companies must adopt, depending on the changes in institutional and geopolitical factors. Digital transformation, as this term implies, was a game of chance and Covid-19, a lack of semiconductors and the exuberant growth of AI have given rise to deep competitive challenges and new avenues of opportunity to digitalize the industry. From Porter's Diamond, it is obvious that the U.S have maintained their competitive advantage by being blessed with advanced factor conditions, sophisticated domestic demands, strong supporting industries and intense domestic competition and supportive institutional frameworks. </w:t>
      </w:r>
    </w:p>
    <w:bookmarkEnd w:id="24"/>
    <w:p w14:paraId="4768D91A">
      <w:pPr>
        <w:pStyle w:val="2"/>
        <w:rPr>
          <w:rFonts w:cs="Arial"/>
          <w:highlight w:val="none"/>
          <w:lang w:val="en-GB"/>
        </w:rPr>
      </w:pPr>
      <w:bookmarkStart w:id="25" w:name="_Toc228189080"/>
      <w:bookmarkStart w:id="26" w:name="_Toc228188571"/>
      <w:bookmarkStart w:id="27" w:name="_Toc236919124"/>
      <w:bookmarkStart w:id="28" w:name="Xdc9a774963c7a9916b2d2ba188c14f53d9a1cfb"/>
      <w:r>
        <w:rPr>
          <w:rFonts w:cs="Arial"/>
          <w:highlight w:val="none"/>
          <w:lang w:val="en-GB"/>
        </w:rPr>
        <w:t xml:space="preserve">4.  Samsung Electronics in the U.S: </w:t>
      </w:r>
      <w:bookmarkEnd w:id="25"/>
      <w:bookmarkEnd w:id="26"/>
      <w:r>
        <w:rPr>
          <w:rFonts w:cs="Arial"/>
          <w:highlight w:val="none"/>
          <w:lang w:val="en-GB"/>
        </w:rPr>
        <w:t>PESTLE and VRIO Analysis</w:t>
      </w:r>
      <w:bookmarkEnd w:id="27"/>
    </w:p>
    <w:p w14:paraId="74374175">
      <w:pPr>
        <w:pStyle w:val="103"/>
        <w:rPr>
          <w:rFonts w:cs="Arial"/>
          <w:highlight w:val="none"/>
          <w:lang w:val="en-GB"/>
        </w:rPr>
      </w:pPr>
      <w:bookmarkStart w:id="29" w:name="_Toc236919125"/>
      <w:r>
        <w:rPr>
          <w:rFonts w:cs="Arial"/>
          <w:highlight w:val="none"/>
          <w:lang w:val="en-GB"/>
        </w:rPr>
        <w:t>4.1 PESTLE Analysis</w:t>
      </w:r>
      <w:bookmarkEnd w:id="29"/>
    </w:p>
    <w:tbl>
      <w:tblPr>
        <w:tblStyle w:val="106"/>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893"/>
        <w:gridCol w:w="3885"/>
        <w:gridCol w:w="3798"/>
      </w:tblGrid>
      <w:tr w14:paraId="37B62FE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64092BD">
            <w:pPr>
              <w:spacing w:line="360" w:lineRule="auto"/>
              <w:jc w:val="center"/>
              <w:rPr>
                <w:rFonts w:ascii="Arial" w:hAnsi="Arial" w:cs="Arial"/>
                <w:b/>
                <w:bCs/>
                <w:highlight w:val="none"/>
                <w:lang w:val="en-GB"/>
              </w:rPr>
            </w:pPr>
            <w:r>
              <w:rPr>
                <w:rFonts w:ascii="Arial" w:hAnsi="Arial" w:cs="Arial"/>
                <w:b/>
                <w:bCs/>
                <w:highlight w:val="none"/>
                <w:lang w:val="en-GB"/>
              </w:rPr>
              <w:t>PESTLE Factor</w:t>
            </w:r>
          </w:p>
        </w:tc>
        <w:tc>
          <w:tcPr>
            <w:tcW w:w="3885" w:type="dxa"/>
          </w:tcPr>
          <w:p w14:paraId="464A153B">
            <w:pPr>
              <w:spacing w:line="360" w:lineRule="auto"/>
              <w:jc w:val="center"/>
              <w:rPr>
                <w:rFonts w:ascii="Arial" w:hAnsi="Arial" w:cs="Arial"/>
                <w:b/>
                <w:bCs/>
                <w:highlight w:val="none"/>
                <w:lang w:val="en-GB"/>
              </w:rPr>
            </w:pPr>
            <w:r>
              <w:rPr>
                <w:rFonts w:ascii="Arial" w:hAnsi="Arial" w:cs="Arial"/>
                <w:b/>
                <w:bCs/>
                <w:highlight w:val="none"/>
                <w:lang w:val="en-GB"/>
              </w:rPr>
              <w:t>Key Finding</w:t>
            </w:r>
          </w:p>
        </w:tc>
        <w:tc>
          <w:tcPr>
            <w:tcW w:w="3798" w:type="dxa"/>
          </w:tcPr>
          <w:p w14:paraId="45717733">
            <w:pPr>
              <w:spacing w:line="360" w:lineRule="auto"/>
              <w:jc w:val="center"/>
              <w:rPr>
                <w:rFonts w:ascii="Arial" w:hAnsi="Arial" w:cs="Arial"/>
                <w:b w:val="0"/>
                <w:bCs w:val="0"/>
                <w:highlight w:val="none"/>
                <w:lang w:val="en-GB"/>
              </w:rPr>
            </w:pPr>
            <w:r>
              <w:rPr>
                <w:rFonts w:ascii="Arial" w:hAnsi="Arial" w:cs="Arial"/>
                <w:b/>
                <w:bCs/>
                <w:highlight w:val="none"/>
                <w:lang w:val="en-GB"/>
              </w:rPr>
              <w:t>Strategic Impact on Samsung</w:t>
            </w:r>
          </w:p>
          <w:p w14:paraId="231D5798">
            <w:pPr>
              <w:spacing w:line="360" w:lineRule="auto"/>
              <w:jc w:val="center"/>
              <w:rPr>
                <w:rFonts w:ascii="Arial" w:hAnsi="Arial" w:cs="Arial"/>
                <w:b/>
                <w:bCs/>
                <w:highlight w:val="none"/>
                <w:lang w:val="en-GB"/>
              </w:rPr>
            </w:pPr>
            <w:r>
              <w:rPr>
                <w:rFonts w:ascii="Arial" w:hAnsi="Arial" w:cs="Arial"/>
                <w:b/>
                <w:bCs/>
                <w:highlight w:val="none"/>
                <w:lang w:val="en-GB"/>
              </w:rPr>
              <w:t xml:space="preserve">(Opportunities/Threats) </w:t>
            </w:r>
          </w:p>
        </w:tc>
      </w:tr>
      <w:tr w14:paraId="2DDD162B">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63593212">
            <w:pPr>
              <w:spacing w:line="360" w:lineRule="auto"/>
              <w:rPr>
                <w:rFonts w:ascii="Arial" w:hAnsi="Arial" w:cs="Arial"/>
                <w:b/>
                <w:bCs/>
                <w:highlight w:val="none"/>
                <w:lang w:val="en-GB"/>
              </w:rPr>
            </w:pPr>
            <w:r>
              <w:rPr>
                <w:rFonts w:ascii="Arial" w:hAnsi="Arial" w:cs="Arial"/>
                <w:b/>
                <w:bCs/>
                <w:highlight w:val="none"/>
                <w:lang w:val="en-GB"/>
              </w:rPr>
              <w:t>Political</w:t>
            </w:r>
          </w:p>
        </w:tc>
        <w:tc>
          <w:tcPr>
            <w:tcW w:w="3885" w:type="dxa"/>
            <w:shd w:val="clear" w:color="auto" w:fill="F1F1F1" w:themeFill="background1" w:themeFillShade="F2"/>
          </w:tcPr>
          <w:p w14:paraId="6FE2C55C">
            <w:pPr>
              <w:spacing w:line="360" w:lineRule="auto"/>
              <w:rPr>
                <w:rFonts w:ascii="Arial" w:hAnsi="Arial" w:cs="Arial"/>
                <w:highlight w:val="none"/>
                <w:lang w:val="en-GB"/>
              </w:rPr>
            </w:pPr>
            <w:r>
              <w:rPr>
                <w:rFonts w:ascii="Arial" w:hAnsi="Arial" w:cs="Arial"/>
                <w:highlight w:val="none"/>
                <w:lang w:val="en-GB"/>
              </w:rPr>
              <w:t xml:space="preserve">Stable U.S. policies and KORUS support investment, </w:t>
            </w:r>
            <w:r>
              <w:rPr>
                <w:rStyle w:val="102"/>
                <w:rFonts w:ascii="Arial" w:hAnsi="Arial" w:cs="Arial"/>
                <w:highlight w:val="none"/>
                <w:lang w:val="en-GB"/>
              </w:rPr>
              <w:t>Trade policy and tariffs (U.S. Department of Commerce, 2025; WTO, 2025)</w:t>
            </w:r>
          </w:p>
        </w:tc>
        <w:tc>
          <w:tcPr>
            <w:tcW w:w="3798" w:type="dxa"/>
            <w:shd w:val="clear" w:color="auto" w:fill="F1F1F1" w:themeFill="background1" w:themeFillShade="F2"/>
          </w:tcPr>
          <w:p w14:paraId="69BA5F0B">
            <w:pPr>
              <w:spacing w:line="360" w:lineRule="auto"/>
              <w:rPr>
                <w:rFonts w:ascii="Arial" w:hAnsi="Arial" w:cs="Arial"/>
                <w:highlight w:val="none"/>
                <w:lang w:val="en-GB"/>
              </w:rPr>
            </w:pPr>
            <w:r>
              <w:rPr>
                <w:rFonts w:ascii="Arial" w:hAnsi="Arial" w:cs="Arial"/>
                <w:highlight w:val="none"/>
                <w:lang w:val="en-GB"/>
              </w:rPr>
              <w:t>Expands manufacturing and market access</w:t>
            </w:r>
          </w:p>
        </w:tc>
      </w:tr>
      <w:tr w14:paraId="01C0C69D">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5A83C0D">
            <w:pPr>
              <w:spacing w:line="360" w:lineRule="auto"/>
              <w:rPr>
                <w:rFonts w:ascii="Arial" w:hAnsi="Arial" w:cs="Arial"/>
                <w:b/>
                <w:bCs/>
                <w:highlight w:val="none"/>
                <w:lang w:val="en-GB"/>
              </w:rPr>
            </w:pPr>
            <w:r>
              <w:rPr>
                <w:rFonts w:ascii="Arial" w:hAnsi="Arial" w:cs="Arial"/>
                <w:b/>
                <w:bCs/>
                <w:highlight w:val="none"/>
                <w:lang w:val="en-GB"/>
              </w:rPr>
              <w:t>Economic</w:t>
            </w:r>
          </w:p>
        </w:tc>
        <w:tc>
          <w:tcPr>
            <w:tcW w:w="3885" w:type="dxa"/>
          </w:tcPr>
          <w:p w14:paraId="72147CB0">
            <w:pPr>
              <w:spacing w:line="360" w:lineRule="auto"/>
              <w:rPr>
                <w:rFonts w:ascii="Arial" w:hAnsi="Arial" w:cs="Arial"/>
                <w:highlight w:val="none"/>
                <w:lang w:val="en-GB"/>
              </w:rPr>
            </w:pPr>
            <w:r>
              <w:rPr>
                <w:rFonts w:ascii="Arial" w:hAnsi="Arial" w:cs="Arial"/>
                <w:highlight w:val="none"/>
                <w:lang w:val="en-GB"/>
              </w:rPr>
              <w:t>Large, high-income consumer market</w:t>
            </w:r>
          </w:p>
        </w:tc>
        <w:tc>
          <w:tcPr>
            <w:tcW w:w="3798" w:type="dxa"/>
          </w:tcPr>
          <w:p w14:paraId="17004E19">
            <w:pPr>
              <w:spacing w:line="360" w:lineRule="auto"/>
              <w:rPr>
                <w:rFonts w:ascii="Arial" w:hAnsi="Arial" w:cs="Arial"/>
                <w:highlight w:val="none"/>
                <w:lang w:val="en-GB"/>
              </w:rPr>
            </w:pPr>
            <w:r>
              <w:rPr>
                <w:rFonts w:ascii="Arial" w:hAnsi="Arial" w:cs="Arial"/>
                <w:highlight w:val="none"/>
                <w:lang w:val="en-GB"/>
              </w:rPr>
              <w:t>Increases growth and revenue opportunities</w:t>
            </w:r>
          </w:p>
        </w:tc>
      </w:tr>
      <w:tr w14:paraId="37E62D26">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5B902AFB">
            <w:pPr>
              <w:spacing w:line="360" w:lineRule="auto"/>
              <w:rPr>
                <w:rFonts w:ascii="Arial" w:hAnsi="Arial" w:cs="Arial"/>
                <w:b/>
                <w:bCs/>
                <w:highlight w:val="none"/>
                <w:lang w:val="en-GB"/>
              </w:rPr>
            </w:pPr>
            <w:r>
              <w:rPr>
                <w:rFonts w:ascii="Arial" w:hAnsi="Arial" w:cs="Arial"/>
                <w:b/>
                <w:bCs/>
                <w:highlight w:val="none"/>
                <w:lang w:val="en-GB"/>
              </w:rPr>
              <w:t>Social</w:t>
            </w:r>
          </w:p>
        </w:tc>
        <w:tc>
          <w:tcPr>
            <w:tcW w:w="3885" w:type="dxa"/>
            <w:shd w:val="clear" w:color="auto" w:fill="F1F1F1" w:themeFill="background1" w:themeFillShade="F2"/>
          </w:tcPr>
          <w:p w14:paraId="44CDD6FF">
            <w:pPr>
              <w:spacing w:line="360" w:lineRule="auto"/>
              <w:rPr>
                <w:rFonts w:ascii="Arial" w:hAnsi="Arial" w:cs="Arial"/>
                <w:highlight w:val="none"/>
                <w:lang w:val="en-GB"/>
              </w:rPr>
            </w:pPr>
            <w:r>
              <w:rPr>
                <w:rFonts w:ascii="Arial" w:hAnsi="Arial" w:cs="Arial"/>
                <w:highlight w:val="none"/>
                <w:lang w:val="en-GB"/>
              </w:rPr>
              <w:t>Tech-savvy, brand-conscious consumers</w:t>
            </w:r>
          </w:p>
        </w:tc>
        <w:tc>
          <w:tcPr>
            <w:tcW w:w="3798" w:type="dxa"/>
            <w:shd w:val="clear" w:color="auto" w:fill="F1F1F1" w:themeFill="background1" w:themeFillShade="F2"/>
          </w:tcPr>
          <w:p w14:paraId="27BDD020">
            <w:pPr>
              <w:spacing w:line="360" w:lineRule="auto"/>
              <w:rPr>
                <w:rFonts w:ascii="Arial" w:hAnsi="Arial" w:cs="Arial"/>
                <w:highlight w:val="none"/>
                <w:lang w:val="en-GB"/>
              </w:rPr>
            </w:pPr>
            <w:r>
              <w:rPr>
                <w:rFonts w:ascii="Arial" w:hAnsi="Arial" w:cs="Arial"/>
                <w:highlight w:val="none"/>
                <w:lang w:val="en-GB"/>
              </w:rPr>
              <w:t>Encourages innovation and localisation</w:t>
            </w:r>
          </w:p>
        </w:tc>
      </w:tr>
      <w:tr w14:paraId="156B73E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45ED643">
            <w:pPr>
              <w:spacing w:line="360" w:lineRule="auto"/>
              <w:rPr>
                <w:rFonts w:ascii="Arial" w:hAnsi="Arial" w:cs="Arial"/>
                <w:b/>
                <w:bCs/>
                <w:highlight w:val="none"/>
                <w:lang w:val="en-GB"/>
              </w:rPr>
            </w:pPr>
            <w:r>
              <w:rPr>
                <w:rFonts w:ascii="Arial" w:hAnsi="Arial" w:cs="Arial"/>
                <w:b/>
                <w:bCs/>
                <w:highlight w:val="none"/>
                <w:lang w:val="en-GB"/>
              </w:rPr>
              <w:t>Technological</w:t>
            </w:r>
          </w:p>
        </w:tc>
        <w:tc>
          <w:tcPr>
            <w:tcW w:w="3885" w:type="dxa"/>
          </w:tcPr>
          <w:p w14:paraId="154E7872">
            <w:pPr>
              <w:spacing w:line="360" w:lineRule="auto"/>
              <w:rPr>
                <w:rFonts w:ascii="Arial" w:hAnsi="Arial" w:cs="Arial"/>
                <w:highlight w:val="none"/>
                <w:lang w:val="en-GB"/>
              </w:rPr>
            </w:pPr>
            <w:r>
              <w:rPr>
                <w:rFonts w:ascii="Arial" w:hAnsi="Arial" w:cs="Arial"/>
                <w:highlight w:val="none"/>
                <w:lang w:val="en-GB"/>
              </w:rPr>
              <w:t>Advanced R&amp;D and AI ecosystem</w:t>
            </w:r>
          </w:p>
        </w:tc>
        <w:tc>
          <w:tcPr>
            <w:tcW w:w="3798" w:type="dxa"/>
          </w:tcPr>
          <w:p w14:paraId="7E6F786A">
            <w:pPr>
              <w:spacing w:line="360" w:lineRule="auto"/>
              <w:rPr>
                <w:rFonts w:ascii="Arial" w:hAnsi="Arial" w:cs="Arial"/>
                <w:highlight w:val="none"/>
                <w:lang w:val="en-GB"/>
              </w:rPr>
            </w:pPr>
            <w:r>
              <w:rPr>
                <w:rFonts w:ascii="Arial" w:hAnsi="Arial" w:cs="Arial"/>
                <w:highlight w:val="none"/>
                <w:lang w:val="en-GB"/>
              </w:rPr>
              <w:t>Strengthens innovation and competitiveness</w:t>
            </w:r>
          </w:p>
        </w:tc>
      </w:tr>
      <w:tr w14:paraId="420628B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5649D58F">
            <w:pPr>
              <w:spacing w:line="360" w:lineRule="auto"/>
              <w:rPr>
                <w:rFonts w:ascii="Arial" w:hAnsi="Arial" w:cs="Arial"/>
                <w:b/>
                <w:bCs/>
                <w:highlight w:val="none"/>
                <w:lang w:val="en-GB"/>
              </w:rPr>
            </w:pPr>
            <w:r>
              <w:rPr>
                <w:rFonts w:ascii="Arial" w:hAnsi="Arial" w:cs="Arial"/>
                <w:b/>
                <w:bCs/>
                <w:highlight w:val="none"/>
                <w:lang w:val="en-GB"/>
              </w:rPr>
              <w:t>Legal</w:t>
            </w:r>
          </w:p>
        </w:tc>
        <w:tc>
          <w:tcPr>
            <w:tcW w:w="3885" w:type="dxa"/>
            <w:shd w:val="clear" w:color="auto" w:fill="F1F1F1" w:themeFill="background1" w:themeFillShade="F2"/>
          </w:tcPr>
          <w:p w14:paraId="69929FB8">
            <w:pPr>
              <w:spacing w:line="360" w:lineRule="auto"/>
              <w:rPr>
                <w:rFonts w:ascii="Arial" w:hAnsi="Arial" w:cs="Arial"/>
                <w:highlight w:val="none"/>
                <w:lang w:val="en-GB"/>
              </w:rPr>
            </w:pPr>
            <w:r>
              <w:rPr>
                <w:rFonts w:ascii="Arial" w:hAnsi="Arial" w:cs="Arial"/>
                <w:highlight w:val="none"/>
                <w:lang w:val="en-GB"/>
              </w:rPr>
              <w:t>Strong IP protection and regulatory compliance</w:t>
            </w:r>
          </w:p>
        </w:tc>
        <w:tc>
          <w:tcPr>
            <w:tcW w:w="3798" w:type="dxa"/>
            <w:shd w:val="clear" w:color="auto" w:fill="F1F1F1" w:themeFill="background1" w:themeFillShade="F2"/>
          </w:tcPr>
          <w:p w14:paraId="39064EB4">
            <w:pPr>
              <w:spacing w:line="360" w:lineRule="auto"/>
              <w:rPr>
                <w:rFonts w:ascii="Arial" w:hAnsi="Arial" w:cs="Arial"/>
                <w:highlight w:val="none"/>
                <w:lang w:val="en-GB"/>
              </w:rPr>
            </w:pPr>
            <w:r>
              <w:rPr>
                <w:rFonts w:ascii="Arial" w:hAnsi="Arial" w:cs="Arial"/>
                <w:highlight w:val="none"/>
                <w:lang w:val="en-GB"/>
              </w:rPr>
              <w:t>Protects innovation while increasing compliance requirements as per International Trade Administration (2025)</w:t>
            </w:r>
          </w:p>
        </w:tc>
      </w:tr>
      <w:tr w14:paraId="206CDCC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1546F04">
            <w:pPr>
              <w:spacing w:line="360" w:lineRule="auto"/>
              <w:rPr>
                <w:rFonts w:ascii="Arial" w:hAnsi="Arial" w:cs="Arial"/>
                <w:b/>
                <w:bCs/>
                <w:highlight w:val="none"/>
                <w:lang w:val="en-GB"/>
              </w:rPr>
            </w:pPr>
            <w:r>
              <w:rPr>
                <w:rFonts w:ascii="Arial" w:hAnsi="Arial" w:cs="Arial"/>
                <w:b/>
                <w:bCs/>
                <w:highlight w:val="none"/>
                <w:lang w:val="en-GB"/>
              </w:rPr>
              <w:t>Environmental</w:t>
            </w:r>
          </w:p>
        </w:tc>
        <w:tc>
          <w:tcPr>
            <w:tcW w:w="3885" w:type="dxa"/>
          </w:tcPr>
          <w:p w14:paraId="1F3395F7">
            <w:pPr>
              <w:spacing w:line="360" w:lineRule="auto"/>
              <w:rPr>
                <w:rFonts w:ascii="Arial" w:hAnsi="Arial" w:cs="Arial"/>
                <w:highlight w:val="none"/>
                <w:lang w:val="en-GB"/>
              </w:rPr>
            </w:pPr>
            <w:r>
              <w:rPr>
                <w:rFonts w:ascii="Arial" w:hAnsi="Arial" w:cs="Arial"/>
                <w:highlight w:val="none"/>
                <w:lang w:val="en-GB"/>
              </w:rPr>
              <w:t>Rising sustainability expectations</w:t>
            </w:r>
          </w:p>
        </w:tc>
        <w:tc>
          <w:tcPr>
            <w:tcW w:w="3798" w:type="dxa"/>
          </w:tcPr>
          <w:p w14:paraId="190CF056">
            <w:pPr>
              <w:spacing w:line="360" w:lineRule="auto"/>
              <w:rPr>
                <w:rFonts w:ascii="Arial" w:hAnsi="Arial" w:cs="Arial"/>
                <w:highlight w:val="none"/>
                <w:lang w:val="en-GB"/>
              </w:rPr>
            </w:pPr>
            <w:r>
              <w:rPr>
                <w:rFonts w:ascii="Arial" w:hAnsi="Arial" w:cs="Arial"/>
                <w:highlight w:val="none"/>
                <w:lang w:val="en-GB"/>
              </w:rPr>
              <w:t>Promotes green innovation and operational resilience</w:t>
            </w:r>
          </w:p>
        </w:tc>
      </w:tr>
    </w:tbl>
    <w:p w14:paraId="63C93BB5">
      <w:pPr>
        <w:spacing w:before="100" w:beforeAutospacing="1" w:after="100" w:afterAutospacing="1" w:line="360" w:lineRule="auto"/>
        <w:jc w:val="center"/>
        <w:rPr>
          <w:rFonts w:ascii="Arial" w:hAnsi="Arial" w:cs="Arial"/>
          <w:b/>
          <w:bCs/>
          <w:i/>
          <w:iCs/>
          <w:highlight w:val="none"/>
          <w:lang w:val="en-GB"/>
        </w:rPr>
      </w:pPr>
      <w:r>
        <w:rPr>
          <w:rFonts w:ascii="Arial" w:hAnsi="Arial" w:cs="Arial"/>
          <w:b/>
          <w:bCs/>
          <w:i/>
          <w:iCs/>
          <w:highlight w:val="none"/>
          <w:lang w:val="en-GB"/>
        </w:rPr>
        <w:t>Table 3: Summary of PESTLE Analysis</w:t>
      </w:r>
    </w:p>
    <w:p w14:paraId="7AB9E59D">
      <w:pPr>
        <w:spacing w:line="360" w:lineRule="auto"/>
        <w:rPr>
          <w:rFonts w:ascii="Arial" w:hAnsi="Arial" w:cs="Arial"/>
          <w:b/>
          <w:bCs/>
          <w:i/>
          <w:iCs/>
          <w:highlight w:val="none"/>
          <w:lang w:val="en-GB"/>
        </w:rPr>
      </w:pPr>
      <w:r>
        <w:rPr>
          <w:rFonts w:ascii="Arial" w:hAnsi="Arial" w:cs="Arial"/>
          <w:b/>
          <w:bCs/>
          <w:i/>
          <w:iCs/>
          <w:highlight w:val="none"/>
          <w:lang w:val="en-GB"/>
        </w:rPr>
        <w:t>Political</w:t>
      </w:r>
    </w:p>
    <w:p w14:paraId="2ECA9B37">
      <w:pPr>
        <w:pStyle w:val="3"/>
        <w:rPr>
          <w:rFonts w:cs="Arial"/>
          <w:highlight w:val="none"/>
          <w:lang w:val="en-GB"/>
        </w:rPr>
      </w:pPr>
      <w:r>
        <w:rPr>
          <w:rFonts w:cs="Arial"/>
          <w:highlight w:val="none"/>
          <w:lang w:val="en-GB"/>
        </w:rPr>
        <w:t>The United States is one of the most attractive countries in the world to invest in, according to International Trade Administration (2025) on account of its recourse Stability, good Openness of the regulatory environment and Innovative industrial policies. The KoreaU. By inviting and developing trade ties between Korea and the United States as a result of the S. Free Trade Agreement (KORUS), Korea's trade increased by 117% since 2012 with the United States, and market opportunities for Korea's technological companies have increased. The confidence of its people in the country's political and policy climate and its disgust with its homegrown semiconductors is demonstrated by the fact that Samsung Electronics (2025), the king of the domestic semiconductor market, has made a US$17 billion semiconductor manufacturing investment in Texas. However, Brouthers et al. (2022) claim that the MNE needs to constantly adjust to the changing institutional and geopolitical environment when choosing an international expansion pathway. Furthermore, as Hine &amp; Floridi (2026) suggest, the aim of policies for digital sovereignty and the increased technological regulation are altering business models around the world. Samsung, therefore, faces considerable opportunities in the U.S. political landscape, but underlaying geopolitical tensions between the U.S. and China are ever enhancing strategic uncertainties in the company's supply chain and international activities.</w:t>
      </w:r>
    </w:p>
    <w:p w14:paraId="6EA55ADB">
      <w:pPr>
        <w:spacing w:line="360" w:lineRule="auto"/>
        <w:rPr>
          <w:rFonts w:ascii="Arial" w:hAnsi="Arial" w:cs="Arial"/>
          <w:b/>
          <w:bCs/>
          <w:i/>
          <w:iCs/>
          <w:highlight w:val="none"/>
          <w:lang w:val="en-GB"/>
        </w:rPr>
      </w:pPr>
      <w:r>
        <w:rPr>
          <w:rFonts w:ascii="Arial" w:hAnsi="Arial" w:cs="Arial"/>
          <w:b/>
          <w:bCs/>
          <w:i/>
          <w:iCs/>
          <w:highlight w:val="none"/>
          <w:lang w:val="en-GB"/>
        </w:rPr>
        <w:t>Economic</w:t>
      </w:r>
    </w:p>
    <w:p w14:paraId="5BA06A94">
      <w:pPr>
        <w:pStyle w:val="3"/>
        <w:rPr>
          <w:rFonts w:cs="Arial"/>
          <w:highlight w:val="none"/>
          <w:lang w:val="en-GB"/>
        </w:rPr>
      </w:pPr>
      <w:r>
        <w:rPr>
          <w:rFonts w:cs="Arial"/>
          <w:highlight w:val="none"/>
          <w:lang w:val="en-GB"/>
        </w:rPr>
        <w:t>The GDP of the U.S. exceeds US$30 trillion and it is the world's biggest economy, among which the U.S. is one of Samsung's most valuable overseas markets according to International Trade Administration (2025). Consumption of high-end consumer electronics remains robust as consumers have high disposable income and purchasing power. As per Deloitte (2025), American households are continuing to invest in connected devices and the technologies that include Artificial Intelligence (AI); business of Apps (2026) states that despite inflationary waves, the premium, and smart smartphone market is still holding up. Despite this, Lee et al. (2022) stress that companies need to be more resilient to shocks and resilient regarding financial efficiency in their supply chains in order to stand out in the future in the face of growing production costs, fluctuation in exchange rates, and interest rates. Samsung's ongoing infusion in manufacturing in the United States, thus, cuts down the shipping costs, reduces currency risks, and enhances operational flexibility. However, in the unceasingly competitive market, Samsung has to be able to keep innovating, cutting cost and investing in long-term strategy to stay profitable, as the American economy offers good commercial hope.</w:t>
      </w:r>
    </w:p>
    <w:p w14:paraId="3D302926">
      <w:pPr>
        <w:spacing w:line="360" w:lineRule="auto"/>
        <w:rPr>
          <w:rFonts w:ascii="Arial" w:hAnsi="Arial" w:cs="Arial"/>
          <w:b/>
          <w:bCs/>
          <w:i/>
          <w:iCs/>
          <w:highlight w:val="none"/>
          <w:lang w:val="en-GB"/>
        </w:rPr>
      </w:pPr>
      <w:r>
        <w:rPr>
          <w:rFonts w:ascii="Arial" w:hAnsi="Arial" w:cs="Arial"/>
          <w:b/>
          <w:bCs/>
          <w:i/>
          <w:iCs/>
          <w:highlight w:val="none"/>
          <w:lang w:val="en-GB"/>
        </w:rPr>
        <w:t>Social</w:t>
      </w:r>
    </w:p>
    <w:p w14:paraId="4D98D4F6">
      <w:pPr>
        <w:pStyle w:val="3"/>
        <w:rPr>
          <w:rFonts w:cs="Arial"/>
          <w:highlight w:val="none"/>
          <w:lang w:val="en-GB"/>
        </w:rPr>
      </w:pPr>
      <w:r>
        <w:rPr>
          <w:rFonts w:cs="Arial"/>
          <w:highlight w:val="none"/>
          <w:lang w:val="en-GB"/>
        </w:rPr>
        <w:t xml:space="preserve">According to Pew research center data, around 91% of Americans use a smartphone. This signals a digitally and technologically savvy country. In addition, consumers' growing desire for innovation at all times helps to shape new expectations. This includes an increasing demand for artificial intelligence, smart-home technologies and connected digital ecosystems. Consumers tend to become concerned with the accuracy of inputs from print to digital, e commerce to brick and mortar, and the GDPR and its impact on their marketing infrastructure, adds Deloitte (2025). The conscious strategies and good brand image adopted play an important role in consumer decision-making, which is especially true in highly competitive technology markets, as argued by Almeida et al., (2021). This is because Samsung is building up brand equity as well as making innovations in the form of foldable smartphones and more. According to Godbersen (2026), it is important to continuously deliver value to customers to achieve sustainability in competitive advantages, which is also affected by the positioning of the brand. </w:t>
      </w:r>
    </w:p>
    <w:p w14:paraId="196C954A">
      <w:pPr>
        <w:spacing w:line="360" w:lineRule="auto"/>
        <w:rPr>
          <w:rFonts w:ascii="Arial" w:hAnsi="Arial" w:cs="Arial"/>
          <w:b/>
          <w:bCs/>
          <w:i/>
          <w:iCs/>
          <w:highlight w:val="none"/>
          <w:lang w:val="en-GB"/>
        </w:rPr>
      </w:pPr>
      <w:r>
        <w:rPr>
          <w:rFonts w:ascii="Arial" w:hAnsi="Arial" w:cs="Arial"/>
          <w:b/>
          <w:bCs/>
          <w:i/>
          <w:iCs/>
          <w:highlight w:val="none"/>
          <w:lang w:val="en-GB"/>
        </w:rPr>
        <w:t>Technological</w:t>
      </w:r>
    </w:p>
    <w:p w14:paraId="67F72306">
      <w:pPr>
        <w:pStyle w:val="3"/>
        <w:rPr>
          <w:rFonts w:cs="Arial"/>
          <w:highlight w:val="none"/>
          <w:lang w:val="en-GB"/>
        </w:rPr>
      </w:pPr>
      <w:r>
        <w:rPr>
          <w:rFonts w:cs="Arial"/>
          <w:highlight w:val="none"/>
          <w:lang w:val="en-GB"/>
        </w:rPr>
        <w:t>Samsung Electronics (2025) finds that technological innovation is the main factor that differentiates in the U.S. consumer electronics industry, as consumers are demanding artificial intelligence, 5G network connectivity and streamlined digital integration. Samsung is on a technological spending spree, developing semiconductors, high resolution screens, and AI infused goodies to keep out on top of the pack. Apple Inc. (2025) also shows this, in that continued investment in R&amp;D is crucial to the development of new products and to firm's competitive position. According to Beckman et al (2026) a firm, which has strong innovation capabilities and can manage the products properly, can better withstand the fast changing technology and expectations of the customers. In addition, the cooperation with the US research institutions and technological partners helps boost Samsung's innovation ecosystem and deepens the flow of knowledge. This will be a continuous process of Samsung making advances in technology because if they don't, they will become obsolete in the ever-changing U.S. consumer electronics market.</w:t>
      </w:r>
    </w:p>
    <w:p w14:paraId="3B91A50A">
      <w:pPr>
        <w:spacing w:line="360" w:lineRule="auto"/>
        <w:rPr>
          <w:rFonts w:ascii="Arial" w:hAnsi="Arial" w:cs="Arial"/>
          <w:b/>
          <w:bCs/>
          <w:i/>
          <w:iCs/>
          <w:highlight w:val="none"/>
          <w:lang w:val="en-GB"/>
        </w:rPr>
      </w:pPr>
      <w:r>
        <w:rPr>
          <w:rFonts w:ascii="Arial" w:hAnsi="Arial" w:cs="Arial"/>
          <w:b/>
          <w:bCs/>
          <w:i/>
          <w:iCs/>
          <w:highlight w:val="none"/>
          <w:lang w:val="en-GB"/>
        </w:rPr>
        <w:t>Legal</w:t>
      </w:r>
    </w:p>
    <w:p w14:paraId="5D753E1B">
      <w:pPr>
        <w:pStyle w:val="3"/>
        <w:rPr>
          <w:rFonts w:cs="Arial"/>
          <w:highlight w:val="none"/>
          <w:lang w:val="en-GB"/>
        </w:rPr>
      </w:pPr>
      <w:r>
        <w:rPr>
          <w:rFonts w:cs="Arial"/>
          <w:highlight w:val="none"/>
          <w:lang w:val="en-GB"/>
        </w:rPr>
        <w:t>Hine and Floridi (2026) noted that today's legal landscape is increasingly complex for the multinationals operating in technological sectors and involving legal issues related to the protection of technological sovereignty, digital sovereignty, and competition law. The United States provides robust IP protection to ensure the protection of Samsung product innovations and secures environmental regulations, product safety and privacy laws (including state data protection laws), that complicate operations. In stable institutional environments, firms tend to perform better on innovation (Bruno et al., 2022), as legal security would help to establish longer-term investments. Doing so will, however, be necessary for Samsung to keep abiding by the regulations upon their digital markets as they become stricter, all while being ready to evolve the regulations as they change. As such, good legal compliance is not simply a requirement but a corporate governance tool to mitigate business risks and build assurance with stakeholders in the cramped U.S. technology sector.</w:t>
      </w:r>
    </w:p>
    <w:p w14:paraId="39318682">
      <w:pPr>
        <w:spacing w:line="360" w:lineRule="auto"/>
        <w:rPr>
          <w:rFonts w:ascii="Arial" w:hAnsi="Arial" w:cs="Arial"/>
          <w:b/>
          <w:bCs/>
          <w:i/>
          <w:iCs/>
          <w:highlight w:val="none"/>
          <w:lang w:val="en-GB"/>
        </w:rPr>
      </w:pPr>
      <w:r>
        <w:rPr>
          <w:rFonts w:ascii="Arial" w:hAnsi="Arial" w:cs="Arial"/>
          <w:b/>
          <w:bCs/>
          <w:i/>
          <w:iCs/>
          <w:highlight w:val="none"/>
          <w:lang w:val="en-GB"/>
        </w:rPr>
        <w:t>Environmental</w:t>
      </w:r>
    </w:p>
    <w:p w14:paraId="63917ADD">
      <w:pPr>
        <w:pStyle w:val="3"/>
        <w:rPr>
          <w:rFonts w:cs="Arial"/>
          <w:highlight w:val="none"/>
          <w:lang w:val="en-GB"/>
        </w:rPr>
      </w:pPr>
      <w:r>
        <w:rPr>
          <w:rFonts w:cs="Arial"/>
          <w:highlight w:val="none"/>
          <w:lang w:val="en-GB"/>
        </w:rPr>
        <w:t>Deloitte (2025) points to sustainability as a prime factor in consumer purchases for the United States, and with this rise in interest there are calls for technology companies to implement environmentally-friendly manufacturing methods and product design. Samsung responded with investing in energy efficient production plants, recycling programs and environmentally sound technology in its U.S. operations. Incorporating sustainability into the company's strategy creates enhanced organisational resilience and boosts long-term value for stakeholders, according to Kankam-Kwarteng et al. (2026). Likewise, Tashakkori et al. (2026) recommend that companies which are adaptive in their environmental operation will better be able to handle changes in area legislation, scarcity of resources, and supply chain issues. However, climate change is posing operational risks, such as extreme weather events, and new and higher environmental regulations, which threaten operational continuity and cost control. Thus, environmental sustainability has now shifted from a "compliance-based" to a "strategic-based" core element of competitive advantage and reinforced Samsung's corporate image and long term market performance in the United States beyond regulatory compliance.</w:t>
      </w:r>
    </w:p>
    <w:p w14:paraId="226AA6BF">
      <w:pPr>
        <w:pStyle w:val="103"/>
        <w:rPr>
          <w:rFonts w:cs="Arial"/>
          <w:highlight w:val="none"/>
          <w:lang w:val="en-GB"/>
        </w:rPr>
      </w:pPr>
      <w:bookmarkStart w:id="30" w:name="_Toc236919126"/>
      <w:r>
        <w:rPr>
          <w:rFonts w:cs="Arial"/>
          <w:highlight w:val="none"/>
          <w:lang w:val="en-GB"/>
        </w:rPr>
        <w:t>4.2 VRIO Analysis</w:t>
      </w:r>
      <w:bookmarkEnd w:id="30"/>
    </w:p>
    <w:p w14:paraId="243BCAC1">
      <w:pPr>
        <w:pStyle w:val="3"/>
        <w:rPr>
          <w:rFonts w:cs="Arial"/>
          <w:highlight w:val="none"/>
          <w:lang w:val="en-GB"/>
        </w:rPr>
      </w:pPr>
      <w:r>
        <w:rPr>
          <w:rFonts w:cs="Arial"/>
          <w:highlight w:val="none"/>
          <w:lang w:val="en-GB"/>
        </w:rPr>
        <w:t>Barney's VRIO resource-based framework of evaluative questions examines if an organisation's resources and capabilities are Valuable (V), Rare (R), Inimitable (I) and Organised (O), which assesses the sustainability of the competitive advantage the organisation intends to possess. Samsung owns several strategic assets to</w:t>
      </w:r>
      <w:r>
        <w:rPr>
          <w:rFonts w:cs="Arial"/>
          <w:highlight w:val="none"/>
          <w:lang w:val="en-GB"/>
        </w:rPr>
        <w:t xml:space="preserve"> give it an edge over the majority domestic player, Apple, in the U.S. consumer electronics market. However, some do not offer a lasting competitive edge and proper evaluation is critical.</w:t>
      </w:r>
    </w:p>
    <w:tbl>
      <w:tblPr>
        <w:tblStyle w:val="106"/>
        <w:tblW w:w="9606"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156"/>
        <w:gridCol w:w="396"/>
        <w:gridCol w:w="951"/>
        <w:gridCol w:w="413"/>
        <w:gridCol w:w="1542"/>
        <w:gridCol w:w="3148"/>
      </w:tblGrid>
      <w:tr w14:paraId="5EB8DFC8">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4DE2089">
            <w:pPr>
              <w:spacing w:line="360" w:lineRule="auto"/>
              <w:jc w:val="center"/>
              <w:rPr>
                <w:rFonts w:ascii="Arial" w:hAnsi="Arial" w:cs="Arial"/>
                <w:b/>
                <w:bCs/>
                <w:highlight w:val="none"/>
                <w:lang w:val="en-GB"/>
              </w:rPr>
            </w:pPr>
            <w:r>
              <w:rPr>
                <w:rFonts w:ascii="Arial" w:hAnsi="Arial" w:cs="Arial"/>
                <w:b/>
                <w:bCs/>
                <w:highlight w:val="none"/>
                <w:lang w:val="en-GB"/>
              </w:rPr>
              <w:t>Resource/Capability</w:t>
            </w:r>
          </w:p>
        </w:tc>
        <w:tc>
          <w:tcPr>
            <w:tcW w:w="0" w:type="auto"/>
          </w:tcPr>
          <w:p w14:paraId="7892FA1D">
            <w:pPr>
              <w:spacing w:line="360" w:lineRule="auto"/>
              <w:jc w:val="center"/>
              <w:rPr>
                <w:rFonts w:ascii="Arial" w:hAnsi="Arial" w:cs="Arial"/>
                <w:b/>
                <w:bCs/>
                <w:highlight w:val="none"/>
                <w:lang w:val="en-GB"/>
              </w:rPr>
            </w:pPr>
            <w:r>
              <w:rPr>
                <w:rFonts w:ascii="Arial" w:hAnsi="Arial" w:cs="Arial"/>
                <w:b/>
                <w:bCs/>
                <w:highlight w:val="none"/>
                <w:lang w:val="en-GB"/>
              </w:rPr>
              <w:t>V</w:t>
            </w:r>
          </w:p>
        </w:tc>
        <w:tc>
          <w:tcPr>
            <w:tcW w:w="951" w:type="dxa"/>
          </w:tcPr>
          <w:p w14:paraId="39921C47">
            <w:pPr>
              <w:spacing w:line="360" w:lineRule="auto"/>
              <w:jc w:val="center"/>
              <w:rPr>
                <w:rFonts w:ascii="Arial" w:hAnsi="Arial" w:cs="Arial"/>
                <w:b/>
                <w:bCs/>
                <w:highlight w:val="none"/>
                <w:lang w:val="en-GB"/>
              </w:rPr>
            </w:pPr>
            <w:r>
              <w:rPr>
                <w:rFonts w:ascii="Arial" w:hAnsi="Arial" w:cs="Arial"/>
                <w:b/>
                <w:bCs/>
                <w:highlight w:val="none"/>
                <w:lang w:val="en-GB"/>
              </w:rPr>
              <w:t>R</w:t>
            </w:r>
          </w:p>
        </w:tc>
        <w:tc>
          <w:tcPr>
            <w:tcW w:w="0" w:type="auto"/>
          </w:tcPr>
          <w:p w14:paraId="35539F4B">
            <w:pPr>
              <w:spacing w:line="360" w:lineRule="auto"/>
              <w:jc w:val="center"/>
              <w:rPr>
                <w:rFonts w:ascii="Arial" w:hAnsi="Arial" w:cs="Arial"/>
                <w:b/>
                <w:bCs/>
                <w:highlight w:val="none"/>
                <w:lang w:val="en-GB"/>
              </w:rPr>
            </w:pPr>
            <w:r>
              <w:rPr>
                <w:rFonts w:ascii="Arial" w:hAnsi="Arial" w:cs="Arial"/>
                <w:b/>
                <w:bCs/>
                <w:highlight w:val="none"/>
                <w:lang w:val="en-GB"/>
              </w:rPr>
              <w:t>I</w:t>
            </w:r>
          </w:p>
        </w:tc>
        <w:tc>
          <w:tcPr>
            <w:tcW w:w="1542" w:type="dxa"/>
          </w:tcPr>
          <w:p w14:paraId="6412CF5E">
            <w:pPr>
              <w:spacing w:line="360" w:lineRule="auto"/>
              <w:jc w:val="center"/>
              <w:rPr>
                <w:rFonts w:ascii="Arial" w:hAnsi="Arial" w:cs="Arial"/>
                <w:b/>
                <w:bCs/>
                <w:highlight w:val="none"/>
                <w:lang w:val="en-GB"/>
              </w:rPr>
            </w:pPr>
            <w:r>
              <w:rPr>
                <w:rFonts w:ascii="Arial" w:hAnsi="Arial" w:cs="Arial"/>
                <w:b/>
                <w:bCs/>
                <w:highlight w:val="none"/>
                <w:lang w:val="en-GB"/>
              </w:rPr>
              <w:t>O</w:t>
            </w:r>
          </w:p>
        </w:tc>
        <w:tc>
          <w:tcPr>
            <w:tcW w:w="3148" w:type="dxa"/>
          </w:tcPr>
          <w:p w14:paraId="40AA4228">
            <w:pPr>
              <w:spacing w:line="360" w:lineRule="auto"/>
              <w:jc w:val="center"/>
              <w:rPr>
                <w:rFonts w:ascii="Arial" w:hAnsi="Arial" w:cs="Arial"/>
                <w:b/>
                <w:bCs/>
                <w:highlight w:val="none"/>
                <w:lang w:val="en-GB"/>
              </w:rPr>
            </w:pPr>
            <w:r>
              <w:rPr>
                <w:rFonts w:ascii="Arial" w:hAnsi="Arial" w:cs="Arial"/>
                <w:b/>
                <w:bCs/>
                <w:highlight w:val="none"/>
                <w:lang w:val="en-GB"/>
              </w:rPr>
              <w:t>Competitive Implication</w:t>
            </w:r>
          </w:p>
        </w:tc>
      </w:tr>
      <w:tr w14:paraId="0A7AA97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756DE108">
            <w:pPr>
              <w:spacing w:line="360" w:lineRule="auto"/>
              <w:rPr>
                <w:rFonts w:ascii="Arial" w:hAnsi="Arial" w:cs="Arial"/>
                <w:b/>
                <w:bCs/>
                <w:highlight w:val="none"/>
                <w:lang w:val="en-GB"/>
              </w:rPr>
            </w:pPr>
            <w:r>
              <w:rPr>
                <w:rFonts w:ascii="Arial" w:hAnsi="Arial" w:cs="Arial"/>
                <w:b/>
                <w:bCs/>
                <w:highlight w:val="none"/>
                <w:lang w:val="en-GB"/>
              </w:rPr>
              <w:t>Global Brand Reputation</w:t>
            </w:r>
          </w:p>
        </w:tc>
        <w:tc>
          <w:tcPr>
            <w:tcW w:w="0" w:type="auto"/>
            <w:shd w:val="clear" w:color="auto" w:fill="F1F1F1" w:themeFill="background1" w:themeFillShade="F2"/>
          </w:tcPr>
          <w:p w14:paraId="135EE6E5">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951" w:type="dxa"/>
            <w:shd w:val="clear" w:color="auto" w:fill="F1F1F1" w:themeFill="background1" w:themeFillShade="F2"/>
          </w:tcPr>
          <w:p w14:paraId="3ACCA3C0">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0" w:type="auto"/>
            <w:shd w:val="clear" w:color="auto" w:fill="F1F1F1" w:themeFill="background1" w:themeFillShade="F2"/>
          </w:tcPr>
          <w:p w14:paraId="57B2DE4E">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1542" w:type="dxa"/>
            <w:shd w:val="clear" w:color="auto" w:fill="F1F1F1" w:themeFill="background1" w:themeFillShade="F2"/>
          </w:tcPr>
          <w:p w14:paraId="04074336">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3148" w:type="dxa"/>
            <w:shd w:val="clear" w:color="auto" w:fill="F1F1F1" w:themeFill="background1" w:themeFillShade="F2"/>
          </w:tcPr>
          <w:p w14:paraId="25AA1F2C">
            <w:pPr>
              <w:spacing w:line="360" w:lineRule="auto"/>
              <w:rPr>
                <w:rFonts w:ascii="Arial" w:hAnsi="Arial" w:cs="Arial"/>
                <w:highlight w:val="none"/>
                <w:lang w:val="en-GB"/>
              </w:rPr>
            </w:pPr>
            <w:r>
              <w:rPr>
                <w:rFonts w:ascii="Arial" w:hAnsi="Arial" w:cs="Arial"/>
                <w:highlight w:val="none"/>
                <w:lang w:val="en-GB"/>
              </w:rPr>
              <w:t>Temporary Competitive Advantage</w:t>
            </w:r>
          </w:p>
        </w:tc>
      </w:tr>
      <w:tr w14:paraId="36FF736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EC2E7FC">
            <w:pPr>
              <w:spacing w:line="360" w:lineRule="auto"/>
              <w:rPr>
                <w:rFonts w:ascii="Arial" w:hAnsi="Arial" w:cs="Arial"/>
                <w:b/>
                <w:bCs/>
                <w:highlight w:val="none"/>
                <w:lang w:val="en-GB"/>
              </w:rPr>
            </w:pPr>
            <w:r>
              <w:rPr>
                <w:rFonts w:ascii="Arial" w:hAnsi="Arial" w:cs="Arial"/>
                <w:b/>
                <w:bCs/>
                <w:highlight w:val="none"/>
                <w:lang w:val="en-GB"/>
              </w:rPr>
              <w:t>R&amp;D Capability</w:t>
            </w:r>
          </w:p>
        </w:tc>
        <w:tc>
          <w:tcPr>
            <w:tcW w:w="0" w:type="auto"/>
          </w:tcPr>
          <w:p w14:paraId="364A6E29">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951" w:type="dxa"/>
          </w:tcPr>
          <w:p w14:paraId="6070FCE6">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0" w:type="auto"/>
          </w:tcPr>
          <w:p w14:paraId="69A2F3DF">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1542" w:type="dxa"/>
          </w:tcPr>
          <w:p w14:paraId="2B729691">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3148" w:type="dxa"/>
          </w:tcPr>
          <w:p w14:paraId="1906C0D3">
            <w:pPr>
              <w:spacing w:line="360" w:lineRule="auto"/>
              <w:rPr>
                <w:rFonts w:ascii="Arial" w:hAnsi="Arial" w:cs="Arial"/>
                <w:b/>
                <w:bCs/>
                <w:i/>
                <w:iCs/>
                <w:highlight w:val="none"/>
                <w:lang w:val="en-GB"/>
              </w:rPr>
            </w:pPr>
            <w:r>
              <w:rPr>
                <w:rFonts w:ascii="Arial" w:hAnsi="Arial" w:cs="Arial"/>
                <w:highlight w:val="none"/>
                <w:lang w:val="en-GB"/>
              </w:rPr>
              <w:t xml:space="preserve">Sustained Competitive Advantage </w:t>
            </w:r>
          </w:p>
          <w:p w14:paraId="6607095F">
            <w:pPr>
              <w:spacing w:line="360" w:lineRule="auto"/>
              <w:rPr>
                <w:rFonts w:ascii="Arial" w:hAnsi="Arial" w:cs="Arial"/>
                <w:highlight w:val="none"/>
                <w:lang w:val="en-GB"/>
              </w:rPr>
            </w:pPr>
          </w:p>
        </w:tc>
      </w:tr>
      <w:tr w14:paraId="5857352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00FB13DC">
            <w:pPr>
              <w:spacing w:line="360" w:lineRule="auto"/>
              <w:rPr>
                <w:rFonts w:ascii="Arial" w:hAnsi="Arial" w:cs="Arial"/>
                <w:b/>
                <w:bCs/>
                <w:highlight w:val="none"/>
                <w:lang w:val="en-GB"/>
              </w:rPr>
            </w:pPr>
            <w:r>
              <w:rPr>
                <w:rFonts w:ascii="Arial" w:hAnsi="Arial" w:cs="Arial"/>
                <w:b/>
                <w:bCs/>
                <w:highlight w:val="none"/>
                <w:lang w:val="en-GB"/>
              </w:rPr>
              <w:t>Semiconductor Manufacturing</w:t>
            </w:r>
          </w:p>
        </w:tc>
        <w:tc>
          <w:tcPr>
            <w:tcW w:w="0" w:type="auto"/>
            <w:shd w:val="clear" w:color="auto" w:fill="F1F1F1" w:themeFill="background1" w:themeFillShade="F2"/>
          </w:tcPr>
          <w:p w14:paraId="3B357F71">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951" w:type="dxa"/>
            <w:shd w:val="clear" w:color="auto" w:fill="F1F1F1" w:themeFill="background1" w:themeFillShade="F2"/>
          </w:tcPr>
          <w:p w14:paraId="0E66E573">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0" w:type="auto"/>
            <w:shd w:val="clear" w:color="auto" w:fill="F1F1F1" w:themeFill="background1" w:themeFillShade="F2"/>
          </w:tcPr>
          <w:p w14:paraId="1C7D3217">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1542" w:type="dxa"/>
            <w:shd w:val="clear" w:color="auto" w:fill="F1F1F1" w:themeFill="background1" w:themeFillShade="F2"/>
          </w:tcPr>
          <w:p w14:paraId="09F75082">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3148" w:type="dxa"/>
            <w:shd w:val="clear" w:color="auto" w:fill="F1F1F1" w:themeFill="background1" w:themeFillShade="F2"/>
          </w:tcPr>
          <w:p w14:paraId="6FD84EE2">
            <w:pPr>
              <w:spacing w:line="360" w:lineRule="auto"/>
              <w:rPr>
                <w:rFonts w:ascii="Arial" w:hAnsi="Arial" w:cs="Arial"/>
                <w:highlight w:val="none"/>
                <w:lang w:val="en-GB"/>
              </w:rPr>
            </w:pPr>
            <w:r>
              <w:rPr>
                <w:rFonts w:ascii="Arial" w:hAnsi="Arial" w:cs="Arial"/>
                <w:highlight w:val="none"/>
                <w:lang w:val="en-GB"/>
              </w:rPr>
              <w:t>Sustained Competitive Advantage</w:t>
            </w:r>
          </w:p>
        </w:tc>
      </w:tr>
      <w:tr w14:paraId="60E7F7F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49E0496">
            <w:pPr>
              <w:spacing w:line="360" w:lineRule="auto"/>
              <w:rPr>
                <w:rFonts w:ascii="Arial" w:hAnsi="Arial" w:cs="Arial"/>
                <w:b/>
                <w:bCs/>
                <w:highlight w:val="none"/>
                <w:lang w:val="en-GB"/>
              </w:rPr>
            </w:pPr>
            <w:r>
              <w:rPr>
                <w:rFonts w:ascii="Arial" w:hAnsi="Arial" w:cs="Arial"/>
                <w:b/>
                <w:bCs/>
                <w:highlight w:val="none"/>
                <w:lang w:val="en-GB"/>
              </w:rPr>
              <w:t>Product Diversification</w:t>
            </w:r>
          </w:p>
        </w:tc>
        <w:tc>
          <w:tcPr>
            <w:tcW w:w="0" w:type="auto"/>
          </w:tcPr>
          <w:p w14:paraId="5D22C0E9">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951" w:type="dxa"/>
          </w:tcPr>
          <w:p w14:paraId="194FA35B">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0" w:type="auto"/>
          </w:tcPr>
          <w:p w14:paraId="1F3AA570">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1542" w:type="dxa"/>
          </w:tcPr>
          <w:p w14:paraId="27E98930">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3148" w:type="dxa"/>
          </w:tcPr>
          <w:p w14:paraId="4540C590">
            <w:pPr>
              <w:spacing w:line="360" w:lineRule="auto"/>
              <w:rPr>
                <w:rFonts w:ascii="Arial" w:hAnsi="Arial" w:cs="Arial"/>
                <w:highlight w:val="none"/>
                <w:lang w:val="en-GB"/>
              </w:rPr>
            </w:pPr>
            <w:r>
              <w:rPr>
                <w:rFonts w:ascii="Arial" w:hAnsi="Arial" w:cs="Arial"/>
                <w:highlight w:val="none"/>
                <w:lang w:val="en-GB"/>
              </w:rPr>
              <w:t>Competitive Parity</w:t>
            </w:r>
          </w:p>
        </w:tc>
      </w:tr>
      <w:tr w14:paraId="11544BFE">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3E205941">
            <w:pPr>
              <w:spacing w:line="360" w:lineRule="auto"/>
              <w:rPr>
                <w:rFonts w:ascii="Arial" w:hAnsi="Arial" w:cs="Arial"/>
                <w:b/>
                <w:bCs/>
                <w:highlight w:val="none"/>
                <w:lang w:val="en-GB"/>
              </w:rPr>
            </w:pPr>
            <w:r>
              <w:rPr>
                <w:rFonts w:ascii="Arial" w:hAnsi="Arial" w:cs="Arial"/>
                <w:b/>
                <w:bCs/>
                <w:highlight w:val="none"/>
                <w:lang w:val="en-GB"/>
              </w:rPr>
              <w:t>Global Supply Chain</w:t>
            </w:r>
          </w:p>
        </w:tc>
        <w:tc>
          <w:tcPr>
            <w:tcW w:w="0" w:type="auto"/>
            <w:shd w:val="clear" w:color="auto" w:fill="F1F1F1" w:themeFill="background1" w:themeFillShade="F2"/>
          </w:tcPr>
          <w:p w14:paraId="7A0CF7FD">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951" w:type="dxa"/>
            <w:shd w:val="clear" w:color="auto" w:fill="F1F1F1" w:themeFill="background1" w:themeFillShade="F2"/>
          </w:tcPr>
          <w:p w14:paraId="5E929BE5">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0" w:type="auto"/>
            <w:shd w:val="clear" w:color="auto" w:fill="F1F1F1" w:themeFill="background1" w:themeFillShade="F2"/>
          </w:tcPr>
          <w:p w14:paraId="39738B1D">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1542" w:type="dxa"/>
            <w:shd w:val="clear" w:color="auto" w:fill="F1F1F1" w:themeFill="background1" w:themeFillShade="F2"/>
          </w:tcPr>
          <w:p w14:paraId="20ACB918">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3148" w:type="dxa"/>
            <w:shd w:val="clear" w:color="auto" w:fill="F1F1F1" w:themeFill="background1" w:themeFillShade="F2"/>
          </w:tcPr>
          <w:p w14:paraId="1D45943B">
            <w:pPr>
              <w:spacing w:line="360" w:lineRule="auto"/>
              <w:rPr>
                <w:rFonts w:ascii="Arial" w:hAnsi="Arial" w:cs="Arial"/>
                <w:highlight w:val="none"/>
                <w:lang w:val="en-GB"/>
              </w:rPr>
            </w:pPr>
            <w:r>
              <w:rPr>
                <w:rFonts w:ascii="Arial" w:hAnsi="Arial" w:cs="Arial"/>
                <w:highlight w:val="none"/>
                <w:lang w:val="en-GB"/>
              </w:rPr>
              <w:t>Sustained Competitive Advantage (Samsung Electronics, 2025)</w:t>
            </w:r>
          </w:p>
        </w:tc>
      </w:tr>
      <w:tr w14:paraId="2051358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9F3F75C">
            <w:pPr>
              <w:spacing w:line="360" w:lineRule="auto"/>
              <w:rPr>
                <w:rFonts w:ascii="Arial" w:hAnsi="Arial" w:cs="Arial"/>
                <w:b/>
                <w:bCs/>
                <w:highlight w:val="none"/>
                <w:lang w:val="en-GB"/>
              </w:rPr>
            </w:pPr>
            <w:r>
              <w:rPr>
                <w:rFonts w:ascii="Arial" w:hAnsi="Arial" w:cs="Arial"/>
                <w:b/>
                <w:bCs/>
                <w:highlight w:val="none"/>
                <w:lang w:val="en-GB"/>
              </w:rPr>
              <w:t>AI &amp; Innovation Capability</w:t>
            </w:r>
          </w:p>
        </w:tc>
        <w:tc>
          <w:tcPr>
            <w:tcW w:w="0" w:type="auto"/>
          </w:tcPr>
          <w:p w14:paraId="4F656514">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951" w:type="dxa"/>
          </w:tcPr>
          <w:p w14:paraId="7FE3963D">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0" w:type="auto"/>
          </w:tcPr>
          <w:p w14:paraId="5907AA87">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1542" w:type="dxa"/>
          </w:tcPr>
          <w:p w14:paraId="1625ED5D">
            <w:pPr>
              <w:spacing w:line="360" w:lineRule="auto"/>
              <w:jc w:val="center"/>
              <w:rPr>
                <w:rFonts w:ascii="Arial" w:hAnsi="Arial" w:cs="Arial"/>
                <w:highlight w:val="none"/>
                <w:lang w:val="en-GB"/>
              </w:rPr>
            </w:pPr>
            <w:r>
              <w:rPr>
                <w:rFonts w:ascii="Segoe UI Symbol" w:hAnsi="Segoe UI Symbol" w:cs="Segoe UI Symbol"/>
                <w:highlight w:val="none"/>
                <w:lang w:val="en-GB"/>
              </w:rPr>
              <w:t>✓</w:t>
            </w:r>
          </w:p>
        </w:tc>
        <w:tc>
          <w:tcPr>
            <w:tcW w:w="3148" w:type="dxa"/>
          </w:tcPr>
          <w:p w14:paraId="480FC6FA">
            <w:pPr>
              <w:spacing w:line="360" w:lineRule="auto"/>
              <w:rPr>
                <w:rFonts w:ascii="Arial" w:hAnsi="Arial" w:cs="Arial"/>
                <w:highlight w:val="none"/>
                <w:lang w:val="en-GB"/>
              </w:rPr>
            </w:pPr>
            <w:r>
              <w:rPr>
                <w:rFonts w:ascii="Arial" w:hAnsi="Arial" w:cs="Arial"/>
                <w:highlight w:val="none"/>
                <w:lang w:val="en-GB"/>
              </w:rPr>
              <w:t>Sustained Competitive Advantage</w:t>
            </w:r>
          </w:p>
        </w:tc>
      </w:tr>
    </w:tbl>
    <w:p w14:paraId="30FDD2B5">
      <w:pPr>
        <w:spacing w:before="100" w:beforeAutospacing="1" w:after="100" w:afterAutospacing="1" w:line="360" w:lineRule="auto"/>
        <w:jc w:val="center"/>
        <w:rPr>
          <w:rFonts w:ascii="Arial" w:hAnsi="Arial" w:cs="Arial"/>
          <w:b/>
          <w:bCs/>
          <w:i/>
          <w:iCs/>
          <w:highlight w:val="none"/>
          <w:lang w:val="en-GB"/>
        </w:rPr>
      </w:pPr>
      <w:r>
        <w:rPr>
          <w:rFonts w:ascii="Arial" w:hAnsi="Arial" w:cs="Arial"/>
          <w:b/>
          <w:bCs/>
          <w:i/>
          <w:iCs/>
          <w:highlight w:val="none"/>
          <w:lang w:val="en-GB"/>
        </w:rPr>
        <w:t>Table 4: Summary of VRIO Analysis</w:t>
      </w:r>
    </w:p>
    <w:p w14:paraId="50A3A500">
      <w:pPr>
        <w:pStyle w:val="3"/>
        <w:rPr>
          <w:rFonts w:cs="Arial"/>
          <w:highlight w:val="none"/>
          <w:lang w:val="en-GB"/>
        </w:rPr>
      </w:pPr>
    </w:p>
    <w:p w14:paraId="6E108468">
      <w:pPr>
        <w:pStyle w:val="3"/>
        <w:rPr>
          <w:rFonts w:cs="Arial"/>
          <w:highlight w:val="none"/>
          <w:lang w:val="en-GB"/>
        </w:rPr>
      </w:pPr>
      <w:r>
        <w:rPr>
          <w:rFonts w:cs="Arial"/>
          <w:highlight w:val="none"/>
          <w:lang w:val="en-GB"/>
        </w:rPr>
        <w:t>Samsung Electronics (2025) states the big competitive advantage of Samsung is its capacity to develop new products for the market. The company is spending billions to work on AI and semiconductors, and advances in consumer hardware, among other areas to continue to progress. As mentioned by Beckman et al (2026) highly successful companies in their capacity to innovate tend to out-compete their peers whenever they have a positive ability to respond rapidly to technology innovation and customer shifts. Inflexibility regarding the product area doesn't mean that Samsung doesn't innovate across other product areas; in other words, companies who have exhibited innovation in one product area need not innovate in the others. Although Samsung is only a single-product company, the company has knowledge spillovers because it is innovating in its smartphone business, its semiconductor business, its TV business and its home-appliances business.</w:t>
      </w:r>
    </w:p>
    <w:p w14:paraId="57E7F777">
      <w:pPr>
        <w:pStyle w:val="3"/>
        <w:rPr>
          <w:rFonts w:cs="Arial"/>
          <w:highlight w:val="none"/>
          <w:lang w:val="en-GB"/>
        </w:rPr>
      </w:pPr>
      <w:r>
        <w:rPr>
          <w:rFonts w:cs="Arial"/>
          <w:highlight w:val="none"/>
          <w:lang w:val="en-GB"/>
        </w:rPr>
        <w:t>Effective supply-chain integration leads to better supply-chain operational efficiency, cut down production expenses and more resilient organisations in the event of global disruptions according to Lee et al. (2022). Samsung is also more flexible than other competitors in that they can produce many of their own parts. The capability was especially useful in recent times of semiconductors shortage, as Samsung kept its manufacturing foot on the ground whilst trusted in the global supply chain. Therefore, one of the areas that Samsung can enjoy sustainable competitive advantage is the semiconductor technology because of its meeting of all four VRIO dimensions.</w:t>
      </w:r>
    </w:p>
    <w:p w14:paraId="150313F6">
      <w:pPr>
        <w:pStyle w:val="3"/>
        <w:rPr>
          <w:rFonts w:cs="Arial"/>
          <w:highlight w:val="none"/>
          <w:lang w:val="en-GB"/>
        </w:rPr>
      </w:pPr>
      <w:r>
        <w:rPr>
          <w:rFonts w:cs="Arial"/>
          <w:highlight w:val="none"/>
          <w:lang w:val="en-GB"/>
        </w:rPr>
        <w:t>Second, Samsung's brand value in the eyes of the rest of the world is another precious asset for an organization's strategy. Samsung Electronics (2025) has achieved good market expansion in its home country and other countries with its continuous innovation and significant marketing investments and high-quality products. Godbersen (2026) states, however, that the awareness and loyalty that can be created with brand equity can be duplicated in the following decades as long as the necessary investment and positioning is made. Therefore, Samsung's brand is a valuable resource, albeit relatively scarce and in the possession of competitors like Apple who have built up equally strong brands in the global market. Hence, Samsung's brand's image gives it a one-time benefit over customers, but not over its competitors when it comes to the premium customer electronics segment.</w:t>
      </w:r>
    </w:p>
    <w:p w14:paraId="4AFC3440">
      <w:pPr>
        <w:pStyle w:val="3"/>
        <w:rPr>
          <w:rFonts w:cs="Arial"/>
          <w:highlight w:val="none"/>
          <w:lang w:val="en-GB"/>
        </w:rPr>
      </w:pPr>
      <w:r>
        <w:rPr>
          <w:rFonts w:cs="Arial"/>
          <w:highlight w:val="none"/>
          <w:lang w:val="en-GB"/>
        </w:rPr>
        <w:t>Its diverse product lines and multibillion dollar supply chain are also bolstering its strength. Unlike the majority of competitors, Samsung's business spans the realm of smartphones, TVs, home appliances, memory chips &amp; the display technologies, while decreasing its reliance on a single product category. Diversified operations are recommended to enhance organisational resilience through spreading the risk over diversified markets and firings up the use of resources, according to Lee et al. (2022). Bruno et al. (2022) also provide similar ideas that MNEs can use INs to improve competitiveness and innovation when they are operating in an institutionally favorable environment. The extensive manufacturing facilities that Samsung possesses, both in Asia, Europe and America, then allows for more operational flexibility and efficient reaction to market changes in demand and geopolitical events.</w:t>
      </w:r>
    </w:p>
    <w:p w14:paraId="20711711">
      <w:pPr>
        <w:pStyle w:val="3"/>
        <w:rPr>
          <w:rFonts w:cs="Arial"/>
          <w:highlight w:val="none"/>
          <w:lang w:val="en-GB"/>
        </w:rPr>
      </w:pPr>
      <w:r>
        <w:rPr>
          <w:rFonts w:cs="Arial"/>
          <w:highlight w:val="none"/>
          <w:lang w:val="en-GB"/>
        </w:rPr>
        <w:t>Moreover, Samsung has proven its management capabilities to make the most of these strategic resources. Frimpong and Botchey (2026) found that a corporation that adopts innovation governance in an integrative way obtains better future outcomes since the resources are systematically linked with strategic goals. Samsung's ongoing development of the technology and systems supporting artificial intelligence, semiconductor production and the digital ecosystem are testament to the company's organisation to make valuable resources measurable competitive outcomes. However, in the rapidly transforming world of digitalization and technology convergence, capabilities can quickly decrease in competitiveness of MEs, which must continually be re-invented in order to stay competitive in today's shifting global landscape, Verbeke et al. (2026) point out. This is why Samsung will have to continue investing in innovation and organisation learning, in order to hold their strategic position.</w:t>
      </w:r>
    </w:p>
    <w:p w14:paraId="09980303">
      <w:pPr>
        <w:pStyle w:val="3"/>
        <w:rPr>
          <w:rFonts w:cs="Arial"/>
          <w:highlight w:val="none"/>
          <w:lang w:val="en-GB"/>
        </w:rPr>
      </w:pPr>
      <w:r>
        <w:rPr>
          <w:rFonts w:cs="Arial"/>
          <w:highlight w:val="none"/>
          <w:lang w:val="en-GB"/>
        </w:rPr>
        <w:t xml:space="preserve">According to the VRIO analysis, Samsung meets all four VRIO in both areas research and development, as well as semiconductors. The only three of the four VRIOs needed for innovation ecosystem are fulfilled by Samsung and, certainly, on supply chains the company meets all four, augmenting Samsung's future sustainable competitive advantage-already the cases are ubiquitous around the world. Other possibilities, like product diversification and branding, are more competitive, will reduce the need to target players and can still be used. </w:t>
      </w:r>
    </w:p>
    <w:bookmarkEnd w:id="28"/>
    <w:p w14:paraId="1BE191D9">
      <w:pPr>
        <w:pStyle w:val="2"/>
        <w:rPr>
          <w:rFonts w:cs="Arial"/>
          <w:highlight w:val="none"/>
          <w:lang w:val="en-GB"/>
        </w:rPr>
      </w:pPr>
      <w:bookmarkStart w:id="31" w:name="_Toc228189087"/>
      <w:bookmarkStart w:id="32" w:name="_Toc228188578"/>
      <w:bookmarkStart w:id="33" w:name="_Toc236919127"/>
      <w:bookmarkStart w:id="34" w:name="conclusion"/>
      <w:r>
        <w:rPr>
          <w:rFonts w:cs="Arial"/>
          <w:highlight w:val="none"/>
          <w:lang w:val="en-GB"/>
        </w:rPr>
        <w:t>5. Conclusion</w:t>
      </w:r>
      <w:bookmarkEnd w:id="31"/>
      <w:bookmarkEnd w:id="32"/>
      <w:bookmarkEnd w:id="33"/>
    </w:p>
    <w:bookmarkEnd w:id="0"/>
    <w:bookmarkEnd w:id="34"/>
    <w:p w14:paraId="63751337">
      <w:pPr>
        <w:pStyle w:val="3"/>
        <w:rPr>
          <w:rFonts w:cs="Arial"/>
          <w:highlight w:val="none"/>
          <w:lang w:val="en-GB"/>
        </w:rPr>
      </w:pPr>
      <w:bookmarkStart w:id="35" w:name="_Toc228188579"/>
      <w:bookmarkStart w:id="36" w:name="_Toc228189088"/>
      <w:bookmarkStart w:id="37" w:name="section-2-reflective-account"/>
      <w:r>
        <w:rPr>
          <w:rFonts w:cs="Arial"/>
          <w:highlight w:val="none"/>
          <w:lang w:val="en-GB"/>
        </w:rPr>
        <w:t>This paper examined the U.S. market conditions for a key foreign enterprise (Samsung), as well as the U.S. consumer electronics industry through the lens of Apple Inc. and their competitors. The U.S. industry is large-scale, ground breaking and world leading. Firms such as Apple leverage their competitive advantages to foster innovation on a global scale: their intimate knowledge of, and customer demand for their own products and services, allows them to apply this expertise to new applications in the global marketplace. Porter's Diamond theory says that the demand from affluent, tech-enabled consumers, U.S. talent and capital, and related industries like semiconductors and software fosters the industrial environment. Competitiveness is further increased by government assistance through trade policies and financing for research.</w:t>
      </w:r>
    </w:p>
    <w:p w14:paraId="431F5E5F">
      <w:pPr>
        <w:pStyle w:val="3"/>
        <w:rPr>
          <w:rFonts w:cs="Arial" w:eastAsiaTheme="majorEastAsia"/>
          <w:b/>
          <w:bCs/>
          <w:szCs w:val="44"/>
          <w:highlight w:val="none"/>
          <w:lang w:val="en-GB"/>
        </w:rPr>
      </w:pPr>
      <w:r>
        <w:rPr>
          <w:rFonts w:cs="Arial"/>
          <w:highlight w:val="none"/>
          <w:lang w:val="en-GB"/>
        </w:rPr>
        <w:t>The U.S. market is very attractive for foreign firms, including Samsung, due to its large size and favourable political conditions, including the KORUS trade agreement. With major investments and brand adaption strategies, Samsung is a promising candidate as a major brands to conquer U.S. territory, but it has to be prepared to handle cultural preferences and legalities. PESTLE variables like economic affluence in the United States, regulatory stability, superior tech infrastructure and favourable U.S Korea relations are often the reasons for which Samsung's activities are often preferred. To conclude, both of these businesses have a competitive home market which is one of the most successful and lucrative tech sectors in the world, while Samsung will always have to come up with new ideas in order to meet U.S. consumer demand.</w:t>
      </w:r>
      <w:r>
        <w:rPr>
          <w:rFonts w:cs="Arial"/>
          <w:highlight w:val="none"/>
          <w:lang w:val="en-GB"/>
        </w:rPr>
        <w:br w:type="page"/>
      </w:r>
    </w:p>
    <w:p w14:paraId="10B3EA2E">
      <w:pPr>
        <w:pStyle w:val="2"/>
        <w:rPr>
          <w:rFonts w:cs="Arial"/>
          <w:highlight w:val="none"/>
          <w:lang w:val="en-GB"/>
        </w:rPr>
      </w:pPr>
      <w:bookmarkStart w:id="38" w:name="_Toc236919128"/>
      <w:r>
        <w:rPr>
          <w:rFonts w:cs="Arial"/>
          <w:highlight w:val="none"/>
          <w:lang w:val="en-GB"/>
        </w:rPr>
        <w:t>Section 2: Reflective Account</w:t>
      </w:r>
      <w:bookmarkEnd w:id="35"/>
      <w:bookmarkEnd w:id="36"/>
      <w:bookmarkEnd w:id="38"/>
    </w:p>
    <w:p w14:paraId="213519A5">
      <w:pPr>
        <w:pStyle w:val="2"/>
        <w:rPr>
          <w:rFonts w:cs="Arial"/>
          <w:highlight w:val="none"/>
          <w:lang w:val="en-GB"/>
        </w:rPr>
      </w:pPr>
      <w:bookmarkStart w:id="39" w:name="_Toc236919129"/>
      <w:r>
        <w:rPr>
          <w:rFonts w:cs="Arial"/>
          <w:highlight w:val="none"/>
          <w:lang w:val="en-GB"/>
        </w:rPr>
        <w:t>Introduction</w:t>
      </w:r>
      <w:bookmarkEnd w:id="39"/>
    </w:p>
    <w:p w14:paraId="1E649290">
      <w:pPr>
        <w:pStyle w:val="3"/>
        <w:rPr>
          <w:rFonts w:cs="Arial"/>
          <w:highlight w:val="none"/>
          <w:lang w:val="en-GB"/>
        </w:rPr>
      </w:pPr>
      <w:r>
        <w:rPr>
          <w:rFonts w:cs="Arial"/>
          <w:highlight w:val="none"/>
          <w:lang w:val="en-GB"/>
        </w:rPr>
        <w:t xml:space="preserve">Self-reflection is an essential part of lifelong learning and professional development where learners can analyse learning and practice in a reflective way and engage in knowledge to facilitate future work. Gibbs' Reflective Cycle (1988) is a systematic process of reflection with six steps and goes through six steps; description, feelings, evaluation, analysis, conclusion and action plan, which in turn encourages systematic reflection. This reflective report uses Gibbs analysis to analyses the process of creating the International Business Report on the U.S. consumer electronics industry and Samsung Electronics in using the model. The reflection looks back at the research process, adaptation of international business concepts and models. </w:t>
      </w:r>
    </w:p>
    <w:p w14:paraId="3DA9ED46">
      <w:pPr>
        <w:pStyle w:val="2"/>
        <w:rPr>
          <w:rFonts w:cs="Arial"/>
          <w:highlight w:val="none"/>
          <w:lang w:val="en-GB"/>
        </w:rPr>
      </w:pPr>
      <w:bookmarkStart w:id="40" w:name="_Toc236919130"/>
      <w:r>
        <w:rPr>
          <w:rFonts w:cs="Arial"/>
          <w:highlight w:val="none"/>
          <w:lang w:val="en-GB"/>
        </w:rPr>
        <w:t>Main Content</w:t>
      </w:r>
      <w:bookmarkEnd w:id="40"/>
    </w:p>
    <w:p w14:paraId="22110C24">
      <w:pPr>
        <w:pStyle w:val="3"/>
        <w:rPr>
          <w:rFonts w:cs="Arial"/>
          <w:b/>
          <w:bCs/>
          <w:i/>
          <w:iCs/>
          <w:highlight w:val="none"/>
          <w:lang w:val="en-GB"/>
        </w:rPr>
      </w:pPr>
      <w:r>
        <w:rPr>
          <w:rFonts w:cs="Arial"/>
          <w:b/>
          <w:bCs/>
          <w:i/>
          <w:iCs/>
          <w:highlight w:val="none"/>
          <w:lang w:val="en-GB"/>
        </w:rPr>
        <w:t>Description</w:t>
      </w:r>
    </w:p>
    <w:p w14:paraId="5069E1CB">
      <w:pPr>
        <w:pStyle w:val="3"/>
        <w:rPr>
          <w:rFonts w:cs="Arial"/>
          <w:highlight w:val="none"/>
          <w:lang w:val="en-GB"/>
        </w:rPr>
      </w:pPr>
      <w:r>
        <w:rPr>
          <w:rFonts w:cs="Arial"/>
          <w:highlight w:val="none"/>
          <w:lang w:val="en-GB"/>
        </w:rPr>
        <w:t>American consumer electronics and technology business, I initially identified the main tasks for research and preparation of Section-1 of this study and defined scope of the industry. I went through and searched in an organized manner for the more reliable documents such as news releases, market research papers, trade.gov, and the databases of the U.S. government, such as the BEA. For example, I used commensurate websites, such as those from Apple (BusinessOfApps) for financial data and the U.S. International Trade Administration (USITC) website for information and numbers about industry overview and SEC filings of firms. Further, I explored scholarly literature on PESTLE analysis and Porter’s model of the competitiveness.</w:t>
      </w:r>
    </w:p>
    <w:p w14:paraId="78700A49">
      <w:pPr>
        <w:pStyle w:val="3"/>
        <w:rPr>
          <w:rFonts w:cs="Arial"/>
          <w:b/>
          <w:bCs/>
          <w:i/>
          <w:iCs/>
          <w:highlight w:val="none"/>
          <w:lang w:val="en-GB"/>
        </w:rPr>
      </w:pPr>
      <w:r>
        <w:rPr>
          <w:rFonts w:cs="Arial"/>
          <w:b/>
          <w:bCs/>
          <w:i/>
          <w:iCs/>
          <w:highlight w:val="none"/>
          <w:lang w:val="en-GB"/>
        </w:rPr>
        <w:t>Emotions</w:t>
      </w:r>
    </w:p>
    <w:p w14:paraId="7D47889A">
      <w:pPr>
        <w:pStyle w:val="3"/>
        <w:rPr>
          <w:rFonts w:cs="Arial"/>
          <w:highlight w:val="none"/>
          <w:lang w:val="en-GB"/>
        </w:rPr>
      </w:pPr>
      <w:r>
        <w:rPr>
          <w:rFonts w:cs="Arial"/>
          <w:highlight w:val="none"/>
          <w:lang w:val="en-GB"/>
        </w:rPr>
        <w:t xml:space="preserve">The first feeling was one of fear about the flea; it was nicely named 'consumer electronics', which indicated to me that there was a whole lot of folk on big time scale, and lots of electronics all round. Just a few metrics were applicable to this situation, so filters were applied to concentrate on the U.S. situation. Less reliable statistics were provided for market size and shares due to the use of paywalls on some reports. Well, the precise numbers $489 billion of value added made me feel good, if offered me by government and by a media outlet that I trusted. This was a meaty exercise indeed of comparing and contrasting, much more so than Apple to Samsung, but it has nevertheless stimulated the intellect greatly to find the time to get all the references which form a coherent whole, sorted. </w:t>
      </w:r>
    </w:p>
    <w:p w14:paraId="3C508657">
      <w:pPr>
        <w:pStyle w:val="3"/>
        <w:rPr>
          <w:rFonts w:cs="Arial"/>
          <w:b/>
          <w:bCs/>
          <w:i/>
          <w:iCs/>
          <w:highlight w:val="none"/>
          <w:lang w:val="en-GB"/>
        </w:rPr>
      </w:pPr>
      <w:r>
        <w:rPr>
          <w:rFonts w:cs="Arial"/>
          <w:b/>
          <w:bCs/>
          <w:i/>
          <w:iCs/>
          <w:highlight w:val="none"/>
          <w:lang w:val="en-GB"/>
        </w:rPr>
        <w:t>Evaluation</w:t>
      </w:r>
    </w:p>
    <w:p w14:paraId="49267BC1">
      <w:pPr>
        <w:pStyle w:val="3"/>
        <w:rPr>
          <w:rFonts w:cs="Arial"/>
          <w:highlight w:val="none"/>
          <w:lang w:val="en-GB"/>
        </w:rPr>
      </w:pPr>
      <w:r>
        <w:rPr>
          <w:rFonts w:cs="Arial"/>
          <w:highlight w:val="none"/>
          <w:lang w:val="en-GB"/>
        </w:rPr>
        <w:t xml:space="preserve">There were various advantage and disadvantages of the research method. One of its strengths was its ability to venture out to dependable sources to have up to date and precise information, such as trade.gov and pew. The accuracy was enhanced when other data sources have been properly cross checked (such as Apple's income from SEC reporting and from BusinessOfApps); often the later data sources are more recent than the SEC reports. Porter's Diamond was used to provide a comprehensive tool for structuring information on competitiveness in the U.S. One was that in some cases the primary data was unavailable, therefore using secondary sources to get some specifics such as summaries, press releases and news articles. For instance, Samsung's market percentage in US was determined by a study conducted all over the world. I got around this by thinking of the strategic issues rather than any particulars. A challenge was in particular the amount of time available, as the parameters that should be set with respect to word count as well as to the level of depth required by a particular segment had to be determined. </w:t>
      </w:r>
    </w:p>
    <w:p w14:paraId="7721F79E">
      <w:pPr>
        <w:pStyle w:val="3"/>
        <w:rPr>
          <w:rFonts w:cs="Arial"/>
          <w:b/>
          <w:bCs/>
          <w:i/>
          <w:iCs/>
          <w:highlight w:val="none"/>
          <w:lang w:val="en-GB"/>
        </w:rPr>
      </w:pPr>
      <w:r>
        <w:rPr>
          <w:rFonts w:cs="Arial"/>
          <w:b/>
          <w:bCs/>
          <w:i/>
          <w:iCs/>
          <w:highlight w:val="none"/>
          <w:lang w:val="en-GB"/>
        </w:rPr>
        <w:t>Analysis</w:t>
      </w:r>
    </w:p>
    <w:p w14:paraId="7D86561A">
      <w:pPr>
        <w:pStyle w:val="3"/>
        <w:rPr>
          <w:rFonts w:cs="Arial"/>
          <w:highlight w:val="none"/>
          <w:lang w:val="en-GB"/>
        </w:rPr>
      </w:pPr>
      <w:r>
        <w:rPr>
          <w:rFonts w:cs="Arial"/>
          <w:highlight w:val="none"/>
          <w:lang w:val="en-GB"/>
        </w:rPr>
        <w:t xml:space="preserve">Analyzing the report while arranging it into a report became interesting because of the inter-relatedess and interdependencies of the ideas. In the case of Apple or Samsung, for instance, the Porter analysis showed that they directly reap benefits from U.S. factor conditions that provide them such as a skilled workforce (Samsung Electronics, 2025). PESTLE Analysis of Samsung highlighted the influence of macro variables in terms of supporting or challenging the strategies mentioned in industry overview. I came across this discussion about Porter's rendering of the environment in the USA, and I got the feeling it is one of the factors that Apple has been successful in. This served to confirm the need for the application of such ideas as a method. Furthermore, I found that it was necessary to utilize a range of sources  news releases and industry reports put in a real life context while government statistics set the groundwork of facts for the study. </w:t>
      </w:r>
    </w:p>
    <w:p w14:paraId="524CFD35">
      <w:pPr>
        <w:pStyle w:val="3"/>
        <w:rPr>
          <w:rFonts w:cs="Arial"/>
          <w:b/>
          <w:bCs/>
          <w:i/>
          <w:iCs/>
          <w:highlight w:val="none"/>
          <w:lang w:val="en-GB"/>
        </w:rPr>
      </w:pPr>
      <w:r>
        <w:rPr>
          <w:rFonts w:cs="Arial"/>
          <w:b/>
          <w:bCs/>
          <w:i/>
          <w:iCs/>
          <w:highlight w:val="none"/>
          <w:lang w:val="en-GB"/>
        </w:rPr>
        <w:t>Conclusion:</w:t>
      </w:r>
    </w:p>
    <w:p w14:paraId="56900D4F">
      <w:pPr>
        <w:pStyle w:val="3"/>
        <w:rPr>
          <w:rFonts w:cs="Arial"/>
          <w:highlight w:val="none"/>
          <w:lang w:val="en-GB"/>
        </w:rPr>
      </w:pPr>
      <w:r>
        <w:rPr>
          <w:rFonts w:cs="Arial"/>
          <w:highlight w:val="none"/>
          <w:lang w:val="en-GB"/>
        </w:rPr>
        <w:t xml:space="preserve">The process made me appreciate the importance of tackling an issue systematically and the need to employ multiple frameworks to establish the need for a systematic approach to research and the need to employ multiple frameworks. I would like to add more surveys or interviews if time would allow to get personal knowledge from customers. Also, I would try to find more primary data instead of relying on press extracts such as raw sales data from companies. </w:t>
      </w:r>
    </w:p>
    <w:p w14:paraId="688D73DA">
      <w:pPr>
        <w:pStyle w:val="3"/>
        <w:rPr>
          <w:rFonts w:cs="Arial"/>
          <w:highlight w:val="none"/>
          <w:lang w:val="en-GB"/>
        </w:rPr>
      </w:pPr>
      <w:r>
        <w:rPr>
          <w:rFonts w:cs="Arial"/>
          <w:b/>
          <w:bCs/>
          <w:i/>
          <w:iCs/>
          <w:highlight w:val="none"/>
          <w:lang w:val="en-GB"/>
        </w:rPr>
        <w:t>Action Plan:</w:t>
      </w:r>
      <w:r>
        <w:rPr>
          <w:rFonts w:cs="Arial"/>
          <w:highlight w:val="none"/>
          <w:lang w:val="en-GB"/>
        </w:rPr>
        <w:t xml:space="preserve"> </w:t>
      </w:r>
      <w:bookmarkStart w:id="41" w:name="_Toc228189090"/>
    </w:p>
    <w:tbl>
      <w:tblPr>
        <w:tblStyle w:val="109"/>
        <w:tblW w:w="0" w:type="auto"/>
        <w:tblInd w:w="0" w:type="dxa"/>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892"/>
        <w:gridCol w:w="1843"/>
        <w:gridCol w:w="2389"/>
        <w:gridCol w:w="2452"/>
      </w:tblGrid>
      <w:tr w14:paraId="179EC796">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bottom w:val="single" w:color="7E7E7E" w:themeColor="text1" w:themeTint="80" w:sz="4" w:space="0"/>
              <w:insideH w:val="single" w:sz="4" w:space="0"/>
            </w:tcBorders>
          </w:tcPr>
          <w:p w14:paraId="3F7CBF37">
            <w:pPr>
              <w:spacing w:line="360" w:lineRule="auto"/>
              <w:jc w:val="center"/>
              <w:rPr>
                <w:rFonts w:ascii="Arial" w:hAnsi="Arial" w:cs="Arial"/>
                <w:b/>
                <w:bCs/>
                <w:highlight w:val="none"/>
                <w:lang w:val="en-GB"/>
              </w:rPr>
            </w:pPr>
            <w:r>
              <w:rPr>
                <w:rFonts w:ascii="Arial" w:hAnsi="Arial" w:cs="Arial"/>
                <w:b/>
                <w:bCs/>
                <w:highlight w:val="none"/>
                <w:lang w:val="en-GB"/>
              </w:rPr>
              <w:t>Action</w:t>
            </w:r>
          </w:p>
        </w:tc>
        <w:tc>
          <w:tcPr>
            <w:tcW w:w="0" w:type="auto"/>
            <w:tcBorders>
              <w:bottom w:val="single" w:color="7E7E7E" w:themeColor="text1" w:themeTint="80" w:sz="4" w:space="0"/>
              <w:insideH w:val="single" w:sz="4" w:space="0"/>
            </w:tcBorders>
          </w:tcPr>
          <w:p w14:paraId="2FC07CFE">
            <w:pPr>
              <w:spacing w:line="360" w:lineRule="auto"/>
              <w:jc w:val="center"/>
              <w:rPr>
                <w:rFonts w:ascii="Arial" w:hAnsi="Arial" w:cs="Arial"/>
                <w:b/>
                <w:bCs/>
                <w:highlight w:val="none"/>
                <w:lang w:val="en-GB"/>
              </w:rPr>
            </w:pPr>
            <w:r>
              <w:rPr>
                <w:rFonts w:ascii="Arial" w:hAnsi="Arial" w:cs="Arial"/>
                <w:b/>
                <w:bCs/>
                <w:highlight w:val="none"/>
                <w:lang w:val="en-GB"/>
              </w:rPr>
              <w:t>Timeline</w:t>
            </w:r>
          </w:p>
        </w:tc>
        <w:tc>
          <w:tcPr>
            <w:tcW w:w="0" w:type="auto"/>
            <w:tcBorders>
              <w:bottom w:val="single" w:color="7E7E7E" w:themeColor="text1" w:themeTint="80" w:sz="4" w:space="0"/>
              <w:insideH w:val="single" w:sz="4" w:space="0"/>
            </w:tcBorders>
          </w:tcPr>
          <w:p w14:paraId="0687F837">
            <w:pPr>
              <w:spacing w:line="360" w:lineRule="auto"/>
              <w:jc w:val="center"/>
              <w:rPr>
                <w:rFonts w:ascii="Arial" w:hAnsi="Arial" w:cs="Arial"/>
                <w:b/>
                <w:bCs/>
                <w:highlight w:val="none"/>
                <w:lang w:val="en-GB"/>
              </w:rPr>
            </w:pPr>
            <w:r>
              <w:rPr>
                <w:rFonts w:ascii="Arial" w:hAnsi="Arial" w:cs="Arial"/>
                <w:b/>
                <w:bCs/>
                <w:highlight w:val="none"/>
                <w:lang w:val="en-GB"/>
              </w:rPr>
              <w:t>Resources Needed</w:t>
            </w:r>
          </w:p>
        </w:tc>
        <w:tc>
          <w:tcPr>
            <w:tcW w:w="0" w:type="auto"/>
            <w:tcBorders>
              <w:bottom w:val="single" w:color="7E7E7E" w:themeColor="text1" w:themeTint="80" w:sz="4" w:space="0"/>
              <w:insideH w:val="single" w:sz="4" w:space="0"/>
            </w:tcBorders>
          </w:tcPr>
          <w:p w14:paraId="294A0496">
            <w:pPr>
              <w:spacing w:line="360" w:lineRule="auto"/>
              <w:jc w:val="center"/>
              <w:rPr>
                <w:rFonts w:ascii="Arial" w:hAnsi="Arial" w:cs="Arial"/>
                <w:b/>
                <w:bCs/>
                <w:highlight w:val="none"/>
                <w:lang w:val="en-GB"/>
              </w:rPr>
            </w:pPr>
            <w:r>
              <w:rPr>
                <w:rFonts w:ascii="Arial" w:hAnsi="Arial" w:cs="Arial"/>
                <w:b/>
                <w:bCs/>
                <w:highlight w:val="none"/>
                <w:lang w:val="en-GB"/>
              </w:rPr>
              <w:t>Expected Outcome</w:t>
            </w:r>
          </w:p>
        </w:tc>
      </w:tr>
      <w:tr w14:paraId="41413AA2">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op w:val="single" w:color="7E7E7E" w:themeColor="text1" w:themeTint="80" w:sz="4" w:space="0"/>
              <w:bottom w:val="single" w:color="7E7E7E" w:themeColor="text1" w:themeTint="80" w:sz="4" w:space="0"/>
              <w:insideH w:val="single" w:sz="4" w:space="0"/>
            </w:tcBorders>
          </w:tcPr>
          <w:p w14:paraId="415B77D8">
            <w:pPr>
              <w:spacing w:line="360" w:lineRule="auto"/>
              <w:rPr>
                <w:rFonts w:ascii="Arial" w:hAnsi="Arial" w:cs="Arial"/>
                <w:b/>
                <w:bCs/>
                <w:highlight w:val="none"/>
                <w:lang w:val="en-GB"/>
              </w:rPr>
            </w:pPr>
            <w:r>
              <w:rPr>
                <w:rFonts w:ascii="Arial" w:hAnsi="Arial" w:cs="Arial"/>
                <w:b/>
                <w:bCs/>
                <w:highlight w:val="none"/>
                <w:lang w:val="en-GB"/>
              </w:rPr>
              <w:t>Record references during research</w:t>
            </w:r>
          </w:p>
        </w:tc>
        <w:tc>
          <w:tcPr>
            <w:tcW w:w="0" w:type="auto"/>
            <w:tcBorders>
              <w:top w:val="single" w:color="7E7E7E" w:themeColor="text1" w:themeTint="80" w:sz="4" w:space="0"/>
              <w:bottom w:val="single" w:color="7E7E7E" w:themeColor="text1" w:themeTint="80" w:sz="4" w:space="0"/>
              <w:insideH w:val="single" w:sz="4" w:space="0"/>
            </w:tcBorders>
          </w:tcPr>
          <w:p w14:paraId="6D1175B4">
            <w:pPr>
              <w:spacing w:line="360" w:lineRule="auto"/>
              <w:rPr>
                <w:rFonts w:ascii="Arial" w:hAnsi="Arial" w:cs="Arial"/>
                <w:highlight w:val="none"/>
                <w:lang w:val="en-GB"/>
              </w:rPr>
            </w:pPr>
            <w:r>
              <w:rPr>
                <w:rFonts w:ascii="Arial" w:hAnsi="Arial" w:cs="Arial"/>
                <w:highlight w:val="none"/>
                <w:lang w:val="en-GB"/>
              </w:rPr>
              <w:t>Throughout research</w:t>
            </w:r>
          </w:p>
        </w:tc>
        <w:tc>
          <w:tcPr>
            <w:tcW w:w="0" w:type="auto"/>
            <w:tcBorders>
              <w:top w:val="single" w:color="7E7E7E" w:themeColor="text1" w:themeTint="80" w:sz="4" w:space="0"/>
              <w:bottom w:val="single" w:color="7E7E7E" w:themeColor="text1" w:themeTint="80" w:sz="4" w:space="0"/>
              <w:insideH w:val="single" w:sz="4" w:space="0"/>
            </w:tcBorders>
          </w:tcPr>
          <w:p w14:paraId="51DD6B3B">
            <w:pPr>
              <w:spacing w:line="360" w:lineRule="auto"/>
              <w:rPr>
                <w:rFonts w:ascii="Arial" w:hAnsi="Arial" w:cs="Arial"/>
                <w:highlight w:val="none"/>
                <w:lang w:val="en-GB"/>
              </w:rPr>
            </w:pPr>
            <w:r>
              <w:rPr>
                <w:rFonts w:ascii="Arial" w:hAnsi="Arial" w:cs="Arial"/>
                <w:highlight w:val="none"/>
                <w:lang w:val="en-GB"/>
              </w:rPr>
              <w:t>Reference manager, journal database</w:t>
            </w:r>
          </w:p>
        </w:tc>
        <w:tc>
          <w:tcPr>
            <w:tcW w:w="0" w:type="auto"/>
            <w:tcBorders>
              <w:top w:val="single" w:color="7E7E7E" w:themeColor="text1" w:themeTint="80" w:sz="4" w:space="0"/>
              <w:bottom w:val="single" w:color="7E7E7E" w:themeColor="text1" w:themeTint="80" w:sz="4" w:space="0"/>
              <w:insideH w:val="single" w:sz="4" w:space="0"/>
            </w:tcBorders>
          </w:tcPr>
          <w:p w14:paraId="3667A567">
            <w:pPr>
              <w:spacing w:line="360" w:lineRule="auto"/>
              <w:rPr>
                <w:rFonts w:ascii="Arial" w:hAnsi="Arial" w:cs="Arial"/>
                <w:highlight w:val="none"/>
                <w:lang w:val="en-GB"/>
              </w:rPr>
            </w:pPr>
            <w:r>
              <w:rPr>
                <w:rFonts w:ascii="Arial" w:hAnsi="Arial" w:cs="Arial"/>
                <w:highlight w:val="none"/>
                <w:lang w:val="en-GB"/>
              </w:rPr>
              <w:t>Accurate Harvard referencing</w:t>
            </w:r>
          </w:p>
        </w:tc>
      </w:tr>
      <w:tr w14:paraId="7262AAA3">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Pr>
          <w:p w14:paraId="7E732700">
            <w:pPr>
              <w:spacing w:line="360" w:lineRule="auto"/>
              <w:rPr>
                <w:rFonts w:ascii="Arial" w:hAnsi="Arial" w:cs="Arial"/>
                <w:b/>
                <w:bCs/>
                <w:highlight w:val="none"/>
                <w:lang w:val="en-GB"/>
              </w:rPr>
            </w:pPr>
            <w:r>
              <w:rPr>
                <w:rFonts w:ascii="Arial" w:hAnsi="Arial" w:cs="Arial"/>
                <w:b/>
                <w:bCs/>
                <w:highlight w:val="none"/>
                <w:lang w:val="en-GB"/>
              </w:rPr>
              <w:t>Summarise key findings</w:t>
            </w:r>
          </w:p>
        </w:tc>
        <w:tc>
          <w:tcPr>
            <w:tcW w:w="0" w:type="auto"/>
          </w:tcPr>
          <w:p w14:paraId="22AC1626">
            <w:pPr>
              <w:spacing w:line="360" w:lineRule="auto"/>
              <w:rPr>
                <w:rFonts w:ascii="Arial" w:hAnsi="Arial" w:cs="Arial"/>
                <w:highlight w:val="none"/>
                <w:lang w:val="en-GB"/>
              </w:rPr>
            </w:pPr>
            <w:r>
              <w:rPr>
                <w:rFonts w:ascii="Arial" w:hAnsi="Arial" w:cs="Arial"/>
                <w:highlight w:val="none"/>
                <w:lang w:val="en-GB"/>
              </w:rPr>
              <w:t>During drafting</w:t>
            </w:r>
          </w:p>
        </w:tc>
        <w:tc>
          <w:tcPr>
            <w:tcW w:w="0" w:type="auto"/>
          </w:tcPr>
          <w:p w14:paraId="3EDA7FE7">
            <w:pPr>
              <w:spacing w:line="360" w:lineRule="auto"/>
              <w:rPr>
                <w:rFonts w:ascii="Arial" w:hAnsi="Arial" w:cs="Arial"/>
                <w:highlight w:val="none"/>
                <w:lang w:val="en-GB"/>
              </w:rPr>
            </w:pPr>
            <w:r>
              <w:rPr>
                <w:rFonts w:ascii="Arial" w:hAnsi="Arial" w:cs="Arial"/>
                <w:highlight w:val="none"/>
                <w:lang w:val="en-GB"/>
              </w:rPr>
              <w:t>Academic articles, notes</w:t>
            </w:r>
          </w:p>
        </w:tc>
        <w:tc>
          <w:tcPr>
            <w:tcW w:w="0" w:type="auto"/>
          </w:tcPr>
          <w:p w14:paraId="5F69A16D">
            <w:pPr>
              <w:spacing w:line="360" w:lineRule="auto"/>
              <w:rPr>
                <w:rFonts w:ascii="Arial" w:hAnsi="Arial" w:cs="Arial"/>
                <w:highlight w:val="none"/>
                <w:lang w:val="en-GB"/>
              </w:rPr>
            </w:pPr>
            <w:r>
              <w:rPr>
                <w:rFonts w:ascii="Arial" w:hAnsi="Arial" w:cs="Arial"/>
                <w:highlight w:val="none"/>
                <w:lang w:val="en-GB"/>
              </w:rPr>
              <w:t>Concise academic writing</w:t>
            </w:r>
          </w:p>
        </w:tc>
      </w:tr>
      <w:tr w14:paraId="13E192F1">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Borders>
              <w:top w:val="single" w:color="7E7E7E" w:themeColor="text1" w:themeTint="80" w:sz="4" w:space="0"/>
              <w:bottom w:val="single" w:color="7E7E7E" w:themeColor="text1" w:themeTint="80" w:sz="4" w:space="0"/>
              <w:insideH w:val="single" w:sz="4" w:space="0"/>
            </w:tcBorders>
          </w:tcPr>
          <w:p w14:paraId="4E391976">
            <w:pPr>
              <w:spacing w:line="360" w:lineRule="auto"/>
              <w:rPr>
                <w:rFonts w:ascii="Arial" w:hAnsi="Arial" w:cs="Arial"/>
                <w:b/>
                <w:bCs/>
                <w:highlight w:val="none"/>
                <w:lang w:val="en-GB"/>
              </w:rPr>
            </w:pPr>
            <w:r>
              <w:rPr>
                <w:rFonts w:ascii="Arial" w:hAnsi="Arial" w:cs="Arial"/>
                <w:b/>
                <w:bCs/>
                <w:highlight w:val="none"/>
                <w:lang w:val="en-GB"/>
              </w:rPr>
              <w:t>Conduct interim reviews</w:t>
            </w:r>
          </w:p>
        </w:tc>
        <w:tc>
          <w:tcPr>
            <w:tcW w:w="0" w:type="auto"/>
            <w:tcBorders>
              <w:top w:val="single" w:color="7E7E7E" w:themeColor="text1" w:themeTint="80" w:sz="4" w:space="0"/>
              <w:bottom w:val="single" w:color="7E7E7E" w:themeColor="text1" w:themeTint="80" w:sz="4" w:space="0"/>
              <w:insideH w:val="single" w:sz="4" w:space="0"/>
            </w:tcBorders>
          </w:tcPr>
          <w:p w14:paraId="7F92B36F">
            <w:pPr>
              <w:spacing w:line="360" w:lineRule="auto"/>
              <w:rPr>
                <w:rFonts w:ascii="Arial" w:hAnsi="Arial" w:cs="Arial"/>
                <w:highlight w:val="none"/>
                <w:lang w:val="en-GB"/>
              </w:rPr>
            </w:pPr>
            <w:r>
              <w:rPr>
                <w:rFonts w:ascii="Arial" w:hAnsi="Arial" w:cs="Arial"/>
                <w:highlight w:val="none"/>
                <w:lang w:val="en-GB"/>
              </w:rPr>
              <w:t>After each section</w:t>
            </w:r>
          </w:p>
        </w:tc>
        <w:tc>
          <w:tcPr>
            <w:tcW w:w="0" w:type="auto"/>
            <w:tcBorders>
              <w:top w:val="single" w:color="7E7E7E" w:themeColor="text1" w:themeTint="80" w:sz="4" w:space="0"/>
              <w:bottom w:val="single" w:color="7E7E7E" w:themeColor="text1" w:themeTint="80" w:sz="4" w:space="0"/>
              <w:insideH w:val="single" w:sz="4" w:space="0"/>
            </w:tcBorders>
          </w:tcPr>
          <w:p w14:paraId="39FA94EC">
            <w:pPr>
              <w:spacing w:line="360" w:lineRule="auto"/>
              <w:rPr>
                <w:rFonts w:ascii="Arial" w:hAnsi="Arial" w:cs="Arial"/>
                <w:highlight w:val="none"/>
                <w:lang w:val="en-GB"/>
              </w:rPr>
            </w:pPr>
            <w:r>
              <w:rPr>
                <w:rFonts w:ascii="Arial" w:hAnsi="Arial" w:cs="Arial"/>
                <w:highlight w:val="none"/>
                <w:lang w:val="en-GB"/>
              </w:rPr>
              <w:t>Assessment brief, marking rubric</w:t>
            </w:r>
          </w:p>
        </w:tc>
        <w:tc>
          <w:tcPr>
            <w:tcW w:w="0" w:type="auto"/>
            <w:tcBorders>
              <w:top w:val="single" w:color="7E7E7E" w:themeColor="text1" w:themeTint="80" w:sz="4" w:space="0"/>
              <w:bottom w:val="single" w:color="7E7E7E" w:themeColor="text1" w:themeTint="80" w:sz="4" w:space="0"/>
              <w:insideH w:val="single" w:sz="4" w:space="0"/>
            </w:tcBorders>
          </w:tcPr>
          <w:p w14:paraId="5D2FF547">
            <w:pPr>
              <w:spacing w:line="360" w:lineRule="auto"/>
              <w:rPr>
                <w:rFonts w:ascii="Arial" w:hAnsi="Arial" w:cs="Arial"/>
                <w:highlight w:val="none"/>
                <w:lang w:val="en-GB"/>
              </w:rPr>
            </w:pPr>
            <w:r>
              <w:rPr>
                <w:rFonts w:ascii="Arial" w:hAnsi="Arial" w:cs="Arial"/>
                <w:highlight w:val="none"/>
                <w:lang w:val="en-GB"/>
              </w:rPr>
              <w:t>Improved critical analysis and compliance</w:t>
            </w:r>
          </w:p>
        </w:tc>
      </w:tr>
      <w:tr w14:paraId="3679FCA1">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Pr>
          <w:p w14:paraId="4FCEDB7A">
            <w:pPr>
              <w:spacing w:line="360" w:lineRule="auto"/>
              <w:rPr>
                <w:rFonts w:ascii="Arial" w:hAnsi="Arial" w:cs="Arial"/>
                <w:b/>
                <w:bCs/>
                <w:highlight w:val="none"/>
                <w:lang w:val="en-GB"/>
              </w:rPr>
            </w:pPr>
            <w:r>
              <w:rPr>
                <w:rFonts w:ascii="Arial" w:hAnsi="Arial" w:cs="Arial"/>
                <w:b/>
                <w:bCs/>
                <w:highlight w:val="none"/>
                <w:lang w:val="en-GB"/>
              </w:rPr>
              <w:t>Apply business frameworks systematically</w:t>
            </w:r>
          </w:p>
        </w:tc>
        <w:tc>
          <w:tcPr>
            <w:tcW w:w="0" w:type="auto"/>
          </w:tcPr>
          <w:p w14:paraId="4DC6AC70">
            <w:pPr>
              <w:spacing w:line="360" w:lineRule="auto"/>
              <w:rPr>
                <w:rFonts w:ascii="Arial" w:hAnsi="Arial" w:cs="Arial"/>
                <w:highlight w:val="none"/>
                <w:lang w:val="en-GB"/>
              </w:rPr>
            </w:pPr>
            <w:r>
              <w:rPr>
                <w:rFonts w:ascii="Arial" w:hAnsi="Arial" w:cs="Arial"/>
                <w:highlight w:val="none"/>
                <w:lang w:val="en-GB"/>
              </w:rPr>
              <w:t>Before final submission</w:t>
            </w:r>
          </w:p>
        </w:tc>
        <w:tc>
          <w:tcPr>
            <w:tcW w:w="0" w:type="auto"/>
          </w:tcPr>
          <w:p w14:paraId="59D22BB6">
            <w:pPr>
              <w:spacing w:line="360" w:lineRule="auto"/>
              <w:rPr>
                <w:rFonts w:ascii="Arial" w:hAnsi="Arial" w:cs="Arial"/>
                <w:highlight w:val="none"/>
                <w:lang w:val="en-GB"/>
              </w:rPr>
            </w:pPr>
            <w:r>
              <w:rPr>
                <w:rFonts w:ascii="Arial" w:hAnsi="Arial" w:cs="Arial"/>
                <w:highlight w:val="none"/>
                <w:lang w:val="en-GB"/>
              </w:rPr>
              <w:t>Porter's Diamond, PESTLE, VRIO</w:t>
            </w:r>
          </w:p>
        </w:tc>
        <w:tc>
          <w:tcPr>
            <w:tcW w:w="0" w:type="auto"/>
          </w:tcPr>
          <w:p w14:paraId="6EE3DBF3">
            <w:pPr>
              <w:spacing w:line="360" w:lineRule="auto"/>
              <w:rPr>
                <w:rFonts w:ascii="Arial" w:hAnsi="Arial" w:cs="Arial"/>
                <w:highlight w:val="none"/>
                <w:lang w:val="en-GB"/>
              </w:rPr>
            </w:pPr>
            <w:r>
              <w:rPr>
                <w:rFonts w:ascii="Arial" w:hAnsi="Arial" w:cs="Arial"/>
                <w:highlight w:val="none"/>
                <w:lang w:val="en-GB"/>
              </w:rPr>
              <w:t>Stronger analytical and structured report</w:t>
            </w:r>
          </w:p>
        </w:tc>
      </w:tr>
    </w:tbl>
    <w:p w14:paraId="5ED201AB">
      <w:pPr>
        <w:pStyle w:val="2"/>
        <w:rPr>
          <w:rFonts w:cs="Arial"/>
          <w:highlight w:val="none"/>
          <w:lang w:val="en-GB"/>
        </w:rPr>
      </w:pPr>
      <w:bookmarkStart w:id="42" w:name="_Toc236919131"/>
      <w:r>
        <w:rPr>
          <w:rFonts w:cs="Arial"/>
          <w:highlight w:val="none"/>
          <w:lang w:val="en-GB"/>
        </w:rPr>
        <w:t>Conclusion</w:t>
      </w:r>
      <w:bookmarkEnd w:id="42"/>
      <w:r>
        <w:rPr>
          <w:rFonts w:cs="Arial"/>
          <w:highlight w:val="none"/>
          <w:lang w:val="en-GB"/>
        </w:rPr>
        <w:t xml:space="preserve"> </w:t>
      </w:r>
    </w:p>
    <w:p w14:paraId="6C9E9792">
      <w:pPr>
        <w:pStyle w:val="3"/>
        <w:rPr>
          <w:rFonts w:cs="Arial"/>
          <w:highlight w:val="none"/>
          <w:lang w:val="en-GB"/>
        </w:rPr>
      </w:pPr>
      <w:r>
        <w:rPr>
          <w:rFonts w:cs="Arial"/>
          <w:highlight w:val="none"/>
          <w:lang w:val="en-GB"/>
        </w:rPr>
        <w:t xml:space="preserve">Personally and academically, Gibbs' Reflective Cycle has helped me gain a deeper understanding and insight into this assignment. The reflective process shed light on the need to carry out systematic research, and to critically analyse the literature and apply business frameworks to strengthen the analysis of evidence rather than relying on nuanced discussion. It also highlighted the importance of good planning; management of time and using Harvard referencing accurately, when creating a well structured academic report. In addition, I improved my analytical thinking, problem solving, academic writing and information evaluation skills in the completion of this assignment, which are also beneficial to post-graduate study and my own practice as an eventual manager. </w:t>
      </w:r>
    </w:p>
    <w:p w14:paraId="6944BFD1">
      <w:pPr>
        <w:pStyle w:val="3"/>
        <w:rPr>
          <w:rFonts w:cs="Arial"/>
          <w:highlight w:val="none"/>
          <w:lang w:val="en-GB"/>
        </w:rPr>
      </w:pPr>
    </w:p>
    <w:p w14:paraId="0D3DB5B1">
      <w:pPr>
        <w:spacing w:line="360" w:lineRule="auto"/>
        <w:rPr>
          <w:rFonts w:ascii="Arial" w:hAnsi="Arial" w:cs="Arial" w:eastAsiaTheme="majorEastAsia"/>
          <w:b/>
          <w:sz w:val="28"/>
          <w:szCs w:val="40"/>
          <w:highlight w:val="none"/>
          <w:lang w:val="en-GB"/>
        </w:rPr>
      </w:pPr>
      <w:r>
        <w:rPr>
          <w:rFonts w:ascii="Arial" w:hAnsi="Arial" w:cs="Arial"/>
          <w:highlight w:val="none"/>
          <w:lang w:val="en-GB"/>
        </w:rPr>
        <w:br w:type="page"/>
      </w:r>
    </w:p>
    <w:p w14:paraId="7897E2B1">
      <w:pPr>
        <w:pStyle w:val="2"/>
        <w:rPr>
          <w:rFonts w:cs="Arial"/>
          <w:highlight w:val="none"/>
          <w:lang w:val="en-GB"/>
        </w:rPr>
      </w:pPr>
      <w:bookmarkStart w:id="43" w:name="_Toc236919132"/>
      <w:r>
        <w:rPr>
          <w:rFonts w:cs="Arial"/>
          <w:highlight w:val="none"/>
          <w:lang w:val="en-GB"/>
        </w:rPr>
        <w:t>References</w:t>
      </w:r>
      <w:bookmarkEnd w:id="41"/>
      <w:bookmarkEnd w:id="43"/>
    </w:p>
    <w:bookmarkEnd w:id="1"/>
    <w:bookmarkEnd w:id="37"/>
    <w:p w14:paraId="7655D62C">
      <w:pPr>
        <w:pStyle w:val="3"/>
        <w:rPr>
          <w:rFonts w:cs="Arial"/>
          <w:highlight w:val="none"/>
          <w:lang w:val="en-GB"/>
        </w:rPr>
      </w:pPr>
      <w:r>
        <w:rPr>
          <w:rFonts w:cs="Arial"/>
          <w:highlight w:val="none"/>
          <w:lang w:val="en-GB"/>
        </w:rPr>
        <w:t xml:space="preserve">Agbeyegbe, T.D. (2026) </w:t>
      </w:r>
      <w:r>
        <w:rPr>
          <w:rStyle w:val="17"/>
          <w:rFonts w:cs="Arial"/>
          <w:highlight w:val="none"/>
          <w:lang w:val="en-GB"/>
        </w:rPr>
        <w:t>Affective Infrastructure: Cultivating Institutional Character in Corporate Practice</w:t>
      </w:r>
      <w:r>
        <w:rPr>
          <w:rFonts w:cs="Arial"/>
          <w:highlight w:val="none"/>
          <w:lang w:val="en-GB"/>
        </w:rPr>
        <w:t xml:space="preserve">. Businesses, 6(2), Article 24. </w:t>
      </w:r>
      <w:r>
        <w:rPr>
          <w:highlight w:val="none"/>
        </w:rPr>
        <w:fldChar w:fldCharType="begin"/>
      </w:r>
      <w:r>
        <w:rPr>
          <w:highlight w:val="none"/>
        </w:rPr>
        <w:instrText xml:space="preserve"> HYPERLINK "https://www.mdpi.com/2673-7116/6/2/24" </w:instrText>
      </w:r>
      <w:r>
        <w:rPr>
          <w:highlight w:val="none"/>
        </w:rPr>
        <w:fldChar w:fldCharType="separate"/>
      </w:r>
      <w:r>
        <w:rPr>
          <w:rStyle w:val="23"/>
          <w:rFonts w:cs="Arial"/>
          <w:highlight w:val="none"/>
          <w:lang w:val="en-GB"/>
        </w:rPr>
        <w:t>https://www.mdpi.com/2673-7116/6/2/24</w:t>
      </w:r>
      <w:r>
        <w:rPr>
          <w:rStyle w:val="23"/>
          <w:rFonts w:cs="Arial"/>
          <w:highlight w:val="none"/>
          <w:lang w:val="en-GB"/>
        </w:rPr>
        <w:fldChar w:fldCharType="end"/>
      </w:r>
      <w:r>
        <w:rPr>
          <w:rFonts w:cs="Arial"/>
          <w:highlight w:val="none"/>
          <w:lang w:val="en-GB"/>
        </w:rPr>
        <w:t xml:space="preserve"> </w:t>
      </w:r>
    </w:p>
    <w:p w14:paraId="56064F24">
      <w:pPr>
        <w:pStyle w:val="3"/>
        <w:rPr>
          <w:rFonts w:cs="Arial"/>
          <w:highlight w:val="none"/>
          <w:lang w:val="en-GB"/>
        </w:rPr>
      </w:pPr>
      <w:r>
        <w:rPr>
          <w:rFonts w:cs="Arial"/>
          <w:highlight w:val="none"/>
          <w:lang w:val="en-GB"/>
        </w:rPr>
        <w:t xml:space="preserve">Almeida, M., Sousa, E., Rodrigues, C., Candeias, M.B. and Au-Yong-Oliveira, M. (2021) </w:t>
      </w:r>
      <w:r>
        <w:rPr>
          <w:rStyle w:val="17"/>
          <w:rFonts w:cs="Arial"/>
          <w:highlight w:val="none"/>
          <w:lang w:val="en-GB"/>
        </w:rPr>
        <w:t>Samsung vs. Apple: How Different Communication Strategies Affect Consumers in Portugal</w:t>
      </w:r>
      <w:r>
        <w:rPr>
          <w:rFonts w:cs="Arial"/>
          <w:highlight w:val="none"/>
          <w:lang w:val="en-GB"/>
        </w:rPr>
        <w:t xml:space="preserve">. Administrative Sciences, 11(1). </w:t>
      </w:r>
      <w:r>
        <w:rPr>
          <w:highlight w:val="none"/>
        </w:rPr>
        <w:fldChar w:fldCharType="begin"/>
      </w:r>
      <w:r>
        <w:rPr>
          <w:highlight w:val="none"/>
        </w:rPr>
        <w:instrText xml:space="preserve"> HYPERLINK "https://www.mdpi.com/2076-3387/11/1/19" </w:instrText>
      </w:r>
      <w:r>
        <w:rPr>
          <w:highlight w:val="none"/>
        </w:rPr>
        <w:fldChar w:fldCharType="separate"/>
      </w:r>
      <w:r>
        <w:rPr>
          <w:rStyle w:val="23"/>
          <w:rFonts w:cs="Arial"/>
          <w:highlight w:val="none"/>
          <w:lang w:val="en-GB"/>
        </w:rPr>
        <w:t>https://www.mdpi.com/2076-3387/11/1/19</w:t>
      </w:r>
      <w:r>
        <w:rPr>
          <w:rStyle w:val="23"/>
          <w:rFonts w:cs="Arial"/>
          <w:highlight w:val="none"/>
          <w:lang w:val="en-GB"/>
        </w:rPr>
        <w:fldChar w:fldCharType="end"/>
      </w:r>
      <w:r>
        <w:rPr>
          <w:rFonts w:cs="Arial"/>
          <w:highlight w:val="none"/>
          <w:lang w:val="en-GB"/>
        </w:rPr>
        <w:t xml:space="preserve"> </w:t>
      </w:r>
    </w:p>
    <w:p w14:paraId="4B170D57">
      <w:pPr>
        <w:pStyle w:val="3"/>
        <w:rPr>
          <w:rFonts w:cs="Arial"/>
          <w:highlight w:val="none"/>
          <w:lang w:val="en-GB"/>
        </w:rPr>
      </w:pPr>
      <w:r>
        <w:rPr>
          <w:rFonts w:cs="Arial"/>
          <w:highlight w:val="none"/>
          <w:lang w:val="en-GB"/>
        </w:rPr>
        <w:t xml:space="preserve">Apple Inc. (2025) </w:t>
      </w:r>
      <w:r>
        <w:rPr>
          <w:rStyle w:val="17"/>
          <w:rFonts w:cs="Arial"/>
          <w:highlight w:val="none"/>
          <w:lang w:val="en-GB"/>
        </w:rPr>
        <w:t>Annual Report 2025 (Form 10-K).</w:t>
      </w:r>
      <w:r>
        <w:rPr>
          <w:rFonts w:cs="Arial"/>
          <w:highlight w:val="none"/>
          <w:lang w:val="en-GB"/>
        </w:rPr>
        <w:t xml:space="preserve"> Available at: </w:t>
      </w:r>
      <w:r>
        <w:rPr>
          <w:highlight w:val="none"/>
        </w:rPr>
        <w:fldChar w:fldCharType="begin"/>
      </w:r>
      <w:r>
        <w:rPr>
          <w:highlight w:val="none"/>
        </w:rPr>
        <w:instrText xml:space="preserve"> HYPERLINK "https://investor.apple.com/sec-filings/default.aspx" </w:instrText>
      </w:r>
      <w:r>
        <w:rPr>
          <w:highlight w:val="none"/>
        </w:rPr>
        <w:fldChar w:fldCharType="separate"/>
      </w:r>
      <w:r>
        <w:rPr>
          <w:rStyle w:val="23"/>
          <w:rFonts w:cs="Arial"/>
          <w:highlight w:val="none"/>
          <w:lang w:val="en-GB"/>
        </w:rPr>
        <w:t>https://investor.apple.com/sec-filings/default.aspx</w:t>
      </w:r>
      <w:r>
        <w:rPr>
          <w:rStyle w:val="23"/>
          <w:rFonts w:cs="Arial"/>
          <w:highlight w:val="none"/>
          <w:lang w:val="en-GB"/>
        </w:rPr>
        <w:fldChar w:fldCharType="end"/>
      </w:r>
      <w:r>
        <w:rPr>
          <w:rFonts w:cs="Arial"/>
          <w:highlight w:val="none"/>
          <w:lang w:val="en-GB"/>
        </w:rPr>
        <w:t xml:space="preserve"> (Accessed: 6 August 2026).</w:t>
      </w:r>
    </w:p>
    <w:p w14:paraId="4E67A6B6">
      <w:pPr>
        <w:pStyle w:val="3"/>
        <w:rPr>
          <w:rFonts w:cs="Arial"/>
          <w:highlight w:val="none"/>
          <w:lang w:val="en-GB"/>
        </w:rPr>
      </w:pPr>
      <w:r>
        <w:rPr>
          <w:rFonts w:cs="Arial"/>
          <w:highlight w:val="none"/>
          <w:lang w:val="en-GB"/>
        </w:rPr>
        <w:t xml:space="preserve">Beckman, S.L., Chen, A.G., Chou, C., Gu, C.Z., Jiang, N. and Zhu, L. (2026) </w:t>
      </w:r>
      <w:r>
        <w:rPr>
          <w:rStyle w:val="17"/>
          <w:rFonts w:cs="Arial"/>
          <w:highlight w:val="none"/>
          <w:lang w:val="en-GB"/>
        </w:rPr>
        <w:t>Innovation Proficiency and Barriers to Its Development by Product Managers and Their Teams</w:t>
      </w:r>
      <w:r>
        <w:rPr>
          <w:rFonts w:cs="Arial"/>
          <w:highlight w:val="none"/>
          <w:lang w:val="en-GB"/>
        </w:rPr>
        <w:t xml:space="preserve">. Businesses, 6(2), Article 33. </w:t>
      </w:r>
      <w:r>
        <w:rPr>
          <w:highlight w:val="none"/>
        </w:rPr>
        <w:fldChar w:fldCharType="begin"/>
      </w:r>
      <w:r>
        <w:rPr>
          <w:highlight w:val="none"/>
        </w:rPr>
        <w:instrText xml:space="preserve"> HYPERLINK "https://www.mdpi.com/2673-7116/6/2/33" </w:instrText>
      </w:r>
      <w:r>
        <w:rPr>
          <w:highlight w:val="none"/>
        </w:rPr>
        <w:fldChar w:fldCharType="separate"/>
      </w:r>
      <w:r>
        <w:rPr>
          <w:rStyle w:val="23"/>
          <w:rFonts w:cs="Arial"/>
          <w:highlight w:val="none"/>
          <w:lang w:val="en-GB"/>
        </w:rPr>
        <w:t>https://www.mdpi.com/2673-7116/6/2/33</w:t>
      </w:r>
      <w:r>
        <w:rPr>
          <w:rStyle w:val="23"/>
          <w:rFonts w:cs="Arial"/>
          <w:highlight w:val="none"/>
          <w:lang w:val="en-GB"/>
        </w:rPr>
        <w:fldChar w:fldCharType="end"/>
      </w:r>
      <w:r>
        <w:rPr>
          <w:rFonts w:cs="Arial"/>
          <w:highlight w:val="none"/>
          <w:lang w:val="en-GB"/>
        </w:rPr>
        <w:t xml:space="preserve"> </w:t>
      </w:r>
    </w:p>
    <w:p w14:paraId="7973615D">
      <w:pPr>
        <w:pStyle w:val="3"/>
        <w:rPr>
          <w:rFonts w:cs="Arial"/>
          <w:highlight w:val="none"/>
          <w:lang w:val="en-GB"/>
        </w:rPr>
      </w:pPr>
      <w:r>
        <w:rPr>
          <w:rFonts w:cs="Arial"/>
          <w:highlight w:val="none"/>
          <w:lang w:val="en-GB"/>
        </w:rPr>
        <w:t xml:space="preserve">Brouthers, K.D., Chen, L., Li, S. and Shaheer, N. (2022) </w:t>
      </w:r>
      <w:r>
        <w:rPr>
          <w:rStyle w:val="17"/>
          <w:rFonts w:cs="Arial"/>
          <w:highlight w:val="none"/>
          <w:lang w:val="en-GB"/>
        </w:rPr>
        <w:t>Charting New Courses to Enter Foreign Markets: Conceptualization, Theoretical Framework, and Research Directions on Non-Traditional Entry Modes</w:t>
      </w:r>
      <w:r>
        <w:rPr>
          <w:rFonts w:cs="Arial"/>
          <w:highlight w:val="none"/>
          <w:lang w:val="en-GB"/>
        </w:rPr>
        <w:t xml:space="preserve">. Journal of International Business Studies, 53, pp. 20882115. Available at: </w:t>
      </w:r>
      <w:r>
        <w:rPr>
          <w:highlight w:val="none"/>
        </w:rPr>
        <w:fldChar w:fldCharType="begin"/>
      </w:r>
      <w:r>
        <w:rPr>
          <w:highlight w:val="none"/>
        </w:rPr>
        <w:instrText xml:space="preserve"> HYPERLINK "https://link.springer.com/article/10.1057/s41267-022-00521-x" </w:instrText>
      </w:r>
      <w:r>
        <w:rPr>
          <w:highlight w:val="none"/>
        </w:rPr>
        <w:fldChar w:fldCharType="separate"/>
      </w:r>
      <w:r>
        <w:rPr>
          <w:rStyle w:val="23"/>
          <w:rFonts w:cs="Arial"/>
          <w:highlight w:val="none"/>
          <w:lang w:val="en-GB"/>
        </w:rPr>
        <w:t>https://link.springer.com/article/10.1057/s41267-022-00521-x</w:t>
      </w:r>
      <w:r>
        <w:rPr>
          <w:rStyle w:val="23"/>
          <w:rFonts w:cs="Arial"/>
          <w:highlight w:val="none"/>
          <w:lang w:val="en-GB"/>
        </w:rPr>
        <w:fldChar w:fldCharType="end"/>
      </w:r>
      <w:r>
        <w:rPr>
          <w:rFonts w:cs="Arial"/>
          <w:highlight w:val="none"/>
          <w:lang w:val="en-GB"/>
        </w:rPr>
        <w:t xml:space="preserve"> (Accessed: 6 August 2026).</w:t>
      </w:r>
    </w:p>
    <w:p w14:paraId="5A6B3767">
      <w:pPr>
        <w:pStyle w:val="3"/>
        <w:rPr>
          <w:rFonts w:cs="Arial"/>
          <w:highlight w:val="none"/>
          <w:lang w:val="en-GB"/>
        </w:rPr>
      </w:pPr>
      <w:r>
        <w:rPr>
          <w:rFonts w:cs="Arial"/>
          <w:highlight w:val="none"/>
          <w:lang w:val="en-GB"/>
        </w:rPr>
        <w:t xml:space="preserve">Bruno, R.L., Crescenzi, R., Estrin, S. and Petralia, S. (2022) </w:t>
      </w:r>
      <w:r>
        <w:rPr>
          <w:rStyle w:val="17"/>
          <w:rFonts w:cs="Arial"/>
          <w:highlight w:val="none"/>
          <w:lang w:val="en-GB"/>
        </w:rPr>
        <w:t>Multinationals, Innovation, and Institutional Context: IPR Protection and Distance Effects</w:t>
      </w:r>
      <w:r>
        <w:rPr>
          <w:rFonts w:cs="Arial"/>
          <w:highlight w:val="none"/>
          <w:lang w:val="en-GB"/>
        </w:rPr>
        <w:t xml:space="preserve">. Journal of International Business Studies, 53, pp. 19451970. Available at: </w:t>
      </w:r>
      <w:r>
        <w:rPr>
          <w:highlight w:val="none"/>
        </w:rPr>
        <w:fldChar w:fldCharType="begin"/>
      </w:r>
      <w:r>
        <w:rPr>
          <w:highlight w:val="none"/>
        </w:rPr>
        <w:instrText xml:space="preserve"> HYPERLINK "https://link.springer.com/article/10.1057/s41267-021-00452-z" </w:instrText>
      </w:r>
      <w:r>
        <w:rPr>
          <w:highlight w:val="none"/>
        </w:rPr>
        <w:fldChar w:fldCharType="separate"/>
      </w:r>
      <w:r>
        <w:rPr>
          <w:rStyle w:val="23"/>
          <w:rFonts w:cs="Arial"/>
          <w:highlight w:val="none"/>
          <w:lang w:val="en-GB"/>
        </w:rPr>
        <w:t>https://link.springer.com/article/10.1057/s41267-021-00452-z</w:t>
      </w:r>
      <w:r>
        <w:rPr>
          <w:rStyle w:val="23"/>
          <w:rFonts w:cs="Arial"/>
          <w:highlight w:val="none"/>
          <w:lang w:val="en-GB"/>
        </w:rPr>
        <w:fldChar w:fldCharType="end"/>
      </w:r>
      <w:r>
        <w:rPr>
          <w:rFonts w:cs="Arial"/>
          <w:highlight w:val="none"/>
          <w:lang w:val="en-GB"/>
        </w:rPr>
        <w:t xml:space="preserve"> (Accessed: 6 August 2026).</w:t>
      </w:r>
    </w:p>
    <w:p w14:paraId="5E39459B">
      <w:pPr>
        <w:pStyle w:val="3"/>
        <w:rPr>
          <w:rFonts w:cs="Arial"/>
          <w:highlight w:val="none"/>
          <w:lang w:val="en-GB"/>
        </w:rPr>
      </w:pPr>
      <w:r>
        <w:rPr>
          <w:rFonts w:cs="Arial"/>
          <w:highlight w:val="none"/>
          <w:lang w:val="en-GB"/>
        </w:rPr>
        <w:t xml:space="preserve">Business of Apps (2026) </w:t>
      </w:r>
      <w:r>
        <w:rPr>
          <w:rStyle w:val="17"/>
          <w:rFonts w:cs="Arial"/>
          <w:highlight w:val="none"/>
          <w:lang w:val="en-GB"/>
        </w:rPr>
        <w:t>Apple Statistics (2026).</w:t>
      </w:r>
      <w:r>
        <w:rPr>
          <w:rFonts w:cs="Arial"/>
          <w:highlight w:val="none"/>
          <w:lang w:val="en-GB"/>
        </w:rPr>
        <w:t xml:space="preserve"> Available at: </w:t>
      </w:r>
      <w:r>
        <w:rPr>
          <w:highlight w:val="none"/>
        </w:rPr>
        <w:fldChar w:fldCharType="begin"/>
      </w:r>
      <w:r>
        <w:rPr>
          <w:highlight w:val="none"/>
        </w:rPr>
        <w:instrText xml:space="preserve"> HYPERLINK "https://www.businessofapps.com/data/apple-statistics/" \t "_new" </w:instrText>
      </w:r>
      <w:r>
        <w:rPr>
          <w:highlight w:val="none"/>
        </w:rPr>
        <w:fldChar w:fldCharType="separate"/>
      </w:r>
      <w:r>
        <w:rPr>
          <w:rStyle w:val="23"/>
          <w:rFonts w:cs="Arial"/>
          <w:highlight w:val="none"/>
          <w:lang w:val="en-GB"/>
        </w:rPr>
        <w:t>https://www.businessofapps.com/data/apple-statistics/</w:t>
      </w:r>
      <w:r>
        <w:rPr>
          <w:rStyle w:val="23"/>
          <w:rFonts w:cs="Arial"/>
          <w:highlight w:val="none"/>
          <w:lang w:val="en-GB"/>
        </w:rPr>
        <w:fldChar w:fldCharType="end"/>
      </w:r>
      <w:r>
        <w:rPr>
          <w:rFonts w:cs="Arial"/>
          <w:highlight w:val="none"/>
          <w:lang w:val="en-GB"/>
        </w:rPr>
        <w:t xml:space="preserve"> (Accessed: 6 August 2026).</w:t>
      </w:r>
    </w:p>
    <w:p w14:paraId="56302752">
      <w:pPr>
        <w:pStyle w:val="3"/>
        <w:rPr>
          <w:rFonts w:cs="Arial"/>
          <w:highlight w:val="none"/>
          <w:lang w:val="en-GB"/>
        </w:rPr>
      </w:pPr>
      <w:r>
        <w:rPr>
          <w:rFonts w:cs="Arial"/>
          <w:highlight w:val="none"/>
          <w:lang w:val="en-GB"/>
        </w:rPr>
        <w:t xml:space="preserve">Bwemelo, G., Mmari, G. and Mashenene, R. (2026) </w:t>
      </w:r>
      <w:r>
        <w:rPr>
          <w:rStyle w:val="17"/>
          <w:rFonts w:cs="Arial"/>
          <w:highlight w:val="none"/>
          <w:lang w:val="en-GB"/>
        </w:rPr>
        <w:t>Competitor Orientation and Performance of Furniture Manufacturing SMEs in Dar es Salaam, Tanzania: The Mediating Effect of Customer Loyalty</w:t>
      </w:r>
      <w:r>
        <w:rPr>
          <w:rFonts w:cs="Arial"/>
          <w:highlight w:val="none"/>
          <w:lang w:val="en-GB"/>
        </w:rPr>
        <w:t xml:space="preserve">. Businesses, 6(2), Article 31. Available at: </w:t>
      </w:r>
      <w:r>
        <w:rPr>
          <w:highlight w:val="none"/>
        </w:rPr>
        <w:fldChar w:fldCharType="begin"/>
      </w:r>
      <w:r>
        <w:rPr>
          <w:highlight w:val="none"/>
        </w:rPr>
        <w:instrText xml:space="preserve"> HYPERLINK "https://www.mdpi.com/2673-7116/6/2/31" </w:instrText>
      </w:r>
      <w:r>
        <w:rPr>
          <w:highlight w:val="none"/>
        </w:rPr>
        <w:fldChar w:fldCharType="separate"/>
      </w:r>
      <w:r>
        <w:rPr>
          <w:rStyle w:val="23"/>
          <w:rFonts w:cs="Arial"/>
          <w:highlight w:val="none"/>
          <w:lang w:val="en-GB"/>
        </w:rPr>
        <w:t>https://www.mdpi.com/2673-7116/6/2/31</w:t>
      </w:r>
      <w:r>
        <w:rPr>
          <w:rStyle w:val="23"/>
          <w:rFonts w:cs="Arial"/>
          <w:highlight w:val="none"/>
          <w:lang w:val="en-GB"/>
        </w:rPr>
        <w:fldChar w:fldCharType="end"/>
      </w:r>
      <w:r>
        <w:rPr>
          <w:rFonts w:cs="Arial"/>
          <w:highlight w:val="none"/>
          <w:lang w:val="en-GB"/>
        </w:rPr>
        <w:t xml:space="preserve"> </w:t>
      </w:r>
    </w:p>
    <w:p w14:paraId="106150BB">
      <w:pPr>
        <w:pStyle w:val="3"/>
        <w:rPr>
          <w:rFonts w:cs="Arial"/>
          <w:highlight w:val="none"/>
          <w:lang w:val="en-GB"/>
        </w:rPr>
      </w:pPr>
      <w:r>
        <w:rPr>
          <w:rFonts w:cs="Arial"/>
          <w:highlight w:val="none"/>
          <w:lang w:val="en-GB"/>
        </w:rPr>
        <w:t xml:space="preserve">Deloitte (2025) </w:t>
      </w:r>
      <w:r>
        <w:rPr>
          <w:rStyle w:val="17"/>
          <w:rFonts w:cs="Arial"/>
          <w:highlight w:val="none"/>
          <w:lang w:val="en-GB"/>
        </w:rPr>
        <w:t>2025 Connected Consumer: Innovation with Trust.</w:t>
      </w:r>
      <w:r>
        <w:rPr>
          <w:rFonts w:cs="Arial"/>
          <w:highlight w:val="none"/>
          <w:lang w:val="en-GB"/>
        </w:rPr>
        <w:t xml:space="preserve"> Available at: </w:t>
      </w:r>
      <w:r>
        <w:rPr>
          <w:highlight w:val="none"/>
        </w:rPr>
        <w:fldChar w:fldCharType="begin"/>
      </w:r>
      <w:r>
        <w:rPr>
          <w:highlight w:val="none"/>
        </w:rPr>
        <w:instrText xml:space="preserve"> HYPERLINK "https://www.deloitte.com/us/en/insights/industry/telecommunications/connectivity-mobile-trends-survey.html" \t "_new" </w:instrText>
      </w:r>
      <w:r>
        <w:rPr>
          <w:highlight w:val="none"/>
        </w:rPr>
        <w:fldChar w:fldCharType="separate"/>
      </w:r>
      <w:r>
        <w:rPr>
          <w:rStyle w:val="23"/>
          <w:rFonts w:cs="Arial"/>
          <w:highlight w:val="none"/>
          <w:lang w:val="en-GB"/>
        </w:rPr>
        <w:t>https://www.deloitte.com/us/en/insights/industry/telecommunications/connectivity-mobile-trends-survey.html</w:t>
      </w:r>
      <w:r>
        <w:rPr>
          <w:rStyle w:val="23"/>
          <w:rFonts w:cs="Arial"/>
          <w:highlight w:val="none"/>
          <w:lang w:val="en-GB"/>
        </w:rPr>
        <w:fldChar w:fldCharType="end"/>
      </w:r>
      <w:r>
        <w:rPr>
          <w:rFonts w:cs="Arial"/>
          <w:highlight w:val="none"/>
          <w:lang w:val="en-GB"/>
        </w:rPr>
        <w:t xml:space="preserve"> (Accessed: 6 August 2026).</w:t>
      </w:r>
    </w:p>
    <w:p w14:paraId="0062C48B">
      <w:pPr>
        <w:pStyle w:val="3"/>
        <w:rPr>
          <w:rFonts w:cs="Arial"/>
          <w:highlight w:val="none"/>
          <w:lang w:val="en-GB"/>
        </w:rPr>
      </w:pPr>
      <w:r>
        <w:rPr>
          <w:rFonts w:cs="Arial"/>
          <w:highlight w:val="none"/>
          <w:lang w:val="en-GB"/>
        </w:rPr>
        <w:t xml:space="preserve">Firsova, N. (2026) </w:t>
      </w:r>
      <w:r>
        <w:rPr>
          <w:rStyle w:val="17"/>
          <w:rFonts w:cs="Arial"/>
          <w:highlight w:val="none"/>
          <w:lang w:val="en-GB"/>
        </w:rPr>
        <w:t>The Strategic Role of Cultural Risk Management in International Business</w:t>
      </w:r>
      <w:r>
        <w:rPr>
          <w:rFonts w:cs="Arial"/>
          <w:highlight w:val="none"/>
          <w:lang w:val="en-GB"/>
        </w:rPr>
        <w:t xml:space="preserve">. Businesses, 6(2), Article 30. Available at: </w:t>
      </w:r>
      <w:r>
        <w:rPr>
          <w:highlight w:val="none"/>
        </w:rPr>
        <w:fldChar w:fldCharType="begin"/>
      </w:r>
      <w:r>
        <w:rPr>
          <w:highlight w:val="none"/>
        </w:rPr>
        <w:instrText xml:space="preserve"> HYPERLINK "https://www.mdpi.com/2673-7116/6/2/30" </w:instrText>
      </w:r>
      <w:r>
        <w:rPr>
          <w:highlight w:val="none"/>
        </w:rPr>
        <w:fldChar w:fldCharType="separate"/>
      </w:r>
      <w:r>
        <w:rPr>
          <w:rStyle w:val="23"/>
          <w:rFonts w:cs="Arial"/>
          <w:highlight w:val="none"/>
          <w:lang w:val="en-GB"/>
        </w:rPr>
        <w:t>https://www.mdpi.com/2673-7116/6/2/30</w:t>
      </w:r>
      <w:r>
        <w:rPr>
          <w:rStyle w:val="23"/>
          <w:rFonts w:cs="Arial"/>
          <w:highlight w:val="none"/>
          <w:lang w:val="en-GB"/>
        </w:rPr>
        <w:fldChar w:fldCharType="end"/>
      </w:r>
      <w:r>
        <w:rPr>
          <w:rFonts w:cs="Arial"/>
          <w:highlight w:val="none"/>
          <w:lang w:val="en-GB"/>
        </w:rPr>
        <w:t xml:space="preserve"> (Accessed: 6 August 2026).</w:t>
      </w:r>
    </w:p>
    <w:p w14:paraId="681ABB38">
      <w:pPr>
        <w:pStyle w:val="3"/>
        <w:rPr>
          <w:rFonts w:cs="Arial"/>
          <w:highlight w:val="none"/>
          <w:lang w:val="en-GB"/>
        </w:rPr>
      </w:pPr>
      <w:r>
        <w:rPr>
          <w:rFonts w:cs="Arial"/>
          <w:highlight w:val="none"/>
          <w:lang w:val="en-GB"/>
        </w:rPr>
        <w:t xml:space="preserve">Frimpong, V. and Botchey, O.K. (2026) </w:t>
      </w:r>
      <w:r>
        <w:rPr>
          <w:rStyle w:val="17"/>
          <w:rFonts w:cs="Arial"/>
          <w:highlight w:val="none"/>
          <w:lang w:val="en-GB"/>
        </w:rPr>
        <w:t>Where Are the AI Governance Roles? An Early-Stage Empirical Mapping of Presence, Absence, and Structure in Organisational AI Oversight</w:t>
      </w:r>
      <w:r>
        <w:rPr>
          <w:rFonts w:cs="Arial"/>
          <w:highlight w:val="none"/>
          <w:lang w:val="en-GB"/>
        </w:rPr>
        <w:t xml:space="preserve">. Businesses, 6(2), Article 18. </w:t>
      </w:r>
      <w:r>
        <w:rPr>
          <w:highlight w:val="none"/>
        </w:rPr>
        <w:fldChar w:fldCharType="begin"/>
      </w:r>
      <w:r>
        <w:rPr>
          <w:highlight w:val="none"/>
        </w:rPr>
        <w:instrText xml:space="preserve"> HYPERLINK "https://www.mdpi.com/2673-7116/6/2/18" </w:instrText>
      </w:r>
      <w:r>
        <w:rPr>
          <w:highlight w:val="none"/>
        </w:rPr>
        <w:fldChar w:fldCharType="separate"/>
      </w:r>
      <w:r>
        <w:rPr>
          <w:rStyle w:val="23"/>
          <w:rFonts w:cs="Arial"/>
          <w:highlight w:val="none"/>
          <w:lang w:val="en-GB"/>
        </w:rPr>
        <w:t>https://www.mdpi.com/2673-7116/6/2/18</w:t>
      </w:r>
      <w:r>
        <w:rPr>
          <w:rStyle w:val="23"/>
          <w:rFonts w:cs="Arial"/>
          <w:highlight w:val="none"/>
          <w:lang w:val="en-GB"/>
        </w:rPr>
        <w:fldChar w:fldCharType="end"/>
      </w:r>
      <w:r>
        <w:rPr>
          <w:rFonts w:cs="Arial"/>
          <w:highlight w:val="none"/>
          <w:lang w:val="en-GB"/>
        </w:rPr>
        <w:t xml:space="preserve"> </w:t>
      </w:r>
    </w:p>
    <w:p w14:paraId="44663897">
      <w:pPr>
        <w:pStyle w:val="3"/>
        <w:rPr>
          <w:rFonts w:cs="Arial"/>
          <w:highlight w:val="none"/>
          <w:lang w:val="en-GB"/>
        </w:rPr>
      </w:pPr>
      <w:r>
        <w:rPr>
          <w:rFonts w:cs="Arial"/>
          <w:highlight w:val="none"/>
          <w:lang w:val="en-GB"/>
        </w:rPr>
        <w:t xml:space="preserve">Gibbs, G. (1988) </w:t>
      </w:r>
      <w:r>
        <w:rPr>
          <w:rStyle w:val="17"/>
          <w:rFonts w:cs="Arial"/>
          <w:highlight w:val="none"/>
          <w:lang w:val="en-GB"/>
        </w:rPr>
        <w:t>Learning by Doing: A Guide to Teaching and Learning Methods</w:t>
      </w:r>
      <w:r>
        <w:rPr>
          <w:rFonts w:cs="Arial"/>
          <w:highlight w:val="none"/>
          <w:lang w:val="en-GB"/>
        </w:rPr>
        <w:t>. Oxford: Oxford Polytechnic.</w:t>
      </w:r>
    </w:p>
    <w:p w14:paraId="648D526C">
      <w:pPr>
        <w:pStyle w:val="3"/>
        <w:rPr>
          <w:rFonts w:cs="Arial"/>
          <w:highlight w:val="none"/>
          <w:lang w:val="en-GB"/>
        </w:rPr>
      </w:pPr>
      <w:r>
        <w:rPr>
          <w:rFonts w:cs="Arial"/>
          <w:highlight w:val="none"/>
          <w:lang w:val="en-GB"/>
        </w:rPr>
        <w:t xml:space="preserve">Global Risk Community (2025) </w:t>
      </w:r>
      <w:r>
        <w:rPr>
          <w:rStyle w:val="17"/>
          <w:rFonts w:cs="Arial"/>
          <w:highlight w:val="none"/>
          <w:lang w:val="en-GB"/>
        </w:rPr>
        <w:t>Sustainability and Innovation Power U.S. Consumer Electronics Market Toward $281.4 Billion Goal.</w:t>
      </w:r>
      <w:r>
        <w:rPr>
          <w:rFonts w:cs="Arial"/>
          <w:highlight w:val="none"/>
          <w:lang w:val="en-GB"/>
        </w:rPr>
        <w:t xml:space="preserve"> Available at: </w:t>
      </w:r>
      <w:r>
        <w:rPr>
          <w:highlight w:val="none"/>
        </w:rPr>
        <w:fldChar w:fldCharType="begin"/>
      </w:r>
      <w:r>
        <w:rPr>
          <w:highlight w:val="none"/>
        </w:rPr>
        <w:instrText xml:space="preserve"> HYPERLINK "https://globalriskcommunity.com/notes/sustainability-and-innovation-power-u-s-consumer-electronics-mark" \t "_new" </w:instrText>
      </w:r>
      <w:r>
        <w:rPr>
          <w:highlight w:val="none"/>
        </w:rPr>
        <w:fldChar w:fldCharType="separate"/>
      </w:r>
      <w:r>
        <w:rPr>
          <w:rStyle w:val="23"/>
          <w:rFonts w:cs="Arial"/>
          <w:highlight w:val="none"/>
          <w:lang w:val="en-GB"/>
        </w:rPr>
        <w:t>https://globalriskcommunity.com/notes/sustainability-and-innovation-power-u-s-consumer-electronics-mark</w:t>
      </w:r>
      <w:r>
        <w:rPr>
          <w:rStyle w:val="23"/>
          <w:rFonts w:cs="Arial"/>
          <w:highlight w:val="none"/>
          <w:lang w:val="en-GB"/>
        </w:rPr>
        <w:fldChar w:fldCharType="end"/>
      </w:r>
      <w:r>
        <w:rPr>
          <w:rFonts w:cs="Arial"/>
          <w:highlight w:val="none"/>
          <w:lang w:val="en-GB"/>
        </w:rPr>
        <w:t xml:space="preserve"> (Accessed: 6 August 2026).</w:t>
      </w:r>
    </w:p>
    <w:p w14:paraId="1C9FE3DC">
      <w:pPr>
        <w:pStyle w:val="3"/>
        <w:rPr>
          <w:rFonts w:cs="Arial"/>
          <w:highlight w:val="none"/>
          <w:lang w:val="en-GB"/>
        </w:rPr>
      </w:pPr>
      <w:r>
        <w:rPr>
          <w:rFonts w:cs="Arial"/>
          <w:highlight w:val="none"/>
          <w:lang w:val="en-GB"/>
        </w:rPr>
        <w:t xml:space="preserve">Godbersen, H. (2026) </w:t>
      </w:r>
      <w:r>
        <w:rPr>
          <w:rStyle w:val="17"/>
          <w:rFonts w:cs="Arial"/>
          <w:highlight w:val="none"/>
          <w:lang w:val="en-GB"/>
        </w:rPr>
        <w:t>Integrated Brand Analysis and StrategyStrategic Decision Guidelines for Brand Positioning and Market Strategy</w:t>
      </w:r>
      <w:r>
        <w:rPr>
          <w:rFonts w:cs="Arial"/>
          <w:highlight w:val="none"/>
          <w:lang w:val="en-GB"/>
        </w:rPr>
        <w:t xml:space="preserve">. Businesses, 6(2), Article 17. Available at: </w:t>
      </w:r>
      <w:r>
        <w:rPr>
          <w:highlight w:val="none"/>
        </w:rPr>
        <w:fldChar w:fldCharType="begin"/>
      </w:r>
      <w:r>
        <w:rPr>
          <w:highlight w:val="none"/>
        </w:rPr>
        <w:instrText xml:space="preserve"> HYPERLINK "https://www.mdpi.com/2673-7116/6/2/17" </w:instrText>
      </w:r>
      <w:r>
        <w:rPr>
          <w:highlight w:val="none"/>
        </w:rPr>
        <w:fldChar w:fldCharType="separate"/>
      </w:r>
      <w:r>
        <w:rPr>
          <w:rStyle w:val="23"/>
          <w:rFonts w:cs="Arial"/>
          <w:highlight w:val="none"/>
          <w:lang w:val="en-GB"/>
        </w:rPr>
        <w:t>https://www.mdpi.com/2673-7116/6/2/17</w:t>
      </w:r>
      <w:r>
        <w:rPr>
          <w:rStyle w:val="23"/>
          <w:rFonts w:cs="Arial"/>
          <w:highlight w:val="none"/>
          <w:lang w:val="en-GB"/>
        </w:rPr>
        <w:fldChar w:fldCharType="end"/>
      </w:r>
      <w:r>
        <w:rPr>
          <w:rFonts w:cs="Arial"/>
          <w:highlight w:val="none"/>
          <w:lang w:val="en-GB"/>
        </w:rPr>
        <w:t xml:space="preserve"> (Accessed: 6 August 2026).</w:t>
      </w:r>
    </w:p>
    <w:p w14:paraId="3CF5349B">
      <w:pPr>
        <w:pStyle w:val="3"/>
        <w:rPr>
          <w:rFonts w:cs="Arial"/>
          <w:highlight w:val="none"/>
          <w:lang w:val="en-GB"/>
        </w:rPr>
      </w:pPr>
      <w:r>
        <w:rPr>
          <w:rFonts w:cs="Arial"/>
          <w:highlight w:val="none"/>
          <w:lang w:val="en-GB"/>
        </w:rPr>
        <w:t xml:space="preserve">Hervé, A., Schmitt, C. and Baldegger, R. (2022) </w:t>
      </w:r>
      <w:r>
        <w:rPr>
          <w:rStyle w:val="17"/>
          <w:rFonts w:cs="Arial"/>
          <w:highlight w:val="none"/>
          <w:lang w:val="en-GB"/>
        </w:rPr>
        <w:t>Digitalization and Internationalization of Micro-, Small-, and Medium-Sized Enterprises: An Overall Conceptual Process</w:t>
      </w:r>
      <w:r>
        <w:rPr>
          <w:rFonts w:cs="Arial"/>
          <w:highlight w:val="none"/>
          <w:lang w:val="en-GB"/>
        </w:rPr>
        <w:t xml:space="preserve">. Journal of the International Council for Small Business, 3(4), pp. 329336. Available at: </w:t>
      </w:r>
      <w:r>
        <w:rPr>
          <w:highlight w:val="none"/>
        </w:rPr>
        <w:fldChar w:fldCharType="begin"/>
      </w:r>
      <w:r>
        <w:rPr>
          <w:highlight w:val="none"/>
        </w:rPr>
        <w:instrText xml:space="preserve"> HYPERLINK "https://www.tandfonline.com/doi/full/10.1080/26437015.2022.2096514" </w:instrText>
      </w:r>
      <w:r>
        <w:rPr>
          <w:highlight w:val="none"/>
        </w:rPr>
        <w:fldChar w:fldCharType="separate"/>
      </w:r>
      <w:r>
        <w:rPr>
          <w:rStyle w:val="23"/>
          <w:rFonts w:cs="Arial"/>
          <w:highlight w:val="none"/>
          <w:lang w:val="en-GB"/>
        </w:rPr>
        <w:t>https://www.tandfonline.com/doi/full/10.1080/26437015.2022.2096514</w:t>
      </w:r>
      <w:r>
        <w:rPr>
          <w:rStyle w:val="23"/>
          <w:rFonts w:cs="Arial"/>
          <w:highlight w:val="none"/>
          <w:lang w:val="en-GB"/>
        </w:rPr>
        <w:fldChar w:fldCharType="end"/>
      </w:r>
      <w:r>
        <w:rPr>
          <w:rFonts w:cs="Arial"/>
          <w:highlight w:val="none"/>
          <w:lang w:val="en-GB"/>
        </w:rPr>
        <w:t xml:space="preserve"> (Accessed: 6 August 2026).</w:t>
      </w:r>
    </w:p>
    <w:p w14:paraId="25EFF54D">
      <w:pPr>
        <w:pStyle w:val="3"/>
        <w:rPr>
          <w:rFonts w:cs="Arial"/>
          <w:highlight w:val="none"/>
          <w:lang w:val="en-GB"/>
        </w:rPr>
      </w:pPr>
      <w:r>
        <w:rPr>
          <w:rFonts w:cs="Arial"/>
          <w:highlight w:val="none"/>
          <w:lang w:val="en-GB"/>
        </w:rPr>
        <w:t xml:space="preserve">Hine, E. and Floridi, L. (2026) </w:t>
      </w:r>
      <w:r>
        <w:rPr>
          <w:rStyle w:val="17"/>
          <w:rFonts w:cs="Arial"/>
          <w:highlight w:val="none"/>
          <w:lang w:val="en-GB"/>
        </w:rPr>
        <w:t>The Impact of Modern Big Tech Antitrust on Digital Sovereignty</w:t>
      </w:r>
      <w:r>
        <w:rPr>
          <w:rFonts w:cs="Arial"/>
          <w:highlight w:val="none"/>
          <w:lang w:val="en-GB"/>
        </w:rPr>
        <w:t xml:space="preserve">. Digital Society. Available at: </w:t>
      </w:r>
      <w:r>
        <w:rPr>
          <w:highlight w:val="none"/>
        </w:rPr>
        <w:fldChar w:fldCharType="begin"/>
      </w:r>
      <w:r>
        <w:rPr>
          <w:highlight w:val="none"/>
        </w:rPr>
        <w:instrText xml:space="preserve"> HYPERLINK "https://link.springer.com/article/10.1007/s44206-026-00249-3" </w:instrText>
      </w:r>
      <w:r>
        <w:rPr>
          <w:highlight w:val="none"/>
        </w:rPr>
        <w:fldChar w:fldCharType="separate"/>
      </w:r>
      <w:r>
        <w:rPr>
          <w:rStyle w:val="23"/>
          <w:rFonts w:cs="Arial"/>
          <w:highlight w:val="none"/>
          <w:lang w:val="en-GB"/>
        </w:rPr>
        <w:t>https://link.springer.com/article/10.1007/s44206-026-00249-3</w:t>
      </w:r>
      <w:r>
        <w:rPr>
          <w:rStyle w:val="23"/>
          <w:rFonts w:cs="Arial"/>
          <w:highlight w:val="none"/>
          <w:lang w:val="en-GB"/>
        </w:rPr>
        <w:fldChar w:fldCharType="end"/>
      </w:r>
      <w:r>
        <w:rPr>
          <w:rFonts w:cs="Arial"/>
          <w:highlight w:val="none"/>
          <w:lang w:val="en-GB"/>
        </w:rPr>
        <w:t xml:space="preserve"> (Accessed: 6 August 2026).</w:t>
      </w:r>
    </w:p>
    <w:p w14:paraId="01A26065">
      <w:pPr>
        <w:pStyle w:val="3"/>
        <w:rPr>
          <w:rFonts w:cs="Arial"/>
          <w:highlight w:val="none"/>
          <w:lang w:val="en-GB"/>
        </w:rPr>
      </w:pPr>
      <w:r>
        <w:rPr>
          <w:rFonts w:cs="Arial"/>
          <w:highlight w:val="none"/>
          <w:lang w:val="en-GB"/>
        </w:rPr>
        <w:t xml:space="preserve">International Trade Administration (2025) </w:t>
      </w:r>
      <w:r>
        <w:rPr>
          <w:rStyle w:val="17"/>
          <w:rFonts w:cs="Arial"/>
          <w:highlight w:val="none"/>
          <w:lang w:val="en-GB"/>
        </w:rPr>
        <w:t>SelectUSA Software and Information Technology Industry</w:t>
      </w:r>
      <w:r>
        <w:rPr>
          <w:rFonts w:cs="Arial"/>
          <w:highlight w:val="none"/>
          <w:lang w:val="en-GB"/>
        </w:rPr>
        <w:t xml:space="preserve">. Available at: </w:t>
      </w:r>
      <w:r>
        <w:rPr>
          <w:highlight w:val="none"/>
        </w:rPr>
        <w:fldChar w:fldCharType="begin"/>
      </w:r>
      <w:r>
        <w:rPr>
          <w:highlight w:val="none"/>
        </w:rPr>
        <w:instrText xml:space="preserve"> HYPERLINK "https://www.trade.gov/selectusa-software-and-information-technology-industry" </w:instrText>
      </w:r>
      <w:r>
        <w:rPr>
          <w:highlight w:val="none"/>
        </w:rPr>
        <w:fldChar w:fldCharType="separate"/>
      </w:r>
      <w:r>
        <w:rPr>
          <w:rStyle w:val="23"/>
          <w:rFonts w:cs="Arial"/>
          <w:highlight w:val="none"/>
          <w:lang w:val="en-GB"/>
        </w:rPr>
        <w:t>https://www.trade.gov/selectusa-software-and-information-technology-industry</w:t>
      </w:r>
      <w:r>
        <w:rPr>
          <w:rStyle w:val="23"/>
          <w:rFonts w:cs="Arial"/>
          <w:highlight w:val="none"/>
          <w:lang w:val="en-GB"/>
        </w:rPr>
        <w:fldChar w:fldCharType="end"/>
      </w:r>
      <w:r>
        <w:rPr>
          <w:rFonts w:cs="Arial"/>
          <w:highlight w:val="none"/>
          <w:lang w:val="en-GB"/>
        </w:rPr>
        <w:t xml:space="preserve"> (Accessed: 6 August 2026).</w:t>
      </w:r>
    </w:p>
    <w:p w14:paraId="4D58B8DD">
      <w:pPr>
        <w:pStyle w:val="3"/>
        <w:rPr>
          <w:rFonts w:cs="Arial"/>
          <w:highlight w:val="none"/>
          <w:lang w:val="en-GB"/>
        </w:rPr>
      </w:pPr>
      <w:r>
        <w:rPr>
          <w:rFonts w:cs="Arial"/>
          <w:highlight w:val="none"/>
          <w:lang w:val="en-GB"/>
        </w:rPr>
        <w:t xml:space="preserve">Ishigai, P.A., Pereira, L.H. and Scavroni, C.M.S. (2021) </w:t>
      </w:r>
      <w:r>
        <w:rPr>
          <w:rStyle w:val="17"/>
          <w:rFonts w:cs="Arial"/>
          <w:highlight w:val="none"/>
          <w:lang w:val="en-GB"/>
        </w:rPr>
        <w:t>Standardization and Adaptation in Multinational Corporations: Case Study on Samsung's Marketing Mix Strategy</w:t>
      </w:r>
      <w:r>
        <w:rPr>
          <w:rFonts w:cs="Arial"/>
          <w:highlight w:val="none"/>
          <w:lang w:val="en-GB"/>
        </w:rPr>
        <w:t xml:space="preserve">. International Journal of Business and Marketing, 6(1), pp. 7799. Available at: </w:t>
      </w:r>
      <w:r>
        <w:rPr>
          <w:highlight w:val="none"/>
        </w:rPr>
        <w:fldChar w:fldCharType="begin"/>
      </w:r>
      <w:r>
        <w:rPr>
          <w:highlight w:val="none"/>
        </w:rPr>
        <w:instrText xml:space="preserve"> HYPERLINK "https://www.ijbmkt.org/ijbmkt/article/view/193" </w:instrText>
      </w:r>
      <w:r>
        <w:rPr>
          <w:highlight w:val="none"/>
        </w:rPr>
        <w:fldChar w:fldCharType="separate"/>
      </w:r>
      <w:r>
        <w:rPr>
          <w:rStyle w:val="23"/>
          <w:rFonts w:cs="Arial"/>
          <w:highlight w:val="none"/>
          <w:lang w:val="en-GB"/>
        </w:rPr>
        <w:t>https://www.ijbmkt.org/ijbmkt/article/view/193</w:t>
      </w:r>
      <w:r>
        <w:rPr>
          <w:rStyle w:val="23"/>
          <w:rFonts w:cs="Arial"/>
          <w:highlight w:val="none"/>
          <w:lang w:val="en-GB"/>
        </w:rPr>
        <w:fldChar w:fldCharType="end"/>
      </w:r>
      <w:r>
        <w:rPr>
          <w:rFonts w:cs="Arial"/>
          <w:highlight w:val="none"/>
          <w:lang w:val="en-GB"/>
        </w:rPr>
        <w:t xml:space="preserve"> (Accessed: 6 August 2026).</w:t>
      </w:r>
    </w:p>
    <w:p w14:paraId="5FB8DCA3">
      <w:pPr>
        <w:pStyle w:val="3"/>
        <w:rPr>
          <w:rFonts w:cs="Arial"/>
          <w:highlight w:val="none"/>
          <w:lang w:val="en-GB"/>
        </w:rPr>
      </w:pPr>
      <w:r>
        <w:rPr>
          <w:rFonts w:cs="Arial"/>
          <w:highlight w:val="none"/>
          <w:lang w:val="en-GB"/>
        </w:rPr>
        <w:t xml:space="preserve">Iwasaki, F. and Ueki, Y. (2026) </w:t>
      </w:r>
      <w:r>
        <w:rPr>
          <w:rStyle w:val="17"/>
          <w:rFonts w:cs="Arial"/>
          <w:highlight w:val="none"/>
          <w:lang w:val="en-GB"/>
        </w:rPr>
        <w:t>Understanding the Offshore Mixed Sourcing Strategy: A Case Study of a Japanese Affiliated Apparel Factory in China</w:t>
      </w:r>
      <w:r>
        <w:rPr>
          <w:rFonts w:cs="Arial"/>
          <w:highlight w:val="none"/>
          <w:lang w:val="en-GB"/>
        </w:rPr>
        <w:t xml:space="preserve">. Businesses, 6(2), Article 25. Available at: </w:t>
      </w:r>
      <w:r>
        <w:rPr>
          <w:highlight w:val="none"/>
        </w:rPr>
        <w:fldChar w:fldCharType="begin"/>
      </w:r>
      <w:r>
        <w:rPr>
          <w:highlight w:val="none"/>
        </w:rPr>
        <w:instrText xml:space="preserve"> HYPERLINK "https://www.mdpi.com/2673-7116/6/2/25" </w:instrText>
      </w:r>
      <w:r>
        <w:rPr>
          <w:highlight w:val="none"/>
        </w:rPr>
        <w:fldChar w:fldCharType="separate"/>
      </w:r>
      <w:r>
        <w:rPr>
          <w:rStyle w:val="23"/>
          <w:rFonts w:cs="Arial"/>
          <w:highlight w:val="none"/>
          <w:lang w:val="en-GB"/>
        </w:rPr>
        <w:t>https://www.mdpi.com/2673-7116/6/2/25</w:t>
      </w:r>
      <w:r>
        <w:rPr>
          <w:rStyle w:val="23"/>
          <w:rFonts w:cs="Arial"/>
          <w:highlight w:val="none"/>
          <w:lang w:val="en-GB"/>
        </w:rPr>
        <w:fldChar w:fldCharType="end"/>
      </w:r>
      <w:r>
        <w:rPr>
          <w:rFonts w:cs="Arial"/>
          <w:highlight w:val="none"/>
          <w:lang w:val="en-GB"/>
        </w:rPr>
        <w:t xml:space="preserve"> (Accessed: 6 August 2026).</w:t>
      </w:r>
    </w:p>
    <w:p w14:paraId="51F5432A">
      <w:pPr>
        <w:pStyle w:val="3"/>
        <w:rPr>
          <w:rFonts w:cs="Arial"/>
          <w:highlight w:val="none"/>
          <w:lang w:val="en-GB"/>
        </w:rPr>
      </w:pPr>
      <w:r>
        <w:rPr>
          <w:rFonts w:cs="Arial"/>
          <w:highlight w:val="none"/>
          <w:lang w:val="en-GB"/>
        </w:rPr>
        <w:t xml:space="preserve">Kankam-Kwarteng, C., Dzansi, D.Y. and Atiase, V.Y. (2026) </w:t>
      </w:r>
      <w:r>
        <w:rPr>
          <w:rStyle w:val="17"/>
          <w:rFonts w:cs="Arial"/>
          <w:highlight w:val="none"/>
          <w:lang w:val="en-GB"/>
        </w:rPr>
        <w:t>External Ecosystem Resources and SME Sustainable Environmental Performance: Evidence from Ghana</w:t>
      </w:r>
      <w:r>
        <w:rPr>
          <w:rFonts w:cs="Arial"/>
          <w:highlight w:val="none"/>
          <w:lang w:val="en-GB"/>
        </w:rPr>
        <w:t xml:space="preserve">. Businesses, 6(2), Article 16. Available at: </w:t>
      </w:r>
      <w:r>
        <w:rPr>
          <w:highlight w:val="none"/>
        </w:rPr>
        <w:fldChar w:fldCharType="begin"/>
      </w:r>
      <w:r>
        <w:rPr>
          <w:highlight w:val="none"/>
        </w:rPr>
        <w:instrText xml:space="preserve"> HYPERLINK "https://www.mdpi.com/2673-7116/6/2/16" </w:instrText>
      </w:r>
      <w:r>
        <w:rPr>
          <w:highlight w:val="none"/>
        </w:rPr>
        <w:fldChar w:fldCharType="separate"/>
      </w:r>
      <w:r>
        <w:rPr>
          <w:rStyle w:val="23"/>
          <w:rFonts w:cs="Arial"/>
          <w:highlight w:val="none"/>
          <w:lang w:val="en-GB"/>
        </w:rPr>
        <w:t>https://www.mdpi.com/2673-7116/6/2/16</w:t>
      </w:r>
      <w:r>
        <w:rPr>
          <w:rStyle w:val="23"/>
          <w:rFonts w:cs="Arial"/>
          <w:highlight w:val="none"/>
          <w:lang w:val="en-GB"/>
        </w:rPr>
        <w:fldChar w:fldCharType="end"/>
      </w:r>
      <w:r>
        <w:rPr>
          <w:rFonts w:cs="Arial"/>
          <w:highlight w:val="none"/>
          <w:lang w:val="en-GB"/>
        </w:rPr>
        <w:t xml:space="preserve"> (Accessed: 6 August 2026).</w:t>
      </w:r>
    </w:p>
    <w:p w14:paraId="491E75F4">
      <w:pPr>
        <w:pStyle w:val="3"/>
        <w:rPr>
          <w:rFonts w:cs="Arial"/>
          <w:highlight w:val="none"/>
          <w:lang w:val="en-GB"/>
        </w:rPr>
      </w:pPr>
      <w:r>
        <w:rPr>
          <w:rFonts w:cs="Arial"/>
          <w:highlight w:val="none"/>
          <w:lang w:val="en-GB"/>
        </w:rPr>
        <w:t xml:space="preserve">Lee, C.C., Lee, C.C. and Wang, T.C. (2022) </w:t>
      </w:r>
      <w:r>
        <w:rPr>
          <w:rStyle w:val="17"/>
          <w:rFonts w:cs="Arial"/>
          <w:highlight w:val="none"/>
          <w:lang w:val="en-GB"/>
        </w:rPr>
        <w:t>Supply Chain Management Strategy and Capital Structure of Global Information and Communications Technology Companies</w:t>
      </w:r>
      <w:r>
        <w:rPr>
          <w:rFonts w:cs="Arial"/>
          <w:highlight w:val="none"/>
          <w:lang w:val="en-GB"/>
        </w:rPr>
        <w:t xml:space="preserve">. Sustainability, 14(3), Article 1844. Available at: </w:t>
      </w:r>
      <w:r>
        <w:rPr>
          <w:highlight w:val="none"/>
        </w:rPr>
        <w:fldChar w:fldCharType="begin"/>
      </w:r>
      <w:r>
        <w:rPr>
          <w:highlight w:val="none"/>
        </w:rPr>
        <w:instrText xml:space="preserve"> HYPERLINK "https://www.mdpi.com/2071-1050/14/3/1844" </w:instrText>
      </w:r>
      <w:r>
        <w:rPr>
          <w:highlight w:val="none"/>
        </w:rPr>
        <w:fldChar w:fldCharType="separate"/>
      </w:r>
      <w:r>
        <w:rPr>
          <w:rStyle w:val="23"/>
          <w:rFonts w:cs="Arial"/>
          <w:highlight w:val="none"/>
          <w:lang w:val="en-GB"/>
        </w:rPr>
        <w:t>https://www.mdpi.com/2071-1050/14/3/1844</w:t>
      </w:r>
      <w:r>
        <w:rPr>
          <w:rStyle w:val="23"/>
          <w:rFonts w:cs="Arial"/>
          <w:highlight w:val="none"/>
          <w:lang w:val="en-GB"/>
        </w:rPr>
        <w:fldChar w:fldCharType="end"/>
      </w:r>
      <w:r>
        <w:rPr>
          <w:rFonts w:cs="Arial"/>
          <w:highlight w:val="none"/>
          <w:lang w:val="en-GB"/>
        </w:rPr>
        <w:t xml:space="preserve"> (Accessed: 6 August 2026).</w:t>
      </w:r>
    </w:p>
    <w:p w14:paraId="309FE75C">
      <w:pPr>
        <w:pStyle w:val="3"/>
        <w:rPr>
          <w:rFonts w:cs="Arial"/>
          <w:highlight w:val="none"/>
          <w:lang w:val="en-GB"/>
        </w:rPr>
      </w:pPr>
      <w:r>
        <w:rPr>
          <w:rFonts w:cs="Arial"/>
          <w:highlight w:val="none"/>
          <w:lang w:val="en-GB"/>
        </w:rPr>
        <w:t xml:space="preserve">Pew Research Center (2025) </w:t>
      </w:r>
      <w:r>
        <w:rPr>
          <w:rStyle w:val="17"/>
          <w:rFonts w:cs="Arial"/>
          <w:highlight w:val="none"/>
          <w:lang w:val="en-GB"/>
        </w:rPr>
        <w:t>Mobile Fact Sheet.</w:t>
      </w:r>
      <w:r>
        <w:rPr>
          <w:rFonts w:cs="Arial"/>
          <w:highlight w:val="none"/>
          <w:lang w:val="en-GB"/>
        </w:rPr>
        <w:t xml:space="preserve"> Available at: </w:t>
      </w:r>
      <w:r>
        <w:rPr>
          <w:highlight w:val="none"/>
        </w:rPr>
        <w:fldChar w:fldCharType="begin"/>
      </w:r>
      <w:r>
        <w:rPr>
          <w:highlight w:val="none"/>
        </w:rPr>
        <w:instrText xml:space="preserve"> HYPERLINK "https://www.pewresearch.org/internet/fact-sheet/mobile/" \t "_new" </w:instrText>
      </w:r>
      <w:r>
        <w:rPr>
          <w:highlight w:val="none"/>
        </w:rPr>
        <w:fldChar w:fldCharType="separate"/>
      </w:r>
      <w:r>
        <w:rPr>
          <w:rStyle w:val="23"/>
          <w:rFonts w:cs="Arial"/>
          <w:highlight w:val="none"/>
          <w:lang w:val="en-GB"/>
        </w:rPr>
        <w:t>https://www.pewresearch.org/internet/fact-sheet/mobile/</w:t>
      </w:r>
      <w:r>
        <w:rPr>
          <w:rStyle w:val="23"/>
          <w:rFonts w:cs="Arial"/>
          <w:highlight w:val="none"/>
          <w:lang w:val="en-GB"/>
        </w:rPr>
        <w:fldChar w:fldCharType="end"/>
      </w:r>
      <w:r>
        <w:rPr>
          <w:rFonts w:cs="Arial"/>
          <w:highlight w:val="none"/>
          <w:lang w:val="en-GB"/>
        </w:rPr>
        <w:t xml:space="preserve"> (Accessed: 6 August 2026).</w:t>
      </w:r>
    </w:p>
    <w:p w14:paraId="017B8679">
      <w:pPr>
        <w:pStyle w:val="3"/>
        <w:rPr>
          <w:rFonts w:cs="Arial"/>
          <w:highlight w:val="none"/>
          <w:lang w:val="en-GB"/>
        </w:rPr>
      </w:pPr>
      <w:r>
        <w:rPr>
          <w:rFonts w:cs="Arial"/>
          <w:highlight w:val="none"/>
          <w:lang w:val="en-GB"/>
        </w:rPr>
        <w:t xml:space="preserve">Porter, M.E. (1998) </w:t>
      </w:r>
      <w:r>
        <w:rPr>
          <w:rStyle w:val="17"/>
          <w:rFonts w:cs="Arial"/>
          <w:highlight w:val="none"/>
          <w:lang w:val="en-GB"/>
        </w:rPr>
        <w:t>Clusters and the New Economics of Competition.</w:t>
      </w:r>
      <w:r>
        <w:rPr>
          <w:rFonts w:cs="Arial"/>
          <w:highlight w:val="none"/>
          <w:lang w:val="en-GB"/>
        </w:rPr>
        <w:t xml:space="preserve"> Harvard Business Review, 76(6), pp. 7790.</w:t>
      </w:r>
    </w:p>
    <w:p w14:paraId="7AE27F75">
      <w:pPr>
        <w:pStyle w:val="3"/>
        <w:rPr>
          <w:rFonts w:cs="Arial"/>
          <w:highlight w:val="none"/>
          <w:lang w:val="en-GB"/>
        </w:rPr>
      </w:pPr>
      <w:r>
        <w:rPr>
          <w:rFonts w:cs="Arial"/>
          <w:highlight w:val="none"/>
          <w:lang w:val="en-GB"/>
        </w:rPr>
        <w:t xml:space="preserve">Samsung Electronics (2025) </w:t>
      </w:r>
      <w:r>
        <w:rPr>
          <w:rStyle w:val="17"/>
          <w:rFonts w:cs="Arial"/>
          <w:highlight w:val="none"/>
          <w:lang w:val="en-GB"/>
        </w:rPr>
        <w:t>Samsung Electronics Announces Fourth Quarter and FY2024 Results.</w:t>
      </w:r>
      <w:r>
        <w:rPr>
          <w:rFonts w:cs="Arial"/>
          <w:highlight w:val="none"/>
          <w:lang w:val="en-GB"/>
        </w:rPr>
        <w:t xml:space="preserve"> Available at: </w:t>
      </w:r>
      <w:r>
        <w:rPr>
          <w:highlight w:val="none"/>
        </w:rPr>
        <w:fldChar w:fldCharType="begin"/>
      </w:r>
      <w:r>
        <w:rPr>
          <w:highlight w:val="none"/>
        </w:rPr>
        <w:instrText xml:space="preserve"> HYPERLINK "https://news.samsung.com/global/samsung-electronics-announces-fourth-quarter-and-fy-2024-results" \t "_new" </w:instrText>
      </w:r>
      <w:r>
        <w:rPr>
          <w:highlight w:val="none"/>
        </w:rPr>
        <w:fldChar w:fldCharType="separate"/>
      </w:r>
      <w:r>
        <w:rPr>
          <w:rStyle w:val="23"/>
          <w:rFonts w:cs="Arial"/>
          <w:highlight w:val="none"/>
          <w:lang w:val="en-GB"/>
        </w:rPr>
        <w:t>https://news.samsung.com/global/samsung-electronics-announces-fourth-quarter-and-fy-2024-results</w:t>
      </w:r>
      <w:r>
        <w:rPr>
          <w:rStyle w:val="23"/>
          <w:rFonts w:cs="Arial"/>
          <w:highlight w:val="none"/>
          <w:lang w:val="en-GB"/>
        </w:rPr>
        <w:fldChar w:fldCharType="end"/>
      </w:r>
      <w:r>
        <w:rPr>
          <w:rFonts w:cs="Arial"/>
          <w:highlight w:val="none"/>
          <w:lang w:val="en-GB"/>
        </w:rPr>
        <w:t xml:space="preserve"> (Accessed: 6 August 2026).</w:t>
      </w:r>
    </w:p>
    <w:p w14:paraId="5E40B1DA">
      <w:pPr>
        <w:pStyle w:val="3"/>
        <w:rPr>
          <w:rFonts w:cs="Arial"/>
          <w:highlight w:val="none"/>
          <w:lang w:val="en-GB"/>
        </w:rPr>
      </w:pPr>
      <w:r>
        <w:rPr>
          <w:rFonts w:cs="Arial"/>
          <w:highlight w:val="none"/>
          <w:lang w:val="en-GB"/>
        </w:rPr>
        <w:t xml:space="preserve">Samsung Newsroom (2018) </w:t>
      </w:r>
      <w:r>
        <w:rPr>
          <w:rStyle w:val="17"/>
          <w:rFonts w:cs="Arial"/>
          <w:highlight w:val="none"/>
          <w:lang w:val="en-GB"/>
        </w:rPr>
        <w:t>Samsung on Representing the Value of a Strong U.S.-South Korean Relationship.</w:t>
      </w:r>
      <w:r>
        <w:rPr>
          <w:rFonts w:cs="Arial"/>
          <w:highlight w:val="none"/>
          <w:lang w:val="en-GB"/>
        </w:rPr>
        <w:t xml:space="preserve"> Available at: </w:t>
      </w:r>
      <w:r>
        <w:rPr>
          <w:highlight w:val="none"/>
        </w:rPr>
        <w:fldChar w:fldCharType="begin"/>
      </w:r>
      <w:r>
        <w:rPr>
          <w:highlight w:val="none"/>
        </w:rPr>
        <w:instrText xml:space="preserve"> HYPERLINK "https://news.samsung.com/us/samsung-representing-value-strong-u-s-south-korean-relationship/" \t "_new" </w:instrText>
      </w:r>
      <w:r>
        <w:rPr>
          <w:highlight w:val="none"/>
        </w:rPr>
        <w:fldChar w:fldCharType="separate"/>
      </w:r>
      <w:r>
        <w:rPr>
          <w:rStyle w:val="23"/>
          <w:rFonts w:cs="Arial"/>
          <w:highlight w:val="none"/>
          <w:lang w:val="en-GB"/>
        </w:rPr>
        <w:t>https://news.samsung.com/us/samsung-representing-value-strong-u-s-south-korean-relationship/</w:t>
      </w:r>
      <w:r>
        <w:rPr>
          <w:rStyle w:val="23"/>
          <w:rFonts w:cs="Arial"/>
          <w:highlight w:val="none"/>
          <w:lang w:val="en-GB"/>
        </w:rPr>
        <w:fldChar w:fldCharType="end"/>
      </w:r>
      <w:r>
        <w:rPr>
          <w:rFonts w:cs="Arial"/>
          <w:highlight w:val="none"/>
          <w:lang w:val="en-GB"/>
        </w:rPr>
        <w:t xml:space="preserve"> (Accessed: 6 August 2026).</w:t>
      </w:r>
    </w:p>
    <w:p w14:paraId="72F3D148">
      <w:pPr>
        <w:pStyle w:val="3"/>
        <w:rPr>
          <w:rFonts w:cs="Arial"/>
          <w:highlight w:val="none"/>
          <w:lang w:val="en-GB"/>
        </w:rPr>
      </w:pPr>
      <w:r>
        <w:rPr>
          <w:rFonts w:cs="Arial"/>
          <w:highlight w:val="none"/>
          <w:lang w:val="en-GB"/>
        </w:rPr>
        <w:t xml:space="preserve">StatCounter Global Stats (2026) </w:t>
      </w:r>
      <w:r>
        <w:rPr>
          <w:rStyle w:val="17"/>
          <w:rFonts w:cs="Arial"/>
          <w:highlight w:val="none"/>
          <w:lang w:val="en-GB"/>
        </w:rPr>
        <w:t>Mobile Vendor Market Share North America.</w:t>
      </w:r>
      <w:r>
        <w:rPr>
          <w:rFonts w:cs="Arial"/>
          <w:highlight w:val="none"/>
          <w:lang w:val="en-GB"/>
        </w:rPr>
        <w:t xml:space="preserve"> Available at: </w:t>
      </w:r>
      <w:r>
        <w:rPr>
          <w:highlight w:val="none"/>
        </w:rPr>
        <w:fldChar w:fldCharType="begin"/>
      </w:r>
      <w:r>
        <w:rPr>
          <w:highlight w:val="none"/>
        </w:rPr>
        <w:instrText xml:space="preserve"> HYPERLINK "https://gs.statcounter.com/vendor-market-share/mobile/north-america" \t "_new" </w:instrText>
      </w:r>
      <w:r>
        <w:rPr>
          <w:highlight w:val="none"/>
        </w:rPr>
        <w:fldChar w:fldCharType="separate"/>
      </w:r>
      <w:r>
        <w:rPr>
          <w:rStyle w:val="23"/>
          <w:rFonts w:cs="Arial"/>
          <w:highlight w:val="none"/>
          <w:lang w:val="en-GB"/>
        </w:rPr>
        <w:t>https://gs.statcounter.com/vendor-market-share/mobile/north-america</w:t>
      </w:r>
      <w:r>
        <w:rPr>
          <w:rStyle w:val="23"/>
          <w:rFonts w:cs="Arial"/>
          <w:highlight w:val="none"/>
          <w:lang w:val="en-GB"/>
        </w:rPr>
        <w:fldChar w:fldCharType="end"/>
      </w:r>
      <w:r>
        <w:rPr>
          <w:rFonts w:cs="Arial"/>
          <w:highlight w:val="none"/>
          <w:lang w:val="en-GB"/>
        </w:rPr>
        <w:t xml:space="preserve"> (Accessed: 6 August 2026).</w:t>
      </w:r>
    </w:p>
    <w:p w14:paraId="0EB0B63D">
      <w:pPr>
        <w:pStyle w:val="3"/>
        <w:rPr>
          <w:rFonts w:cs="Arial"/>
          <w:highlight w:val="none"/>
          <w:lang w:val="en-GB"/>
        </w:rPr>
      </w:pPr>
      <w:r>
        <w:rPr>
          <w:rFonts w:cs="Arial"/>
          <w:highlight w:val="none"/>
          <w:lang w:val="en-GB"/>
        </w:rPr>
        <w:t xml:space="preserve">Tashakkori, E., Aazami, A., Kummer, S., Mehrabi, S., Pahlevani, J. and Entezami, S. (2026) </w:t>
      </w:r>
      <w:r>
        <w:rPr>
          <w:rStyle w:val="17"/>
          <w:rFonts w:cs="Arial"/>
          <w:highlight w:val="none"/>
          <w:lang w:val="en-GB"/>
        </w:rPr>
        <w:t>Pathways to SME Sustainability in Heritage-Based Economies: Institutional Constraints and Adaptive Responses</w:t>
      </w:r>
      <w:r>
        <w:rPr>
          <w:rFonts w:cs="Arial"/>
          <w:highlight w:val="none"/>
          <w:lang w:val="en-GB"/>
        </w:rPr>
        <w:t xml:space="preserve">. Businesses, 6(2), Article 22. </w:t>
      </w:r>
      <w:r>
        <w:rPr>
          <w:highlight w:val="none"/>
        </w:rPr>
        <w:fldChar w:fldCharType="begin"/>
      </w:r>
      <w:r>
        <w:rPr>
          <w:highlight w:val="none"/>
        </w:rPr>
        <w:instrText xml:space="preserve"> HYPERLINK "https://www.mdpi.com/2673-7116/6/2/22" </w:instrText>
      </w:r>
      <w:r>
        <w:rPr>
          <w:highlight w:val="none"/>
        </w:rPr>
        <w:fldChar w:fldCharType="separate"/>
      </w:r>
      <w:r>
        <w:rPr>
          <w:rStyle w:val="23"/>
          <w:rFonts w:cs="Arial"/>
          <w:highlight w:val="none"/>
          <w:lang w:val="en-GB"/>
        </w:rPr>
        <w:t>https://www.mdpi.com/2673-7116/6/2/22</w:t>
      </w:r>
      <w:r>
        <w:rPr>
          <w:rStyle w:val="23"/>
          <w:rFonts w:cs="Arial"/>
          <w:highlight w:val="none"/>
          <w:lang w:val="en-GB"/>
        </w:rPr>
        <w:fldChar w:fldCharType="end"/>
      </w:r>
      <w:r>
        <w:rPr>
          <w:rFonts w:cs="Arial"/>
          <w:highlight w:val="none"/>
          <w:lang w:val="en-GB"/>
        </w:rPr>
        <w:t xml:space="preserve"> </w:t>
      </w:r>
    </w:p>
    <w:p w14:paraId="2C4BF809">
      <w:pPr>
        <w:pStyle w:val="3"/>
        <w:rPr>
          <w:rFonts w:cs="Arial"/>
          <w:highlight w:val="none"/>
          <w:lang w:val="en-GB"/>
        </w:rPr>
      </w:pPr>
      <w:r>
        <w:rPr>
          <w:rFonts w:cs="Arial"/>
          <w:highlight w:val="none"/>
          <w:lang w:val="en-GB"/>
        </w:rPr>
        <w:t xml:space="preserve">Verbeke, A., Kano, L. and colleagues (2026) </w:t>
      </w:r>
      <w:r>
        <w:rPr>
          <w:rStyle w:val="17"/>
          <w:rFonts w:cs="Arial"/>
          <w:highlight w:val="none"/>
          <w:lang w:val="en-GB"/>
        </w:rPr>
        <w:t>The Digital Transformation of International Business: A Conceptualization, Multidisciplinary Review, and Research Agenda</w:t>
      </w:r>
      <w:r>
        <w:rPr>
          <w:rFonts w:cs="Arial"/>
          <w:highlight w:val="none"/>
          <w:lang w:val="en-GB"/>
        </w:rPr>
        <w:t xml:space="preserve">. Journal of World Business, 61(1). Available at: </w:t>
      </w:r>
      <w:r>
        <w:rPr>
          <w:highlight w:val="none"/>
        </w:rPr>
        <w:fldChar w:fldCharType="begin"/>
      </w:r>
      <w:r>
        <w:rPr>
          <w:highlight w:val="none"/>
        </w:rPr>
        <w:instrText xml:space="preserve"> HYPERLINK "https://www.sciencedirect.com/science/article/pii/S1090951625000835" </w:instrText>
      </w:r>
      <w:r>
        <w:rPr>
          <w:highlight w:val="none"/>
        </w:rPr>
        <w:fldChar w:fldCharType="separate"/>
      </w:r>
      <w:r>
        <w:rPr>
          <w:rStyle w:val="23"/>
          <w:rFonts w:cs="Arial"/>
          <w:highlight w:val="none"/>
          <w:lang w:val="en-GB"/>
        </w:rPr>
        <w:t>https://www.sciencedirect.com/science/article/pii/S1090951625000835</w:t>
      </w:r>
      <w:r>
        <w:rPr>
          <w:rStyle w:val="23"/>
          <w:rFonts w:cs="Arial"/>
          <w:highlight w:val="none"/>
          <w:lang w:val="en-GB"/>
        </w:rPr>
        <w:fldChar w:fldCharType="end"/>
      </w:r>
      <w:r>
        <w:rPr>
          <w:rFonts w:cs="Arial"/>
          <w:highlight w:val="none"/>
          <w:lang w:val="en-GB"/>
        </w:rPr>
        <w:t xml:space="preserve"> (Accessed: 6 August 2026). </w:t>
      </w:r>
    </w:p>
    <w:p w14:paraId="79773BBF">
      <w:pPr>
        <w:pStyle w:val="3"/>
        <w:rPr>
          <w:rFonts w:cs="Arial"/>
          <w:highlight w:val="none"/>
          <w:lang w:val="en-GB"/>
        </w:rPr>
      </w:pPr>
      <w:r>
        <w:rPr>
          <w:rFonts w:cs="Arial"/>
          <w:highlight w:val="none"/>
          <w:lang w:val="en-GB"/>
        </w:rPr>
        <w:t xml:space="preserve">World Intellectual Property Organization (2025) </w:t>
      </w:r>
      <w:r>
        <w:rPr>
          <w:rStyle w:val="17"/>
          <w:rFonts w:cs="Arial"/>
          <w:highlight w:val="none"/>
          <w:lang w:val="en-GB"/>
        </w:rPr>
        <w:t>Global Innovation Index 2025</w:t>
      </w:r>
      <w:r>
        <w:rPr>
          <w:rFonts w:cs="Arial"/>
          <w:highlight w:val="none"/>
          <w:lang w:val="en-GB"/>
        </w:rPr>
        <w:t xml:space="preserve">. Available at: </w:t>
      </w:r>
      <w:r>
        <w:rPr>
          <w:highlight w:val="none"/>
        </w:rPr>
        <w:fldChar w:fldCharType="begin"/>
      </w:r>
      <w:r>
        <w:rPr>
          <w:highlight w:val="none"/>
        </w:rPr>
        <w:instrText xml:space="preserve"> HYPERLINK "https://www.wipo.int/en/web/global-innovation-index" </w:instrText>
      </w:r>
      <w:r>
        <w:rPr>
          <w:highlight w:val="none"/>
        </w:rPr>
        <w:fldChar w:fldCharType="separate"/>
      </w:r>
      <w:r>
        <w:rPr>
          <w:rStyle w:val="23"/>
          <w:rFonts w:cs="Arial"/>
          <w:highlight w:val="none"/>
          <w:lang w:val="en-GB"/>
        </w:rPr>
        <w:t>https://www.wipo.int/en/web/global-innovation-index</w:t>
      </w:r>
      <w:r>
        <w:rPr>
          <w:rStyle w:val="23"/>
          <w:rFonts w:cs="Arial"/>
          <w:highlight w:val="none"/>
          <w:lang w:val="en-GB"/>
        </w:rPr>
        <w:fldChar w:fldCharType="end"/>
      </w:r>
      <w:r>
        <w:rPr>
          <w:rFonts w:cs="Arial"/>
          <w:highlight w:val="none"/>
          <w:lang w:val="en-GB"/>
        </w:rPr>
        <w:t xml:space="preserve"> (Accessed: 6 August 2026).</w:t>
      </w:r>
    </w:p>
    <w:p w14:paraId="6E3BFD5A">
      <w:pPr>
        <w:pStyle w:val="3"/>
        <w:rPr>
          <w:rFonts w:cs="Arial"/>
          <w:highlight w:val="none"/>
          <w:lang w:val="en-GB"/>
        </w:rPr>
      </w:pPr>
    </w:p>
    <w:sectPr>
      <w:footerReference r:id="rId4" w:type="default"/>
      <w:footerReference r:id="rId5" w:type="even"/>
      <w:footnotePr>
        <w:numRestart w:val="eachSect"/>
      </w:footnotePr>
      <w:pgSz w:w="12240" w:h="15840"/>
      <w:pgMar w:top="1440" w:right="1440" w:bottom="1440" w:left="144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UI"/>
    <w:panose1 w:val="020B0004020202020204"/>
    <w:charset w:val="86"/>
    <w:family w:val="swiss"/>
    <w:pitch w:val="default"/>
    <w:sig w:usb0="00000000" w:usb1="00000000" w:usb2="00000000" w:usb3="00000000" w:csb0="0000019F" w:csb1="00000000"/>
  </w:font>
  <w:font w:name="Aptos">
    <w:altName w:val="Segoe UI"/>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Aptos Display">
    <w:altName w:val="Segoe UI Variable Display"/>
    <w:panose1 w:val="020B0004020202020204"/>
    <w:charset w:val="00"/>
    <w:family w:val="swiss"/>
    <w:pitch w:val="default"/>
    <w:sig w:usb0="00000000" w:usb1="00000000" w:usb2="00000000" w:usb3="00000000" w:csb0="0000019F" w:csb1="00000000"/>
  </w:font>
  <w:font w:name="Consolas">
    <w:panose1 w:val="020B0609020204030204"/>
    <w:charset w:val="00"/>
    <w:family w:val="modern"/>
    <w:pitch w:val="default"/>
    <w:sig w:usb0="E00006FF" w:usb1="0000FCFF" w:usb2="00000001" w:usb3="00000000" w:csb0="6000019F" w:csb1="DFD70000"/>
  </w:font>
  <w:font w:name="等线">
    <w:altName w:val="Microsoft YaHei"/>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Segoe UI">
    <w:panose1 w:val="020B0502040204020203"/>
    <w:charset w:val="00"/>
    <w:family w:val="auto"/>
    <w:pitch w:val="default"/>
    <w:sig w:usb0="E4002EFF" w:usb1="C000E47F" w:usb2="00000009" w:usb3="00000000" w:csb0="200001FF" w:csb1="00000000"/>
  </w:font>
  <w:font w:name="Segoe UI Variable Display">
    <w:panose1 w:val="00000000000000000000"/>
    <w:charset w:val="00"/>
    <w:family w:val="auto"/>
    <w:pitch w:val="default"/>
    <w:sig w:usb0="A00002FF" w:usb1="0000000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5"/>
      </w:rPr>
      <w:id w:val="-48383681"/>
      <w:docPartObj>
        <w:docPartGallery w:val="AutoText"/>
      </w:docPartObj>
    </w:sdtPr>
    <w:sdtEndPr>
      <w:rPr>
        <w:rStyle w:val="25"/>
      </w:rPr>
    </w:sdtEndPr>
    <w:sdtContent>
      <w:p w14:paraId="18431CEB">
        <w:pPr>
          <w:pStyle w:val="18"/>
          <w:framePr w:wrap="auto" w:vAnchor="text" w:hAnchor="margin" w:xAlign="right" w:y="1"/>
          <w:rPr>
            <w:rStyle w:val="25"/>
          </w:rPr>
        </w:pPr>
        <w:r>
          <w:rPr>
            <w:rStyle w:val="25"/>
          </w:rPr>
          <w:fldChar w:fldCharType="begin"/>
        </w:r>
        <w:r>
          <w:rPr>
            <w:rStyle w:val="25"/>
          </w:rPr>
          <w:instrText xml:space="preserve"> PAGE </w:instrText>
        </w:r>
        <w:r>
          <w:rPr>
            <w:rStyle w:val="25"/>
          </w:rPr>
          <w:fldChar w:fldCharType="separate"/>
        </w:r>
        <w:r>
          <w:rPr>
            <w:rStyle w:val="25"/>
          </w:rPr>
          <w:t>1</w:t>
        </w:r>
        <w:r>
          <w:rPr>
            <w:rStyle w:val="25"/>
          </w:rPr>
          <w:fldChar w:fldCharType="end"/>
        </w:r>
      </w:p>
    </w:sdtContent>
  </w:sdt>
  <w:p w14:paraId="0B56B3F9">
    <w:pPr>
      <w:pStyle w:val="1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5"/>
      </w:rPr>
      <w:id w:val="1826087019"/>
      <w:docPartObj>
        <w:docPartGallery w:val="AutoText"/>
      </w:docPartObj>
    </w:sdtPr>
    <w:sdtEndPr>
      <w:rPr>
        <w:rStyle w:val="25"/>
      </w:rPr>
    </w:sdtEndPr>
    <w:sdtContent>
      <w:p w14:paraId="41858D7E">
        <w:pPr>
          <w:pStyle w:val="18"/>
          <w:framePr w:wrap="auto" w:vAnchor="text" w:hAnchor="margin" w:xAlign="right" w:y="1"/>
          <w:rPr>
            <w:rStyle w:val="25"/>
          </w:rPr>
        </w:pPr>
        <w:r>
          <w:rPr>
            <w:rStyle w:val="25"/>
          </w:rPr>
          <w:fldChar w:fldCharType="begin"/>
        </w:r>
        <w:r>
          <w:rPr>
            <w:rStyle w:val="25"/>
          </w:rPr>
          <w:instrText xml:space="preserve"> PAGE </w:instrText>
        </w:r>
        <w:r>
          <w:rPr>
            <w:rStyle w:val="25"/>
          </w:rPr>
          <w:fldChar w:fldCharType="end"/>
        </w:r>
      </w:p>
    </w:sdtContent>
  </w:sdt>
  <w:p w14:paraId="32A365CF">
    <w:pPr>
      <w:pStyle w:val="1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7415A4"/>
    <w:multiLevelType w:val="multilevel"/>
    <w:tmpl w:val="4D7415A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9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nforcement="0"/>
  <w:defaultTabStop w:val="720"/>
  <w:drawingGridHorizontalSpacing w:val="360"/>
  <w:drawingGridVerticalSpacing w:val="360"/>
  <w:displayHorizontalDrawingGridEvery w:val="0"/>
  <w:displayVerticalDrawingGridEvery w:val="0"/>
  <w:characterSpacingControl w:val="doNotCompress"/>
  <w:footnotePr>
    <w:numRestart w:val="eachSect"/>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001"/>
    <w:rsid w:val="00032DF4"/>
    <w:rsid w:val="00041805"/>
    <w:rsid w:val="0004717A"/>
    <w:rsid w:val="000554CD"/>
    <w:rsid w:val="00056767"/>
    <w:rsid w:val="00064134"/>
    <w:rsid w:val="00064C71"/>
    <w:rsid w:val="0006569A"/>
    <w:rsid w:val="00084A37"/>
    <w:rsid w:val="000876E3"/>
    <w:rsid w:val="000A25A6"/>
    <w:rsid w:val="000B545C"/>
    <w:rsid w:val="000D3C95"/>
    <w:rsid w:val="000E60FF"/>
    <w:rsid w:val="00111D34"/>
    <w:rsid w:val="001209E9"/>
    <w:rsid w:val="0012491F"/>
    <w:rsid w:val="00135AD5"/>
    <w:rsid w:val="001479B2"/>
    <w:rsid w:val="00162218"/>
    <w:rsid w:val="00181E90"/>
    <w:rsid w:val="001A0469"/>
    <w:rsid w:val="001A3417"/>
    <w:rsid w:val="001E01C5"/>
    <w:rsid w:val="001E3F6B"/>
    <w:rsid w:val="001E7871"/>
    <w:rsid w:val="002160E3"/>
    <w:rsid w:val="00233391"/>
    <w:rsid w:val="0025091E"/>
    <w:rsid w:val="00253DFC"/>
    <w:rsid w:val="0026150D"/>
    <w:rsid w:val="00270CC9"/>
    <w:rsid w:val="00285DF1"/>
    <w:rsid w:val="002D0D2D"/>
    <w:rsid w:val="002D27CA"/>
    <w:rsid w:val="002E3EA1"/>
    <w:rsid w:val="002E7F6C"/>
    <w:rsid w:val="00303CE0"/>
    <w:rsid w:val="00316EC5"/>
    <w:rsid w:val="00334263"/>
    <w:rsid w:val="00337733"/>
    <w:rsid w:val="003444FD"/>
    <w:rsid w:val="003B4D13"/>
    <w:rsid w:val="003B7435"/>
    <w:rsid w:val="003D6094"/>
    <w:rsid w:val="003E4E09"/>
    <w:rsid w:val="003E71D0"/>
    <w:rsid w:val="003F7598"/>
    <w:rsid w:val="004021A9"/>
    <w:rsid w:val="00410185"/>
    <w:rsid w:val="004138D7"/>
    <w:rsid w:val="00414565"/>
    <w:rsid w:val="00424B4E"/>
    <w:rsid w:val="00444100"/>
    <w:rsid w:val="00451C97"/>
    <w:rsid w:val="00465FBA"/>
    <w:rsid w:val="004936F4"/>
    <w:rsid w:val="00495CC0"/>
    <w:rsid w:val="004A5A33"/>
    <w:rsid w:val="004C2258"/>
    <w:rsid w:val="004D3891"/>
    <w:rsid w:val="004E7F5B"/>
    <w:rsid w:val="00510BB2"/>
    <w:rsid w:val="00525D33"/>
    <w:rsid w:val="00536B71"/>
    <w:rsid w:val="005500F1"/>
    <w:rsid w:val="005575B2"/>
    <w:rsid w:val="00566979"/>
    <w:rsid w:val="00574DF4"/>
    <w:rsid w:val="0058742B"/>
    <w:rsid w:val="005B68A1"/>
    <w:rsid w:val="005C0371"/>
    <w:rsid w:val="005C694C"/>
    <w:rsid w:val="005E39D5"/>
    <w:rsid w:val="005E5DE5"/>
    <w:rsid w:val="005F3AE5"/>
    <w:rsid w:val="00606F8A"/>
    <w:rsid w:val="0064303D"/>
    <w:rsid w:val="0064354A"/>
    <w:rsid w:val="00656FBF"/>
    <w:rsid w:val="006606FE"/>
    <w:rsid w:val="0066452F"/>
    <w:rsid w:val="00665545"/>
    <w:rsid w:val="00670B32"/>
    <w:rsid w:val="006907BB"/>
    <w:rsid w:val="00694F6E"/>
    <w:rsid w:val="006B1224"/>
    <w:rsid w:val="006B3674"/>
    <w:rsid w:val="006F6C4B"/>
    <w:rsid w:val="0071299C"/>
    <w:rsid w:val="007353C4"/>
    <w:rsid w:val="007367A2"/>
    <w:rsid w:val="007505ED"/>
    <w:rsid w:val="00760940"/>
    <w:rsid w:val="00767341"/>
    <w:rsid w:val="00771AD4"/>
    <w:rsid w:val="00775775"/>
    <w:rsid w:val="00793DD6"/>
    <w:rsid w:val="0079611B"/>
    <w:rsid w:val="007B647E"/>
    <w:rsid w:val="007C0EEF"/>
    <w:rsid w:val="007C136E"/>
    <w:rsid w:val="00810D71"/>
    <w:rsid w:val="00822DE1"/>
    <w:rsid w:val="0083247C"/>
    <w:rsid w:val="0083301C"/>
    <w:rsid w:val="00833357"/>
    <w:rsid w:val="00834BCA"/>
    <w:rsid w:val="008457FB"/>
    <w:rsid w:val="00857211"/>
    <w:rsid w:val="00890218"/>
    <w:rsid w:val="008B06B7"/>
    <w:rsid w:val="008C1537"/>
    <w:rsid w:val="008C3F32"/>
    <w:rsid w:val="008D00B4"/>
    <w:rsid w:val="008D2670"/>
    <w:rsid w:val="008D424D"/>
    <w:rsid w:val="008E1B9B"/>
    <w:rsid w:val="009063C8"/>
    <w:rsid w:val="00924464"/>
    <w:rsid w:val="009306DE"/>
    <w:rsid w:val="00963001"/>
    <w:rsid w:val="00963181"/>
    <w:rsid w:val="00965EEB"/>
    <w:rsid w:val="009A4FB8"/>
    <w:rsid w:val="009A7383"/>
    <w:rsid w:val="009B0605"/>
    <w:rsid w:val="009B4311"/>
    <w:rsid w:val="009C2AE1"/>
    <w:rsid w:val="009D2F6C"/>
    <w:rsid w:val="009E2D8B"/>
    <w:rsid w:val="00A03CD0"/>
    <w:rsid w:val="00A04B0C"/>
    <w:rsid w:val="00A05954"/>
    <w:rsid w:val="00A37D06"/>
    <w:rsid w:val="00A66CF4"/>
    <w:rsid w:val="00A67128"/>
    <w:rsid w:val="00A72D90"/>
    <w:rsid w:val="00A92284"/>
    <w:rsid w:val="00AA6661"/>
    <w:rsid w:val="00AB59E1"/>
    <w:rsid w:val="00AD2846"/>
    <w:rsid w:val="00AE1931"/>
    <w:rsid w:val="00AE69C3"/>
    <w:rsid w:val="00AF63AC"/>
    <w:rsid w:val="00B27189"/>
    <w:rsid w:val="00B311B6"/>
    <w:rsid w:val="00B53348"/>
    <w:rsid w:val="00B6152E"/>
    <w:rsid w:val="00B81456"/>
    <w:rsid w:val="00B8284F"/>
    <w:rsid w:val="00B85D4C"/>
    <w:rsid w:val="00B93312"/>
    <w:rsid w:val="00BA6AFA"/>
    <w:rsid w:val="00BA6E97"/>
    <w:rsid w:val="00BD099D"/>
    <w:rsid w:val="00BD6EA5"/>
    <w:rsid w:val="00BD73F0"/>
    <w:rsid w:val="00BE584D"/>
    <w:rsid w:val="00C10CF1"/>
    <w:rsid w:val="00C3108A"/>
    <w:rsid w:val="00C43E5B"/>
    <w:rsid w:val="00C62DE3"/>
    <w:rsid w:val="00C64240"/>
    <w:rsid w:val="00C829FA"/>
    <w:rsid w:val="00CA26CC"/>
    <w:rsid w:val="00CA3A6C"/>
    <w:rsid w:val="00CC7F6D"/>
    <w:rsid w:val="00CD44C5"/>
    <w:rsid w:val="00CF7D45"/>
    <w:rsid w:val="00D13EA4"/>
    <w:rsid w:val="00D6692E"/>
    <w:rsid w:val="00D90CEB"/>
    <w:rsid w:val="00D950D9"/>
    <w:rsid w:val="00DB1BD9"/>
    <w:rsid w:val="00DE1C11"/>
    <w:rsid w:val="00E164D8"/>
    <w:rsid w:val="00E17E67"/>
    <w:rsid w:val="00E24756"/>
    <w:rsid w:val="00E31F7B"/>
    <w:rsid w:val="00E53758"/>
    <w:rsid w:val="00E557CB"/>
    <w:rsid w:val="00E656B2"/>
    <w:rsid w:val="00E7166C"/>
    <w:rsid w:val="00E812D0"/>
    <w:rsid w:val="00E916F0"/>
    <w:rsid w:val="00E95C1D"/>
    <w:rsid w:val="00EA3AA2"/>
    <w:rsid w:val="00EA6551"/>
    <w:rsid w:val="00ED44A6"/>
    <w:rsid w:val="00EE43C6"/>
    <w:rsid w:val="00EE650D"/>
    <w:rsid w:val="00EF40F9"/>
    <w:rsid w:val="00F16C04"/>
    <w:rsid w:val="00F40667"/>
    <w:rsid w:val="00F76B43"/>
    <w:rsid w:val="00F84042"/>
    <w:rsid w:val="00F85215"/>
    <w:rsid w:val="00FC6BD6"/>
    <w:rsid w:val="00FD3D20"/>
    <w:rsid w:val="00FD6944"/>
    <w:rsid w:val="00FE02B6"/>
    <w:rsid w:val="6C5048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 w:semiHidden="0" w:name="Block Text"/>
    <w:lsdException w:unhideWhenUsed="0" w:uiPriority="99"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pPr>
    <w:rPr>
      <w:rFonts w:ascii="Times New Roman" w:hAnsi="Times New Roman" w:eastAsia="Times New Roman" w:cs="Times New Roman"/>
      <w:sz w:val="24"/>
      <w:szCs w:val="24"/>
      <w:lang w:val="en-IN" w:eastAsia="en-GB" w:bidi="ar-SA"/>
    </w:rPr>
  </w:style>
  <w:style w:type="paragraph" w:styleId="2">
    <w:name w:val="heading 1"/>
    <w:basedOn w:val="1"/>
    <w:next w:val="3"/>
    <w:link w:val="47"/>
    <w:qFormat/>
    <w:uiPriority w:val="9"/>
    <w:pPr>
      <w:keepNext/>
      <w:keepLines/>
      <w:spacing w:before="360" w:after="80" w:line="360" w:lineRule="auto"/>
      <w:jc w:val="both"/>
      <w:outlineLvl w:val="0"/>
    </w:pPr>
    <w:rPr>
      <w:rFonts w:ascii="Arial" w:hAnsi="Arial" w:eastAsiaTheme="majorEastAsia" w:cstheme="majorBidi"/>
      <w:b/>
      <w:sz w:val="28"/>
      <w:szCs w:val="40"/>
      <w:lang w:val="en" w:eastAsia="en-US"/>
    </w:rPr>
  </w:style>
  <w:style w:type="paragraph" w:styleId="4">
    <w:name w:val="heading 2"/>
    <w:basedOn w:val="1"/>
    <w:next w:val="3"/>
    <w:link w:val="48"/>
    <w:semiHidden/>
    <w:unhideWhenUsed/>
    <w:qFormat/>
    <w:uiPriority w:val="9"/>
    <w:pPr>
      <w:keepNext/>
      <w:keepLines/>
      <w:spacing w:before="160" w:after="80" w:line="360" w:lineRule="auto"/>
      <w:jc w:val="both"/>
      <w:outlineLvl w:val="1"/>
    </w:pPr>
    <w:rPr>
      <w:rFonts w:asciiTheme="majorHAnsi" w:hAnsiTheme="majorHAnsi" w:eastAsiaTheme="majorEastAsia" w:cstheme="majorBidi"/>
      <w:color w:val="104862" w:themeColor="accent1" w:themeShade="BF"/>
      <w:sz w:val="32"/>
      <w:szCs w:val="32"/>
      <w:lang w:val="en" w:eastAsia="en-US"/>
    </w:rPr>
  </w:style>
  <w:style w:type="paragraph" w:styleId="5">
    <w:name w:val="heading 3"/>
    <w:basedOn w:val="1"/>
    <w:next w:val="3"/>
    <w:link w:val="49"/>
    <w:unhideWhenUsed/>
    <w:qFormat/>
    <w:uiPriority w:val="9"/>
    <w:pPr>
      <w:keepNext/>
      <w:keepLines/>
      <w:spacing w:before="160" w:after="80" w:line="360" w:lineRule="auto"/>
      <w:jc w:val="both"/>
      <w:outlineLvl w:val="2"/>
    </w:pPr>
    <w:rPr>
      <w:rFonts w:ascii="Arial" w:hAnsi="Arial" w:eastAsiaTheme="majorEastAsia" w:cstheme="majorBidi"/>
      <w:color w:val="104862" w:themeColor="accent1" w:themeShade="BF"/>
      <w:sz w:val="28"/>
      <w:szCs w:val="28"/>
      <w:lang w:val="en" w:eastAsia="en-US"/>
    </w:rPr>
  </w:style>
  <w:style w:type="paragraph" w:styleId="6">
    <w:name w:val="heading 4"/>
    <w:basedOn w:val="1"/>
    <w:next w:val="3"/>
    <w:link w:val="50"/>
    <w:semiHidden/>
    <w:unhideWhenUsed/>
    <w:qFormat/>
    <w:uiPriority w:val="9"/>
    <w:pPr>
      <w:keepNext/>
      <w:keepLines/>
      <w:spacing w:before="80" w:after="40" w:line="360" w:lineRule="auto"/>
      <w:jc w:val="both"/>
      <w:outlineLvl w:val="3"/>
    </w:pPr>
    <w:rPr>
      <w:rFonts w:ascii="Arial" w:hAnsi="Arial" w:eastAsiaTheme="majorEastAsia" w:cstheme="majorBidi"/>
      <w:i/>
      <w:iCs/>
      <w:color w:val="104862" w:themeColor="accent1" w:themeShade="BF"/>
      <w:lang w:val="en" w:eastAsia="en-US"/>
    </w:rPr>
  </w:style>
  <w:style w:type="paragraph" w:styleId="7">
    <w:name w:val="heading 5"/>
    <w:basedOn w:val="1"/>
    <w:next w:val="3"/>
    <w:link w:val="51"/>
    <w:semiHidden/>
    <w:unhideWhenUsed/>
    <w:qFormat/>
    <w:uiPriority w:val="9"/>
    <w:pPr>
      <w:keepNext/>
      <w:keepLines/>
      <w:spacing w:before="80" w:after="40" w:line="360" w:lineRule="auto"/>
      <w:jc w:val="both"/>
      <w:outlineLvl w:val="4"/>
    </w:pPr>
    <w:rPr>
      <w:rFonts w:ascii="Arial" w:hAnsi="Arial" w:eastAsiaTheme="majorEastAsia" w:cstheme="majorBidi"/>
      <w:color w:val="104862" w:themeColor="accent1" w:themeShade="BF"/>
      <w:lang w:val="en" w:eastAsia="en-US"/>
    </w:rPr>
  </w:style>
  <w:style w:type="paragraph" w:styleId="8">
    <w:name w:val="heading 6"/>
    <w:basedOn w:val="1"/>
    <w:next w:val="3"/>
    <w:link w:val="52"/>
    <w:semiHidden/>
    <w:unhideWhenUsed/>
    <w:qFormat/>
    <w:uiPriority w:val="9"/>
    <w:pPr>
      <w:keepNext/>
      <w:keepLines/>
      <w:spacing w:before="40" w:line="360" w:lineRule="auto"/>
      <w:jc w:val="both"/>
      <w:outlineLvl w:val="5"/>
    </w:pPr>
    <w:rPr>
      <w:rFonts w:ascii="Arial" w:hAnsi="Arial" w:eastAsiaTheme="majorEastAsia" w:cstheme="majorBidi"/>
      <w:i/>
      <w:iCs/>
      <w:color w:val="595959" w:themeColor="text1" w:themeTint="A6"/>
      <w:lang w:val="en" w:eastAsia="en-US"/>
      <w14:textFill>
        <w14:solidFill>
          <w14:schemeClr w14:val="tx1">
            <w14:lumMod w14:val="65000"/>
            <w14:lumOff w14:val="35000"/>
          </w14:schemeClr>
        </w14:solidFill>
      </w14:textFill>
    </w:rPr>
  </w:style>
  <w:style w:type="paragraph" w:styleId="9">
    <w:name w:val="heading 7"/>
    <w:basedOn w:val="1"/>
    <w:next w:val="3"/>
    <w:link w:val="53"/>
    <w:semiHidden/>
    <w:unhideWhenUsed/>
    <w:qFormat/>
    <w:uiPriority w:val="9"/>
    <w:pPr>
      <w:keepNext/>
      <w:keepLines/>
      <w:spacing w:before="40" w:line="360" w:lineRule="auto"/>
      <w:jc w:val="both"/>
      <w:outlineLvl w:val="6"/>
    </w:pPr>
    <w:rPr>
      <w:rFonts w:ascii="Arial" w:hAnsi="Arial" w:eastAsiaTheme="majorEastAsia" w:cstheme="majorBidi"/>
      <w:color w:val="595959" w:themeColor="text1" w:themeTint="A6"/>
      <w:lang w:val="en" w:eastAsia="en-US"/>
      <w14:textFill>
        <w14:solidFill>
          <w14:schemeClr w14:val="tx1">
            <w14:lumMod w14:val="65000"/>
            <w14:lumOff w14:val="35000"/>
          </w14:schemeClr>
        </w14:solidFill>
      </w14:textFill>
    </w:rPr>
  </w:style>
  <w:style w:type="paragraph" w:styleId="10">
    <w:name w:val="heading 8"/>
    <w:basedOn w:val="1"/>
    <w:next w:val="3"/>
    <w:link w:val="54"/>
    <w:semiHidden/>
    <w:unhideWhenUsed/>
    <w:qFormat/>
    <w:uiPriority w:val="9"/>
    <w:pPr>
      <w:keepNext/>
      <w:keepLines/>
      <w:spacing w:line="360" w:lineRule="auto"/>
      <w:jc w:val="both"/>
      <w:outlineLvl w:val="7"/>
    </w:pPr>
    <w:rPr>
      <w:rFonts w:ascii="Arial" w:hAnsi="Arial" w:eastAsiaTheme="majorEastAsia" w:cstheme="majorBidi"/>
      <w:i/>
      <w:iCs/>
      <w:color w:val="262626" w:themeColor="text1" w:themeTint="D9"/>
      <w:lang w:val="en" w:eastAsia="en-US"/>
      <w14:textFill>
        <w14:solidFill>
          <w14:schemeClr w14:val="tx1">
            <w14:lumMod w14:val="85000"/>
            <w14:lumOff w14:val="15000"/>
          </w14:schemeClr>
        </w14:solidFill>
      </w14:textFill>
    </w:rPr>
  </w:style>
  <w:style w:type="paragraph" w:styleId="11">
    <w:name w:val="heading 9"/>
    <w:basedOn w:val="1"/>
    <w:next w:val="3"/>
    <w:link w:val="55"/>
    <w:semiHidden/>
    <w:unhideWhenUsed/>
    <w:qFormat/>
    <w:uiPriority w:val="9"/>
    <w:pPr>
      <w:keepNext/>
      <w:keepLines/>
      <w:spacing w:line="360" w:lineRule="auto"/>
      <w:jc w:val="both"/>
      <w:outlineLvl w:val="8"/>
    </w:pPr>
    <w:rPr>
      <w:rFonts w:ascii="Arial" w:hAnsi="Arial" w:eastAsiaTheme="majorEastAsia" w:cstheme="majorBidi"/>
      <w:color w:val="262626" w:themeColor="text1" w:themeTint="D9"/>
      <w:lang w:val="en" w:eastAsia="en-US"/>
      <w14:textFill>
        <w14:solidFill>
          <w14:schemeClr w14:val="tx1">
            <w14:lumMod w14:val="85000"/>
            <w14:lumOff w14:val="15000"/>
          </w14:schemeClr>
        </w14:solidFill>
      </w14:textFill>
    </w:rPr>
  </w:style>
  <w:style w:type="character" w:default="1" w:styleId="12">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02"/>
    <w:qFormat/>
    <w:uiPriority w:val="0"/>
    <w:pPr>
      <w:spacing w:before="180" w:after="180" w:line="360" w:lineRule="auto"/>
      <w:jc w:val="both"/>
    </w:pPr>
    <w:rPr>
      <w:rFonts w:ascii="Arial" w:hAnsi="Arial" w:eastAsiaTheme="minorHAnsi" w:cstheme="minorBidi"/>
      <w:lang w:val="en" w:eastAsia="en-US"/>
    </w:rPr>
  </w:style>
  <w:style w:type="paragraph" w:styleId="14">
    <w:name w:val="Block Text"/>
    <w:basedOn w:val="3"/>
    <w:next w:val="3"/>
    <w:unhideWhenUsed/>
    <w:qFormat/>
    <w:uiPriority w:val="9"/>
    <w:pPr>
      <w:spacing w:before="100" w:after="100"/>
      <w:ind w:left="480" w:right="480"/>
    </w:pPr>
  </w:style>
  <w:style w:type="paragraph" w:styleId="15">
    <w:name w:val="caption"/>
    <w:basedOn w:val="1"/>
    <w:link w:val="20"/>
    <w:uiPriority w:val="0"/>
    <w:pPr>
      <w:spacing w:after="120" w:line="360" w:lineRule="auto"/>
      <w:jc w:val="both"/>
    </w:pPr>
    <w:rPr>
      <w:rFonts w:ascii="Arial" w:hAnsi="Arial" w:eastAsiaTheme="minorHAnsi" w:cstheme="minorBidi"/>
      <w:i/>
      <w:lang w:val="en" w:eastAsia="en-US"/>
    </w:rPr>
  </w:style>
  <w:style w:type="paragraph" w:styleId="16">
    <w:name w:val="Date"/>
    <w:next w:val="3"/>
    <w:qFormat/>
    <w:uiPriority w:val="0"/>
    <w:pPr>
      <w:keepNext/>
      <w:keepLines/>
      <w:spacing w:after="200"/>
      <w:jc w:val="center"/>
    </w:pPr>
    <w:rPr>
      <w:rFonts w:asciiTheme="minorHAnsi" w:hAnsiTheme="minorHAnsi" w:eastAsiaTheme="minorHAnsi" w:cstheme="minorBidi"/>
      <w:sz w:val="24"/>
      <w:szCs w:val="24"/>
      <w:lang w:val="en" w:eastAsia="en-US" w:bidi="ar-SA"/>
    </w:rPr>
  </w:style>
  <w:style w:type="character" w:styleId="17">
    <w:name w:val="Emphasis"/>
    <w:basedOn w:val="12"/>
    <w:qFormat/>
    <w:uiPriority w:val="20"/>
    <w:rPr>
      <w:i/>
      <w:iCs/>
    </w:rPr>
  </w:style>
  <w:style w:type="paragraph" w:styleId="18">
    <w:name w:val="footer"/>
    <w:basedOn w:val="1"/>
    <w:link w:val="101"/>
    <w:uiPriority w:val="99"/>
    <w:pPr>
      <w:tabs>
        <w:tab w:val="center" w:pos="4513"/>
        <w:tab w:val="right" w:pos="9026"/>
      </w:tabs>
      <w:spacing w:line="360" w:lineRule="auto"/>
      <w:jc w:val="both"/>
    </w:pPr>
    <w:rPr>
      <w:rFonts w:ascii="Arial" w:hAnsi="Arial" w:eastAsiaTheme="minorHAnsi" w:cstheme="minorBidi"/>
      <w:lang w:val="en" w:eastAsia="en-US"/>
    </w:rPr>
  </w:style>
  <w:style w:type="character" w:styleId="19">
    <w:name w:val="footnote reference"/>
    <w:basedOn w:val="20"/>
    <w:uiPriority w:val="0"/>
    <w:rPr>
      <w:vertAlign w:val="superscript"/>
    </w:rPr>
  </w:style>
  <w:style w:type="character" w:customStyle="1" w:styleId="20">
    <w:name w:val="Caption Char"/>
    <w:basedOn w:val="12"/>
    <w:link w:val="15"/>
    <w:uiPriority w:val="0"/>
  </w:style>
  <w:style w:type="paragraph" w:styleId="21">
    <w:name w:val="footnote text"/>
    <w:basedOn w:val="1"/>
    <w:unhideWhenUsed/>
    <w:qFormat/>
    <w:uiPriority w:val="9"/>
    <w:pPr>
      <w:spacing w:after="200" w:line="360" w:lineRule="auto"/>
      <w:jc w:val="both"/>
    </w:pPr>
    <w:rPr>
      <w:rFonts w:ascii="Arial" w:hAnsi="Arial" w:eastAsiaTheme="minorHAnsi" w:cstheme="minorBidi"/>
      <w:lang w:val="en" w:eastAsia="en-US"/>
    </w:rPr>
  </w:style>
  <w:style w:type="paragraph" w:styleId="22">
    <w:name w:val="header"/>
    <w:basedOn w:val="1"/>
    <w:link w:val="100"/>
    <w:uiPriority w:val="0"/>
    <w:pPr>
      <w:tabs>
        <w:tab w:val="center" w:pos="4513"/>
        <w:tab w:val="right" w:pos="9026"/>
      </w:tabs>
      <w:spacing w:line="360" w:lineRule="auto"/>
      <w:jc w:val="both"/>
    </w:pPr>
    <w:rPr>
      <w:rFonts w:ascii="Arial" w:hAnsi="Arial" w:eastAsiaTheme="minorHAnsi" w:cstheme="minorBidi"/>
      <w:lang w:val="en" w:eastAsia="en-US"/>
    </w:rPr>
  </w:style>
  <w:style w:type="character" w:styleId="23">
    <w:name w:val="Hyperlink"/>
    <w:basedOn w:val="20"/>
    <w:uiPriority w:val="99"/>
    <w:rPr>
      <w:color w:val="156082" w:themeColor="accent1"/>
      <w14:textFill>
        <w14:solidFill>
          <w14:schemeClr w14:val="accent1"/>
        </w14:solidFill>
      </w14:textFill>
    </w:rPr>
  </w:style>
  <w:style w:type="paragraph" w:styleId="24">
    <w:name w:val="Normal (Web)"/>
    <w:basedOn w:val="1"/>
    <w:unhideWhenUsed/>
    <w:uiPriority w:val="99"/>
    <w:pPr>
      <w:spacing w:before="100" w:beforeAutospacing="1" w:after="100" w:afterAutospacing="1"/>
    </w:pPr>
  </w:style>
  <w:style w:type="character" w:styleId="25">
    <w:name w:val="page number"/>
    <w:basedOn w:val="12"/>
    <w:uiPriority w:val="0"/>
  </w:style>
  <w:style w:type="character" w:styleId="26">
    <w:name w:val="Strong"/>
    <w:basedOn w:val="12"/>
    <w:qFormat/>
    <w:uiPriority w:val="22"/>
    <w:rPr>
      <w:b/>
      <w:bCs/>
    </w:rPr>
  </w:style>
  <w:style w:type="paragraph" w:styleId="27">
    <w:name w:val="Subtitle"/>
    <w:basedOn w:val="28"/>
    <w:next w:val="3"/>
    <w:link w:val="42"/>
    <w:qFormat/>
    <w:uiPriority w:val="11"/>
    <w:rPr>
      <w:spacing w:val="15"/>
      <w:sz w:val="28"/>
      <w:szCs w:val="28"/>
    </w:rPr>
  </w:style>
  <w:style w:type="paragraph" w:styleId="28">
    <w:name w:val="Title"/>
    <w:basedOn w:val="1"/>
    <w:next w:val="3"/>
    <w:link w:val="41"/>
    <w:qFormat/>
    <w:uiPriority w:val="10"/>
    <w:pPr>
      <w:spacing w:after="80" w:line="360" w:lineRule="auto"/>
      <w:contextualSpacing/>
      <w:jc w:val="center"/>
    </w:pPr>
    <w:rPr>
      <w:rFonts w:asciiTheme="majorHAnsi" w:hAnsiTheme="majorHAnsi" w:eastAsiaTheme="majorEastAsia" w:cstheme="majorBidi"/>
      <w:spacing w:val="-10"/>
      <w:kern w:val="28"/>
      <w:sz w:val="56"/>
      <w:szCs w:val="56"/>
      <w:lang w:val="en" w:eastAsia="en-US"/>
    </w:rPr>
  </w:style>
  <w:style w:type="table" w:styleId="29">
    <w:name w:val="Table Grid"/>
    <w:basedOn w:val="13"/>
    <w:uiPriority w:val="0"/>
    <w:pPr>
      <w:spacing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0">
    <w:name w:val="toc 1"/>
    <w:basedOn w:val="1"/>
    <w:next w:val="1"/>
    <w:autoRedefine/>
    <w:uiPriority w:val="39"/>
    <w:pPr>
      <w:spacing w:before="120"/>
    </w:pPr>
    <w:rPr>
      <w:rFonts w:asciiTheme="minorHAnsi" w:hAnsiTheme="minorHAnsi"/>
      <w:b/>
      <w:bCs/>
      <w:i/>
      <w:iCs/>
    </w:rPr>
  </w:style>
  <w:style w:type="paragraph" w:styleId="31">
    <w:name w:val="toc 2"/>
    <w:basedOn w:val="1"/>
    <w:next w:val="1"/>
    <w:autoRedefine/>
    <w:uiPriority w:val="39"/>
    <w:pPr>
      <w:spacing w:before="120"/>
      <w:ind w:left="240"/>
    </w:pPr>
    <w:rPr>
      <w:rFonts w:asciiTheme="minorHAnsi" w:hAnsiTheme="minorHAnsi"/>
      <w:b/>
      <w:bCs/>
      <w:sz w:val="22"/>
      <w:szCs w:val="22"/>
    </w:rPr>
  </w:style>
  <w:style w:type="paragraph" w:styleId="32">
    <w:name w:val="toc 3"/>
    <w:basedOn w:val="1"/>
    <w:next w:val="1"/>
    <w:autoRedefine/>
    <w:unhideWhenUsed/>
    <w:uiPriority w:val="39"/>
    <w:pPr>
      <w:ind w:left="480"/>
    </w:pPr>
    <w:rPr>
      <w:rFonts w:asciiTheme="minorHAnsi" w:hAnsiTheme="minorHAnsi"/>
      <w:sz w:val="20"/>
      <w:szCs w:val="20"/>
    </w:rPr>
  </w:style>
  <w:style w:type="paragraph" w:styleId="33">
    <w:name w:val="toc 4"/>
    <w:basedOn w:val="1"/>
    <w:next w:val="1"/>
    <w:autoRedefine/>
    <w:uiPriority w:val="0"/>
    <w:pPr>
      <w:ind w:left="720"/>
    </w:pPr>
    <w:rPr>
      <w:rFonts w:asciiTheme="minorHAnsi" w:hAnsiTheme="minorHAnsi"/>
      <w:sz w:val="20"/>
      <w:szCs w:val="20"/>
    </w:rPr>
  </w:style>
  <w:style w:type="paragraph" w:styleId="34">
    <w:name w:val="toc 5"/>
    <w:basedOn w:val="1"/>
    <w:next w:val="1"/>
    <w:autoRedefine/>
    <w:uiPriority w:val="0"/>
    <w:pPr>
      <w:ind w:left="960"/>
    </w:pPr>
    <w:rPr>
      <w:rFonts w:asciiTheme="minorHAnsi" w:hAnsiTheme="minorHAnsi"/>
      <w:sz w:val="20"/>
      <w:szCs w:val="20"/>
    </w:rPr>
  </w:style>
  <w:style w:type="paragraph" w:styleId="35">
    <w:name w:val="toc 6"/>
    <w:basedOn w:val="1"/>
    <w:next w:val="1"/>
    <w:autoRedefine/>
    <w:uiPriority w:val="0"/>
    <w:pPr>
      <w:ind w:left="1200"/>
    </w:pPr>
    <w:rPr>
      <w:rFonts w:asciiTheme="minorHAnsi" w:hAnsiTheme="minorHAnsi"/>
      <w:sz w:val="20"/>
      <w:szCs w:val="20"/>
    </w:rPr>
  </w:style>
  <w:style w:type="paragraph" w:styleId="36">
    <w:name w:val="toc 7"/>
    <w:basedOn w:val="1"/>
    <w:next w:val="1"/>
    <w:autoRedefine/>
    <w:uiPriority w:val="0"/>
    <w:pPr>
      <w:ind w:left="1440"/>
    </w:pPr>
    <w:rPr>
      <w:rFonts w:asciiTheme="minorHAnsi" w:hAnsiTheme="minorHAnsi"/>
      <w:sz w:val="20"/>
      <w:szCs w:val="20"/>
    </w:rPr>
  </w:style>
  <w:style w:type="paragraph" w:styleId="37">
    <w:name w:val="toc 8"/>
    <w:basedOn w:val="1"/>
    <w:next w:val="1"/>
    <w:autoRedefine/>
    <w:uiPriority w:val="0"/>
    <w:pPr>
      <w:ind w:left="1680"/>
    </w:pPr>
    <w:rPr>
      <w:rFonts w:asciiTheme="minorHAnsi" w:hAnsiTheme="minorHAnsi"/>
      <w:sz w:val="20"/>
      <w:szCs w:val="20"/>
    </w:rPr>
  </w:style>
  <w:style w:type="paragraph" w:styleId="38">
    <w:name w:val="toc 9"/>
    <w:basedOn w:val="1"/>
    <w:next w:val="1"/>
    <w:autoRedefine/>
    <w:uiPriority w:val="0"/>
    <w:pPr>
      <w:ind w:left="1920"/>
    </w:pPr>
    <w:rPr>
      <w:rFonts w:asciiTheme="minorHAnsi" w:hAnsiTheme="minorHAnsi"/>
      <w:sz w:val="20"/>
      <w:szCs w:val="20"/>
    </w:rPr>
  </w:style>
  <w:style w:type="paragraph" w:customStyle="1" w:styleId="39">
    <w:name w:val="First Paragraph"/>
    <w:basedOn w:val="3"/>
    <w:next w:val="3"/>
    <w:qFormat/>
    <w:uiPriority w:val="0"/>
  </w:style>
  <w:style w:type="paragraph" w:customStyle="1" w:styleId="40">
    <w:name w:val="Compact"/>
    <w:basedOn w:val="3"/>
    <w:qFormat/>
    <w:uiPriority w:val="0"/>
    <w:pPr>
      <w:spacing w:before="36" w:after="36"/>
    </w:pPr>
  </w:style>
  <w:style w:type="character" w:customStyle="1" w:styleId="41">
    <w:name w:val="Title Char"/>
    <w:basedOn w:val="12"/>
    <w:link w:val="28"/>
    <w:uiPriority w:val="10"/>
    <w:rPr>
      <w:rFonts w:asciiTheme="majorHAnsi" w:hAnsiTheme="majorHAnsi" w:eastAsiaTheme="majorEastAsia" w:cstheme="majorBidi"/>
      <w:spacing w:val="-10"/>
      <w:kern w:val="28"/>
      <w:sz w:val="56"/>
      <w:szCs w:val="56"/>
    </w:rPr>
  </w:style>
  <w:style w:type="character" w:customStyle="1" w:styleId="42">
    <w:name w:val="Subtitle Char"/>
    <w:basedOn w:val="12"/>
    <w:link w:val="2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customStyle="1" w:styleId="43">
    <w:name w:val="Author"/>
    <w:next w:val="3"/>
    <w:qFormat/>
    <w:uiPriority w:val="0"/>
    <w:pPr>
      <w:keepNext/>
      <w:keepLines/>
      <w:spacing w:after="200"/>
      <w:jc w:val="center"/>
    </w:pPr>
    <w:rPr>
      <w:rFonts w:asciiTheme="minorHAnsi" w:hAnsiTheme="minorHAnsi" w:eastAsiaTheme="minorHAnsi" w:cstheme="minorBidi"/>
      <w:sz w:val="24"/>
      <w:szCs w:val="24"/>
      <w:lang w:val="en" w:eastAsia="en-US" w:bidi="ar-SA"/>
    </w:rPr>
  </w:style>
  <w:style w:type="paragraph" w:customStyle="1" w:styleId="44">
    <w:name w:val="Abstract Title"/>
    <w:basedOn w:val="1"/>
    <w:next w:val="45"/>
    <w:qFormat/>
    <w:uiPriority w:val="0"/>
    <w:pPr>
      <w:keepNext/>
      <w:keepLines/>
      <w:spacing w:before="300" w:line="360" w:lineRule="auto"/>
      <w:jc w:val="center"/>
    </w:pPr>
    <w:rPr>
      <w:rFonts w:ascii="Arial" w:hAnsi="Arial" w:eastAsiaTheme="minorHAnsi" w:cstheme="minorBidi"/>
      <w:b/>
      <w:sz w:val="20"/>
      <w:szCs w:val="20"/>
      <w:lang w:val="en" w:eastAsia="en-US"/>
    </w:rPr>
  </w:style>
  <w:style w:type="paragraph" w:customStyle="1" w:styleId="45">
    <w:name w:val="Abstract"/>
    <w:basedOn w:val="1"/>
    <w:next w:val="3"/>
    <w:qFormat/>
    <w:uiPriority w:val="0"/>
    <w:pPr>
      <w:keepNext/>
      <w:keepLines/>
      <w:spacing w:before="100" w:after="300" w:line="360" w:lineRule="auto"/>
      <w:jc w:val="both"/>
    </w:pPr>
    <w:rPr>
      <w:rFonts w:ascii="Arial" w:hAnsi="Arial" w:eastAsiaTheme="minorHAnsi" w:cstheme="minorBidi"/>
      <w:sz w:val="20"/>
      <w:szCs w:val="20"/>
      <w:lang w:val="en" w:eastAsia="en-US"/>
    </w:rPr>
  </w:style>
  <w:style w:type="paragraph" w:customStyle="1" w:styleId="46">
    <w:name w:val="Bibliography"/>
    <w:basedOn w:val="1"/>
    <w:qFormat/>
    <w:uiPriority w:val="0"/>
    <w:pPr>
      <w:spacing w:after="200" w:line="360" w:lineRule="auto"/>
      <w:jc w:val="both"/>
    </w:pPr>
    <w:rPr>
      <w:rFonts w:ascii="Arial" w:hAnsi="Arial" w:eastAsiaTheme="minorHAnsi" w:cstheme="minorBidi"/>
      <w:lang w:val="en" w:eastAsia="en-US"/>
    </w:rPr>
  </w:style>
  <w:style w:type="character" w:customStyle="1" w:styleId="47">
    <w:name w:val="Heading 1 Char"/>
    <w:basedOn w:val="12"/>
    <w:link w:val="2"/>
    <w:qFormat/>
    <w:uiPriority w:val="9"/>
    <w:rPr>
      <w:rFonts w:ascii="Arial" w:hAnsi="Arial" w:eastAsiaTheme="majorEastAsia" w:cstheme="majorBidi"/>
      <w:b/>
      <w:sz w:val="28"/>
      <w:szCs w:val="40"/>
    </w:rPr>
  </w:style>
  <w:style w:type="character" w:customStyle="1" w:styleId="48">
    <w:name w:val="Heading 2 Char"/>
    <w:basedOn w:val="1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49">
    <w:name w:val="Heading 3 Char"/>
    <w:basedOn w:val="12"/>
    <w:link w:val="5"/>
    <w:qFormat/>
    <w:uiPriority w:val="9"/>
    <w:rPr>
      <w:rFonts w:eastAsiaTheme="majorEastAsia" w:cstheme="majorBidi"/>
      <w:color w:val="104862" w:themeColor="accent1" w:themeShade="BF"/>
      <w:sz w:val="28"/>
      <w:szCs w:val="28"/>
    </w:rPr>
  </w:style>
  <w:style w:type="character" w:customStyle="1" w:styleId="50">
    <w:name w:val="Heading 4 Char"/>
    <w:basedOn w:val="12"/>
    <w:link w:val="6"/>
    <w:semiHidden/>
    <w:qFormat/>
    <w:uiPriority w:val="9"/>
    <w:rPr>
      <w:rFonts w:eastAsiaTheme="majorEastAsia" w:cstheme="majorBidi"/>
      <w:i/>
      <w:iCs/>
      <w:color w:val="104862" w:themeColor="accent1" w:themeShade="BF"/>
    </w:rPr>
  </w:style>
  <w:style w:type="character" w:customStyle="1" w:styleId="51">
    <w:name w:val="Heading 5 Char"/>
    <w:basedOn w:val="12"/>
    <w:link w:val="7"/>
    <w:semiHidden/>
    <w:qFormat/>
    <w:uiPriority w:val="9"/>
    <w:rPr>
      <w:rFonts w:eastAsiaTheme="majorEastAsia" w:cstheme="majorBidi"/>
      <w:color w:val="104862" w:themeColor="accent1" w:themeShade="BF"/>
    </w:rPr>
  </w:style>
  <w:style w:type="character" w:customStyle="1" w:styleId="52">
    <w:name w:val="Heading 6 Char"/>
    <w:basedOn w:val="12"/>
    <w:link w:val="8"/>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53">
    <w:name w:val="Heading 7 Char"/>
    <w:basedOn w:val="12"/>
    <w:link w:val="9"/>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54">
    <w:name w:val="Heading 8 Char"/>
    <w:basedOn w:val="12"/>
    <w:link w:val="10"/>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55">
    <w:name w:val="Heading 9 Char"/>
    <w:basedOn w:val="12"/>
    <w:link w:val="11"/>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paragraph" w:customStyle="1" w:styleId="56">
    <w:name w:val="Footnote Block Text"/>
    <w:basedOn w:val="21"/>
    <w:next w:val="21"/>
    <w:unhideWhenUsed/>
    <w:qFormat/>
    <w:uiPriority w:val="9"/>
    <w:pPr>
      <w:spacing w:before="100" w:after="100"/>
      <w:ind w:left="480" w:right="480"/>
    </w:pPr>
  </w:style>
  <w:style w:type="table" w:customStyle="1" w:styleId="57">
    <w:name w:val="Table"/>
    <w:semiHidden/>
    <w:unhideWhenUsed/>
    <w:qFormat/>
    <w:uiPriority w:val="0"/>
    <w:tblPr>
      <w:tblCellMar>
        <w:top w:w="0" w:type="dxa"/>
        <w:left w:w="108" w:type="dxa"/>
        <w:bottom w:w="0" w:type="dxa"/>
        <w:right w:w="108" w:type="dxa"/>
      </w:tblCellMar>
    </w:tblPr>
    <w:tblStylePr w:type="firstRow">
      <w:tblPr/>
      <w:tcPr>
        <w:tcBorders>
          <w:bottom w:val="single" w:color="auto" w:sz="0" w:space="0"/>
        </w:tcBorders>
        <w:vAlign w:val="bottom"/>
      </w:tcPr>
    </w:tblStylePr>
  </w:style>
  <w:style w:type="paragraph" w:customStyle="1" w:styleId="58">
    <w:name w:val="Definition Term"/>
    <w:basedOn w:val="1"/>
    <w:next w:val="59"/>
    <w:uiPriority w:val="0"/>
    <w:pPr>
      <w:keepNext/>
      <w:keepLines/>
      <w:spacing w:line="360" w:lineRule="auto"/>
      <w:jc w:val="both"/>
    </w:pPr>
    <w:rPr>
      <w:rFonts w:ascii="Arial" w:hAnsi="Arial" w:eastAsiaTheme="minorHAnsi" w:cstheme="minorBidi"/>
      <w:b/>
      <w:lang w:val="en" w:eastAsia="en-US"/>
    </w:rPr>
  </w:style>
  <w:style w:type="paragraph" w:customStyle="1" w:styleId="59">
    <w:name w:val="Definition"/>
    <w:basedOn w:val="1"/>
    <w:uiPriority w:val="0"/>
    <w:pPr>
      <w:spacing w:after="200" w:line="360" w:lineRule="auto"/>
      <w:jc w:val="both"/>
    </w:pPr>
    <w:rPr>
      <w:rFonts w:ascii="Arial" w:hAnsi="Arial" w:eastAsiaTheme="minorHAnsi" w:cstheme="minorBidi"/>
      <w:lang w:val="en" w:eastAsia="en-US"/>
    </w:rPr>
  </w:style>
  <w:style w:type="paragraph" w:customStyle="1" w:styleId="60">
    <w:name w:val="Table Caption"/>
    <w:basedOn w:val="15"/>
    <w:uiPriority w:val="0"/>
    <w:pPr>
      <w:keepNext/>
    </w:pPr>
  </w:style>
  <w:style w:type="paragraph" w:customStyle="1" w:styleId="61">
    <w:name w:val="Image Caption"/>
    <w:basedOn w:val="15"/>
    <w:uiPriority w:val="0"/>
  </w:style>
  <w:style w:type="paragraph" w:customStyle="1" w:styleId="62">
    <w:name w:val="Figure"/>
    <w:basedOn w:val="1"/>
    <w:uiPriority w:val="0"/>
    <w:pPr>
      <w:spacing w:after="200" w:line="360" w:lineRule="auto"/>
      <w:jc w:val="both"/>
    </w:pPr>
    <w:rPr>
      <w:rFonts w:ascii="Arial" w:hAnsi="Arial" w:eastAsiaTheme="minorHAnsi" w:cstheme="minorBidi"/>
      <w:lang w:val="en" w:eastAsia="en-US"/>
    </w:rPr>
  </w:style>
  <w:style w:type="paragraph" w:customStyle="1" w:styleId="63">
    <w:name w:val="Captioned Figure"/>
    <w:basedOn w:val="62"/>
    <w:uiPriority w:val="0"/>
    <w:pPr>
      <w:keepNext/>
    </w:pPr>
  </w:style>
  <w:style w:type="character" w:customStyle="1" w:styleId="64">
    <w:name w:val="Verbatim Char"/>
    <w:basedOn w:val="20"/>
    <w:link w:val="65"/>
    <w:uiPriority w:val="0"/>
    <w:rPr>
      <w:rFonts w:ascii="Consolas" w:hAnsi="Consolas"/>
      <w:sz w:val="22"/>
    </w:rPr>
  </w:style>
  <w:style w:type="paragraph" w:customStyle="1" w:styleId="65">
    <w:name w:val="Source Code"/>
    <w:basedOn w:val="1"/>
    <w:link w:val="64"/>
    <w:uiPriority w:val="0"/>
    <w:pPr>
      <w:wordWrap w:val="0"/>
      <w:spacing w:after="200" w:line="360" w:lineRule="auto"/>
      <w:jc w:val="both"/>
    </w:pPr>
    <w:rPr>
      <w:rFonts w:ascii="Arial" w:hAnsi="Arial" w:eastAsiaTheme="minorHAnsi" w:cstheme="minorBidi"/>
      <w:lang w:val="en" w:eastAsia="en-US"/>
    </w:rPr>
  </w:style>
  <w:style w:type="character" w:customStyle="1" w:styleId="66">
    <w:name w:val="Section Number"/>
    <w:basedOn w:val="20"/>
    <w:uiPriority w:val="0"/>
  </w:style>
  <w:style w:type="paragraph" w:customStyle="1" w:styleId="67">
    <w:name w:val="TOC Heading"/>
    <w:basedOn w:val="2"/>
    <w:next w:val="3"/>
    <w:unhideWhenUsed/>
    <w:qFormat/>
    <w:uiPriority w:val="39"/>
    <w:pPr>
      <w:spacing w:before="240" w:line="259" w:lineRule="auto"/>
      <w:outlineLvl w:val="9"/>
    </w:pPr>
    <w:rPr>
      <w:rFonts w:asciiTheme="majorHAnsi" w:hAnsiTheme="majorHAnsi"/>
      <w:color w:val="104862" w:themeColor="accent1" w:themeShade="BF"/>
    </w:rPr>
  </w:style>
  <w:style w:type="character" w:customStyle="1" w:styleId="68">
    <w:name w:val="KeywordTok"/>
    <w:basedOn w:val="64"/>
    <w:uiPriority w:val="0"/>
    <w:rPr>
      <w:rFonts w:ascii="Consolas" w:hAnsi="Consolas"/>
      <w:b/>
      <w:color w:val="007020"/>
      <w:sz w:val="22"/>
    </w:rPr>
  </w:style>
  <w:style w:type="character" w:customStyle="1" w:styleId="69">
    <w:name w:val="DataTypeTok"/>
    <w:basedOn w:val="64"/>
    <w:uiPriority w:val="0"/>
    <w:rPr>
      <w:rFonts w:ascii="Consolas" w:hAnsi="Consolas"/>
      <w:color w:val="902000"/>
      <w:sz w:val="22"/>
    </w:rPr>
  </w:style>
  <w:style w:type="character" w:customStyle="1" w:styleId="70">
    <w:name w:val="DecValTok"/>
    <w:basedOn w:val="64"/>
    <w:uiPriority w:val="0"/>
    <w:rPr>
      <w:rFonts w:ascii="Consolas" w:hAnsi="Consolas"/>
      <w:color w:val="40A070"/>
      <w:sz w:val="22"/>
    </w:rPr>
  </w:style>
  <w:style w:type="character" w:customStyle="1" w:styleId="71">
    <w:name w:val="BaseNTok"/>
    <w:basedOn w:val="64"/>
    <w:uiPriority w:val="0"/>
    <w:rPr>
      <w:rFonts w:ascii="Consolas" w:hAnsi="Consolas"/>
      <w:color w:val="40A070"/>
      <w:sz w:val="22"/>
    </w:rPr>
  </w:style>
  <w:style w:type="character" w:customStyle="1" w:styleId="72">
    <w:name w:val="FloatTok"/>
    <w:basedOn w:val="64"/>
    <w:uiPriority w:val="0"/>
    <w:rPr>
      <w:rFonts w:ascii="Consolas" w:hAnsi="Consolas"/>
      <w:color w:val="40A070"/>
      <w:sz w:val="22"/>
    </w:rPr>
  </w:style>
  <w:style w:type="character" w:customStyle="1" w:styleId="73">
    <w:name w:val="ConstantTok"/>
    <w:basedOn w:val="64"/>
    <w:uiPriority w:val="0"/>
    <w:rPr>
      <w:rFonts w:ascii="Consolas" w:hAnsi="Consolas"/>
      <w:color w:val="880000"/>
      <w:sz w:val="22"/>
    </w:rPr>
  </w:style>
  <w:style w:type="character" w:customStyle="1" w:styleId="74">
    <w:name w:val="CharTok"/>
    <w:basedOn w:val="64"/>
    <w:uiPriority w:val="0"/>
    <w:rPr>
      <w:rFonts w:ascii="Consolas" w:hAnsi="Consolas"/>
      <w:color w:val="4070A0"/>
      <w:sz w:val="22"/>
    </w:rPr>
  </w:style>
  <w:style w:type="character" w:customStyle="1" w:styleId="75">
    <w:name w:val="SpecialCharTok"/>
    <w:basedOn w:val="64"/>
    <w:uiPriority w:val="0"/>
    <w:rPr>
      <w:rFonts w:ascii="Consolas" w:hAnsi="Consolas"/>
      <w:color w:val="4070A0"/>
      <w:sz w:val="22"/>
    </w:rPr>
  </w:style>
  <w:style w:type="character" w:customStyle="1" w:styleId="76">
    <w:name w:val="StringTok"/>
    <w:basedOn w:val="64"/>
    <w:uiPriority w:val="0"/>
    <w:rPr>
      <w:rFonts w:ascii="Consolas" w:hAnsi="Consolas"/>
      <w:color w:val="4070A0"/>
      <w:sz w:val="22"/>
    </w:rPr>
  </w:style>
  <w:style w:type="character" w:customStyle="1" w:styleId="77">
    <w:name w:val="VerbatimStringTok"/>
    <w:basedOn w:val="64"/>
    <w:uiPriority w:val="0"/>
    <w:rPr>
      <w:rFonts w:ascii="Consolas" w:hAnsi="Consolas"/>
      <w:color w:val="4070A0"/>
      <w:sz w:val="22"/>
    </w:rPr>
  </w:style>
  <w:style w:type="character" w:customStyle="1" w:styleId="78">
    <w:name w:val="SpecialStringTok"/>
    <w:basedOn w:val="64"/>
    <w:uiPriority w:val="0"/>
    <w:rPr>
      <w:rFonts w:ascii="Consolas" w:hAnsi="Consolas"/>
      <w:color w:val="BB6688"/>
      <w:sz w:val="22"/>
    </w:rPr>
  </w:style>
  <w:style w:type="character" w:customStyle="1" w:styleId="79">
    <w:name w:val="ImportTok"/>
    <w:basedOn w:val="64"/>
    <w:uiPriority w:val="0"/>
    <w:rPr>
      <w:rFonts w:ascii="Consolas" w:hAnsi="Consolas"/>
      <w:b/>
      <w:color w:val="008000"/>
      <w:sz w:val="22"/>
    </w:rPr>
  </w:style>
  <w:style w:type="character" w:customStyle="1" w:styleId="80">
    <w:name w:val="CommentTok"/>
    <w:basedOn w:val="64"/>
    <w:uiPriority w:val="0"/>
    <w:rPr>
      <w:rFonts w:ascii="Consolas" w:hAnsi="Consolas"/>
      <w:i/>
      <w:color w:val="60A0B0"/>
      <w:sz w:val="22"/>
    </w:rPr>
  </w:style>
  <w:style w:type="character" w:customStyle="1" w:styleId="81">
    <w:name w:val="DocumentationTok"/>
    <w:basedOn w:val="64"/>
    <w:uiPriority w:val="0"/>
    <w:rPr>
      <w:rFonts w:ascii="Consolas" w:hAnsi="Consolas"/>
      <w:i/>
      <w:color w:val="BA2121"/>
      <w:sz w:val="22"/>
    </w:rPr>
  </w:style>
  <w:style w:type="character" w:customStyle="1" w:styleId="82">
    <w:name w:val="AnnotationTok"/>
    <w:basedOn w:val="64"/>
    <w:uiPriority w:val="0"/>
    <w:rPr>
      <w:rFonts w:ascii="Consolas" w:hAnsi="Consolas"/>
      <w:b/>
      <w:i/>
      <w:color w:val="60A0B0"/>
      <w:sz w:val="22"/>
    </w:rPr>
  </w:style>
  <w:style w:type="character" w:customStyle="1" w:styleId="83">
    <w:name w:val="CommentVarTok"/>
    <w:basedOn w:val="64"/>
    <w:uiPriority w:val="0"/>
    <w:rPr>
      <w:rFonts w:ascii="Consolas" w:hAnsi="Consolas"/>
      <w:b/>
      <w:i/>
      <w:color w:val="60A0B0"/>
      <w:sz w:val="22"/>
    </w:rPr>
  </w:style>
  <w:style w:type="character" w:customStyle="1" w:styleId="84">
    <w:name w:val="OtherTok"/>
    <w:basedOn w:val="64"/>
    <w:uiPriority w:val="0"/>
    <w:rPr>
      <w:rFonts w:ascii="Consolas" w:hAnsi="Consolas"/>
      <w:color w:val="007020"/>
      <w:sz w:val="22"/>
    </w:rPr>
  </w:style>
  <w:style w:type="character" w:customStyle="1" w:styleId="85">
    <w:name w:val="FunctionTok"/>
    <w:basedOn w:val="64"/>
    <w:uiPriority w:val="0"/>
    <w:rPr>
      <w:rFonts w:ascii="Consolas" w:hAnsi="Consolas"/>
      <w:color w:val="06287E"/>
      <w:sz w:val="22"/>
    </w:rPr>
  </w:style>
  <w:style w:type="character" w:customStyle="1" w:styleId="86">
    <w:name w:val="VariableTok"/>
    <w:basedOn w:val="64"/>
    <w:uiPriority w:val="0"/>
    <w:rPr>
      <w:rFonts w:ascii="Consolas" w:hAnsi="Consolas"/>
      <w:color w:val="19177C"/>
      <w:sz w:val="22"/>
    </w:rPr>
  </w:style>
  <w:style w:type="character" w:customStyle="1" w:styleId="87">
    <w:name w:val="ControlFlowTok"/>
    <w:basedOn w:val="64"/>
    <w:uiPriority w:val="0"/>
    <w:rPr>
      <w:rFonts w:ascii="Consolas" w:hAnsi="Consolas"/>
      <w:b/>
      <w:color w:val="007020"/>
      <w:sz w:val="22"/>
    </w:rPr>
  </w:style>
  <w:style w:type="character" w:customStyle="1" w:styleId="88">
    <w:name w:val="OperatorTok"/>
    <w:basedOn w:val="64"/>
    <w:uiPriority w:val="0"/>
    <w:rPr>
      <w:rFonts w:ascii="Consolas" w:hAnsi="Consolas"/>
      <w:color w:val="666666"/>
      <w:sz w:val="22"/>
    </w:rPr>
  </w:style>
  <w:style w:type="character" w:customStyle="1" w:styleId="89">
    <w:name w:val="BuiltInTok"/>
    <w:basedOn w:val="64"/>
    <w:uiPriority w:val="0"/>
    <w:rPr>
      <w:rFonts w:ascii="Consolas" w:hAnsi="Consolas"/>
      <w:color w:val="008000"/>
      <w:sz w:val="22"/>
    </w:rPr>
  </w:style>
  <w:style w:type="character" w:customStyle="1" w:styleId="90">
    <w:name w:val="ExtensionTok"/>
    <w:basedOn w:val="64"/>
    <w:uiPriority w:val="0"/>
    <w:rPr>
      <w:rFonts w:ascii="Consolas" w:hAnsi="Consolas"/>
      <w:sz w:val="22"/>
    </w:rPr>
  </w:style>
  <w:style w:type="character" w:customStyle="1" w:styleId="91">
    <w:name w:val="PreprocessorTok"/>
    <w:basedOn w:val="64"/>
    <w:uiPriority w:val="0"/>
    <w:rPr>
      <w:rFonts w:ascii="Consolas" w:hAnsi="Consolas"/>
      <w:color w:val="BC7A00"/>
      <w:sz w:val="22"/>
    </w:rPr>
  </w:style>
  <w:style w:type="character" w:customStyle="1" w:styleId="92">
    <w:name w:val="AttributeTok"/>
    <w:basedOn w:val="64"/>
    <w:uiPriority w:val="0"/>
    <w:rPr>
      <w:rFonts w:ascii="Consolas" w:hAnsi="Consolas"/>
      <w:color w:val="7D9029"/>
      <w:sz w:val="22"/>
    </w:rPr>
  </w:style>
  <w:style w:type="character" w:customStyle="1" w:styleId="93">
    <w:name w:val="RegionMarkerTok"/>
    <w:basedOn w:val="64"/>
    <w:uiPriority w:val="0"/>
    <w:rPr>
      <w:rFonts w:ascii="Consolas" w:hAnsi="Consolas"/>
      <w:sz w:val="22"/>
    </w:rPr>
  </w:style>
  <w:style w:type="character" w:customStyle="1" w:styleId="94">
    <w:name w:val="InformationTok"/>
    <w:basedOn w:val="64"/>
    <w:uiPriority w:val="0"/>
    <w:rPr>
      <w:rFonts w:ascii="Consolas" w:hAnsi="Consolas"/>
      <w:b/>
      <w:i/>
      <w:color w:val="60A0B0"/>
      <w:sz w:val="22"/>
    </w:rPr>
  </w:style>
  <w:style w:type="character" w:customStyle="1" w:styleId="95">
    <w:name w:val="WarningTok"/>
    <w:basedOn w:val="64"/>
    <w:uiPriority w:val="0"/>
    <w:rPr>
      <w:rFonts w:ascii="Consolas" w:hAnsi="Consolas"/>
      <w:b/>
      <w:i/>
      <w:color w:val="60A0B0"/>
      <w:sz w:val="22"/>
    </w:rPr>
  </w:style>
  <w:style w:type="character" w:customStyle="1" w:styleId="96">
    <w:name w:val="AlertTok"/>
    <w:basedOn w:val="64"/>
    <w:uiPriority w:val="0"/>
    <w:rPr>
      <w:rFonts w:ascii="Consolas" w:hAnsi="Consolas"/>
      <w:b/>
      <w:color w:val="FF0000"/>
      <w:sz w:val="22"/>
    </w:rPr>
  </w:style>
  <w:style w:type="character" w:customStyle="1" w:styleId="97">
    <w:name w:val="ErrorTok"/>
    <w:basedOn w:val="64"/>
    <w:uiPriority w:val="0"/>
    <w:rPr>
      <w:rFonts w:ascii="Consolas" w:hAnsi="Consolas"/>
      <w:b/>
      <w:color w:val="FF0000"/>
      <w:sz w:val="22"/>
    </w:rPr>
  </w:style>
  <w:style w:type="character" w:customStyle="1" w:styleId="98">
    <w:name w:val="NormalTok"/>
    <w:basedOn w:val="64"/>
    <w:uiPriority w:val="0"/>
    <w:rPr>
      <w:rFonts w:ascii="Consolas" w:hAnsi="Consolas"/>
      <w:sz w:val="22"/>
    </w:rPr>
  </w:style>
  <w:style w:type="character" w:customStyle="1" w:styleId="99">
    <w:name w:val="Unresolved Mention"/>
    <w:basedOn w:val="12"/>
    <w:semiHidden/>
    <w:unhideWhenUsed/>
    <w:uiPriority w:val="99"/>
    <w:rPr>
      <w:color w:val="605E5C"/>
      <w:shd w:val="clear" w:color="auto" w:fill="E1DFDD"/>
    </w:rPr>
  </w:style>
  <w:style w:type="character" w:customStyle="1" w:styleId="100">
    <w:name w:val="Header Char"/>
    <w:basedOn w:val="12"/>
    <w:link w:val="22"/>
    <w:uiPriority w:val="0"/>
  </w:style>
  <w:style w:type="character" w:customStyle="1" w:styleId="101">
    <w:name w:val="Footer Char"/>
    <w:basedOn w:val="12"/>
    <w:link w:val="18"/>
    <w:uiPriority w:val="99"/>
  </w:style>
  <w:style w:type="character" w:customStyle="1" w:styleId="102">
    <w:name w:val="Body Text Char"/>
    <w:basedOn w:val="12"/>
    <w:link w:val="3"/>
    <w:uiPriority w:val="0"/>
  </w:style>
  <w:style w:type="paragraph" w:customStyle="1" w:styleId="103">
    <w:name w:val="Heding 2"/>
    <w:basedOn w:val="2"/>
    <w:link w:val="104"/>
    <w:qFormat/>
    <w:uiPriority w:val="0"/>
    <w:rPr>
      <w:bCs/>
      <w:sz w:val="24"/>
      <w:szCs w:val="44"/>
    </w:rPr>
  </w:style>
  <w:style w:type="character" w:customStyle="1" w:styleId="104">
    <w:name w:val="Heding 2 Char"/>
    <w:basedOn w:val="47"/>
    <w:link w:val="103"/>
    <w:uiPriority w:val="0"/>
    <w:rPr>
      <w:rFonts w:ascii="Arial" w:hAnsi="Arial" w:eastAsiaTheme="majorEastAsia" w:cstheme="majorBidi"/>
      <w:bCs/>
      <w:sz w:val="28"/>
      <w:szCs w:val="44"/>
    </w:rPr>
  </w:style>
  <w:style w:type="paragraph" w:customStyle="1" w:styleId="105">
    <w:name w:val="pdq2pg_selectionanchorcontainer"/>
    <w:basedOn w:val="1"/>
    <w:uiPriority w:val="0"/>
    <w:pPr>
      <w:spacing w:before="100" w:beforeAutospacing="1" w:after="100" w:afterAutospacing="1"/>
    </w:pPr>
  </w:style>
  <w:style w:type="table" w:customStyle="1" w:styleId="106">
    <w:name w:val="Plain Table 1"/>
    <w:basedOn w:val="13"/>
    <w:uiPriority w:val="0"/>
    <w:pPr>
      <w:spacing w:after="0"/>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107">
    <w:name w:val="Plain Table 3"/>
    <w:basedOn w:val="13"/>
    <w:uiPriority w:val="0"/>
    <w:pPr>
      <w:spacing w:after="0"/>
    </w:pPr>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108">
    <w:name w:val="Grid Table 2"/>
    <w:basedOn w:val="13"/>
    <w:uiPriority w:val="0"/>
    <w:pPr>
      <w:spacing w:after="0"/>
    </w:pPr>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109">
    <w:name w:val="Plain Table 2"/>
    <w:basedOn w:val="13"/>
    <w:uiPriority w:val="0"/>
    <w:pPr>
      <w:spacing w:after="0"/>
    </w:pPr>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F98C6-E786-47F8-BDAD-974D11E9F206}">
  <ds:schemaRefs/>
</ds:datastoreItem>
</file>

<file path=docProps/app.xml><?xml version="1.0" encoding="utf-8"?>
<Properties xmlns="http://schemas.openxmlformats.org/officeDocument/2006/extended-properties" xmlns:vt="http://schemas.openxmlformats.org/officeDocument/2006/docPropsVTypes">
  <Template>Normal</Template>
  <Pages>13</Pages>
  <Words>1508</Words>
  <Characters>9090</Characters>
  <Lines>334</Lines>
  <Paragraphs>94</Paragraphs>
  <TotalTime>9</TotalTime>
  <ScaleCrop>false</ScaleCrop>
  <LinksUpToDate>false</LinksUpToDate>
  <CharactersWithSpaces>10525</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2026-08-14T09:03:00Z</dcterms:created>
  <dc:creator>Ishika Shiyani</dc:creator>
  <cp:lastModifiedBy>Ishika Shiyani</cp:lastModifiedBy>
  <dcterms:modified xsi:type="dcterms:W3CDTF">2026-08-14T09:41:25Z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ChatGPT Deep Research</vt:lpwstr>
  </property>
  <property fmtid="{D5CDD505-2E9C-101B-9397-08002B2CF9AE}" pid="3" name="GrammarlyDocumentId">
    <vt:lpwstr>3a9d38b6-c91d-4cfd-b746-6f2f3882bef5</vt:lpwstr>
  </property>
  <property fmtid="{D5CDD505-2E9C-101B-9397-08002B2CF9AE}" pid="4" name="KSOTemplateDocerSaveRecord">
    <vt:lpwstr>eyJoZGlkIjoiMWNkZDhhMWQ5YmU3OWJhNTVkYThkMjE3YTMyNGY1Y2YiLCJ1c2VySWQiOiI1NjcwMTYwMTk2ODUifQ==</vt:lpwstr>
  </property>
  <property fmtid="{D5CDD505-2E9C-101B-9397-08002B2CF9AE}" pid="5" name="KSOProductBuildVer">
    <vt:lpwstr>1033-12.1.0.28032</vt:lpwstr>
  </property>
  <property fmtid="{D5CDD505-2E9C-101B-9397-08002B2CF9AE}" pid="6" name="ICV">
    <vt:lpwstr>F33BE30C256D40868B52B48CC06293BD_12</vt:lpwstr>
  </property>
</Properties>
</file>