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rPr>
      </w:pPr>
      <w:r w:rsidDel="00000000" w:rsidR="00000000" w:rsidRPr="00000000">
        <w:rPr>
          <w:rFonts w:ascii="Arial" w:cs="Arial" w:eastAsia="Arial" w:hAnsi="Arial"/>
          <w:b w:val="1"/>
          <w:rtl w:val="0"/>
        </w:rPr>
        <w:t xml:space="preserve">Explore and evaluate how the Social, Military and Economic organisation of the later Roman Republic helped it engage and then subsume the eastern Hellenistic Kingdoms between 230-31 B.C.E.</w:t>
      </w:r>
    </w:p>
    <w:p w:rsidR="00000000" w:rsidDel="00000000" w:rsidP="00000000" w:rsidRDefault="00000000" w:rsidRPr="00000000" w14:paraId="000000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rPr>
          <w:rFonts w:ascii="Arial" w:cs="Arial" w:eastAsia="Arial" w:hAnsi="Arial"/>
          <w:sz w:val="22"/>
          <w:szCs w:val="22"/>
        </w:rPr>
      </w:pPr>
      <w:r w:rsidDel="00000000" w:rsidR="00000000" w:rsidRPr="00000000">
        <w:rPr>
          <w:rFonts w:ascii="Arial" w:cs="Arial" w:eastAsia="Arial" w:hAnsi="Arial"/>
          <w:sz w:val="22"/>
          <w:szCs w:val="22"/>
          <w:rtl w:val="0"/>
        </w:rPr>
        <w:t xml:space="preserve">As we cast our eyes back through history, many empires and nations have had their moments of prominence, ascension or notoriety on a regional or world stage. Moving backwards from the present day, we have seen the rise and fall of the British, French, Japanese, Ottoman, German, Spanish, Mughal, Portuguese, Mamluk (Egypt), Manden Kurufaba (Mali), Byzantine and Frankish empires across nearly two millennia. Of all of the powers who have passed their zenith, the Roman Empire is perhaps the one that left the most profound cultural legacy in Europe and beyond. oldest, grandest and most significant in terms of how it still affects the way we live via our writing system, vocabulary, calendar, poetry, history, governmental structures, and architecture. These are all heavily influenced by what Rome was across more than a millennium from the founding of the city in 753 BCE</w:t>
      </w:r>
      <w:r w:rsidDel="00000000" w:rsidR="00000000" w:rsidRPr="00000000">
        <w:rPr>
          <w:rFonts w:ascii="Arial" w:cs="Arial" w:eastAsia="Arial" w:hAnsi="Arial"/>
          <w:sz w:val="22"/>
          <w:szCs w:val="22"/>
          <w:vertAlign w:val="superscript"/>
        </w:rPr>
        <w:footnoteReference w:customMarkFollows="0" w:id="0"/>
      </w:r>
      <w:r w:rsidDel="00000000" w:rsidR="00000000" w:rsidRPr="00000000">
        <w:rPr>
          <w:rFonts w:ascii="Arial" w:cs="Arial" w:eastAsia="Arial" w:hAnsi="Arial"/>
          <w:sz w:val="22"/>
          <w:szCs w:val="22"/>
          <w:rtl w:val="0"/>
        </w:rPr>
        <w:t xml:space="preserve"> until the fall of the west in 478/480 C.E.</w:t>
      </w:r>
      <w:r w:rsidDel="00000000" w:rsidR="00000000" w:rsidRPr="00000000">
        <w:rPr>
          <w:rFonts w:ascii="Arial" w:cs="Arial" w:eastAsia="Arial" w:hAnsi="Arial"/>
          <w:sz w:val="22"/>
          <w:szCs w:val="22"/>
          <w:vertAlign w:val="superscript"/>
        </w:rPr>
        <w:footnoteReference w:customMarkFollows="0" w:id="1"/>
      </w:r>
      <w:r w:rsidDel="00000000" w:rsidR="00000000" w:rsidRPr="00000000">
        <w:rPr>
          <w:rFonts w:ascii="Arial" w:cs="Arial" w:eastAsia="Arial" w:hAnsi="Arial"/>
          <w:sz w:val="22"/>
          <w:szCs w:val="22"/>
          <w:rtl w:val="0"/>
        </w:rPr>
        <w:t xml:space="preserve">. Of course much of what has come to us from Rome had its origins in the martial and intellectual culture of the Greek states that Rome added, one by one, to its empire between the third century BCE and the year 31 B.C.E., when Egypt was finally the last of Alexander the Great’s ‘successor’ Hellenistic Kingdoms to be added to the empire. </w:t>
      </w:r>
    </w:p>
    <w:p w:rsidR="00000000" w:rsidDel="00000000" w:rsidP="00000000" w:rsidRDefault="00000000" w:rsidRPr="00000000" w14:paraId="00000005">
      <w:pPr>
        <w:rPr>
          <w:rFonts w:ascii="Arial" w:cs="Arial" w:eastAsia="Arial" w:hAnsi="Arial"/>
          <w:sz w:val="22"/>
          <w:szCs w:val="22"/>
        </w:rPr>
      </w:pPr>
      <w:r w:rsidDel="00000000" w:rsidR="00000000" w:rsidRPr="00000000">
        <w:rPr>
          <w:rFonts w:ascii="Arial" w:cs="Arial" w:eastAsia="Arial" w:hAnsi="Arial"/>
          <w:sz w:val="22"/>
          <w:szCs w:val="22"/>
          <w:rtl w:val="0"/>
        </w:rPr>
        <w:t xml:space="preserve">In the late republic, what the Romans lacked in innovation, they had in abundance when it came to adaptation. Predictably there were those who fought hard against the incoming tide of Greek intellectual and cultural additions</w:t>
      </w:r>
      <w:r w:rsidDel="00000000" w:rsidR="00000000" w:rsidRPr="00000000">
        <w:rPr>
          <w:rFonts w:ascii="Arial" w:cs="Arial" w:eastAsia="Arial" w:hAnsi="Arial"/>
          <w:sz w:val="22"/>
          <w:szCs w:val="22"/>
          <w:vertAlign w:val="superscript"/>
        </w:rPr>
        <w:footnoteReference w:customMarkFollows="0" w:id="2"/>
      </w:r>
      <w:r w:rsidDel="00000000" w:rsidR="00000000" w:rsidRPr="00000000">
        <w:rPr>
          <w:rFonts w:ascii="Arial" w:cs="Arial" w:eastAsia="Arial" w:hAnsi="Arial"/>
          <w:sz w:val="22"/>
          <w:szCs w:val="22"/>
          <w:rtl w:val="0"/>
        </w:rPr>
        <w:t xml:space="preserve">, but over time Greek rhetoric, gods, architecture, theatre and poetry all came to be co-opted and adapted to suit the Roman way. This Roman way had an external and to an extent , ‘global’ outlook with the result that they were able to exploit and pre-existing social structures — equally — so that local elites would ultimately benefit from becoming part of this system and followers of the Roman way themselves</w:t>
      </w:r>
      <w:r w:rsidDel="00000000" w:rsidR="00000000" w:rsidRPr="00000000">
        <w:rPr>
          <w:rFonts w:ascii="Arial" w:cs="Arial" w:eastAsia="Arial" w:hAnsi="Arial"/>
          <w:sz w:val="22"/>
          <w:szCs w:val="22"/>
          <w:vertAlign w:val="superscript"/>
        </w:rPr>
        <w:footnoteReference w:customMarkFollows="0" w:id="3"/>
      </w:r>
      <w:r w:rsidDel="00000000" w:rsidR="00000000" w:rsidRPr="00000000">
        <w:rPr>
          <w:rFonts w:ascii="Arial" w:cs="Arial" w:eastAsia="Arial" w:hAnsi="Arial"/>
          <w:sz w:val="22"/>
          <w:szCs w:val="22"/>
          <w:rtl w:val="0"/>
        </w:rPr>
        <w:t xml:space="preserve">, covering culture, language, government and the means of making money. It  was how the late Roman republic managed not only to escape the scramble for survival of the myriad kingdoms, city-states and poleis – but rise above them all to dominate the Mediterranean across the two centuries from 230 B.C.E. to 31 B.C.E.  </w:t>
      </w:r>
    </w:p>
    <w:p w:rsidR="00000000" w:rsidDel="00000000" w:rsidP="00000000" w:rsidRDefault="00000000" w:rsidRPr="00000000" w14:paraId="000000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rPr>
          <w:rFonts w:ascii="Arial" w:cs="Arial" w:eastAsia="Arial" w:hAnsi="Arial"/>
          <w:sz w:val="22"/>
          <w:szCs w:val="22"/>
        </w:rPr>
      </w:pPr>
      <w:r w:rsidDel="00000000" w:rsidR="00000000" w:rsidRPr="00000000">
        <w:rPr>
          <w:rFonts w:ascii="Arial" w:cs="Arial" w:eastAsia="Arial" w:hAnsi="Arial"/>
          <w:sz w:val="22"/>
          <w:szCs w:val="22"/>
          <w:rtl w:val="0"/>
        </w:rPr>
        <w:t xml:space="preserve">By the time Augustus had cemented his place as the first among equals in 27 B.C.E., Rome had firmly established hegemonic control over the whole of </w:t>
      </w:r>
      <w:r w:rsidDel="00000000" w:rsidR="00000000" w:rsidRPr="00000000">
        <w:rPr>
          <w:rFonts w:ascii="Arial" w:cs="Arial" w:eastAsia="Arial" w:hAnsi="Arial"/>
          <w:i w:val="1"/>
          <w:sz w:val="22"/>
          <w:szCs w:val="22"/>
          <w:rtl w:val="0"/>
        </w:rPr>
        <w:t xml:space="preserve">mare nostrum</w:t>
      </w:r>
      <w:r w:rsidDel="00000000" w:rsidR="00000000" w:rsidRPr="00000000">
        <w:rPr>
          <w:rFonts w:ascii="Arial" w:cs="Arial" w:eastAsia="Arial" w:hAnsi="Arial"/>
          <w:sz w:val="22"/>
          <w:szCs w:val="22"/>
          <w:rtl w:val="0"/>
        </w:rPr>
        <w:t xml:space="preserve">, and I posit that the foundations for this geographical and cultural domination were laid between the repulsion of Pyrrhus between 280-275 B.C.E.,</w:t>
      </w:r>
      <w:r w:rsidDel="00000000" w:rsidR="00000000" w:rsidRPr="00000000">
        <w:rPr>
          <w:rFonts w:ascii="Arial" w:cs="Arial" w:eastAsia="Arial" w:hAnsi="Arial"/>
          <w:sz w:val="22"/>
          <w:szCs w:val="22"/>
          <w:vertAlign w:val="superscript"/>
        </w:rPr>
        <w:footnoteReference w:customMarkFollows="0" w:id="4"/>
      </w:r>
      <w:r w:rsidDel="00000000" w:rsidR="00000000" w:rsidRPr="00000000">
        <w:rPr>
          <w:rFonts w:ascii="Arial" w:cs="Arial" w:eastAsia="Arial" w:hAnsi="Arial"/>
          <w:sz w:val="22"/>
          <w:szCs w:val="22"/>
          <w:rtl w:val="0"/>
        </w:rPr>
        <w:t xml:space="preserve"> Rome gaining her first overseas province in 241 B.C.E. in the aftermath of the First Punic War,</w:t>
      </w:r>
      <w:r w:rsidDel="00000000" w:rsidR="00000000" w:rsidRPr="00000000">
        <w:rPr>
          <w:rFonts w:ascii="Arial" w:cs="Arial" w:eastAsia="Arial" w:hAnsi="Arial"/>
          <w:sz w:val="22"/>
          <w:szCs w:val="22"/>
          <w:vertAlign w:val="superscript"/>
        </w:rPr>
        <w:footnoteReference w:customMarkFollows="0" w:id="5"/>
      </w:r>
      <w:r w:rsidDel="00000000" w:rsidR="00000000" w:rsidRPr="00000000">
        <w:rPr>
          <w:rFonts w:ascii="Arial" w:cs="Arial" w:eastAsia="Arial" w:hAnsi="Arial"/>
          <w:sz w:val="22"/>
          <w:szCs w:val="22"/>
          <w:rtl w:val="0"/>
        </w:rPr>
        <w:t xml:space="preserve"> the final overthrow of the Seleucid Kingdom by Pompey in 63 B.C.E.</w:t>
      </w:r>
      <w:r w:rsidDel="00000000" w:rsidR="00000000" w:rsidRPr="00000000">
        <w:rPr>
          <w:rFonts w:ascii="Arial" w:cs="Arial" w:eastAsia="Arial" w:hAnsi="Arial"/>
          <w:sz w:val="22"/>
          <w:szCs w:val="22"/>
          <w:vertAlign w:val="superscript"/>
        </w:rPr>
        <w:footnoteReference w:customMarkFollows="0" w:id="6"/>
      </w:r>
      <w:r w:rsidDel="00000000" w:rsidR="00000000" w:rsidRPr="00000000">
        <w:rPr>
          <w:rFonts w:ascii="Arial" w:cs="Arial" w:eastAsia="Arial" w:hAnsi="Arial"/>
          <w:sz w:val="22"/>
          <w:szCs w:val="22"/>
          <w:rtl w:val="0"/>
        </w:rPr>
        <w:t xml:space="preserve"> and the suicide of Cleopatra in 31 B.C.E. after Octavian, Agrippa and their forces crushed the much larger and more unwieldy Egyptian fleet at the battle of Actium</w:t>
      </w:r>
      <w:r w:rsidDel="00000000" w:rsidR="00000000" w:rsidRPr="00000000">
        <w:rPr>
          <w:rFonts w:ascii="Arial" w:cs="Arial" w:eastAsia="Arial" w:hAnsi="Arial"/>
          <w:sz w:val="22"/>
          <w:szCs w:val="22"/>
          <w:vertAlign w:val="superscript"/>
        </w:rPr>
        <w:footnoteReference w:customMarkFollows="0" w:id="7"/>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8">
      <w:pPr>
        <w:rPr>
          <w:rFonts w:ascii="Arial" w:cs="Arial" w:eastAsia="Arial" w:hAnsi="Arial"/>
          <w:sz w:val="22"/>
          <w:szCs w:val="22"/>
        </w:rPr>
      </w:pPr>
      <w:r w:rsidDel="00000000" w:rsidR="00000000" w:rsidRPr="00000000">
        <w:rPr>
          <w:rFonts w:ascii="Arial" w:cs="Arial" w:eastAsia="Arial" w:hAnsi="Arial"/>
          <w:sz w:val="22"/>
          <w:szCs w:val="22"/>
          <w:rtl w:val="0"/>
        </w:rPr>
        <w:t xml:space="preserve">In that time, the republic had defeated and absorbed the Carthaginian Empire (146 B.C.) in the west; the Antigonid (168 B.C.E.), Seleucid and Pontic Kingdoms (both 63 B.C.E) in the east; the Achaean league in Greece (146 B.C.) and been bequeathed both the Attalid (133 B.C.E.) and Bithynian Kingdoms (74 B.C.E.). In this thesis I shall examine and analyse key elements of the social, military and economic organisation of the Roman Republic, and  compare these with those factors possessed by the various conquered kingdoms and polities in what Arthur Eckstein has called a “multipolar anarchy”</w:t>
      </w:r>
      <w:r w:rsidDel="00000000" w:rsidR="00000000" w:rsidRPr="00000000">
        <w:rPr>
          <w:rFonts w:ascii="Arial" w:cs="Arial" w:eastAsia="Arial" w:hAnsi="Arial"/>
          <w:sz w:val="22"/>
          <w:szCs w:val="22"/>
          <w:vertAlign w:val="superscript"/>
        </w:rPr>
        <w:footnoteReference w:customMarkFollows="0" w:id="8"/>
      </w:r>
      <w:r w:rsidDel="00000000" w:rsidR="00000000" w:rsidRPr="00000000">
        <w:rPr>
          <w:rFonts w:ascii="Arial" w:cs="Arial" w:eastAsia="Arial" w:hAnsi="Arial"/>
          <w:sz w:val="22"/>
          <w:szCs w:val="22"/>
          <w:rtl w:val="0"/>
        </w:rPr>
        <w:t xml:space="preserve"> – a world “containing a plurality of powerful states, contending with each other for hegemony, within a situation where international law was minimal and in any case unenforceable”</w:t>
      </w:r>
      <w:r w:rsidDel="00000000" w:rsidR="00000000" w:rsidRPr="00000000">
        <w:rPr>
          <w:rFonts w:ascii="Arial" w:cs="Arial" w:eastAsia="Arial" w:hAnsi="Arial"/>
          <w:sz w:val="22"/>
          <w:szCs w:val="22"/>
          <w:vertAlign w:val="superscript"/>
        </w:rPr>
        <w:footnoteReference w:customMarkFollows="0" w:id="9"/>
      </w:r>
      <w:r w:rsidDel="00000000" w:rsidR="00000000" w:rsidRPr="00000000">
        <w:rPr>
          <w:rFonts w:ascii="Arial" w:cs="Arial" w:eastAsia="Arial" w:hAnsi="Arial"/>
          <w:sz w:val="22"/>
          <w:szCs w:val="22"/>
          <w:rtl w:val="0"/>
        </w:rPr>
        <w:t xml:space="preserve">. The number of contrasts between Rome and the Hellenistic kingdoms is striking: the reserves of effective manpower that they were able to call upon at a time of total war; the adaptability and resourcefulness of their military; the resources they were able to call upon to pay for their wars as they evolved from a citizen militia to a professional standing army; how the kingdoms and Roman Republic approached their foreign and expansionist / imperial policies — and though it is beyond the scope this analysis — the quality of the generals they were able to call upon across the centuries, </w:t>
      </w:r>
    </w:p>
    <w:p w:rsidR="00000000" w:rsidDel="00000000" w:rsidP="00000000" w:rsidRDefault="00000000" w:rsidRPr="00000000" w14:paraId="00000009">
      <w:pPr>
        <w:widowControl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widowControl w:val="0"/>
        <w:rPr>
          <w:rFonts w:ascii="Arial" w:cs="Arial" w:eastAsia="Arial" w:hAnsi="Arial"/>
          <w:sz w:val="22"/>
          <w:szCs w:val="22"/>
        </w:rPr>
      </w:pPr>
      <w:r w:rsidDel="00000000" w:rsidR="00000000" w:rsidRPr="00000000">
        <w:rPr>
          <w:rFonts w:ascii="Arial" w:cs="Arial" w:eastAsia="Arial" w:hAnsi="Arial"/>
          <w:sz w:val="22"/>
          <w:szCs w:val="22"/>
          <w:rtl w:val="0"/>
        </w:rPr>
        <w:t xml:space="preserve">In the final two centuries of the republic, it is tempting to assume that Roman hegemony across the Mediterranean and beyond was inevitable (as opined by Polybius</w:t>
      </w:r>
      <w:r w:rsidDel="00000000" w:rsidR="00000000" w:rsidRPr="00000000">
        <w:rPr>
          <w:rFonts w:ascii="Arial" w:cs="Arial" w:eastAsia="Arial" w:hAnsi="Arial"/>
          <w:sz w:val="22"/>
          <w:szCs w:val="22"/>
          <w:vertAlign w:val="superscript"/>
        </w:rPr>
        <w:footnoteReference w:customMarkFollows="0" w:id="10"/>
      </w:r>
      <w:r w:rsidDel="00000000" w:rsidR="00000000" w:rsidRPr="00000000">
        <w:rPr>
          <w:rFonts w:ascii="Arial" w:cs="Arial" w:eastAsia="Arial" w:hAnsi="Arial"/>
          <w:sz w:val="22"/>
          <w:szCs w:val="22"/>
          <w:rtl w:val="0"/>
        </w:rPr>
        <w:t xml:space="preserve">) , but such are the benefits of hindsight as Rome suffered no small number of serious setbacks in battle at the hands of Hannibal at Lake Trasimene</w:t>
      </w:r>
      <w:r w:rsidDel="00000000" w:rsidR="00000000" w:rsidRPr="00000000">
        <w:rPr>
          <w:rFonts w:ascii="Arial" w:cs="Arial" w:eastAsia="Arial" w:hAnsi="Arial"/>
          <w:sz w:val="22"/>
          <w:szCs w:val="22"/>
          <w:vertAlign w:val="superscript"/>
        </w:rPr>
        <w:footnoteReference w:customMarkFollows="0" w:id="11"/>
      </w:r>
      <w:r w:rsidDel="00000000" w:rsidR="00000000" w:rsidRPr="00000000">
        <w:rPr>
          <w:rFonts w:ascii="Arial" w:cs="Arial" w:eastAsia="Arial" w:hAnsi="Arial"/>
          <w:sz w:val="22"/>
          <w:szCs w:val="22"/>
          <w:rtl w:val="0"/>
        </w:rPr>
        <w:t xml:space="preserve"> and Cannae,</w:t>
      </w:r>
      <w:r w:rsidDel="00000000" w:rsidR="00000000" w:rsidRPr="00000000">
        <w:rPr>
          <w:rFonts w:ascii="Arial" w:cs="Arial" w:eastAsia="Arial" w:hAnsi="Arial"/>
          <w:sz w:val="22"/>
          <w:szCs w:val="22"/>
          <w:vertAlign w:val="superscript"/>
        </w:rPr>
        <w:footnoteReference w:customMarkFollows="0" w:id="12"/>
      </w:r>
      <w:r w:rsidDel="00000000" w:rsidR="00000000" w:rsidRPr="00000000">
        <w:rPr>
          <w:rFonts w:ascii="Arial" w:cs="Arial" w:eastAsia="Arial" w:hAnsi="Arial"/>
          <w:sz w:val="22"/>
          <w:szCs w:val="22"/>
          <w:rtl w:val="0"/>
        </w:rPr>
        <w:t xml:space="preserve"> the Cimbric tribes in northern Italy,</w:t>
      </w:r>
      <w:r w:rsidDel="00000000" w:rsidR="00000000" w:rsidRPr="00000000">
        <w:rPr>
          <w:rFonts w:ascii="Arial" w:cs="Arial" w:eastAsia="Arial" w:hAnsi="Arial"/>
          <w:sz w:val="22"/>
          <w:szCs w:val="22"/>
          <w:vertAlign w:val="superscript"/>
        </w:rPr>
        <w:footnoteReference w:customMarkFollows="0" w:id="13"/>
      </w:r>
      <w:r w:rsidDel="00000000" w:rsidR="00000000" w:rsidRPr="00000000">
        <w:rPr>
          <w:rFonts w:ascii="Arial" w:cs="Arial" w:eastAsia="Arial" w:hAnsi="Arial"/>
          <w:sz w:val="22"/>
          <w:szCs w:val="22"/>
          <w:rtl w:val="0"/>
        </w:rPr>
        <w:t xml:space="preserve"> their Latin allies in the Social War,</w:t>
      </w:r>
      <w:r w:rsidDel="00000000" w:rsidR="00000000" w:rsidRPr="00000000">
        <w:rPr>
          <w:rFonts w:ascii="Arial" w:cs="Arial" w:eastAsia="Arial" w:hAnsi="Arial"/>
          <w:sz w:val="22"/>
          <w:szCs w:val="22"/>
          <w:vertAlign w:val="superscript"/>
        </w:rPr>
        <w:footnoteReference w:customMarkFollows="0" w:id="14"/>
      </w:r>
      <w:r w:rsidDel="00000000" w:rsidR="00000000" w:rsidRPr="00000000">
        <w:rPr>
          <w:rFonts w:ascii="Arial" w:cs="Arial" w:eastAsia="Arial" w:hAnsi="Arial"/>
          <w:sz w:val="22"/>
          <w:szCs w:val="22"/>
          <w:rtl w:val="0"/>
        </w:rPr>
        <w:t xml:space="preserve"> Mithridates VI in the east,</w:t>
      </w:r>
      <w:r w:rsidDel="00000000" w:rsidR="00000000" w:rsidRPr="00000000">
        <w:rPr>
          <w:rFonts w:ascii="Arial" w:cs="Arial" w:eastAsia="Arial" w:hAnsi="Arial"/>
          <w:sz w:val="22"/>
          <w:szCs w:val="22"/>
          <w:vertAlign w:val="superscript"/>
        </w:rPr>
        <w:footnoteReference w:customMarkFollows="0" w:id="15"/>
      </w:r>
      <w:r w:rsidDel="00000000" w:rsidR="00000000" w:rsidRPr="00000000">
        <w:rPr>
          <w:rFonts w:ascii="Arial" w:cs="Arial" w:eastAsia="Arial" w:hAnsi="Arial"/>
          <w:sz w:val="22"/>
          <w:szCs w:val="22"/>
          <w:rtl w:val="0"/>
        </w:rPr>
        <w:t xml:space="preserve"> and on home soil against Spartacus’ horde of slaves and gladiators in the Third Servile War.</w:t>
      </w:r>
      <w:r w:rsidDel="00000000" w:rsidR="00000000" w:rsidRPr="00000000">
        <w:rPr>
          <w:rFonts w:ascii="Arial" w:cs="Arial" w:eastAsia="Arial" w:hAnsi="Arial"/>
          <w:sz w:val="22"/>
          <w:szCs w:val="22"/>
          <w:vertAlign w:val="superscript"/>
        </w:rPr>
        <w:footnoteReference w:customMarkFollows="0" w:id="16"/>
      </w:r>
      <w:r w:rsidDel="00000000" w:rsidR="00000000" w:rsidRPr="00000000">
        <w:rPr>
          <w:rFonts w:ascii="Arial" w:cs="Arial" w:eastAsia="Arial" w:hAnsi="Arial"/>
          <w:sz w:val="22"/>
          <w:szCs w:val="22"/>
          <w:rtl w:val="0"/>
        </w:rPr>
        <w:t xml:space="preserve"> Their losses were in the hundreds of thousands</w:t>
      </w:r>
      <w:r w:rsidDel="00000000" w:rsidR="00000000" w:rsidRPr="00000000">
        <w:rPr>
          <w:rFonts w:ascii="Arial" w:cs="Arial" w:eastAsia="Arial" w:hAnsi="Arial"/>
          <w:sz w:val="22"/>
          <w:szCs w:val="22"/>
          <w:vertAlign w:val="superscript"/>
        </w:rPr>
        <w:footnoteReference w:customMarkFollows="0" w:id="17"/>
      </w:r>
      <w:r w:rsidDel="00000000" w:rsidR="00000000" w:rsidRPr="00000000">
        <w:rPr>
          <w:rFonts w:ascii="Arial" w:cs="Arial" w:eastAsia="Arial" w:hAnsi="Arial"/>
          <w:sz w:val="22"/>
          <w:szCs w:val="22"/>
          <w:rtl w:val="0"/>
        </w:rPr>
        <w:t xml:space="preserve"> and few, if any, other states could have survived after absorbing such losses of their fighting men. But Rome was able to survive, adapt, rebuild and ultimately conquer in a way that none of the Hellenistic kingdoms were after they had suffered defeat at the hands of Rome. And this was down to how the Roman republic marshalled and optimised its social, economic and military resources. </w:t>
      </w:r>
    </w:p>
    <w:p w:rsidR="00000000" w:rsidDel="00000000" w:rsidP="00000000" w:rsidRDefault="00000000" w:rsidRPr="00000000" w14:paraId="0000000B">
      <w:pPr>
        <w:widowControl w:val="0"/>
        <w:rPr>
          <w:rFonts w:ascii="Arial" w:cs="Arial" w:eastAsia="Arial" w:hAnsi="Arial"/>
          <w:sz w:val="22"/>
          <w:szCs w:val="22"/>
        </w:rPr>
      </w:pPr>
      <w:r w:rsidDel="00000000" w:rsidR="00000000" w:rsidRPr="00000000">
        <w:rPr>
          <w:rFonts w:ascii="Arial" w:cs="Arial" w:eastAsia="Arial" w:hAnsi="Arial"/>
          <w:sz w:val="22"/>
          <w:szCs w:val="22"/>
          <w:rtl w:val="0"/>
        </w:rPr>
        <w:t xml:space="preserve">The range of primary and secondary sources available gives any examination of this topic a firm foundation and a wide range of possibilities for analysis. Ancient authors to whom I have referred for information around this sequence of conquest and expansion are mainly Polybius’ </w:t>
      </w:r>
      <w:r w:rsidDel="00000000" w:rsidR="00000000" w:rsidRPr="00000000">
        <w:rPr>
          <w:rFonts w:ascii="Arial" w:cs="Arial" w:eastAsia="Arial" w:hAnsi="Arial"/>
          <w:i w:val="1"/>
          <w:sz w:val="22"/>
          <w:szCs w:val="22"/>
          <w:rtl w:val="0"/>
        </w:rPr>
        <w:t xml:space="preserve">Histories</w:t>
      </w:r>
      <w:r w:rsidDel="00000000" w:rsidR="00000000" w:rsidRPr="00000000">
        <w:rPr>
          <w:rFonts w:ascii="Arial" w:cs="Arial" w:eastAsia="Arial" w:hAnsi="Arial"/>
          <w:sz w:val="22"/>
          <w:szCs w:val="22"/>
          <w:rtl w:val="0"/>
        </w:rPr>
        <w:t xml:space="preserve">, Appian’s </w:t>
      </w:r>
      <w:r w:rsidDel="00000000" w:rsidR="00000000" w:rsidRPr="00000000">
        <w:rPr>
          <w:rFonts w:ascii="Arial" w:cs="Arial" w:eastAsia="Arial" w:hAnsi="Arial"/>
          <w:i w:val="1"/>
          <w:sz w:val="22"/>
          <w:szCs w:val="22"/>
          <w:rtl w:val="0"/>
        </w:rPr>
        <w:t xml:space="preserve">Roman History</w:t>
      </w:r>
      <w:r w:rsidDel="00000000" w:rsidR="00000000" w:rsidRPr="00000000">
        <w:rPr>
          <w:rFonts w:ascii="Arial" w:cs="Arial" w:eastAsia="Arial" w:hAnsi="Arial"/>
          <w:sz w:val="22"/>
          <w:szCs w:val="22"/>
          <w:rtl w:val="0"/>
        </w:rPr>
        <w:t xml:space="preserve">, Livy’s </w:t>
      </w:r>
      <w:r w:rsidDel="00000000" w:rsidR="00000000" w:rsidRPr="00000000">
        <w:rPr>
          <w:rFonts w:ascii="Arial" w:cs="Arial" w:eastAsia="Arial" w:hAnsi="Arial"/>
          <w:i w:val="1"/>
          <w:sz w:val="22"/>
          <w:szCs w:val="22"/>
          <w:rtl w:val="0"/>
        </w:rPr>
        <w:t xml:space="preserve">Books from the Foundation of the City</w:t>
      </w:r>
      <w:r w:rsidDel="00000000" w:rsidR="00000000" w:rsidRPr="00000000">
        <w:rPr>
          <w:rFonts w:ascii="Arial" w:cs="Arial" w:eastAsia="Arial" w:hAnsi="Arial"/>
          <w:sz w:val="22"/>
          <w:szCs w:val="22"/>
          <w:rtl w:val="0"/>
        </w:rPr>
        <w:t xml:space="preserve">, Diodorus Siculus’ </w:t>
      </w:r>
      <w:r w:rsidDel="00000000" w:rsidR="00000000" w:rsidRPr="00000000">
        <w:rPr>
          <w:rFonts w:ascii="Arial" w:cs="Arial" w:eastAsia="Arial" w:hAnsi="Arial"/>
          <w:i w:val="1"/>
          <w:sz w:val="22"/>
          <w:szCs w:val="22"/>
          <w:rtl w:val="0"/>
        </w:rPr>
        <w:t xml:space="preserve">Historical Library</w:t>
      </w:r>
      <w:r w:rsidDel="00000000" w:rsidR="00000000" w:rsidRPr="00000000">
        <w:rPr>
          <w:rFonts w:ascii="Arial" w:cs="Arial" w:eastAsia="Arial" w:hAnsi="Arial"/>
          <w:sz w:val="22"/>
          <w:szCs w:val="22"/>
          <w:rtl w:val="0"/>
        </w:rPr>
        <w:t xml:space="preserve">, Plutarch’ </w:t>
      </w:r>
      <w:r w:rsidDel="00000000" w:rsidR="00000000" w:rsidRPr="00000000">
        <w:rPr>
          <w:rFonts w:ascii="Arial" w:cs="Arial" w:eastAsia="Arial" w:hAnsi="Arial"/>
          <w:i w:val="1"/>
          <w:sz w:val="22"/>
          <w:szCs w:val="22"/>
          <w:rtl w:val="0"/>
        </w:rPr>
        <w:t xml:space="preserve">Lives</w:t>
      </w:r>
      <w:r w:rsidDel="00000000" w:rsidR="00000000" w:rsidRPr="00000000">
        <w:rPr>
          <w:rFonts w:ascii="Arial" w:cs="Arial" w:eastAsia="Arial" w:hAnsi="Arial"/>
          <w:sz w:val="22"/>
          <w:szCs w:val="22"/>
          <w:rtl w:val="0"/>
        </w:rPr>
        <w:t xml:space="preserve">, Valerius Maximus’ </w:t>
      </w:r>
      <w:r w:rsidDel="00000000" w:rsidR="00000000" w:rsidRPr="00000000">
        <w:rPr>
          <w:rFonts w:ascii="Arial" w:cs="Arial" w:eastAsia="Arial" w:hAnsi="Arial"/>
          <w:i w:val="1"/>
          <w:sz w:val="22"/>
          <w:szCs w:val="22"/>
          <w:rtl w:val="0"/>
        </w:rPr>
        <w:t xml:space="preserve">Factorum et Dictorum Memorabilium</w:t>
      </w:r>
      <w:r w:rsidDel="00000000" w:rsidR="00000000" w:rsidRPr="00000000">
        <w:rPr>
          <w:rFonts w:ascii="Arial" w:cs="Arial" w:eastAsia="Arial" w:hAnsi="Arial"/>
          <w:sz w:val="22"/>
          <w:szCs w:val="22"/>
          <w:rtl w:val="0"/>
        </w:rPr>
        <w:t xml:space="preserve">, and Justin’s epitome of Pompeius Trogus’ </w:t>
      </w:r>
      <w:r w:rsidDel="00000000" w:rsidR="00000000" w:rsidRPr="00000000">
        <w:rPr>
          <w:rFonts w:ascii="Arial" w:cs="Arial" w:eastAsia="Arial" w:hAnsi="Arial"/>
          <w:i w:val="1"/>
          <w:sz w:val="22"/>
          <w:szCs w:val="22"/>
          <w:rtl w:val="0"/>
        </w:rPr>
        <w:t xml:space="preserve">Philippic Histories</w:t>
      </w:r>
      <w:r w:rsidDel="00000000" w:rsidR="00000000" w:rsidRPr="00000000">
        <w:rPr>
          <w:rFonts w:ascii="Arial" w:cs="Arial" w:eastAsia="Arial" w:hAnsi="Arial"/>
          <w:sz w:val="22"/>
          <w:szCs w:val="22"/>
          <w:rtl w:val="0"/>
        </w:rPr>
        <w:t xml:space="preserve">. For consistency I have retained the modern English translation and spelling of these works, as well as the names of all those mentioned, while adding the original titles in Greek and Latin in the Bibliography alongside.  In modern times, the era has been comprehensively analysed and discussed by renowned historians of the 20</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and 21</w:t>
      </w:r>
      <w:r w:rsidDel="00000000" w:rsidR="00000000" w:rsidRPr="00000000">
        <w:rPr>
          <w:rFonts w:ascii="Arial" w:cs="Arial" w:eastAsia="Arial" w:hAnsi="Arial"/>
          <w:sz w:val="22"/>
          <w:szCs w:val="22"/>
          <w:vertAlign w:val="superscript"/>
          <w:rtl w:val="0"/>
        </w:rPr>
        <w:t xml:space="preserve">st</w:t>
      </w:r>
      <w:r w:rsidDel="00000000" w:rsidR="00000000" w:rsidRPr="00000000">
        <w:rPr>
          <w:rFonts w:ascii="Arial" w:cs="Arial" w:eastAsia="Arial" w:hAnsi="Arial"/>
          <w:sz w:val="22"/>
          <w:szCs w:val="22"/>
          <w:rtl w:val="0"/>
        </w:rPr>
        <w:t xml:space="preserve"> centuries such as Walbank (1989, 2006), (1958, 1968), Gruen (1986), Syme (1939, 1957), Eckstein (2006, 2008, 2009) and Green 1990, 2007) – to name but a few.</w:t>
      </w:r>
    </w:p>
    <w:p w:rsidR="00000000" w:rsidDel="00000000" w:rsidP="00000000" w:rsidRDefault="00000000" w:rsidRPr="00000000" w14:paraId="000000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An Overview of the political systems</w:t>
      </w:r>
    </w:p>
    <w:p w:rsidR="00000000" w:rsidDel="00000000" w:rsidP="00000000" w:rsidRDefault="00000000" w:rsidRPr="00000000" w14:paraId="0000000F">
      <w:pPr>
        <w:rPr>
          <w:rFonts w:ascii="Arial" w:cs="Arial" w:eastAsia="Arial" w:hAnsi="Arial"/>
          <w:sz w:val="22"/>
          <w:szCs w:val="22"/>
        </w:rPr>
      </w:pPr>
      <w:r w:rsidDel="00000000" w:rsidR="00000000" w:rsidRPr="00000000">
        <w:rPr>
          <w:rFonts w:ascii="Arial" w:cs="Arial" w:eastAsia="Arial" w:hAnsi="Arial"/>
          <w:sz w:val="22"/>
          <w:szCs w:val="22"/>
          <w:rtl w:val="0"/>
        </w:rPr>
        <w:t xml:space="preserve">Before moving on to the social, military and economic factors that Rome used to its advantage in subsuming the Greek kingdoms of the ancient near east, I will first touch upon the political institutions that compounded this strength. </w:t>
      </w:r>
    </w:p>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In his introduction to The Histories, Polybius famously asked the question: “Can any one be so indifferent or idle as not to care to know by what means, and under what kind of polity, almost the whole inhabited world was conquered and brought under the dominion of the single city of Rome?”</w:t>
      </w:r>
      <w:r w:rsidDel="00000000" w:rsidR="00000000" w:rsidRPr="00000000">
        <w:rPr>
          <w:rFonts w:ascii="Arial" w:cs="Arial" w:eastAsia="Arial" w:hAnsi="Arial"/>
          <w:sz w:val="22"/>
          <w:szCs w:val="22"/>
          <w:vertAlign w:val="superscript"/>
        </w:rPr>
        <w:footnoteReference w:customMarkFollows="0" w:id="18"/>
      </w:r>
      <w:r w:rsidDel="00000000" w:rsidR="00000000" w:rsidRPr="00000000">
        <w:rPr>
          <w:rFonts w:ascii="Arial" w:cs="Arial" w:eastAsia="Arial" w:hAnsi="Arial"/>
          <w:sz w:val="22"/>
          <w:szCs w:val="22"/>
          <w:rtl w:val="0"/>
        </w:rPr>
        <w:t xml:space="preserve"> From the period of 188 B.C.E. onwards, one by one the Kingdoms and polities of the Ancient Mediterranean fell under her control and her </w:t>
      </w:r>
      <w:r w:rsidDel="00000000" w:rsidR="00000000" w:rsidRPr="00000000">
        <w:rPr>
          <w:rFonts w:ascii="Arial" w:cs="Arial" w:eastAsia="Arial" w:hAnsi="Arial"/>
          <w:i w:val="1"/>
          <w:sz w:val="22"/>
          <w:szCs w:val="22"/>
          <w:rtl w:val="0"/>
        </w:rPr>
        <w:t xml:space="preserve">machtpolitik</w:t>
      </w:r>
      <w:r w:rsidDel="00000000" w:rsidR="00000000" w:rsidRPr="00000000">
        <w:rPr>
          <w:rFonts w:ascii="Arial" w:cs="Arial" w:eastAsia="Arial" w:hAnsi="Arial"/>
          <w:sz w:val="22"/>
          <w:szCs w:val="22"/>
          <w:rtl w:val="0"/>
        </w:rPr>
        <w:t xml:space="preserve">. Rome had been born, according to Livy in Book 1 of his  </w:t>
      </w:r>
      <w:r w:rsidDel="00000000" w:rsidR="00000000" w:rsidRPr="00000000">
        <w:rPr>
          <w:rFonts w:ascii="Arial" w:cs="Arial" w:eastAsia="Arial" w:hAnsi="Arial"/>
          <w:i w:val="1"/>
          <w:sz w:val="22"/>
          <w:szCs w:val="22"/>
          <w:rtl w:val="0"/>
        </w:rPr>
        <w:t xml:space="preserve">Ab Urbe Condita Libri</w:t>
      </w:r>
      <w:r w:rsidDel="00000000" w:rsidR="00000000" w:rsidRPr="00000000">
        <w:rPr>
          <w:rFonts w:ascii="Arial" w:cs="Arial" w:eastAsia="Arial" w:hAnsi="Arial"/>
          <w:sz w:val="22"/>
          <w:szCs w:val="22"/>
          <w:rtl w:val="0"/>
        </w:rPr>
        <w:t xml:space="preserve">, out of conflict and with Romulus ultimately as the first of its (unusually long-lived) kings. Following the unacceptable behaviour of Tarquinius Superbus (who, Livy claims, murdered his father-in-law and predecessor; and raped the wife of Lucius Tarquinius Collatinus), the city had been declared a republic in 509 B.C.E. So traumatised were its people by the actions of a becoming corrupted by the power he wielded, and determined to find a different, and better system of government, that ‘forever after, the Romans hated the very idea of a king’.</w:t>
      </w:r>
      <w:r w:rsidDel="00000000" w:rsidR="00000000" w:rsidRPr="00000000">
        <w:rPr>
          <w:rFonts w:ascii="Arial" w:cs="Arial" w:eastAsia="Arial" w:hAnsi="Arial"/>
          <w:sz w:val="22"/>
          <w:szCs w:val="22"/>
          <w:vertAlign w:val="superscript"/>
        </w:rPr>
        <w:footnoteReference w:customMarkFollows="0" w:id="19"/>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Over the next three centuries the new republic faced many external and internal threats, but as history has shown, each new shock left Rome seemingly stronger. This led to what was by the 3</w:t>
      </w:r>
      <w:r w:rsidDel="00000000" w:rsidR="00000000" w:rsidRPr="00000000">
        <w:rPr>
          <w:rFonts w:ascii="Arial" w:cs="Arial" w:eastAsia="Arial" w:hAnsi="Arial"/>
          <w:sz w:val="22"/>
          <w:szCs w:val="22"/>
          <w:vertAlign w:val="superscript"/>
          <w:rtl w:val="0"/>
        </w:rPr>
        <w:t xml:space="preserve">rd</w:t>
      </w:r>
      <w:r w:rsidDel="00000000" w:rsidR="00000000" w:rsidRPr="00000000">
        <w:rPr>
          <w:rFonts w:ascii="Arial" w:cs="Arial" w:eastAsia="Arial" w:hAnsi="Arial"/>
          <w:sz w:val="22"/>
          <w:szCs w:val="22"/>
          <w:rtl w:val="0"/>
        </w:rPr>
        <w:t xml:space="preserve"> century B.C.E., in Polybius’ opinion, the perfect mixed constitution</w:t>
      </w:r>
      <w:r w:rsidDel="00000000" w:rsidR="00000000" w:rsidRPr="00000000">
        <w:rPr>
          <w:rFonts w:ascii="Arial" w:cs="Arial" w:eastAsia="Arial" w:hAnsi="Arial"/>
          <w:sz w:val="22"/>
          <w:szCs w:val="22"/>
          <w:vertAlign w:val="superscript"/>
        </w:rPr>
        <w:footnoteReference w:customMarkFollows="0" w:id="20"/>
      </w:r>
      <w:r w:rsidDel="00000000" w:rsidR="00000000" w:rsidRPr="00000000">
        <w:rPr>
          <w:rFonts w:ascii="Arial" w:cs="Arial" w:eastAsia="Arial" w:hAnsi="Arial"/>
          <w:sz w:val="22"/>
          <w:szCs w:val="22"/>
          <w:rtl w:val="0"/>
        </w:rPr>
        <w:t xml:space="preserve"> with power divided responsibly across the people, the senate and the consuls – thus the best and ‘unperverted’ elements of Aristotle’s ‘kingly rule, aristocracy and constitutional government.’</w:t>
      </w:r>
      <w:r w:rsidDel="00000000" w:rsidR="00000000" w:rsidRPr="00000000">
        <w:rPr>
          <w:rFonts w:ascii="Arial" w:cs="Arial" w:eastAsia="Arial" w:hAnsi="Arial"/>
          <w:sz w:val="22"/>
          <w:szCs w:val="22"/>
          <w:vertAlign w:val="superscript"/>
        </w:rPr>
        <w:footnoteReference w:customMarkFollows="0" w:id="21"/>
      </w:r>
      <w:r w:rsidDel="00000000" w:rsidR="00000000" w:rsidRPr="00000000">
        <w:rPr>
          <w:rtl w:val="0"/>
        </w:rPr>
      </w:r>
    </w:p>
    <w:p w:rsidR="00000000" w:rsidDel="00000000" w:rsidP="00000000" w:rsidRDefault="00000000" w:rsidRPr="00000000" w14:paraId="00000013">
      <w:pPr>
        <w:widowControl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widowControl w:val="0"/>
        <w:rPr>
          <w:rFonts w:ascii="Arial" w:cs="Arial" w:eastAsia="Arial" w:hAnsi="Arial"/>
          <w:sz w:val="22"/>
          <w:szCs w:val="22"/>
        </w:rPr>
      </w:pPr>
      <w:r w:rsidDel="00000000" w:rsidR="00000000" w:rsidRPr="00000000">
        <w:rPr>
          <w:rFonts w:ascii="Arial" w:cs="Arial" w:eastAsia="Arial" w:hAnsi="Arial"/>
          <w:sz w:val="22"/>
          <w:szCs w:val="22"/>
          <w:rtl w:val="0"/>
        </w:rPr>
        <w:t xml:space="preserve">This lies very much in contrast with their future antagonists, the kingdoms of the Greek east. Gruen (1993, p.4) summed up Hellenic kingship in a  droll, blunt, cynical and more-true-than-not manner when he said that “Two basic problems confronted Greek kings: the fact that they were Greek and the fact that they were kings. The first presented a challenge to their control of non-Hellenic peoples, the second complicated their relations with Hellenic traditions”. The Hellenic kingdoms of the ancient near east were to varying degrees all based on the Macedonian monarchy and were carved out of Alexander the Great’s vast empire. The origin of the kingdoms was not an auspicious one, as on his death bed Alexander sowed the seeds</w:t>
      </w:r>
      <w:r w:rsidDel="00000000" w:rsidR="00000000" w:rsidRPr="00000000">
        <w:rPr>
          <w:rFonts w:ascii="Arial" w:cs="Arial" w:eastAsia="Arial" w:hAnsi="Arial"/>
          <w:sz w:val="22"/>
          <w:szCs w:val="22"/>
          <w:vertAlign w:val="superscript"/>
        </w:rPr>
        <w:footnoteReference w:customMarkFollows="0" w:id="22"/>
      </w:r>
      <w:r w:rsidDel="00000000" w:rsidR="00000000" w:rsidRPr="00000000">
        <w:rPr>
          <w:rFonts w:ascii="Arial" w:cs="Arial" w:eastAsia="Arial" w:hAnsi="Arial"/>
          <w:sz w:val="22"/>
          <w:szCs w:val="22"/>
          <w:rtl w:val="0"/>
        </w:rPr>
        <w:t xml:space="preserve"> of 40 years of civil war with his famous martial challenge,</w:t>
      </w:r>
      <w:r w:rsidDel="00000000" w:rsidR="00000000" w:rsidRPr="00000000">
        <w:rPr>
          <w:rFonts w:ascii="Arial" w:cs="Arial" w:eastAsia="Arial" w:hAnsi="Arial"/>
          <w:sz w:val="22"/>
          <w:szCs w:val="22"/>
          <w:vertAlign w:val="superscript"/>
        </w:rPr>
        <w:footnoteReference w:customMarkFollows="0" w:id="23"/>
      </w:r>
      <w:r w:rsidDel="00000000" w:rsidR="00000000" w:rsidRPr="00000000">
        <w:rPr>
          <w:rFonts w:ascii="Arial" w:cs="Arial" w:eastAsia="Arial" w:hAnsi="Arial"/>
          <w:sz w:val="22"/>
          <w:szCs w:val="22"/>
          <w:rtl w:val="0"/>
        </w:rPr>
        <w:t xml:space="preserve"> a contest that would only end after the defeat and death of Lysimachus at the battle of Corupedium in 281 B.C.E.</w:t>
      </w:r>
      <w:r w:rsidDel="00000000" w:rsidR="00000000" w:rsidRPr="00000000">
        <w:rPr>
          <w:rFonts w:ascii="Arial" w:cs="Arial" w:eastAsia="Arial" w:hAnsi="Arial"/>
          <w:sz w:val="22"/>
          <w:szCs w:val="22"/>
          <w:vertAlign w:val="superscript"/>
        </w:rPr>
        <w:footnoteReference w:customMarkFollows="0" w:id="24"/>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15">
      <w:pPr>
        <w:widowControl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6">
      <w:pPr>
        <w:widowControl w:val="0"/>
        <w:rPr>
          <w:rFonts w:ascii="Arial" w:cs="Arial" w:eastAsia="Arial" w:hAnsi="Arial"/>
          <w:sz w:val="22"/>
          <w:szCs w:val="22"/>
        </w:rPr>
      </w:pPr>
      <w:r w:rsidDel="00000000" w:rsidR="00000000" w:rsidRPr="00000000">
        <w:rPr>
          <w:rFonts w:ascii="Arial" w:cs="Arial" w:eastAsia="Arial" w:hAnsi="Arial"/>
          <w:sz w:val="22"/>
          <w:szCs w:val="22"/>
          <w:rtl w:val="0"/>
        </w:rPr>
        <w:t xml:space="preserve">Unlike the Achaemenid monarch Darius, the Macedonian king was not a divine figure – more </w:t>
      </w:r>
      <w:r w:rsidDel="00000000" w:rsidR="00000000" w:rsidRPr="00000000">
        <w:rPr>
          <w:rFonts w:ascii="Arial" w:cs="Arial" w:eastAsia="Arial" w:hAnsi="Arial"/>
          <w:i w:val="1"/>
          <w:sz w:val="22"/>
          <w:szCs w:val="22"/>
          <w:rtl w:val="0"/>
        </w:rPr>
        <w:t xml:space="preserve">primus inter pares</w:t>
      </w:r>
      <w:r w:rsidDel="00000000" w:rsidR="00000000" w:rsidRPr="00000000">
        <w:rPr>
          <w:rFonts w:ascii="Arial" w:cs="Arial" w:eastAsia="Arial" w:hAnsi="Arial"/>
          <w:sz w:val="22"/>
          <w:szCs w:val="22"/>
          <w:rtl w:val="0"/>
        </w:rPr>
        <w:t xml:space="preserve">, and was traditionally hailed by acclamation rather than via primogeniture</w:t>
      </w:r>
      <w:r w:rsidDel="00000000" w:rsidR="00000000" w:rsidRPr="00000000">
        <w:rPr>
          <w:rFonts w:ascii="Arial" w:cs="Arial" w:eastAsia="Arial" w:hAnsi="Arial"/>
          <w:sz w:val="22"/>
          <w:szCs w:val="22"/>
          <w:vertAlign w:val="superscript"/>
        </w:rPr>
        <w:footnoteReference w:customMarkFollows="0" w:id="25"/>
      </w:r>
      <w:r w:rsidDel="00000000" w:rsidR="00000000" w:rsidRPr="00000000">
        <w:rPr>
          <w:rFonts w:ascii="Arial" w:cs="Arial" w:eastAsia="Arial" w:hAnsi="Arial"/>
          <w:sz w:val="22"/>
          <w:szCs w:val="22"/>
          <w:rtl w:val="0"/>
        </w:rPr>
        <w:t xml:space="preserve"> – though all power was concentrated in the person of the king.</w:t>
      </w:r>
      <w:r w:rsidDel="00000000" w:rsidR="00000000" w:rsidRPr="00000000">
        <w:rPr>
          <w:rFonts w:ascii="Arial" w:cs="Arial" w:eastAsia="Arial" w:hAnsi="Arial"/>
          <w:sz w:val="22"/>
          <w:szCs w:val="22"/>
          <w:vertAlign w:val="superscript"/>
        </w:rPr>
        <w:footnoteReference w:customMarkFollows="0" w:id="26"/>
      </w:r>
      <w:r w:rsidDel="00000000" w:rsidR="00000000" w:rsidRPr="00000000">
        <w:rPr>
          <w:rFonts w:ascii="Arial" w:cs="Arial" w:eastAsia="Arial" w:hAnsi="Arial"/>
          <w:sz w:val="22"/>
          <w:szCs w:val="22"/>
          <w:rtl w:val="0"/>
        </w:rPr>
        <w:t xml:space="preserve"> It was a ‘national’ monarchy, tied to a defined region rather than one based around the ruler himself – a ‘personal’ one — where the king </w:t>
      </w:r>
      <w:r w:rsidDel="00000000" w:rsidR="00000000" w:rsidRPr="00000000">
        <w:rPr>
          <w:rFonts w:ascii="Arial" w:cs="Arial" w:eastAsia="Arial" w:hAnsi="Arial"/>
          <w:i w:val="1"/>
          <w:sz w:val="22"/>
          <w:szCs w:val="22"/>
          <w:rtl w:val="0"/>
        </w:rPr>
        <w:t xml:space="preserve">was</w:t>
      </w:r>
      <w:r w:rsidDel="00000000" w:rsidR="00000000" w:rsidRPr="00000000">
        <w:rPr>
          <w:rFonts w:ascii="Arial" w:cs="Arial" w:eastAsia="Arial" w:hAnsi="Arial"/>
          <w:sz w:val="22"/>
          <w:szCs w:val="22"/>
          <w:rtl w:val="0"/>
        </w:rPr>
        <w:t xml:space="preserve"> the state.</w:t>
      </w:r>
      <w:r w:rsidDel="00000000" w:rsidR="00000000" w:rsidRPr="00000000">
        <w:rPr>
          <w:rFonts w:ascii="Arial" w:cs="Arial" w:eastAsia="Arial" w:hAnsi="Arial"/>
          <w:sz w:val="22"/>
          <w:szCs w:val="22"/>
          <w:vertAlign w:val="superscript"/>
        </w:rPr>
        <w:footnoteReference w:customMarkFollows="0" w:id="27"/>
      </w:r>
      <w:r w:rsidDel="00000000" w:rsidR="00000000" w:rsidRPr="00000000">
        <w:rPr>
          <w:rFonts w:ascii="Arial" w:cs="Arial" w:eastAsia="Arial" w:hAnsi="Arial"/>
          <w:sz w:val="22"/>
          <w:szCs w:val="22"/>
          <w:rtl w:val="0"/>
        </w:rPr>
        <w:t xml:space="preserve"> But with the invasion of Darius’ empire, this was to change with Alexander becoming one of the first Greeks to claim divine descent</w:t>
      </w:r>
      <w:r w:rsidDel="00000000" w:rsidR="00000000" w:rsidRPr="00000000">
        <w:rPr>
          <w:rFonts w:ascii="Arial" w:cs="Arial" w:eastAsia="Arial" w:hAnsi="Arial"/>
          <w:sz w:val="22"/>
          <w:szCs w:val="22"/>
          <w:vertAlign w:val="superscript"/>
        </w:rPr>
        <w:footnoteReference w:customMarkFollows="0" w:id="28"/>
      </w:r>
      <w:r w:rsidDel="00000000" w:rsidR="00000000" w:rsidRPr="00000000">
        <w:rPr>
          <w:rFonts w:ascii="Arial" w:cs="Arial" w:eastAsia="Arial" w:hAnsi="Arial"/>
          <w:sz w:val="22"/>
          <w:szCs w:val="22"/>
          <w:rtl w:val="0"/>
        </w:rPr>
        <w:t xml:space="preserve"> when he took his first steps towards self-proclaimed ‘divinity’ by visiting the oracle of Zeus Ammon at Siwa in Egypt. After this detour on his journey of conquest, he is reported to behaved as though he were the actual son of Ammon.</w:t>
      </w:r>
      <w:r w:rsidDel="00000000" w:rsidR="00000000" w:rsidRPr="00000000">
        <w:rPr>
          <w:rFonts w:ascii="Arial" w:cs="Arial" w:eastAsia="Arial" w:hAnsi="Arial"/>
          <w:sz w:val="22"/>
          <w:szCs w:val="22"/>
          <w:vertAlign w:val="superscript"/>
        </w:rPr>
        <w:footnoteReference w:customMarkFollows="0" w:id="29"/>
      </w:r>
      <w:r w:rsidDel="00000000" w:rsidR="00000000" w:rsidRPr="00000000">
        <w:rPr>
          <w:rFonts w:ascii="Arial" w:cs="Arial" w:eastAsia="Arial" w:hAnsi="Arial"/>
          <w:sz w:val="22"/>
          <w:szCs w:val="22"/>
          <w:rtl w:val="0"/>
        </w:rPr>
        <w:t xml:space="preserve"> Once his successor generals, the </w:t>
      </w:r>
      <w:r w:rsidDel="00000000" w:rsidR="00000000" w:rsidRPr="00000000">
        <w:rPr>
          <w:rFonts w:ascii="Arial" w:cs="Arial" w:eastAsia="Arial" w:hAnsi="Arial"/>
          <w:i w:val="1"/>
          <w:color w:val="202122"/>
          <w:sz w:val="22"/>
          <w:szCs w:val="22"/>
          <w:highlight w:val="white"/>
          <w:rtl w:val="0"/>
        </w:rPr>
        <w:t xml:space="preserve">διάδοχοι</w:t>
      </w:r>
      <w:r w:rsidDel="00000000" w:rsidR="00000000" w:rsidRPr="00000000">
        <w:rPr>
          <w:rFonts w:ascii="Arial" w:cs="Arial" w:eastAsia="Arial" w:hAnsi="Arial"/>
          <w:sz w:val="22"/>
          <w:szCs w:val="22"/>
          <w:rtl w:val="0"/>
        </w:rPr>
        <w:t xml:space="preserve">, had claimed diadems of their own, they in turn started to ‘</w:t>
      </w:r>
      <w:r w:rsidDel="00000000" w:rsidR="00000000" w:rsidRPr="00000000">
        <w:rPr>
          <w:rFonts w:ascii="Arial" w:cs="Arial" w:eastAsia="Arial" w:hAnsi="Arial"/>
          <w:sz w:val="22"/>
          <w:szCs w:val="22"/>
          <w:rtl w:val="0"/>
        </w:rPr>
        <w:t xml:space="preserve">re-brand</w:t>
      </w:r>
      <w:r w:rsidDel="00000000" w:rsidR="00000000" w:rsidRPr="00000000">
        <w:rPr>
          <w:rFonts w:ascii="Arial" w:cs="Arial" w:eastAsia="Arial" w:hAnsi="Arial"/>
          <w:sz w:val="22"/>
          <w:szCs w:val="22"/>
          <w:rtl w:val="0"/>
        </w:rPr>
        <w:t xml:space="preserve">’ themselves in regal style on coins</w:t>
      </w:r>
      <w:r w:rsidDel="00000000" w:rsidR="00000000" w:rsidRPr="00000000">
        <w:rPr>
          <w:rFonts w:ascii="Arial" w:cs="Arial" w:eastAsia="Arial" w:hAnsi="Arial"/>
          <w:sz w:val="22"/>
          <w:szCs w:val="22"/>
          <w:vertAlign w:val="superscript"/>
        </w:rPr>
        <w:footnoteReference w:customMarkFollows="0" w:id="30"/>
      </w:r>
      <w:r w:rsidDel="00000000" w:rsidR="00000000" w:rsidRPr="00000000">
        <w:rPr>
          <w:rFonts w:ascii="Arial" w:cs="Arial" w:eastAsia="Arial" w:hAnsi="Arial"/>
          <w:sz w:val="22"/>
          <w:szCs w:val="22"/>
          <w:rtl w:val="0"/>
        </w:rPr>
        <w:t xml:space="preserve"> and statues,</w:t>
      </w:r>
      <w:r w:rsidDel="00000000" w:rsidR="00000000" w:rsidRPr="00000000">
        <w:rPr>
          <w:rFonts w:ascii="Arial" w:cs="Arial" w:eastAsia="Arial" w:hAnsi="Arial"/>
          <w:sz w:val="22"/>
          <w:szCs w:val="22"/>
          <w:vertAlign w:val="superscript"/>
        </w:rPr>
        <w:footnoteReference w:customMarkFollows="0" w:id="31"/>
      </w:r>
      <w:r w:rsidDel="00000000" w:rsidR="00000000" w:rsidRPr="00000000">
        <w:rPr>
          <w:rFonts w:ascii="Arial" w:cs="Arial" w:eastAsia="Arial" w:hAnsi="Arial"/>
          <w:sz w:val="22"/>
          <w:szCs w:val="22"/>
          <w:rtl w:val="0"/>
        </w:rPr>
        <w:t xml:space="preserve"> building their own divinity on Alexander’s foundations,</w:t>
      </w:r>
      <w:r w:rsidDel="00000000" w:rsidR="00000000" w:rsidRPr="00000000">
        <w:rPr>
          <w:rFonts w:ascii="Arial" w:cs="Arial" w:eastAsia="Arial" w:hAnsi="Arial"/>
          <w:sz w:val="22"/>
          <w:szCs w:val="22"/>
          <w:vertAlign w:val="superscript"/>
        </w:rPr>
        <w:footnoteReference w:customMarkFollows="0" w:id="32"/>
      </w:r>
      <w:r w:rsidDel="00000000" w:rsidR="00000000" w:rsidRPr="00000000">
        <w:rPr>
          <w:rFonts w:ascii="Arial" w:cs="Arial" w:eastAsia="Arial" w:hAnsi="Arial"/>
          <w:sz w:val="22"/>
          <w:szCs w:val="22"/>
          <w:rtl w:val="0"/>
        </w:rPr>
        <w:t xml:space="preserve"> and creating what in the early 21</w:t>
      </w:r>
      <w:r w:rsidDel="00000000" w:rsidR="00000000" w:rsidRPr="00000000">
        <w:rPr>
          <w:rFonts w:ascii="Arial" w:cs="Arial" w:eastAsia="Arial" w:hAnsi="Arial"/>
          <w:sz w:val="22"/>
          <w:szCs w:val="22"/>
          <w:vertAlign w:val="superscript"/>
          <w:rtl w:val="0"/>
        </w:rPr>
        <w:t xml:space="preserve">st</w:t>
      </w:r>
      <w:r w:rsidDel="00000000" w:rsidR="00000000" w:rsidRPr="00000000">
        <w:rPr>
          <w:rFonts w:ascii="Arial" w:cs="Arial" w:eastAsia="Arial" w:hAnsi="Arial"/>
          <w:sz w:val="22"/>
          <w:szCs w:val="22"/>
          <w:rtl w:val="0"/>
        </w:rPr>
        <w:t xml:space="preserve"> century (with recent `hollywood movies in mind), we might call ‘origin stories’.</w:t>
      </w:r>
      <w:r w:rsidDel="00000000" w:rsidR="00000000" w:rsidRPr="00000000">
        <w:rPr>
          <w:rFonts w:ascii="Arial" w:cs="Arial" w:eastAsia="Arial" w:hAnsi="Arial"/>
          <w:sz w:val="22"/>
          <w:szCs w:val="22"/>
          <w:vertAlign w:val="superscript"/>
        </w:rPr>
        <w:footnoteReference w:customMarkFollows="0" w:id="33"/>
      </w:r>
      <w:r w:rsidDel="00000000" w:rsidR="00000000" w:rsidRPr="00000000">
        <w:rPr>
          <w:rFonts w:ascii="Arial" w:cs="Arial" w:eastAsia="Arial" w:hAnsi="Arial"/>
          <w:sz w:val="22"/>
          <w:szCs w:val="22"/>
          <w:rtl w:val="0"/>
        </w:rPr>
        <w:t xml:space="preserve"> Of all the warring successors, Ptolemy was perhaps the most fortunate in that he was able to transplant himself into the already-existing god-king form of the Egyptian pharaoh,</w:t>
      </w:r>
      <w:r w:rsidDel="00000000" w:rsidR="00000000" w:rsidRPr="00000000">
        <w:rPr>
          <w:rFonts w:ascii="Arial" w:cs="Arial" w:eastAsia="Arial" w:hAnsi="Arial"/>
          <w:sz w:val="22"/>
          <w:szCs w:val="22"/>
          <w:vertAlign w:val="superscript"/>
        </w:rPr>
        <w:footnoteReference w:customMarkFollows="0" w:id="34"/>
      </w:r>
      <w:r w:rsidDel="00000000" w:rsidR="00000000" w:rsidRPr="00000000">
        <w:rPr>
          <w:rFonts w:ascii="Arial" w:cs="Arial" w:eastAsia="Arial" w:hAnsi="Arial"/>
          <w:sz w:val="22"/>
          <w:szCs w:val="22"/>
          <w:rtl w:val="0"/>
        </w:rPr>
        <w:t xml:space="preserve">  and thus across the Hellenic east the ‘personal’ monarchies started to take root.</w:t>
      </w:r>
      <w:r w:rsidDel="00000000" w:rsidR="00000000" w:rsidRPr="00000000">
        <w:rPr>
          <w:rFonts w:ascii="Arial" w:cs="Arial" w:eastAsia="Arial" w:hAnsi="Arial"/>
          <w:sz w:val="22"/>
          <w:szCs w:val="22"/>
          <w:vertAlign w:val="superscript"/>
        </w:rPr>
        <w:footnoteReference w:customMarkFollows="0" w:id="35"/>
      </w:r>
      <w:r w:rsidDel="00000000" w:rsidR="00000000" w:rsidRPr="00000000">
        <w:rPr>
          <w:rtl w:val="0"/>
        </w:rPr>
      </w:r>
    </w:p>
    <w:p w:rsidR="00000000" w:rsidDel="00000000" w:rsidP="00000000" w:rsidRDefault="00000000" w:rsidRPr="00000000" w14:paraId="00000017">
      <w:pPr>
        <w:widowControl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widowControl w:val="0"/>
        <w:rPr>
          <w:rFonts w:ascii="Arial" w:cs="Arial" w:eastAsia="Arial" w:hAnsi="Arial"/>
          <w:sz w:val="22"/>
          <w:szCs w:val="22"/>
        </w:rPr>
      </w:pPr>
      <w:r w:rsidDel="00000000" w:rsidR="00000000" w:rsidRPr="00000000">
        <w:rPr>
          <w:rFonts w:ascii="Arial" w:cs="Arial" w:eastAsia="Arial" w:hAnsi="Arial"/>
          <w:sz w:val="22"/>
          <w:szCs w:val="22"/>
          <w:rtl w:val="0"/>
        </w:rPr>
        <w:t xml:space="preserve">The evolution of this personal monarchy, won by the spear</w:t>
      </w:r>
      <w:r w:rsidDel="00000000" w:rsidR="00000000" w:rsidRPr="00000000">
        <w:rPr>
          <w:rFonts w:ascii="Arial" w:cs="Arial" w:eastAsia="Arial" w:hAnsi="Arial"/>
          <w:sz w:val="22"/>
          <w:szCs w:val="22"/>
          <w:vertAlign w:val="superscript"/>
        </w:rPr>
        <w:footnoteReference w:customMarkFollows="0" w:id="36"/>
      </w:r>
      <w:r w:rsidDel="00000000" w:rsidR="00000000" w:rsidRPr="00000000">
        <w:rPr>
          <w:rFonts w:ascii="Arial" w:cs="Arial" w:eastAsia="Arial" w:hAnsi="Arial"/>
          <w:sz w:val="22"/>
          <w:szCs w:val="22"/>
          <w:rtl w:val="0"/>
        </w:rPr>
        <w:t xml:space="preserve">, was initiated by Alexander when he claimed lordship of Asia from Darius,</w:t>
      </w:r>
      <w:r w:rsidDel="00000000" w:rsidR="00000000" w:rsidRPr="00000000">
        <w:rPr>
          <w:rFonts w:ascii="Arial" w:cs="Arial" w:eastAsia="Arial" w:hAnsi="Arial"/>
          <w:sz w:val="22"/>
          <w:szCs w:val="22"/>
          <w:vertAlign w:val="superscript"/>
        </w:rPr>
        <w:footnoteReference w:customMarkFollows="0" w:id="37"/>
      </w:r>
      <w:r w:rsidDel="00000000" w:rsidR="00000000" w:rsidRPr="00000000">
        <w:rPr>
          <w:rFonts w:ascii="Arial" w:cs="Arial" w:eastAsia="Arial" w:hAnsi="Arial"/>
          <w:sz w:val="22"/>
          <w:szCs w:val="22"/>
          <w:rtl w:val="0"/>
        </w:rPr>
        <w:t xml:space="preserve"> then as the wars of the </w:t>
      </w:r>
      <w:r w:rsidDel="00000000" w:rsidR="00000000" w:rsidRPr="00000000">
        <w:rPr>
          <w:rFonts w:ascii="Arial" w:cs="Arial" w:eastAsia="Arial" w:hAnsi="Arial"/>
          <w:i w:val="1"/>
          <w:color w:val="202122"/>
          <w:sz w:val="22"/>
          <w:szCs w:val="22"/>
          <w:highlight w:val="white"/>
          <w:rtl w:val="0"/>
        </w:rPr>
        <w:t xml:space="preserve">διάδοχοι</w:t>
      </w:r>
      <w:r w:rsidDel="00000000" w:rsidR="00000000" w:rsidRPr="00000000">
        <w:rPr>
          <w:rFonts w:ascii="Arial" w:cs="Arial" w:eastAsia="Arial" w:hAnsi="Arial"/>
          <w:sz w:val="22"/>
          <w:szCs w:val="22"/>
          <w:rtl w:val="0"/>
        </w:rPr>
        <w:t xml:space="preserve"> raged on, Antigonous Monophthalmus was the first to claim his own spear-won diadem in 306 B.C.E.</w:t>
      </w:r>
      <w:r w:rsidDel="00000000" w:rsidR="00000000" w:rsidRPr="00000000">
        <w:rPr>
          <w:rFonts w:ascii="Arial" w:cs="Arial" w:eastAsia="Arial" w:hAnsi="Arial"/>
          <w:sz w:val="22"/>
          <w:szCs w:val="22"/>
          <w:vertAlign w:val="superscript"/>
        </w:rPr>
        <w:footnoteReference w:customMarkFollows="0" w:id="38"/>
      </w:r>
      <w:r w:rsidDel="00000000" w:rsidR="00000000" w:rsidRPr="00000000">
        <w:rPr>
          <w:rFonts w:ascii="Arial" w:cs="Arial" w:eastAsia="Arial" w:hAnsi="Arial"/>
          <w:sz w:val="22"/>
          <w:szCs w:val="22"/>
          <w:rtl w:val="0"/>
        </w:rPr>
        <w:t xml:space="preserve"> The other </w:t>
      </w:r>
      <w:r w:rsidDel="00000000" w:rsidR="00000000" w:rsidRPr="00000000">
        <w:rPr>
          <w:rFonts w:ascii="Arial" w:cs="Arial" w:eastAsia="Arial" w:hAnsi="Arial"/>
          <w:i w:val="1"/>
          <w:color w:val="202122"/>
          <w:sz w:val="22"/>
          <w:szCs w:val="22"/>
          <w:highlight w:val="white"/>
          <w:rtl w:val="0"/>
        </w:rPr>
        <w:t xml:space="preserve">διάδοχοι</w:t>
      </w:r>
      <w:r w:rsidDel="00000000" w:rsidR="00000000" w:rsidRPr="00000000">
        <w:rPr>
          <w:rFonts w:ascii="Arial" w:cs="Arial" w:eastAsia="Arial" w:hAnsi="Arial"/>
          <w:sz w:val="22"/>
          <w:szCs w:val="22"/>
          <w:rtl w:val="0"/>
        </w:rPr>
        <w:t xml:space="preserve"> followed his lead, each calling themselves </w:t>
      </w:r>
      <w:r w:rsidDel="00000000" w:rsidR="00000000" w:rsidRPr="00000000">
        <w:rPr>
          <w:rFonts w:ascii="Arial" w:cs="Arial" w:eastAsia="Arial" w:hAnsi="Arial"/>
          <w:i w:val="1"/>
          <w:sz w:val="22"/>
          <w:szCs w:val="22"/>
          <w:rtl w:val="0"/>
        </w:rPr>
        <w:t xml:space="preserve">βασιλεύς,</w:t>
      </w:r>
      <w:r w:rsidDel="00000000" w:rsidR="00000000" w:rsidRPr="00000000">
        <w:rPr>
          <w:rFonts w:ascii="Arial" w:cs="Arial" w:eastAsia="Arial" w:hAnsi="Arial"/>
          <w:sz w:val="22"/>
          <w:szCs w:val="22"/>
          <w:vertAlign w:val="superscript"/>
        </w:rPr>
        <w:footnoteReference w:customMarkFollows="0" w:id="39"/>
      </w:r>
      <w:r w:rsidDel="00000000" w:rsidR="00000000" w:rsidRPr="00000000">
        <w:rPr>
          <w:rFonts w:ascii="Arial" w:cs="Arial" w:eastAsia="Arial" w:hAnsi="Arial"/>
          <w:sz w:val="22"/>
          <w:szCs w:val="22"/>
          <w:rtl w:val="0"/>
        </w:rPr>
        <w:t xml:space="preserve"> then resumed the internecine wars that were necessary in order to cling on to power.</w:t>
      </w:r>
      <w:r w:rsidDel="00000000" w:rsidR="00000000" w:rsidRPr="00000000">
        <w:rPr>
          <w:rFonts w:ascii="Arial" w:cs="Arial" w:eastAsia="Arial" w:hAnsi="Arial"/>
          <w:sz w:val="22"/>
          <w:szCs w:val="22"/>
          <w:vertAlign w:val="superscript"/>
        </w:rPr>
        <w:footnoteReference w:customMarkFollows="0" w:id="40"/>
      </w:r>
      <w:r w:rsidDel="00000000" w:rsidR="00000000" w:rsidRPr="00000000">
        <w:rPr>
          <w:rFonts w:ascii="Arial" w:cs="Arial" w:eastAsia="Arial" w:hAnsi="Arial"/>
          <w:sz w:val="22"/>
          <w:szCs w:val="22"/>
          <w:rtl w:val="0"/>
        </w:rPr>
        <w:t xml:space="preserve"> These wars, stretching on for the best part of another two centuries were one of the major causes of the structural weaknesses of the successor kingdoms explored by Rostovtzeff (1941b, p.1311) and Austin (1986, p.452). War in the ancient world, as indeed in any time period, was a cripplingly expensive undertaking; for in a world where conflict is almost constant, economies cannot thrive thanks in no small part to crops being destroyed, shipping and trade disrupted, and taxes going uncollected. The only way an ancient state (perhaps a modern one too) could profit from such constant conflict was to be victorious, and victory after victory helped the Roman republic to grow and strengthen over this period. The constant conflict did however create a balance of power between the Seleucid, Ptolemaic and Antigonid kingdoms by 271 B.C.E. and kept their eyes trained on one another until, in 229/8 B.C.E.,</w:t>
      </w:r>
      <w:r w:rsidDel="00000000" w:rsidR="00000000" w:rsidRPr="00000000">
        <w:rPr>
          <w:rFonts w:ascii="Arial" w:cs="Arial" w:eastAsia="Arial" w:hAnsi="Arial"/>
          <w:sz w:val="22"/>
          <w:szCs w:val="22"/>
          <w:vertAlign w:val="superscript"/>
        </w:rPr>
        <w:footnoteReference w:customMarkFollows="0" w:id="41"/>
      </w:r>
      <w:r w:rsidDel="00000000" w:rsidR="00000000" w:rsidRPr="00000000">
        <w:rPr>
          <w:rFonts w:ascii="Arial" w:cs="Arial" w:eastAsia="Arial" w:hAnsi="Arial"/>
          <w:sz w:val="22"/>
          <w:szCs w:val="22"/>
          <w:rtl w:val="0"/>
        </w:rPr>
        <w:t xml:space="preserve"> the new rival from the east crossed the</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Aegean for their first meaningful foray into the Hellenistic sphere.</w:t>
      </w:r>
      <w:r w:rsidDel="00000000" w:rsidR="00000000" w:rsidRPr="00000000">
        <w:rPr>
          <w:rFonts w:ascii="Arial" w:cs="Arial" w:eastAsia="Arial" w:hAnsi="Arial"/>
          <w:sz w:val="22"/>
          <w:szCs w:val="22"/>
          <w:vertAlign w:val="superscript"/>
        </w:rPr>
        <w:footnoteReference w:customMarkFollows="0" w:id="42"/>
      </w:r>
      <w:r w:rsidDel="00000000" w:rsidR="00000000" w:rsidRPr="00000000">
        <w:rPr>
          <w:rtl w:val="0"/>
        </w:rPr>
      </w:r>
    </w:p>
    <w:p w:rsidR="00000000" w:rsidDel="00000000" w:rsidP="00000000" w:rsidRDefault="00000000" w:rsidRPr="00000000" w14:paraId="00000019">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1A">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1B">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Rome’s Increasing Involvement with the Hellenic East</w:t>
      </w:r>
    </w:p>
    <w:p w:rsidR="00000000" w:rsidDel="00000000" w:rsidP="00000000" w:rsidRDefault="00000000" w:rsidRPr="00000000" w14:paraId="0000001C">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Before 229 B.C.E Rome had minimal involvement with the Hellenistic Kingdoms and its main engagement had been with Phyrrus during his unsuccessful invasion of Magna Graecia between 280-275 B.C.E. What relationships existed were no more intense than amicitia, and where this could mean much or little, with regards to the Greek states and kingdoms it was more to the latter of these two.</w:t>
      </w:r>
      <w:r w:rsidDel="00000000" w:rsidR="00000000" w:rsidRPr="00000000">
        <w:rPr>
          <w:rFonts w:ascii="Arial" w:cs="Arial" w:eastAsia="Arial" w:hAnsi="Arial"/>
          <w:sz w:val="22"/>
          <w:szCs w:val="22"/>
          <w:vertAlign w:val="superscript"/>
        </w:rPr>
        <w:footnoteReference w:customMarkFollows="0" w:id="43"/>
      </w:r>
      <w:r w:rsidDel="00000000" w:rsidR="00000000" w:rsidRPr="00000000">
        <w:rPr>
          <w:rFonts w:ascii="Arial" w:cs="Arial" w:eastAsia="Arial" w:hAnsi="Arial"/>
          <w:sz w:val="22"/>
          <w:szCs w:val="22"/>
          <w:rtl w:val="0"/>
        </w:rPr>
        <w:t xml:space="preserve"> Having said that, we do have evidence of these benign interactions with Ptolemaic Egypt as far back as Ptolemy II Philadelphus,</w:t>
      </w:r>
      <w:r w:rsidDel="00000000" w:rsidR="00000000" w:rsidRPr="00000000">
        <w:rPr>
          <w:rFonts w:ascii="Arial" w:cs="Arial" w:eastAsia="Arial" w:hAnsi="Arial"/>
          <w:sz w:val="22"/>
          <w:szCs w:val="22"/>
          <w:vertAlign w:val="superscript"/>
        </w:rPr>
        <w:footnoteReference w:customMarkFollows="0" w:id="44"/>
      </w:r>
      <w:r w:rsidDel="00000000" w:rsidR="00000000" w:rsidRPr="00000000">
        <w:rPr>
          <w:rFonts w:ascii="Arial" w:cs="Arial" w:eastAsia="Arial" w:hAnsi="Arial"/>
          <w:sz w:val="22"/>
          <w:szCs w:val="22"/>
          <w:rtl w:val="0"/>
        </w:rPr>
        <w:t xml:space="preserve"> and in 266 B.C.E. representatives from Apollonia sent a delegation to Rome and were well received</w:t>
      </w:r>
      <w:r w:rsidDel="00000000" w:rsidR="00000000" w:rsidRPr="00000000">
        <w:rPr>
          <w:rFonts w:ascii="Arial" w:cs="Arial" w:eastAsia="Arial" w:hAnsi="Arial"/>
          <w:sz w:val="22"/>
          <w:szCs w:val="22"/>
          <w:vertAlign w:val="superscript"/>
        </w:rPr>
        <w:footnoteReference w:customMarkFollows="0" w:id="45"/>
      </w:r>
      <w:r w:rsidDel="00000000" w:rsidR="00000000" w:rsidRPr="00000000">
        <w:rPr>
          <w:rFonts w:ascii="Arial" w:cs="Arial" w:eastAsia="Arial" w:hAnsi="Arial"/>
          <w:sz w:val="22"/>
          <w:szCs w:val="22"/>
          <w:rtl w:val="0"/>
        </w:rPr>
        <w:t xml:space="preserve">. Also, there seems to be indication of contact with Rhodes in around 305 B.C.E.,</w:t>
      </w:r>
      <w:r w:rsidDel="00000000" w:rsidR="00000000" w:rsidRPr="00000000">
        <w:rPr>
          <w:rFonts w:ascii="Arial" w:cs="Arial" w:eastAsia="Arial" w:hAnsi="Arial"/>
          <w:sz w:val="22"/>
          <w:szCs w:val="22"/>
          <w:vertAlign w:val="superscript"/>
        </w:rPr>
        <w:footnoteReference w:customMarkFollows="0" w:id="46"/>
      </w:r>
      <w:r w:rsidDel="00000000" w:rsidR="00000000" w:rsidRPr="00000000">
        <w:rPr>
          <w:rFonts w:ascii="Arial" w:cs="Arial" w:eastAsia="Arial" w:hAnsi="Arial"/>
          <w:sz w:val="22"/>
          <w:szCs w:val="22"/>
          <w:rtl w:val="0"/>
        </w:rPr>
        <w:t xml:space="preserve"> then in appx. the 230s B.C.E. we have evidence of the Acarnanaians appealing to Rome against the Aetolians, thus marking the beginnings of Rome’s more active involvement with those states east of the Adriatic.</w:t>
      </w:r>
      <w:r w:rsidDel="00000000" w:rsidR="00000000" w:rsidRPr="00000000">
        <w:rPr>
          <w:rFonts w:ascii="Arial" w:cs="Arial" w:eastAsia="Arial" w:hAnsi="Arial"/>
          <w:sz w:val="22"/>
          <w:szCs w:val="22"/>
          <w:vertAlign w:val="superscript"/>
        </w:rPr>
        <w:footnoteReference w:customMarkFollows="0" w:id="47"/>
      </w:r>
      <w:r w:rsidDel="00000000" w:rsidR="00000000" w:rsidRPr="00000000">
        <w:rPr>
          <w:rFonts w:ascii="Arial" w:cs="Arial" w:eastAsia="Arial" w:hAnsi="Arial"/>
          <w:sz w:val="22"/>
          <w:szCs w:val="22"/>
          <w:rtl w:val="0"/>
        </w:rPr>
        <w:t xml:space="preserve"> This involvement led eventually to a Roman delegation’s confrontation with Queen Teuta regarding the Illyrian pirates, and thus set in motion the sequence of events that would end in total Roman domination of the near east. Polybius and Appian are our main sources for this sequence of events and both have weaknesses, though Appian’s appears to be slightly more credible.</w:t>
      </w:r>
      <w:r w:rsidDel="00000000" w:rsidR="00000000" w:rsidRPr="00000000">
        <w:rPr>
          <w:rFonts w:ascii="Arial" w:cs="Arial" w:eastAsia="Arial" w:hAnsi="Arial"/>
          <w:sz w:val="22"/>
          <w:szCs w:val="22"/>
          <w:vertAlign w:val="superscript"/>
        </w:rPr>
        <w:footnoteReference w:customMarkFollows="0" w:id="48"/>
      </w:r>
      <w:r w:rsidDel="00000000" w:rsidR="00000000" w:rsidRPr="00000000">
        <w:rPr>
          <w:rFonts w:ascii="Arial" w:cs="Arial" w:eastAsia="Arial" w:hAnsi="Arial"/>
          <w:sz w:val="22"/>
          <w:szCs w:val="22"/>
          <w:rtl w:val="0"/>
        </w:rPr>
        <w:t xml:space="preserve"> The question around Rome’s motivation and ultimate ambition with regards to their interactions with the Greek states in the east has been roundly debated, by amongst others Champion (2007), Eckstein (2006, 2008), Kallett-Marx (1995), and Sherwin-White (1984). </w:t>
      </w:r>
    </w:p>
    <w:p w:rsidR="00000000" w:rsidDel="00000000" w:rsidP="00000000" w:rsidRDefault="00000000" w:rsidRPr="00000000" w14:paraId="0000001E">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Moving into the deeper analysis of this thesis, I will consider how Rome’s position with regards to the eastern Greek states moved from the aforementioned </w:t>
      </w:r>
      <w:r w:rsidDel="00000000" w:rsidR="00000000" w:rsidRPr="00000000">
        <w:rPr>
          <w:rFonts w:ascii="Arial" w:cs="Arial" w:eastAsia="Arial" w:hAnsi="Arial"/>
          <w:i w:val="1"/>
          <w:sz w:val="22"/>
          <w:szCs w:val="22"/>
          <w:rtl w:val="0"/>
        </w:rPr>
        <w:t xml:space="preserve">amicitia</w:t>
      </w:r>
      <w:r w:rsidDel="00000000" w:rsidR="00000000" w:rsidRPr="00000000">
        <w:rPr>
          <w:rFonts w:ascii="Arial" w:cs="Arial" w:eastAsia="Arial" w:hAnsi="Arial"/>
          <w:sz w:val="22"/>
          <w:szCs w:val="22"/>
          <w:rtl w:val="0"/>
        </w:rPr>
        <w:t xml:space="preserve"> towards </w:t>
      </w:r>
      <w:r w:rsidDel="00000000" w:rsidR="00000000" w:rsidRPr="00000000">
        <w:rPr>
          <w:rFonts w:ascii="Arial" w:cs="Arial" w:eastAsia="Arial" w:hAnsi="Arial"/>
          <w:i w:val="1"/>
          <w:sz w:val="22"/>
          <w:szCs w:val="22"/>
          <w:rtl w:val="0"/>
        </w:rPr>
        <w:t xml:space="preserve">imperium populi Romani</w:t>
      </w:r>
      <w:r w:rsidDel="00000000" w:rsidR="00000000" w:rsidRPr="00000000">
        <w:rPr>
          <w:rFonts w:ascii="Arial" w:cs="Arial" w:eastAsia="Arial" w:hAnsi="Arial"/>
          <w:sz w:val="22"/>
          <w:szCs w:val="22"/>
          <w:rtl w:val="0"/>
        </w:rPr>
        <w:t xml:space="preserve">, then on to full annexation of all the kingdoms by 31 B.C.E. Though the span of time from first intercession to the final annexation of Ptolemaic Egypt is just short of two centuries, it took less than 40 years for what might be called ‘soft’ or ‘informal’ power, to become significantly ‘harder’ and more ‘formal’ after the crushing defeats suffered by the Seleucids and Antigonids. Certainly by 188 B.C.E, even if the major Hellenistic kingdoms were not yet to be seen as vassals to Rome, then they certainly knew that the republic to the east was not to be crossed; and that if they were ‘advised’ or instructed to take a course of action, then this was as good as a formal order. Though there were no permanent garrisons or ‘residents’ advising (to use the parlance of 19th century British imperialism), it was clear that the Roman imperium was not something that came and went with troops and legates. It was a constant and those rulers and states who either ignored or misjudged this fact, did so at great risk to themselves and their rulers.</w:t>
      </w:r>
      <w:r w:rsidDel="00000000" w:rsidR="00000000" w:rsidRPr="00000000">
        <w:rPr>
          <w:rFonts w:ascii="Arial" w:cs="Arial" w:eastAsia="Arial" w:hAnsi="Arial"/>
          <w:sz w:val="22"/>
          <w:szCs w:val="22"/>
          <w:vertAlign w:val="superscript"/>
        </w:rPr>
        <w:footnoteReference w:customMarkFollows="0" w:id="49"/>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3">
      <w:pPr>
        <w:spacing w:line="276"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Kallett-Marx Hegemony to Empower - Notes to add in:</w:t>
      </w:r>
    </w:p>
    <w:p w:rsidR="00000000" w:rsidDel="00000000" w:rsidP="00000000" w:rsidRDefault="00000000" w:rsidRPr="00000000" w14:paraId="00000024">
      <w:pPr>
        <w:spacing w:line="276" w:lineRule="auto"/>
        <w:rPr>
          <w:rFonts w:ascii="Arial" w:cs="Arial" w:eastAsia="Arial" w:hAnsi="Arial"/>
          <w:sz w:val="22"/>
          <w:szCs w:val="22"/>
        </w:rPr>
      </w:pPr>
      <w:hyperlink r:id="rId8">
        <w:r w:rsidDel="00000000" w:rsidR="00000000" w:rsidRPr="00000000">
          <w:rPr>
            <w:rFonts w:ascii="Arial" w:cs="Arial" w:eastAsia="Arial" w:hAnsi="Arial"/>
            <w:color w:val="1155cc"/>
            <w:sz w:val="22"/>
            <w:szCs w:val="22"/>
            <w:u w:val="single"/>
            <w:rtl w:val="0"/>
          </w:rPr>
          <w:t xml:space="preserve">p331</w:t>
        </w:r>
      </w:hyperlink>
      <w:r w:rsidDel="00000000" w:rsidR="00000000" w:rsidRPr="00000000">
        <w:rPr>
          <w:rFonts w:ascii="Arial" w:cs="Arial" w:eastAsia="Arial" w:hAnsi="Arial"/>
          <w:sz w:val="22"/>
          <w:szCs w:val="22"/>
          <w:rtl w:val="0"/>
        </w:rPr>
        <w:t xml:space="preserve"> - Down to 148 B.C. —the age of the great wars that extended Roman supremacy over the East—the guiding principle of Roman hegemonial behavior had been the extension and maintenance of the </w:t>
      </w:r>
      <w:r w:rsidDel="00000000" w:rsidR="00000000" w:rsidRPr="00000000">
        <w:rPr>
          <w:rFonts w:ascii="Arial" w:cs="Arial" w:eastAsia="Arial" w:hAnsi="Arial"/>
          <w:i w:val="1"/>
          <w:sz w:val="22"/>
          <w:szCs w:val="22"/>
          <w:rtl w:val="0"/>
        </w:rPr>
        <w:t xml:space="preserve">imperium populi Romani</w:t>
      </w:r>
      <w:r w:rsidDel="00000000" w:rsidR="00000000" w:rsidRPr="00000000">
        <w:rPr>
          <w:rFonts w:ascii="Arial" w:cs="Arial" w:eastAsia="Arial" w:hAnsi="Arial"/>
          <w:sz w:val="22"/>
          <w:szCs w:val="22"/>
          <w:rtl w:val="0"/>
        </w:rPr>
        <w:t xml:space="preserve"> , seen essentially as the power of the Roman people to command obedience from foreign kings and nations. The essence of the </w:t>
      </w:r>
      <w:r w:rsidDel="00000000" w:rsidR="00000000" w:rsidRPr="00000000">
        <w:rPr>
          <w:rFonts w:ascii="Arial" w:cs="Arial" w:eastAsia="Arial" w:hAnsi="Arial"/>
          <w:i w:val="1"/>
          <w:sz w:val="22"/>
          <w:szCs w:val="22"/>
          <w:rtl w:val="0"/>
        </w:rPr>
        <w:t xml:space="preserve">imperium</w:t>
      </w:r>
      <w:r w:rsidDel="00000000" w:rsidR="00000000" w:rsidRPr="00000000">
        <w:rPr>
          <w:rFonts w:ascii="Arial" w:cs="Arial" w:eastAsia="Arial" w:hAnsi="Arial"/>
          <w:sz w:val="22"/>
          <w:szCs w:val="22"/>
          <w:rtl w:val="0"/>
        </w:rPr>
        <w:t xml:space="preserve"> lay not in legal forms such as treaty obligations, or in financial exploitation such as continual payment of tribute, or in military occupation—all these things might or might not accompany it—but simply in the capacity of the "metropole" to enforce its will upon the "periphery," to use modem terms. This concept of empire did not presume or demand active peacetime exploitation of those subject to this power but aimed simply at the preservation and reinforcement of power itself, upon which Roman security was ultimately based. Naturally, </w:t>
      </w:r>
      <w:r w:rsidDel="00000000" w:rsidR="00000000" w:rsidRPr="00000000">
        <w:rPr>
          <w:rFonts w:ascii="Arial" w:cs="Arial" w:eastAsia="Arial" w:hAnsi="Arial"/>
          <w:i w:val="1"/>
          <w:sz w:val="22"/>
          <w:szCs w:val="22"/>
          <w:rtl w:val="0"/>
        </w:rPr>
        <w:t xml:space="preserve">imperium</w:t>
      </w:r>
      <w:r w:rsidDel="00000000" w:rsidR="00000000" w:rsidRPr="00000000">
        <w:rPr>
          <w:rFonts w:ascii="Arial" w:cs="Arial" w:eastAsia="Arial" w:hAnsi="Arial"/>
          <w:sz w:val="22"/>
          <w:szCs w:val="22"/>
          <w:rtl w:val="0"/>
        </w:rPr>
        <w:t xml:space="preserve"> of this type was not "abdicated" by Rome every time it withdrew from Greece in the first half of the second century. Mere military withdrawal, demanded above all by the limits of Roman manpower, did not mean relinquishing </w:t>
      </w:r>
      <w:r w:rsidDel="00000000" w:rsidR="00000000" w:rsidRPr="00000000">
        <w:rPr>
          <w:rFonts w:ascii="Arial" w:cs="Arial" w:eastAsia="Arial" w:hAnsi="Arial"/>
          <w:i w:val="1"/>
          <w:sz w:val="22"/>
          <w:szCs w:val="22"/>
          <w:rtl w:val="0"/>
        </w:rPr>
        <w:t xml:space="preserve">imperium</w:t>
      </w:r>
      <w:r w:rsidDel="00000000" w:rsidR="00000000" w:rsidRPr="00000000">
        <w:rPr>
          <w:rFonts w:ascii="Arial" w:cs="Arial" w:eastAsia="Arial" w:hAnsi="Arial"/>
          <w:sz w:val="22"/>
          <w:szCs w:val="22"/>
          <w:rtl w:val="0"/>
        </w:rPr>
        <w:t xml:space="preserve"> when a legate bearing only a </w:t>
      </w:r>
      <w:r w:rsidDel="00000000" w:rsidR="00000000" w:rsidRPr="00000000">
        <w:rPr>
          <w:rFonts w:ascii="Arial" w:cs="Arial" w:eastAsia="Arial" w:hAnsi="Arial"/>
          <w:i w:val="1"/>
          <w:sz w:val="22"/>
          <w:szCs w:val="22"/>
          <w:rtl w:val="0"/>
        </w:rPr>
        <w:t xml:space="preserve">senatus consultum</w:t>
      </w:r>
      <w:r w:rsidDel="00000000" w:rsidR="00000000" w:rsidRPr="00000000">
        <w:rPr>
          <w:rFonts w:ascii="Arial" w:cs="Arial" w:eastAsia="Arial" w:hAnsi="Arial"/>
          <w:sz w:val="22"/>
          <w:szCs w:val="22"/>
          <w:rtl w:val="0"/>
        </w:rPr>
        <w:t xml:space="preserve"> could make the Seleucid king stop his invasion of Egypt in its tracks, pledging on the spot to do "everything the Romans requested,"</w:t>
      </w:r>
      <w:r w:rsidDel="00000000" w:rsidR="00000000" w:rsidRPr="00000000">
        <w:rPr>
          <w:rFonts w:ascii="Arial" w:cs="Arial" w:eastAsia="Arial" w:hAnsi="Arial"/>
          <w:sz w:val="22"/>
          <w:szCs w:val="22"/>
          <w:vertAlign w:val="superscript"/>
          <w:rtl w:val="0"/>
        </w:rPr>
        <w:t xml:space="preserve">[3]</w:t>
      </w:r>
      <w:r w:rsidDel="00000000" w:rsidR="00000000" w:rsidRPr="00000000">
        <w:rPr>
          <w:rFonts w:ascii="Arial" w:cs="Arial" w:eastAsia="Arial" w:hAnsi="Arial"/>
          <w:sz w:val="22"/>
          <w:szCs w:val="22"/>
          <w:rtl w:val="0"/>
        </w:rPr>
        <w:t xml:space="preserve"> or when Philip V of Macedon could be forced by nothing more than verbal demands to relinquish his gains after the Antiochene-Aetolian War and be left with stern warning to "take care not to appear to do anything contrary to the Romans" (Polyb. 23.9.7). Before Cynoscephalae, Hellenistic kings had not been accustomed to obeying orders, and such conspicuous acts of submission to the </w:t>
      </w:r>
      <w:r w:rsidDel="00000000" w:rsidR="00000000" w:rsidRPr="00000000">
        <w:rPr>
          <w:rFonts w:ascii="Arial" w:cs="Arial" w:eastAsia="Arial" w:hAnsi="Arial"/>
          <w:i w:val="1"/>
          <w:sz w:val="22"/>
          <w:szCs w:val="22"/>
          <w:rtl w:val="0"/>
        </w:rPr>
        <w:t xml:space="preserve">imperium populi Romani</w:t>
      </w:r>
      <w:r w:rsidDel="00000000" w:rsidR="00000000" w:rsidRPr="00000000">
        <w:rPr>
          <w:rFonts w:ascii="Arial" w:cs="Arial" w:eastAsia="Arial" w:hAnsi="Arial"/>
          <w:sz w:val="22"/>
          <w:szCs w:val="22"/>
          <w:rtl w:val="0"/>
        </w:rPr>
        <w:t xml:space="preserve"> , when performed by scions of the houses of Antigonus and Seleucus, had a symbolic power to which we must not be blind.</w:t>
      </w:r>
    </w:p>
    <w:p w:rsidR="00000000" w:rsidDel="00000000" w:rsidP="00000000" w:rsidRDefault="00000000" w:rsidRPr="00000000" w14:paraId="00000025">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26">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Roman Society from the 3</w:t>
      </w:r>
      <w:r w:rsidDel="00000000" w:rsidR="00000000" w:rsidRPr="00000000">
        <w:rPr>
          <w:rFonts w:ascii="Arial" w:cs="Arial" w:eastAsia="Arial" w:hAnsi="Arial"/>
          <w:b w:val="1"/>
          <w:sz w:val="22"/>
          <w:szCs w:val="22"/>
          <w:u w:val="single"/>
          <w:vertAlign w:val="superscript"/>
          <w:rtl w:val="0"/>
        </w:rPr>
        <w:t xml:space="preserve">rd</w:t>
      </w:r>
      <w:r w:rsidDel="00000000" w:rsidR="00000000" w:rsidRPr="00000000">
        <w:rPr>
          <w:rFonts w:ascii="Arial" w:cs="Arial" w:eastAsia="Arial" w:hAnsi="Arial"/>
          <w:b w:val="1"/>
          <w:sz w:val="22"/>
          <w:szCs w:val="22"/>
          <w:u w:val="single"/>
          <w:rtl w:val="0"/>
        </w:rPr>
        <w:t xml:space="preserve"> to 1</w:t>
      </w:r>
      <w:r w:rsidDel="00000000" w:rsidR="00000000" w:rsidRPr="00000000">
        <w:rPr>
          <w:rFonts w:ascii="Arial" w:cs="Arial" w:eastAsia="Arial" w:hAnsi="Arial"/>
          <w:b w:val="1"/>
          <w:sz w:val="22"/>
          <w:szCs w:val="22"/>
          <w:u w:val="single"/>
          <w:vertAlign w:val="superscript"/>
          <w:rtl w:val="0"/>
        </w:rPr>
        <w:t xml:space="preserve">st</w:t>
      </w:r>
      <w:r w:rsidDel="00000000" w:rsidR="00000000" w:rsidRPr="00000000">
        <w:rPr>
          <w:rFonts w:ascii="Arial" w:cs="Arial" w:eastAsia="Arial" w:hAnsi="Arial"/>
          <w:b w:val="1"/>
          <w:sz w:val="22"/>
          <w:szCs w:val="22"/>
          <w:u w:val="single"/>
          <w:rtl w:val="0"/>
        </w:rPr>
        <w:t xml:space="preserve"> centuries B.C.E. </w:t>
      </w:r>
    </w:p>
    <w:p w:rsidR="00000000" w:rsidDel="00000000" w:rsidP="00000000" w:rsidRDefault="00000000" w:rsidRPr="00000000" w14:paraId="00000027">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There are myriad aspects of human society that have remained fairly constant across the millennia: the influence of family, cohesion into larger social groups over time, the search for food and shelter in order to survive, and the potential of conflict. Any number of societies could be termed ‘war-like’ and even today’s world has parts that seem to exist at two ends of a spectrum: with the relative stability and peace enjoyed in countries like Denmark or Singapore</w:t>
      </w:r>
      <w:r w:rsidDel="00000000" w:rsidR="00000000" w:rsidRPr="00000000">
        <w:rPr>
          <w:rFonts w:ascii="Arial" w:cs="Arial" w:eastAsia="Arial" w:hAnsi="Arial"/>
          <w:sz w:val="22"/>
          <w:szCs w:val="22"/>
          <w:vertAlign w:val="superscript"/>
        </w:rPr>
        <w:footnoteReference w:customMarkFollows="0" w:id="50"/>
      </w:r>
      <w:r w:rsidDel="00000000" w:rsidR="00000000" w:rsidRPr="00000000">
        <w:rPr>
          <w:rFonts w:ascii="Arial" w:cs="Arial" w:eastAsia="Arial" w:hAnsi="Arial"/>
          <w:sz w:val="22"/>
          <w:szCs w:val="22"/>
          <w:rtl w:val="0"/>
        </w:rPr>
        <w:t xml:space="preserve">; and the state of virtual societal collapse and anarchy in parts of Yemen, Syria, Libya and Somalia.</w:t>
      </w:r>
      <w:r w:rsidDel="00000000" w:rsidR="00000000" w:rsidRPr="00000000">
        <w:rPr>
          <w:rFonts w:ascii="Arial" w:cs="Arial" w:eastAsia="Arial" w:hAnsi="Arial"/>
          <w:sz w:val="22"/>
          <w:szCs w:val="22"/>
          <w:vertAlign w:val="superscript"/>
        </w:rPr>
        <w:footnoteReference w:customMarkFollows="0" w:id="51"/>
      </w:r>
      <w:r w:rsidDel="00000000" w:rsidR="00000000" w:rsidRPr="00000000">
        <w:rPr>
          <w:rFonts w:ascii="Arial" w:cs="Arial" w:eastAsia="Arial" w:hAnsi="Arial"/>
          <w:sz w:val="22"/>
          <w:szCs w:val="22"/>
          <w:rtl w:val="0"/>
        </w:rPr>
        <w:t xml:space="preserve"> When compared with modern Western Europe, it’s without a doubt that the societies of ancient Rome and the Hellenistic Kingdoms between the 3</w:t>
      </w:r>
      <w:r w:rsidDel="00000000" w:rsidR="00000000" w:rsidRPr="00000000">
        <w:rPr>
          <w:rFonts w:ascii="Arial" w:cs="Arial" w:eastAsia="Arial" w:hAnsi="Arial"/>
          <w:sz w:val="22"/>
          <w:szCs w:val="22"/>
          <w:vertAlign w:val="superscript"/>
          <w:rtl w:val="0"/>
        </w:rPr>
        <w:t xml:space="preserve">rd</w:t>
      </w:r>
      <w:r w:rsidDel="00000000" w:rsidR="00000000" w:rsidRPr="00000000">
        <w:rPr>
          <w:rFonts w:ascii="Arial" w:cs="Arial" w:eastAsia="Arial" w:hAnsi="Arial"/>
          <w:sz w:val="22"/>
          <w:szCs w:val="22"/>
          <w:rtl w:val="0"/>
        </w:rPr>
        <w:t xml:space="preserve"> and 1</w:t>
      </w:r>
      <w:r w:rsidDel="00000000" w:rsidR="00000000" w:rsidRPr="00000000">
        <w:rPr>
          <w:rFonts w:ascii="Arial" w:cs="Arial" w:eastAsia="Arial" w:hAnsi="Arial"/>
          <w:sz w:val="22"/>
          <w:szCs w:val="22"/>
          <w:vertAlign w:val="superscript"/>
          <w:rtl w:val="0"/>
        </w:rPr>
        <w:t xml:space="preserve">st</w:t>
      </w:r>
      <w:r w:rsidDel="00000000" w:rsidR="00000000" w:rsidRPr="00000000">
        <w:rPr>
          <w:rFonts w:ascii="Arial" w:cs="Arial" w:eastAsia="Arial" w:hAnsi="Arial"/>
          <w:sz w:val="22"/>
          <w:szCs w:val="22"/>
          <w:rtl w:val="0"/>
        </w:rPr>
        <w:t xml:space="preserve"> centuries B.C.E. were significantly more martial than those of the modern Western world. War was not just something that an army only fought in places far away. There was a constant danger that an invading army could and would march in and steal or destroy everything in its path. This meant that all eligible citizens were potential soldiers and when necessary, this is what happened.  The mid- to late- Roman republic was akin to developing societies in the 21</w:t>
      </w:r>
      <w:r w:rsidDel="00000000" w:rsidR="00000000" w:rsidRPr="00000000">
        <w:rPr>
          <w:rFonts w:ascii="Arial" w:cs="Arial" w:eastAsia="Arial" w:hAnsi="Arial"/>
          <w:sz w:val="22"/>
          <w:szCs w:val="22"/>
          <w:vertAlign w:val="superscript"/>
          <w:rtl w:val="0"/>
        </w:rPr>
        <w:t xml:space="preserve">st</w:t>
      </w:r>
      <w:r w:rsidDel="00000000" w:rsidR="00000000" w:rsidRPr="00000000">
        <w:rPr>
          <w:rFonts w:ascii="Arial" w:cs="Arial" w:eastAsia="Arial" w:hAnsi="Arial"/>
          <w:sz w:val="22"/>
          <w:szCs w:val="22"/>
          <w:rtl w:val="0"/>
        </w:rPr>
        <w:t xml:space="preserve"> century, in that it was primarily an agrarian state</w:t>
      </w:r>
      <w:r w:rsidDel="00000000" w:rsidR="00000000" w:rsidRPr="00000000">
        <w:rPr>
          <w:rFonts w:ascii="Arial" w:cs="Arial" w:eastAsia="Arial" w:hAnsi="Arial"/>
          <w:sz w:val="22"/>
          <w:szCs w:val="22"/>
          <w:vertAlign w:val="superscript"/>
        </w:rPr>
        <w:footnoteReference w:customMarkFollows="0" w:id="52"/>
      </w:r>
      <w:r w:rsidDel="00000000" w:rsidR="00000000" w:rsidRPr="00000000">
        <w:rPr>
          <w:rFonts w:ascii="Arial" w:cs="Arial" w:eastAsia="Arial" w:hAnsi="Arial"/>
          <w:sz w:val="22"/>
          <w:szCs w:val="22"/>
          <w:rtl w:val="0"/>
        </w:rPr>
        <w:t xml:space="preserve"> though possessing a range of other economically productive activities such as mining, olive oil, craft production and trade with other states </w:t>
      </w:r>
      <w:r w:rsidDel="00000000" w:rsidR="00000000" w:rsidRPr="00000000">
        <w:rPr>
          <w:rFonts w:ascii="Arial" w:cs="Arial" w:eastAsia="Arial" w:hAnsi="Arial"/>
          <w:sz w:val="22"/>
          <w:szCs w:val="22"/>
          <w:highlight w:val="yellow"/>
          <w:rtl w:val="0"/>
        </w:rPr>
        <w:t xml:space="preserve">(ADD CItation)</w:t>
      </w:r>
      <w:r w:rsidDel="00000000" w:rsidR="00000000" w:rsidRPr="00000000">
        <w:rPr>
          <w:rFonts w:ascii="Arial" w:cs="Arial" w:eastAsia="Arial" w:hAnsi="Arial"/>
          <w:sz w:val="22"/>
          <w:szCs w:val="22"/>
          <w:rtl w:val="0"/>
        </w:rPr>
        <w:t xml:space="preserve">  . With the exception of the city of Rome itself, its populace was distributed across the hills and fields of Latium and beyond. Brunt (1987) citing Polybius has the population of adult males in Rome in 229 B.C.E. at 273,000</w:t>
      </w:r>
      <w:r w:rsidDel="00000000" w:rsidR="00000000" w:rsidRPr="00000000">
        <w:rPr>
          <w:rFonts w:ascii="Arial" w:cs="Arial" w:eastAsia="Arial" w:hAnsi="Arial"/>
          <w:sz w:val="22"/>
          <w:szCs w:val="22"/>
          <w:vertAlign w:val="superscript"/>
        </w:rPr>
        <w:footnoteReference w:customMarkFollows="0" w:id="53"/>
      </w:r>
      <w:r w:rsidDel="00000000" w:rsidR="00000000" w:rsidRPr="00000000">
        <w:rPr>
          <w:rFonts w:ascii="Arial" w:cs="Arial" w:eastAsia="Arial" w:hAnsi="Arial"/>
          <w:sz w:val="22"/>
          <w:szCs w:val="22"/>
          <w:rtl w:val="0"/>
        </w:rPr>
        <w:t xml:space="preserve">, with anywhere between 180,000 and 220,000 within the city of Rome itself.</w:t>
      </w:r>
      <w:r w:rsidDel="00000000" w:rsidR="00000000" w:rsidRPr="00000000">
        <w:rPr>
          <w:rFonts w:ascii="Arial" w:cs="Arial" w:eastAsia="Arial" w:hAnsi="Arial"/>
          <w:sz w:val="22"/>
          <w:szCs w:val="22"/>
          <w:vertAlign w:val="superscript"/>
        </w:rPr>
        <w:footnoteReference w:customMarkFollows="0" w:id="54"/>
      </w:r>
      <w:r w:rsidDel="00000000" w:rsidR="00000000" w:rsidRPr="00000000">
        <w:rPr>
          <w:rFonts w:ascii="Arial" w:cs="Arial" w:eastAsia="Arial" w:hAnsi="Arial"/>
          <w:sz w:val="22"/>
          <w:szCs w:val="22"/>
          <w:rtl w:val="0"/>
        </w:rPr>
        <w:t xml:space="preserve"> Thus giving clear indication that at this time, the citizen army of farmers and landholders was limited numerically to those both financially able to fight, and those with the landholdings to make them eligible via having something tangible to defend. </w:t>
      </w:r>
      <w:r w:rsidDel="00000000" w:rsidR="00000000" w:rsidRPr="00000000">
        <w:rPr>
          <w:rFonts w:ascii="Arial" w:cs="Arial" w:eastAsia="Arial" w:hAnsi="Arial"/>
          <w:sz w:val="22"/>
          <w:szCs w:val="22"/>
          <w:highlight w:val="yellow"/>
          <w:rtl w:val="0"/>
        </w:rPr>
        <w:t xml:space="preserve">Explore for sources that discuss the manpower of Rome and how it evolved across the time period of this study. </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Though the mid-late Roman republic was an agrarian one, we must consider in more depth what aspects of the Roman character and society were key contributors to their fiercely martial inclination and stronger structure than that of the Greek Kingdoms. One of the more visible ways in which the contrast can be seen, is in how Rome expanded and integrated populations as they did so. Of course, much of this integration took decades if not centuries (e.g. Samnites, Etruscans etc.) and culminated with the Social War of 91-88 B.C.E., but compared with the fiercely inward-facing and fractured Greek polities of Hellas, it was a more notably successful approach. Even when Philip II, Alexander the Great and their successors in mainland Greece were clearly dominant, they were never able to mould their dominance into a lasting and stable political and national unity. This was easily demonstrated by the frequent rebellions and uprisings attempted by the Greek city states as soon as they felt a change in the wind or that one overlord could be removed with the help of another slightly less overbearing overlord (</w:t>
      </w:r>
      <w:r w:rsidDel="00000000" w:rsidR="00000000" w:rsidRPr="00000000">
        <w:rPr>
          <w:rFonts w:ascii="Arial" w:cs="Arial" w:eastAsia="Arial" w:hAnsi="Arial"/>
          <w:sz w:val="22"/>
          <w:szCs w:val="22"/>
          <w:highlight w:val="yellow"/>
          <w:rtl w:val="0"/>
        </w:rPr>
        <w:t xml:space="preserve">add sources</w:t>
      </w:r>
      <w:r w:rsidDel="00000000" w:rsidR="00000000" w:rsidRPr="00000000">
        <w:rPr>
          <w:rFonts w:ascii="Arial" w:cs="Arial" w:eastAsia="Arial" w:hAnsi="Arial"/>
          <w:sz w:val="22"/>
          <w:szCs w:val="22"/>
          <w:rtl w:val="0"/>
        </w:rPr>
        <w:t xml:space="preserve">). In mainland Greece this lack of unity across city states, leagues and kingdoms was one of the major weaknesses that resulted in their falling under Rome’s sway. </w:t>
      </w:r>
      <w:r w:rsidDel="00000000" w:rsidR="00000000" w:rsidRPr="00000000">
        <w:rPr>
          <w:rFonts w:ascii="Arial" w:cs="Arial" w:eastAsia="Arial" w:hAnsi="Arial"/>
          <w:sz w:val="22"/>
          <w:szCs w:val="22"/>
          <w:highlight w:val="yellow"/>
          <w:rtl w:val="0"/>
        </w:rPr>
        <w:t xml:space="preserve">Whilst Ptolemaic Egypt, the Seleucid Empire, and the other kingdoms have different challenges to face both internally and external (provide more detail and sources</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A">
      <w:pPr>
        <w:rPr>
          <w:rFonts w:ascii="Arial" w:cs="Arial" w:eastAsia="Arial" w:hAnsi="Arial"/>
          <w:color w:val="202122"/>
          <w:sz w:val="22"/>
          <w:szCs w:val="22"/>
        </w:rPr>
      </w:pPr>
      <w:r w:rsidDel="00000000" w:rsidR="00000000" w:rsidRPr="00000000">
        <w:rPr>
          <w:rFonts w:ascii="Arial" w:cs="Arial" w:eastAsia="Arial" w:hAnsi="Arial"/>
          <w:sz w:val="22"/>
          <w:szCs w:val="22"/>
          <w:rtl w:val="0"/>
        </w:rPr>
        <w:t xml:space="preserve">One clear difference in terms of approach between the Roman republic and the Greek states was their view and behaviour with regards to enfranchisement of new citizens and manumitted slaves. Ancient Athens was famously protective of its citizenship and only rarely granted it to metics or residents from other states,</w:t>
      </w:r>
      <w:r w:rsidDel="00000000" w:rsidR="00000000" w:rsidRPr="00000000">
        <w:rPr>
          <w:rFonts w:ascii="Arial" w:cs="Arial" w:eastAsia="Arial" w:hAnsi="Arial"/>
          <w:sz w:val="22"/>
          <w:szCs w:val="22"/>
          <w:vertAlign w:val="superscript"/>
        </w:rPr>
        <w:footnoteReference w:customMarkFollows="0" w:id="55"/>
      </w:r>
      <w:r w:rsidDel="00000000" w:rsidR="00000000" w:rsidRPr="00000000">
        <w:rPr>
          <w:rFonts w:ascii="Arial" w:cs="Arial" w:eastAsia="Arial" w:hAnsi="Arial"/>
          <w:sz w:val="22"/>
          <w:szCs w:val="22"/>
          <w:rtl w:val="0"/>
        </w:rPr>
        <w:t xml:space="preserve"> at one point even banning citizens from marrying partners from outside Athens itself. The effect of this practice with regards to how it weakened the depth of manpower for warmaking and defence was taken to its logical conclusion in ancient Sparta, whose population of full citizens (</w:t>
      </w:r>
      <w:r w:rsidDel="00000000" w:rsidR="00000000" w:rsidRPr="00000000">
        <w:rPr>
          <w:rFonts w:ascii="Arial" w:cs="Arial" w:eastAsia="Arial" w:hAnsi="Arial"/>
          <w:sz w:val="22"/>
          <w:szCs w:val="22"/>
          <w:highlight w:val="white"/>
          <w:rtl w:val="0"/>
        </w:rPr>
        <w:t xml:space="preserve">Σπᾰρτῐᾱ́της) at its zenith in the late 5th century was no more than a possible 8,000, falling to 1,000 by the time of Aristotle and a mere 700 in the time of Agis IV in 244 B.C.E.</w:t>
      </w:r>
      <w:r w:rsidDel="00000000" w:rsidR="00000000" w:rsidRPr="00000000">
        <w:rPr>
          <w:rFonts w:ascii="Arial" w:cs="Arial" w:eastAsia="Arial" w:hAnsi="Arial"/>
          <w:sz w:val="22"/>
          <w:szCs w:val="22"/>
          <w:highlight w:val="white"/>
          <w:vertAlign w:val="superscript"/>
        </w:rPr>
        <w:footnoteReference w:customMarkFollows="0" w:id="56"/>
      </w:r>
      <w:r w:rsidDel="00000000" w:rsidR="00000000" w:rsidRPr="00000000">
        <w:rPr>
          <w:rFonts w:ascii="Arial" w:cs="Arial" w:eastAsia="Arial" w:hAnsi="Arial"/>
          <w:sz w:val="22"/>
          <w:szCs w:val="22"/>
          <w:highlight w:val="white"/>
          <w:rtl w:val="0"/>
        </w:rPr>
        <w:t xml:space="preserve"> While citizenship was closely-guarded in the ancient Greek states, the Hellenistic successors of Alexander and their descendants took a different approach hereby…..</w:t>
      </w:r>
      <w:r w:rsidDel="00000000" w:rsidR="00000000" w:rsidRPr="00000000">
        <w:rPr>
          <w:rFonts w:ascii="Arial" w:cs="Arial" w:eastAsia="Arial" w:hAnsi="Arial"/>
          <w:sz w:val="22"/>
          <w:szCs w:val="22"/>
          <w:highlight w:val="yellow"/>
          <w:rtl w:val="0"/>
        </w:rPr>
        <w:t xml:space="preserve">(ADD THINGS HERE)... </w:t>
      </w:r>
      <w:r w:rsidDel="00000000" w:rsidR="00000000" w:rsidRPr="00000000">
        <w:rPr>
          <w:rFonts w:ascii="Arial" w:cs="Arial" w:eastAsia="Arial" w:hAnsi="Arial"/>
          <w:sz w:val="22"/>
          <w:szCs w:val="22"/>
          <w:rtl w:val="0"/>
        </w:rPr>
        <w:t xml:space="preserve">though one notable monarch aware of how this approach gave strength to Rome was the Macedonian king Philip V, who in a letter to Larisa in 215 B.C.E. did note how the city should not be typically Greek (as in, parsimonious) in their approach to giving the franchise, and “r</w:t>
      </w:r>
      <w:r w:rsidDel="00000000" w:rsidR="00000000" w:rsidRPr="00000000">
        <w:rPr>
          <w:rFonts w:ascii="Arial" w:cs="Arial" w:eastAsia="Arial" w:hAnsi="Arial"/>
          <w:sz w:val="22"/>
          <w:szCs w:val="22"/>
          <w:highlight w:val="white"/>
          <w:rtl w:val="0"/>
        </w:rPr>
        <w:t xml:space="preserve">ather emulate the Romans, who by granting citizenship to their manumitted slaves have so flourished in numbers that they have sent colonies to over seventy places”.</w:t>
      </w:r>
      <w:r w:rsidDel="00000000" w:rsidR="00000000" w:rsidRPr="00000000">
        <w:rPr>
          <w:rFonts w:ascii="Arial" w:cs="Arial" w:eastAsia="Arial" w:hAnsi="Arial"/>
          <w:sz w:val="22"/>
          <w:szCs w:val="22"/>
          <w:highlight w:val="white"/>
          <w:vertAlign w:val="superscript"/>
        </w:rPr>
        <w:footnoteReference w:customMarkFollows="0" w:id="57"/>
      </w:r>
      <w:r w:rsidDel="00000000" w:rsidR="00000000" w:rsidRPr="00000000">
        <w:rPr>
          <w:rtl w:val="0"/>
        </w:rPr>
      </w:r>
    </w:p>
    <w:p w:rsidR="00000000" w:rsidDel="00000000" w:rsidP="00000000" w:rsidRDefault="00000000" w:rsidRPr="00000000" w14:paraId="0000002B">
      <w:pPr>
        <w:rPr>
          <w:rFonts w:ascii="Arial" w:cs="Arial" w:eastAsia="Arial" w:hAnsi="Arial"/>
          <w:color w:val="202122"/>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color w:val="202122"/>
          <w:sz w:val="22"/>
          <w:szCs w:val="22"/>
          <w:highlight w:val="white"/>
        </w:rPr>
      </w:pPr>
      <w:r w:rsidDel="00000000" w:rsidR="00000000" w:rsidRPr="00000000">
        <w:rPr>
          <w:rFonts w:ascii="Arial" w:cs="Arial" w:eastAsia="Arial" w:hAnsi="Arial"/>
          <w:color w:val="202122"/>
          <w:sz w:val="22"/>
          <w:szCs w:val="22"/>
          <w:highlight w:val="white"/>
          <w:rtl w:val="0"/>
        </w:rPr>
        <w:t xml:space="preserve">The approach that the Roman republic took to citizenship started off in a similar vein though with the initial core differentiation being between patricians, plebians and slaves.</w:t>
      </w:r>
      <w:r w:rsidDel="00000000" w:rsidR="00000000" w:rsidRPr="00000000">
        <w:rPr>
          <w:rFonts w:ascii="Arial" w:cs="Arial" w:eastAsia="Arial" w:hAnsi="Arial"/>
          <w:color w:val="202122"/>
          <w:sz w:val="22"/>
          <w:szCs w:val="22"/>
          <w:highlight w:val="white"/>
          <w:vertAlign w:val="superscript"/>
        </w:rPr>
        <w:footnoteReference w:customMarkFollows="0" w:id="58"/>
      </w:r>
      <w:r w:rsidDel="00000000" w:rsidR="00000000" w:rsidRPr="00000000">
        <w:rPr>
          <w:rFonts w:ascii="Arial" w:cs="Arial" w:eastAsia="Arial" w:hAnsi="Arial"/>
          <w:color w:val="202122"/>
          <w:sz w:val="22"/>
          <w:szCs w:val="22"/>
          <w:highlight w:val="white"/>
          <w:rtl w:val="0"/>
        </w:rPr>
        <w:t xml:space="preserve"> One possible reason behind Rome’s acceptance of ‘new blood’ into its society so readily may have been provided by Livy</w:t>
      </w:r>
      <w:r w:rsidDel="00000000" w:rsidR="00000000" w:rsidRPr="00000000">
        <w:rPr>
          <w:rFonts w:ascii="Arial" w:cs="Arial" w:eastAsia="Arial" w:hAnsi="Arial"/>
          <w:color w:val="202122"/>
          <w:sz w:val="22"/>
          <w:szCs w:val="22"/>
          <w:highlight w:val="white"/>
          <w:vertAlign w:val="superscript"/>
        </w:rPr>
        <w:footnoteReference w:customMarkFollows="0" w:id="59"/>
      </w:r>
      <w:r w:rsidDel="00000000" w:rsidR="00000000" w:rsidRPr="00000000">
        <w:rPr>
          <w:rFonts w:ascii="Arial" w:cs="Arial" w:eastAsia="Arial" w:hAnsi="Arial"/>
          <w:color w:val="202122"/>
          <w:sz w:val="22"/>
          <w:szCs w:val="22"/>
          <w:highlight w:val="white"/>
          <w:rtl w:val="0"/>
        </w:rPr>
        <w:t xml:space="preserve">, who provided commentary that in order that the city may not be disadvantaged by limited manpower, ‘it had been the ancient policy of the founders of cities to get together a multitude of people of obscure and low origin and then to spread the fiction that they were the children of the soil’, This alludes to Rome being founded as a deliberate destination sought by strays, runaways, vagabonds and men otherwise with nowhere to go. And so as the city’s population was initially filled by men from elsewhere (and eventually if Livy is to be believed, Sabine woman), then from its very foundation, its approach to new arrivals and knowledge of the need for a constant flow of new blood, superseded any notion of limiting citizenship to those of ‘pure stock’. But of course there were limitations to this and so the new hierarchy of patricians and plebeians found was established, though across the following centuries even this rigid distinction became eroded so that by the time of the late republic, many monied plebs and equites found themselves in similar positions of power and authority to the patres. From the founding of the city, there were various fractious moments where previously less-empowered groups fought and more often than not, won greater rights for themselves. The first notable event in what is now termed the ‘conflict of the orders’ was the passing of the </w:t>
      </w:r>
      <w:r w:rsidDel="00000000" w:rsidR="00000000" w:rsidRPr="00000000">
        <w:rPr>
          <w:rFonts w:ascii="Arial" w:cs="Arial" w:eastAsia="Arial" w:hAnsi="Arial"/>
          <w:i w:val="1"/>
          <w:color w:val="202122"/>
          <w:sz w:val="22"/>
          <w:szCs w:val="22"/>
          <w:highlight w:val="white"/>
          <w:rtl w:val="0"/>
        </w:rPr>
        <w:t xml:space="preserve">lex publilia </w:t>
      </w:r>
      <w:r w:rsidDel="00000000" w:rsidR="00000000" w:rsidRPr="00000000">
        <w:rPr>
          <w:rFonts w:ascii="Arial" w:cs="Arial" w:eastAsia="Arial" w:hAnsi="Arial"/>
          <w:color w:val="202122"/>
          <w:sz w:val="22"/>
          <w:szCs w:val="22"/>
          <w:highlight w:val="white"/>
          <w:rtl w:val="0"/>
        </w:rPr>
        <w:t xml:space="preserve">in 471 B.C.E. freeling the election of the Tribunes of the Plebs from any interference by the Senate or patrician magistrates</w:t>
      </w:r>
      <w:r w:rsidDel="00000000" w:rsidR="00000000" w:rsidRPr="00000000">
        <w:rPr>
          <w:rFonts w:ascii="Arial" w:cs="Arial" w:eastAsia="Arial" w:hAnsi="Arial"/>
          <w:color w:val="202122"/>
          <w:sz w:val="22"/>
          <w:szCs w:val="22"/>
          <w:highlight w:val="white"/>
          <w:vertAlign w:val="superscript"/>
        </w:rPr>
        <w:footnoteReference w:customMarkFollows="0" w:id="60"/>
      </w:r>
      <w:r w:rsidDel="00000000" w:rsidR="00000000" w:rsidRPr="00000000">
        <w:rPr>
          <w:rFonts w:ascii="Arial" w:cs="Arial" w:eastAsia="Arial" w:hAnsi="Arial"/>
          <w:color w:val="202122"/>
          <w:sz w:val="22"/>
          <w:szCs w:val="22"/>
          <w:highlight w:val="white"/>
          <w:rtl w:val="0"/>
        </w:rPr>
        <w:t xml:space="preserve">; then followed the </w:t>
      </w:r>
      <w:r w:rsidDel="00000000" w:rsidR="00000000" w:rsidRPr="00000000">
        <w:rPr>
          <w:rFonts w:ascii="Arial" w:cs="Arial" w:eastAsia="Arial" w:hAnsi="Arial"/>
          <w:i w:val="1"/>
          <w:color w:val="202122"/>
          <w:sz w:val="22"/>
          <w:szCs w:val="22"/>
          <w:highlight w:val="white"/>
          <w:rtl w:val="0"/>
        </w:rPr>
        <w:t xml:space="preserve">lex licinia sextia</w:t>
      </w:r>
      <w:r w:rsidDel="00000000" w:rsidR="00000000" w:rsidRPr="00000000">
        <w:rPr>
          <w:rFonts w:ascii="Arial" w:cs="Arial" w:eastAsia="Arial" w:hAnsi="Arial"/>
          <w:color w:val="202122"/>
          <w:sz w:val="22"/>
          <w:szCs w:val="22"/>
          <w:highlight w:val="white"/>
          <w:rtl w:val="0"/>
        </w:rPr>
        <w:t xml:space="preserve"> in 367 B.C.E. to formally ensure that one of the two elected consuls would be from the plebian class</w:t>
      </w:r>
      <w:r w:rsidDel="00000000" w:rsidR="00000000" w:rsidRPr="00000000">
        <w:rPr>
          <w:rFonts w:ascii="Arial" w:cs="Arial" w:eastAsia="Arial" w:hAnsi="Arial"/>
          <w:color w:val="202122"/>
          <w:sz w:val="22"/>
          <w:szCs w:val="22"/>
          <w:highlight w:val="white"/>
          <w:vertAlign w:val="superscript"/>
        </w:rPr>
        <w:footnoteReference w:customMarkFollows="0" w:id="61"/>
      </w:r>
      <w:r w:rsidDel="00000000" w:rsidR="00000000" w:rsidRPr="00000000">
        <w:rPr>
          <w:rFonts w:ascii="Arial" w:cs="Arial" w:eastAsia="Arial" w:hAnsi="Arial"/>
          <w:color w:val="202122"/>
          <w:sz w:val="22"/>
          <w:szCs w:val="22"/>
          <w:highlight w:val="white"/>
          <w:rtl w:val="0"/>
        </w:rPr>
        <w:t xml:space="preserve">; with the conclusion of this phase of the struggle coming in 287 B.C.E with the passing of the </w:t>
      </w:r>
      <w:r w:rsidDel="00000000" w:rsidR="00000000" w:rsidRPr="00000000">
        <w:rPr>
          <w:rFonts w:ascii="Arial" w:cs="Arial" w:eastAsia="Arial" w:hAnsi="Arial"/>
          <w:i w:val="1"/>
          <w:color w:val="202122"/>
          <w:sz w:val="22"/>
          <w:szCs w:val="22"/>
          <w:highlight w:val="white"/>
          <w:rtl w:val="0"/>
        </w:rPr>
        <w:t xml:space="preserve">lex hortensia, </w:t>
      </w:r>
      <w:r w:rsidDel="00000000" w:rsidR="00000000" w:rsidRPr="00000000">
        <w:rPr>
          <w:rFonts w:ascii="Arial" w:cs="Arial" w:eastAsia="Arial" w:hAnsi="Arial"/>
          <w:color w:val="202122"/>
          <w:sz w:val="22"/>
          <w:szCs w:val="22"/>
          <w:highlight w:val="white"/>
          <w:rtl w:val="0"/>
        </w:rPr>
        <w:t xml:space="preserve">which removed any requirement that the </w:t>
      </w:r>
      <w:r w:rsidDel="00000000" w:rsidR="00000000" w:rsidRPr="00000000">
        <w:rPr>
          <w:rFonts w:ascii="Arial" w:cs="Arial" w:eastAsia="Arial" w:hAnsi="Arial"/>
          <w:i w:val="1"/>
          <w:color w:val="202122"/>
          <w:sz w:val="22"/>
          <w:szCs w:val="22"/>
          <w:highlight w:val="white"/>
          <w:rtl w:val="0"/>
        </w:rPr>
        <w:t xml:space="preserve">Concilium Plebis </w:t>
      </w:r>
      <w:r w:rsidDel="00000000" w:rsidR="00000000" w:rsidRPr="00000000">
        <w:rPr>
          <w:rFonts w:ascii="Arial" w:cs="Arial" w:eastAsia="Arial" w:hAnsi="Arial"/>
          <w:color w:val="202122"/>
          <w:sz w:val="22"/>
          <w:szCs w:val="22"/>
          <w:highlight w:val="white"/>
          <w:rtl w:val="0"/>
        </w:rPr>
        <w:t xml:space="preserve">seek ratification from the senate for laws that they passed.</w:t>
      </w:r>
      <w:r w:rsidDel="00000000" w:rsidR="00000000" w:rsidRPr="00000000">
        <w:rPr>
          <w:rFonts w:ascii="Arial" w:cs="Arial" w:eastAsia="Arial" w:hAnsi="Arial"/>
          <w:color w:val="202122"/>
          <w:sz w:val="22"/>
          <w:szCs w:val="22"/>
          <w:highlight w:val="white"/>
          <w:vertAlign w:val="superscript"/>
        </w:rPr>
        <w:footnoteReference w:customMarkFollows="0" w:id="62"/>
      </w:r>
      <w:r w:rsidDel="00000000" w:rsidR="00000000" w:rsidRPr="00000000">
        <w:rPr>
          <w:rFonts w:ascii="Arial" w:cs="Arial" w:eastAsia="Arial" w:hAnsi="Arial"/>
          <w:color w:val="202122"/>
          <w:sz w:val="22"/>
          <w:szCs w:val="22"/>
          <w:highlight w:val="white"/>
          <w:rtl w:val="0"/>
        </w:rPr>
        <w:t xml:space="preserve"> Of course these laws were centred around the demands of Roman citizens and did not apply to the allies of Rome, regardless of whether that amity was due to previous defeat in battle or the realisation that Rome was the local hegemon. Across Rome’s republican history, the status and varieties of these </w:t>
      </w:r>
      <w:r w:rsidDel="00000000" w:rsidR="00000000" w:rsidRPr="00000000">
        <w:rPr>
          <w:rFonts w:ascii="Arial" w:cs="Arial" w:eastAsia="Arial" w:hAnsi="Arial"/>
          <w:i w:val="1"/>
          <w:color w:val="202122"/>
          <w:sz w:val="22"/>
          <w:szCs w:val="22"/>
          <w:highlight w:val="white"/>
          <w:rtl w:val="0"/>
        </w:rPr>
        <w:t xml:space="preserve">amici populi romani </w:t>
      </w:r>
      <w:r w:rsidDel="00000000" w:rsidR="00000000" w:rsidRPr="00000000">
        <w:rPr>
          <w:rFonts w:ascii="Arial" w:cs="Arial" w:eastAsia="Arial" w:hAnsi="Arial"/>
          <w:color w:val="202122"/>
          <w:sz w:val="22"/>
          <w:szCs w:val="22"/>
          <w:highlight w:val="white"/>
          <w:rtl w:val="0"/>
        </w:rPr>
        <w:t xml:space="preserve">also evolved so that more were content or rather accepting of the status quo — meaning they would support Rome in her battles but not receive the right to vote in Roman elections. This status was put to the test in a new and extreme way by Hannibal’s invasion of peninsular Italy, and his ability to convince many of these seemingly reluctant ‘allies’ to throw their allegiance behind the invaders, such was their new desperation to shake off the yoke of Rome. The relationships between states and allies of Rome on the Italian peninsula also changed and to a large extent grew evermore shaky across the course of the second century B.C.E. with the result that by the 120s B.C.E., these ‘friends’ of Rome were starting to chafe at what they increasingly saw as increased arrogance and a noticeable lack of respect from their hegemon.</w:t>
      </w:r>
      <w:r w:rsidDel="00000000" w:rsidR="00000000" w:rsidRPr="00000000">
        <w:rPr>
          <w:rFonts w:ascii="Arial" w:cs="Arial" w:eastAsia="Arial" w:hAnsi="Arial"/>
          <w:color w:val="202122"/>
          <w:sz w:val="22"/>
          <w:szCs w:val="22"/>
          <w:highlight w:val="white"/>
          <w:vertAlign w:val="superscript"/>
        </w:rPr>
        <w:footnoteReference w:customMarkFollows="0" w:id="63"/>
      </w:r>
      <w:r w:rsidDel="00000000" w:rsidR="00000000" w:rsidRPr="00000000">
        <w:rPr>
          <w:rFonts w:ascii="Arial" w:cs="Arial" w:eastAsia="Arial" w:hAnsi="Arial"/>
          <w:color w:val="202122"/>
          <w:sz w:val="22"/>
          <w:szCs w:val="22"/>
          <w:highlight w:val="white"/>
          <w:rtl w:val="0"/>
        </w:rPr>
        <w:t xml:space="preserve"> There is the possibility that the ruling class in Rome had become complacent after the final defeats of Carthage in the third Punic war and the Achaean League at the battle of Corinth, for several commentators (</w:t>
      </w:r>
      <w:r w:rsidDel="00000000" w:rsidR="00000000" w:rsidRPr="00000000">
        <w:rPr>
          <w:rFonts w:ascii="Arial" w:cs="Arial" w:eastAsia="Arial" w:hAnsi="Arial"/>
          <w:color w:val="202122"/>
          <w:sz w:val="22"/>
          <w:szCs w:val="22"/>
          <w:highlight w:val="yellow"/>
          <w:rtl w:val="0"/>
        </w:rPr>
        <w:t xml:space="preserve">SOURCES</w:t>
      </w:r>
      <w:r w:rsidDel="00000000" w:rsidR="00000000" w:rsidRPr="00000000">
        <w:rPr>
          <w:rFonts w:ascii="Arial" w:cs="Arial" w:eastAsia="Arial" w:hAnsi="Arial"/>
          <w:color w:val="202122"/>
          <w:sz w:val="22"/>
          <w:szCs w:val="22"/>
          <w:highlight w:val="white"/>
          <w:rtl w:val="0"/>
        </w:rPr>
        <w:t xml:space="preserve">) have identified this particular year, following these two particular victories, as the precipitating factors that led the republic into its terminal decline over the next 120 years. For quite simply, the treasure and booty that had made its way to the city as a result of these victories, and the fact that all geographically immediate rivals had been defeated, served to dull the blade of martial and governmental discipline. In the eyes of many, it may have seemed that there were no more immediate enemies to pull together and face.</w:t>
      </w:r>
      <w:r w:rsidDel="00000000" w:rsidR="00000000" w:rsidRPr="00000000">
        <w:rPr>
          <w:rFonts w:ascii="Arial" w:cs="Arial" w:eastAsia="Arial" w:hAnsi="Arial"/>
          <w:color w:val="202122"/>
          <w:sz w:val="22"/>
          <w:szCs w:val="22"/>
          <w:highlight w:val="white"/>
          <w:vertAlign w:val="superscript"/>
        </w:rPr>
        <w:footnoteReference w:customMarkFollows="0" w:id="64"/>
      </w:r>
      <w:r w:rsidDel="00000000" w:rsidR="00000000" w:rsidRPr="00000000">
        <w:rPr>
          <w:rFonts w:ascii="Arial" w:cs="Arial" w:eastAsia="Arial" w:hAnsi="Arial"/>
          <w:color w:val="202122"/>
          <w:sz w:val="22"/>
          <w:szCs w:val="22"/>
          <w:highlight w:val="white"/>
          <w:rtl w:val="0"/>
        </w:rPr>
        <w:t xml:space="preserve">  </w:t>
      </w:r>
    </w:p>
    <w:p w:rsidR="00000000" w:rsidDel="00000000" w:rsidP="00000000" w:rsidRDefault="00000000" w:rsidRPr="00000000" w14:paraId="0000002D">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2E">
      <w:pPr>
        <w:rPr>
          <w:rFonts w:ascii="Arial" w:cs="Arial" w:eastAsia="Arial" w:hAnsi="Arial"/>
          <w:sz w:val="22"/>
          <w:szCs w:val="22"/>
          <w:highlight w:val="white"/>
        </w:rPr>
      </w:pPr>
      <w:r w:rsidDel="00000000" w:rsidR="00000000" w:rsidRPr="00000000">
        <w:rPr>
          <w:rFonts w:ascii="Arial" w:cs="Arial" w:eastAsia="Arial" w:hAnsi="Arial"/>
          <w:color w:val="202122"/>
          <w:sz w:val="22"/>
          <w:szCs w:val="22"/>
          <w:highlight w:val="white"/>
          <w:rtl w:val="0"/>
        </w:rPr>
        <w:t xml:space="preserve">The Roman willingness to borrow, steal, co-opt and absorb the beneficial traits of allies and those they conquered, and the strength that this gave them, was fed in large part by those elements of Greek culture that they interacted with across the centuries, much to the respect of their most prominent Greek commentator Polybius. He notes early in his </w:t>
      </w:r>
      <w:r w:rsidDel="00000000" w:rsidR="00000000" w:rsidRPr="00000000">
        <w:rPr>
          <w:rFonts w:ascii="Arial" w:cs="Arial" w:eastAsia="Arial" w:hAnsi="Arial"/>
          <w:i w:val="1"/>
          <w:color w:val="202122"/>
          <w:sz w:val="22"/>
          <w:szCs w:val="22"/>
          <w:highlight w:val="white"/>
          <w:rtl w:val="0"/>
        </w:rPr>
        <w:t xml:space="preserve">Histories</w:t>
      </w:r>
      <w:r w:rsidDel="00000000" w:rsidR="00000000" w:rsidRPr="00000000">
        <w:rPr>
          <w:rFonts w:ascii="Arial" w:cs="Arial" w:eastAsia="Arial" w:hAnsi="Arial"/>
          <w:color w:val="202122"/>
          <w:sz w:val="22"/>
          <w:szCs w:val="22"/>
          <w:highlight w:val="white"/>
          <w:rtl w:val="0"/>
        </w:rPr>
        <w:t xml:space="preserve"> the strength that came from their terrifying discipline</w:t>
      </w:r>
      <w:r w:rsidDel="00000000" w:rsidR="00000000" w:rsidRPr="00000000">
        <w:rPr>
          <w:rFonts w:ascii="Arial" w:cs="Arial" w:eastAsia="Arial" w:hAnsi="Arial"/>
          <w:color w:val="202122"/>
          <w:sz w:val="22"/>
          <w:szCs w:val="22"/>
          <w:highlight w:val="white"/>
          <w:vertAlign w:val="superscript"/>
        </w:rPr>
        <w:footnoteReference w:customMarkFollows="0" w:id="65"/>
      </w:r>
      <w:r w:rsidDel="00000000" w:rsidR="00000000" w:rsidRPr="00000000">
        <w:rPr>
          <w:rFonts w:ascii="Arial" w:cs="Arial" w:eastAsia="Arial" w:hAnsi="Arial"/>
          <w:color w:val="202122"/>
          <w:sz w:val="22"/>
          <w:szCs w:val="22"/>
          <w:highlight w:val="white"/>
          <w:rtl w:val="0"/>
        </w:rPr>
        <w:t xml:space="preserve"> and speedy willingness to adapt, as was shown in the first Punic war against Carthage.</w:t>
      </w:r>
      <w:r w:rsidDel="00000000" w:rsidR="00000000" w:rsidRPr="00000000">
        <w:rPr>
          <w:rFonts w:ascii="Arial" w:cs="Arial" w:eastAsia="Arial" w:hAnsi="Arial"/>
          <w:color w:val="202122"/>
          <w:sz w:val="22"/>
          <w:szCs w:val="22"/>
          <w:highlight w:val="white"/>
          <w:vertAlign w:val="superscript"/>
        </w:rPr>
        <w:footnoteReference w:customMarkFollows="0" w:id="66"/>
      </w:r>
      <w:r w:rsidDel="00000000" w:rsidR="00000000" w:rsidRPr="00000000">
        <w:rPr>
          <w:rFonts w:ascii="Arial" w:cs="Arial" w:eastAsia="Arial" w:hAnsi="Arial"/>
          <w:color w:val="202122"/>
          <w:sz w:val="22"/>
          <w:szCs w:val="22"/>
          <w:highlight w:val="white"/>
          <w:rtl w:val="0"/>
        </w:rPr>
        <w:t xml:space="preserve"> This can be seen in the behaviour of notable Romans across the centuries as observed by Rawson (1989) in the behaviour of</w:t>
      </w:r>
      <w:r w:rsidDel="00000000" w:rsidR="00000000" w:rsidRPr="00000000">
        <w:rPr>
          <w:rFonts w:ascii="Arial" w:cs="Arial" w:eastAsia="Arial" w:hAnsi="Arial"/>
          <w:sz w:val="22"/>
          <w:szCs w:val="22"/>
          <w:highlight w:val="white"/>
          <w:rtl w:val="0"/>
        </w:rPr>
        <w:t xml:space="preserve"> Fabius Maximus, the traditionalist opponent of the hellenophile Scipio Africanus, who had been sent to Delphi and later wrote a book in Greek. Marcus Claudius Marcellus, the 'sword of Rome' tried unsuccessfully during the sack of Syracuse in 211 B.C.E,, to save the great scientist (and creative inventor of defensive measures for the city) Archimedes; and  following the sack of the defeated city, carried off many works of art, boasting even to the Greeks, according to Plutarch, that he had taught the Romans to admire Greek art.</w:t>
      </w:r>
      <w:r w:rsidDel="00000000" w:rsidR="00000000" w:rsidRPr="00000000">
        <w:rPr>
          <w:rFonts w:ascii="Arial" w:cs="Arial" w:eastAsia="Arial" w:hAnsi="Arial"/>
          <w:sz w:val="22"/>
          <w:szCs w:val="22"/>
          <w:highlight w:val="white"/>
          <w:vertAlign w:val="superscript"/>
        </w:rPr>
        <w:footnoteReference w:customMarkFollows="0" w:id="67"/>
      </w:r>
      <w:r w:rsidDel="00000000" w:rsidR="00000000" w:rsidRPr="00000000">
        <w:rPr>
          <w:rFonts w:ascii="Arial" w:cs="Arial" w:eastAsia="Arial" w:hAnsi="Arial"/>
          <w:sz w:val="22"/>
          <w:szCs w:val="22"/>
          <w:highlight w:val="white"/>
          <w:rtl w:val="0"/>
        </w:rPr>
        <w:t xml:space="preserve"> Even King Pyrrhus was impressed by the Romans’ organisation, and is said by Polybius to have openly wondered how such a well-disciplined and adaptable people could be called ‘barbarous’.’</w:t>
      </w:r>
      <w:r w:rsidDel="00000000" w:rsidR="00000000" w:rsidRPr="00000000">
        <w:rPr>
          <w:rFonts w:ascii="Arial" w:cs="Arial" w:eastAsia="Arial" w:hAnsi="Arial"/>
          <w:sz w:val="22"/>
          <w:szCs w:val="22"/>
          <w:highlight w:val="white"/>
          <w:vertAlign w:val="superscript"/>
        </w:rPr>
        <w:footnoteReference w:customMarkFollows="0" w:id="68"/>
      </w:r>
      <w:r w:rsidDel="00000000" w:rsidR="00000000" w:rsidRPr="00000000">
        <w:rPr>
          <w:rFonts w:ascii="Arial" w:cs="Arial" w:eastAsia="Arial" w:hAnsi="Arial"/>
          <w:sz w:val="22"/>
          <w:szCs w:val="22"/>
          <w:highlight w:val="white"/>
          <w:rtl w:val="0"/>
        </w:rPr>
        <w:t xml:space="preserve"> </w:t>
      </w:r>
    </w:p>
    <w:p w:rsidR="00000000" w:rsidDel="00000000" w:rsidP="00000000" w:rsidRDefault="00000000" w:rsidRPr="00000000" w14:paraId="0000002F">
      <w:pPr>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0">
      <w:pPr>
        <w:widowControl w:val="0"/>
        <w:spacing w:after="240" w:before="240" w:lineRule="auto"/>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As discussed above, Rome as a society and culture was highly willing to absorb and adapt whatever they felt would add to their strength, resilience and creativity. Of course there were the staid traditionalists like Cato the Censor,</w:t>
      </w:r>
      <w:r w:rsidDel="00000000" w:rsidR="00000000" w:rsidRPr="00000000">
        <w:rPr>
          <w:rFonts w:ascii="Arial" w:cs="Arial" w:eastAsia="Arial" w:hAnsi="Arial"/>
          <w:sz w:val="22"/>
          <w:szCs w:val="22"/>
          <w:highlight w:val="white"/>
          <w:vertAlign w:val="superscript"/>
        </w:rPr>
        <w:footnoteReference w:customMarkFollows="0" w:id="69"/>
      </w:r>
      <w:r w:rsidDel="00000000" w:rsidR="00000000" w:rsidRPr="00000000">
        <w:rPr>
          <w:rFonts w:ascii="Arial" w:cs="Arial" w:eastAsia="Arial" w:hAnsi="Arial"/>
          <w:sz w:val="22"/>
          <w:szCs w:val="22"/>
          <w:highlight w:val="white"/>
          <w:rtl w:val="0"/>
        </w:rPr>
        <w:t xml:space="preserve"> but there is ample evidence that Rome as a society was open to bringing the best (or at least the most interesting) that the world had to offer. This hunger was fed in many ways, primarily by the people and items that through trade or conquest, were brought to the city itself in the form of people, Rome benefited hugely from the influx of new educated Greek slaves as part of the settlement after the defeat of the Achaean League in 146 B.C.E. It is the Greeks’ loss in this battle that benefited history as it placed Polybius at the side of Scipio Aemeilianus, while the latter led the final defeat of Carthage. Of Polybius, there is some disagreement over the historian’s motivations as Peter Green has not unreasonably claimed that Polybius was writing for a Greek audience in part to justify the inevitability of their domination by Rome,</w:t>
      </w:r>
      <w:r w:rsidDel="00000000" w:rsidR="00000000" w:rsidRPr="00000000">
        <w:rPr>
          <w:rFonts w:ascii="Arial" w:cs="Arial" w:eastAsia="Arial" w:hAnsi="Arial"/>
          <w:sz w:val="22"/>
          <w:szCs w:val="22"/>
          <w:highlight w:val="white"/>
          <w:vertAlign w:val="superscript"/>
        </w:rPr>
        <w:footnoteReference w:customMarkFollows="0" w:id="70"/>
      </w:r>
      <w:r w:rsidDel="00000000" w:rsidR="00000000" w:rsidRPr="00000000">
        <w:rPr>
          <w:rFonts w:ascii="Arial" w:cs="Arial" w:eastAsia="Arial" w:hAnsi="Arial"/>
          <w:sz w:val="22"/>
          <w:szCs w:val="22"/>
          <w:highlight w:val="white"/>
          <w:rtl w:val="0"/>
        </w:rPr>
        <w:t xml:space="preserve"> where Millar (2006) is of the view that he ‘took and increasingly distant and hostile view of Roman domination’.</w:t>
      </w:r>
      <w:r w:rsidDel="00000000" w:rsidR="00000000" w:rsidRPr="00000000">
        <w:rPr>
          <w:rFonts w:ascii="Arial" w:cs="Arial" w:eastAsia="Arial" w:hAnsi="Arial"/>
          <w:sz w:val="22"/>
          <w:szCs w:val="22"/>
          <w:highlight w:val="white"/>
          <w:vertAlign w:val="superscript"/>
        </w:rPr>
        <w:footnoteReference w:customMarkFollows="0" w:id="71"/>
      </w:r>
      <w:r w:rsidDel="00000000" w:rsidR="00000000" w:rsidRPr="00000000">
        <w:rPr>
          <w:rFonts w:ascii="Arial" w:cs="Arial" w:eastAsia="Arial" w:hAnsi="Arial"/>
          <w:sz w:val="22"/>
          <w:szCs w:val="22"/>
          <w:highlight w:val="white"/>
          <w:rtl w:val="0"/>
        </w:rPr>
        <w:t xml:space="preserve"> We as historians are indeed fortunate that such a gifted writer was able to experience and record as a primary source, Scipio’s exploits as they unfolded, regardless of any debatable motivations he may have had as he was recording events as he saw them.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Gruen (1992) provides a more detailed analysis yet of culture and national identity in Rome in the book of that name, and is of the view that ‘ambiguity and ambivalence’ appeared to be the principal characteristics of Romes’ attitude towards the greek east.</w:t>
      </w:r>
      <w:r w:rsidDel="00000000" w:rsidR="00000000" w:rsidRPr="00000000">
        <w:rPr>
          <w:rFonts w:ascii="Arial" w:cs="Arial" w:eastAsia="Arial" w:hAnsi="Arial"/>
          <w:sz w:val="22"/>
          <w:szCs w:val="22"/>
          <w:vertAlign w:val="superscript"/>
        </w:rPr>
        <w:footnoteReference w:customMarkFollows="0" w:id="72"/>
      </w:r>
      <w:r w:rsidDel="00000000" w:rsidR="00000000" w:rsidRPr="00000000">
        <w:rPr>
          <w:rFonts w:ascii="Arial" w:cs="Arial" w:eastAsia="Arial" w:hAnsi="Arial"/>
          <w:sz w:val="22"/>
          <w:szCs w:val="22"/>
          <w:rtl w:val="0"/>
        </w:rPr>
        <w:t xml:space="preserve"> For all the Greek influences that managed to permeate Roman culture over time, there were always moments of push-back. These came in the form of the suppression of the Bacchanalian cult and publicly burned Pythagorean books, as well as the banishment of various Greek philosophers and sophists on more than one occasion in the second century B.C.E.</w:t>
      </w:r>
      <w:r w:rsidDel="00000000" w:rsidR="00000000" w:rsidRPr="00000000">
        <w:rPr>
          <w:rFonts w:ascii="Arial" w:cs="Arial" w:eastAsia="Arial" w:hAnsi="Arial"/>
          <w:sz w:val="22"/>
          <w:szCs w:val="22"/>
          <w:vertAlign w:val="superscript"/>
        </w:rPr>
        <w:footnoteReference w:customMarkFollows="0" w:id="73"/>
      </w:r>
      <w:r w:rsidDel="00000000" w:rsidR="00000000" w:rsidRPr="00000000">
        <w:rPr>
          <w:rFonts w:ascii="Arial" w:cs="Arial" w:eastAsia="Arial" w:hAnsi="Arial"/>
          <w:sz w:val="22"/>
          <w:szCs w:val="22"/>
          <w:rtl w:val="0"/>
        </w:rPr>
        <w:t xml:space="preserve"> Add to this the weight of opinions from such figures as Cato the Elder, Lucius Mummius and Gaius Marius, and we see that the inward flow of culture and ideas was not an unchallenged inbound stream. This does present, as Gruen states, somewhat of a paradox and sense of ambivalence, however my view is that for all the determined pushback by the Roman traditionalists, this could only be an ultimately unsuccessful effort to hold back the tide of ideas that when slowly adopted by more and more interested parties, assisted in the more wholesale adoption of those elements that ultimately strengthened Rome. These new ideas and innovations added more of the ‘softer’ cultural elements to Rome’s previously staid and strict notions of martial valour and traditional ideals of their republic being built off the backs of those who tilled the soil and put society before self.</w:t>
      </w:r>
      <w:r w:rsidDel="00000000" w:rsidR="00000000" w:rsidRPr="00000000">
        <w:rPr>
          <w:rFonts w:ascii="Arial" w:cs="Arial" w:eastAsia="Arial" w:hAnsi="Arial"/>
          <w:sz w:val="22"/>
          <w:szCs w:val="22"/>
          <w:vertAlign w:val="superscript"/>
        </w:rPr>
        <w:footnoteReference w:customMarkFollows="0" w:id="74"/>
      </w:r>
      <w:r w:rsidDel="00000000" w:rsidR="00000000" w:rsidRPr="00000000">
        <w:rPr>
          <w:rFonts w:ascii="Arial" w:cs="Arial" w:eastAsia="Arial" w:hAnsi="Arial"/>
          <w:sz w:val="22"/>
          <w:szCs w:val="22"/>
          <w:rtl w:val="0"/>
        </w:rPr>
        <w:t xml:space="preserve"> This was succinctly put by Horace in his famous quote that ‘Captive Greece took captive her fierce conqueror, and introduced her arts into rude Latium’</w:t>
      </w:r>
      <w:r w:rsidDel="00000000" w:rsidR="00000000" w:rsidRPr="00000000">
        <w:rPr>
          <w:rFonts w:ascii="Arial" w:cs="Arial" w:eastAsia="Arial" w:hAnsi="Arial"/>
          <w:sz w:val="22"/>
          <w:szCs w:val="22"/>
          <w:vertAlign w:val="superscript"/>
        </w:rPr>
        <w:footnoteReference w:customMarkFollows="0" w:id="75"/>
      </w:r>
      <w:r w:rsidDel="00000000" w:rsidR="00000000" w:rsidRPr="00000000">
        <w:rPr>
          <w:rFonts w:ascii="Arial" w:cs="Arial" w:eastAsia="Arial" w:hAnsi="Arial"/>
          <w:sz w:val="22"/>
          <w:szCs w:val="22"/>
          <w:rtl w:val="0"/>
        </w:rPr>
        <w:t xml:space="preserve"> which does though miss the possible distinction that the Romans made between a Greek culture that was to be admired, and a defeated and supplicant Greek people.</w:t>
      </w:r>
    </w:p>
    <w:p w:rsidR="00000000" w:rsidDel="00000000" w:rsidP="00000000" w:rsidRDefault="00000000" w:rsidRPr="00000000" w14:paraId="000000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b w:val="1"/>
          <w:sz w:val="22"/>
          <w:szCs w:val="22"/>
          <w:u w:val="single"/>
          <w:rtl w:val="0"/>
        </w:rPr>
        <w:t xml:space="preserve">Hellenistic Kingdoms’ Society from the 3</w:t>
      </w:r>
      <w:r w:rsidDel="00000000" w:rsidR="00000000" w:rsidRPr="00000000">
        <w:rPr>
          <w:rFonts w:ascii="Arial" w:cs="Arial" w:eastAsia="Arial" w:hAnsi="Arial"/>
          <w:b w:val="1"/>
          <w:sz w:val="22"/>
          <w:szCs w:val="22"/>
          <w:u w:val="single"/>
          <w:vertAlign w:val="superscript"/>
          <w:rtl w:val="0"/>
        </w:rPr>
        <w:t xml:space="preserve">rd</w:t>
      </w:r>
      <w:r w:rsidDel="00000000" w:rsidR="00000000" w:rsidRPr="00000000">
        <w:rPr>
          <w:rFonts w:ascii="Arial" w:cs="Arial" w:eastAsia="Arial" w:hAnsi="Arial"/>
          <w:b w:val="1"/>
          <w:sz w:val="22"/>
          <w:szCs w:val="22"/>
          <w:u w:val="single"/>
          <w:rtl w:val="0"/>
        </w:rPr>
        <w:t xml:space="preserve"> to 1</w:t>
      </w:r>
      <w:r w:rsidDel="00000000" w:rsidR="00000000" w:rsidRPr="00000000">
        <w:rPr>
          <w:rFonts w:ascii="Arial" w:cs="Arial" w:eastAsia="Arial" w:hAnsi="Arial"/>
          <w:b w:val="1"/>
          <w:sz w:val="22"/>
          <w:szCs w:val="22"/>
          <w:u w:val="single"/>
          <w:vertAlign w:val="superscript"/>
          <w:rtl w:val="0"/>
        </w:rPr>
        <w:t xml:space="preserve">st</w:t>
      </w:r>
      <w:r w:rsidDel="00000000" w:rsidR="00000000" w:rsidRPr="00000000">
        <w:rPr>
          <w:rFonts w:ascii="Arial" w:cs="Arial" w:eastAsia="Arial" w:hAnsi="Arial"/>
          <w:b w:val="1"/>
          <w:sz w:val="22"/>
          <w:szCs w:val="22"/>
          <w:u w:val="single"/>
          <w:rtl w:val="0"/>
        </w:rPr>
        <w:t xml:space="preserve"> centuries B.C.E.</w:t>
      </w:r>
      <w:r w:rsidDel="00000000" w:rsidR="00000000" w:rsidRPr="00000000">
        <w:rPr>
          <w:rtl w:val="0"/>
        </w:rPr>
      </w:r>
    </w:p>
    <w:p w:rsidR="00000000" w:rsidDel="00000000" w:rsidP="00000000" w:rsidRDefault="00000000" w:rsidRPr="00000000" w14:paraId="00000036">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37">
      <w:pPr>
        <w:rPr>
          <w:rFonts w:ascii="Arial" w:cs="Arial" w:eastAsia="Arial" w:hAnsi="Arial"/>
          <w:color w:val="202122"/>
          <w:sz w:val="22"/>
          <w:szCs w:val="22"/>
        </w:rPr>
      </w:pPr>
      <w:r w:rsidDel="00000000" w:rsidR="00000000" w:rsidRPr="00000000">
        <w:rPr>
          <w:rFonts w:ascii="Arial" w:cs="Arial" w:eastAsia="Arial" w:hAnsi="Arial"/>
          <w:color w:val="202122"/>
          <w:sz w:val="22"/>
          <w:szCs w:val="22"/>
          <w:highlight w:val="white"/>
          <w:rtl w:val="0"/>
        </w:rPr>
        <w:t xml:space="preserve">Unlike the single political unit of the Roman republic, the social structures and norms of the different Hellenistic kingdoms varied and showed a considerable degree of adaptation and </w:t>
      </w:r>
      <w:r w:rsidDel="00000000" w:rsidR="00000000" w:rsidRPr="00000000">
        <w:rPr>
          <w:rFonts w:ascii="Arial" w:cs="Arial" w:eastAsia="Arial" w:hAnsi="Arial"/>
          <w:i w:val="1"/>
          <w:color w:val="202122"/>
          <w:sz w:val="22"/>
          <w:szCs w:val="22"/>
          <w:highlight w:val="white"/>
          <w:rtl w:val="0"/>
        </w:rPr>
        <w:t xml:space="preserve">realpolitik. </w:t>
      </w:r>
      <w:r w:rsidDel="00000000" w:rsidR="00000000" w:rsidRPr="00000000">
        <w:rPr>
          <w:rFonts w:ascii="Arial" w:cs="Arial" w:eastAsia="Arial" w:hAnsi="Arial"/>
          <w:color w:val="202122"/>
          <w:sz w:val="22"/>
          <w:szCs w:val="22"/>
          <w:highlight w:val="white"/>
          <w:rtl w:val="0"/>
        </w:rPr>
        <w:t xml:space="preserve">The new rulers were cognisant of the fact that their royal status was based not on any dynastic lineage or divine teleological reason; their origin was the battlefield and Strootman (2013) makes the point that the </w:t>
      </w:r>
      <w:r w:rsidDel="00000000" w:rsidR="00000000" w:rsidRPr="00000000">
        <w:rPr>
          <w:rFonts w:ascii="Arial" w:cs="Arial" w:eastAsia="Arial" w:hAnsi="Arial"/>
          <w:color w:val="231f20"/>
          <w:sz w:val="22"/>
          <w:szCs w:val="22"/>
          <w:rtl w:val="0"/>
        </w:rPr>
        <w:t xml:space="preserve">Hellenistic rulers were essentially the leaders of military organisations interested primarily in collecting tribute and gaining access to the resources that they needed in order to sustain their martial capabilities. Due to this, they were for the most part reluctant to become directly involved in the government of subject cities and territories.</w:t>
      </w:r>
      <w:r w:rsidDel="00000000" w:rsidR="00000000" w:rsidRPr="00000000">
        <w:rPr>
          <w:rFonts w:ascii="Arial" w:cs="Arial" w:eastAsia="Arial" w:hAnsi="Arial"/>
          <w:color w:val="231f20"/>
          <w:sz w:val="22"/>
          <w:szCs w:val="22"/>
          <w:vertAlign w:val="superscript"/>
        </w:rPr>
        <w:footnoteReference w:customMarkFollows="0" w:id="76"/>
      </w:r>
      <w:r w:rsidDel="00000000" w:rsidR="00000000" w:rsidRPr="00000000">
        <w:rPr>
          <w:rFonts w:ascii="Arial" w:cs="Arial" w:eastAsia="Arial" w:hAnsi="Arial"/>
          <w:color w:val="202122"/>
          <w:sz w:val="22"/>
          <w:szCs w:val="22"/>
          <w:rtl w:val="0"/>
        </w:rPr>
        <w:t xml:space="preserve"> </w:t>
      </w:r>
    </w:p>
    <w:p w:rsidR="00000000" w:rsidDel="00000000" w:rsidP="00000000" w:rsidRDefault="00000000" w:rsidRPr="00000000" w14:paraId="00000038">
      <w:pPr>
        <w:rPr>
          <w:rFonts w:ascii="Arial" w:cs="Arial" w:eastAsia="Arial" w:hAnsi="Arial"/>
          <w:color w:val="202122"/>
          <w:sz w:val="20"/>
          <w:szCs w:val="20"/>
          <w:highlight w:val="white"/>
        </w:rPr>
      </w:pPr>
      <w:r w:rsidDel="00000000" w:rsidR="00000000" w:rsidRPr="00000000">
        <w:rPr>
          <w:rFonts w:ascii="Arial" w:cs="Arial" w:eastAsia="Arial" w:hAnsi="Arial"/>
          <w:color w:val="202122"/>
          <w:sz w:val="22"/>
          <w:szCs w:val="22"/>
          <w:rtl w:val="0"/>
        </w:rPr>
        <w:t xml:space="preserve">O</w:t>
      </w:r>
      <w:r w:rsidDel="00000000" w:rsidR="00000000" w:rsidRPr="00000000">
        <w:rPr>
          <w:rFonts w:ascii="Arial" w:cs="Arial" w:eastAsia="Arial" w:hAnsi="Arial"/>
          <w:color w:val="202122"/>
          <w:sz w:val="22"/>
          <w:szCs w:val="22"/>
          <w:highlight w:val="white"/>
          <w:rtl w:val="0"/>
        </w:rPr>
        <w:t xml:space="preserve">ver time the form of the regimes evolved at different speeds and to varying degrees, with all linking themselves to a divinity that Alexander claimed but that, thanks to their Macedonian heritage and customs, they would have been well aware that he didn’t really possess. </w:t>
      </w:r>
      <w:r w:rsidDel="00000000" w:rsidR="00000000" w:rsidRPr="00000000">
        <w:rPr>
          <w:rFonts w:ascii="Arial" w:cs="Arial" w:eastAsia="Arial" w:hAnsi="Arial"/>
          <w:sz w:val="22"/>
          <w:szCs w:val="22"/>
          <w:rtl w:val="0"/>
        </w:rPr>
        <w:t xml:space="preserve">In Egypt the process of evolution into a divine kingship  was the most seamless, as the pharaoh had been worshipped as such for millenia.  However for kingdoms whose ruling culture had been established around Macedonian norms, this could not have been more different. The Macedonian court culture was one where the king was ‘first among equals’, placed in that position due to his talents in war and close relationships with powerful men in the court. The king was more of a generalissimo rather than divinely ordained ruler to whom all must  supplicate themselves. As mentioned previously, Alexander’s visit to the oracle of the temple of Zeus Ammon at Siwa changed this situation and this proved to be the beginnings of his inclinations towards his own divine origins.</w:t>
      </w:r>
      <w:r w:rsidDel="00000000" w:rsidR="00000000" w:rsidRPr="00000000">
        <w:rPr>
          <w:rFonts w:ascii="Arial" w:cs="Arial" w:eastAsia="Arial" w:hAnsi="Arial"/>
          <w:sz w:val="22"/>
          <w:szCs w:val="22"/>
          <w:vertAlign w:val="superscript"/>
        </w:rPr>
        <w:footnoteReference w:customMarkFollows="0" w:id="77"/>
      </w:r>
      <w:r w:rsidDel="00000000" w:rsidR="00000000" w:rsidRPr="00000000">
        <w:rPr>
          <w:rFonts w:ascii="Arial" w:cs="Arial" w:eastAsia="Arial" w:hAnsi="Arial"/>
          <w:sz w:val="22"/>
          <w:szCs w:val="22"/>
          <w:rtl w:val="0"/>
        </w:rPr>
        <w:t xml:space="preserve"> This was an inclination that was challenged openly by Cleitus the Black, infamously at the cost of his own life.</w:t>
      </w:r>
      <w:r w:rsidDel="00000000" w:rsidR="00000000" w:rsidRPr="00000000">
        <w:rPr>
          <w:rFonts w:ascii="Arial" w:cs="Arial" w:eastAsia="Arial" w:hAnsi="Arial"/>
          <w:sz w:val="22"/>
          <w:szCs w:val="22"/>
          <w:vertAlign w:val="superscript"/>
        </w:rPr>
        <w:footnoteReference w:customMarkFollows="0" w:id="78"/>
      </w:r>
      <w:r w:rsidDel="00000000" w:rsidR="00000000" w:rsidRPr="00000000">
        <w:rPr>
          <w:rFonts w:ascii="Arial" w:cs="Arial" w:eastAsia="Arial" w:hAnsi="Arial"/>
          <w:sz w:val="22"/>
          <w:szCs w:val="22"/>
          <w:rtl w:val="0"/>
        </w:rPr>
        <w:t xml:space="preserve"> With the trappings of the Persian court and reported implementation of proskynesis, Alexander had moved further and further away from the culture of his birth, and more towards the oriental despotism he had originally set out to crush.</w:t>
      </w:r>
      <w:r w:rsidDel="00000000" w:rsidR="00000000" w:rsidRPr="00000000">
        <w:rPr>
          <w:rFonts w:ascii="Arial" w:cs="Arial" w:eastAsia="Arial" w:hAnsi="Arial"/>
          <w:sz w:val="22"/>
          <w:szCs w:val="22"/>
          <w:vertAlign w:val="superscript"/>
        </w:rPr>
        <w:footnoteReference w:customMarkFollows="0" w:id="79"/>
      </w:r>
      <w:r w:rsidDel="00000000" w:rsidR="00000000" w:rsidRPr="00000000">
        <w:rPr>
          <w:rFonts w:ascii="Arial" w:cs="Arial" w:eastAsia="Arial" w:hAnsi="Arial"/>
          <w:sz w:val="22"/>
          <w:szCs w:val="22"/>
          <w:rtl w:val="0"/>
        </w:rPr>
        <w:t xml:space="preserve"> After his death, the ‘funeral games’ proved that the diadochi were nothing more than warlords across a vast and splintering empire, fighting first for their respective slices, then for survival, then finally for a larger slice of what looked to be resolved as theirs. Where Alexander had supplanted Darius and earned his legitimacy by conquest, they had no such case to make, so in the end their royal diadems had to be justified via their victories over each other and anyone else who might have threatened them, whether internal or external. Over time and with each claiming kingship (and in the case of Demetrius Poliorcetes, a king without a kingdom), the legitimacy lent by Alexander was cemented via coinage, followed by what we in more modern cinematic parlance call ‘origin stories’, that lead to th</w:t>
      </w:r>
      <w:r w:rsidDel="00000000" w:rsidR="00000000" w:rsidRPr="00000000">
        <w:rPr>
          <w:rFonts w:ascii="Arial" w:cs="Arial" w:eastAsia="Arial" w:hAnsi="Arial"/>
          <w:sz w:val="20"/>
          <w:szCs w:val="20"/>
          <w:rtl w:val="0"/>
        </w:rPr>
        <w:t xml:space="preserve">e end of their journey from soldier, to warlord, to king, to living god. In Orwell’s words: “</w:t>
      </w:r>
      <w:r w:rsidDel="00000000" w:rsidR="00000000" w:rsidRPr="00000000">
        <w:rPr>
          <w:rFonts w:ascii="Arial" w:cs="Arial" w:eastAsia="Arial" w:hAnsi="Arial"/>
          <w:color w:val="181818"/>
          <w:sz w:val="20"/>
          <w:szCs w:val="20"/>
          <w:rtl w:val="0"/>
        </w:rPr>
        <w:t xml:space="preserve">Who controls the past controls the future. Who controls the present controls the past.”</w:t>
      </w:r>
      <w:r w:rsidDel="00000000" w:rsidR="00000000" w:rsidRPr="00000000">
        <w:rPr>
          <w:rFonts w:ascii="Arial" w:cs="Arial" w:eastAsia="Arial" w:hAnsi="Arial"/>
          <w:color w:val="181818"/>
          <w:sz w:val="20"/>
          <w:szCs w:val="20"/>
          <w:vertAlign w:val="superscript"/>
        </w:rPr>
        <w:footnoteReference w:customMarkFollows="0" w:id="80"/>
      </w:r>
      <w:r w:rsidDel="00000000" w:rsidR="00000000" w:rsidRPr="00000000">
        <w:rPr>
          <w:rFonts w:ascii="Arial" w:cs="Arial" w:eastAsia="Arial" w:hAnsi="Arial"/>
          <w:sz w:val="20"/>
          <w:szCs w:val="20"/>
          <w:rtl w:val="0"/>
        </w:rPr>
        <w:t xml:space="preserve">  </w:t>
      </w:r>
      <w:r w:rsidDel="00000000" w:rsidR="00000000" w:rsidRPr="00000000">
        <w:rPr>
          <w:rtl w:val="0"/>
        </w:rPr>
      </w:r>
    </w:p>
    <w:p w:rsidR="00000000" w:rsidDel="00000000" w:rsidP="00000000" w:rsidRDefault="00000000" w:rsidRPr="00000000" w14:paraId="00000039">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color w:val="202122"/>
          <w:sz w:val="22"/>
          <w:szCs w:val="22"/>
          <w:highlight w:val="white"/>
          <w:rtl w:val="0"/>
        </w:rPr>
        <w:t xml:space="preserve">One key thing to bear in mind when we consider the social structures across the Hellenistic kingdoms is the clear delineation between the Greek and Macedonian settlers, and the indigenous populations over whom they ruled. Alexander tried an integrated approach with the mass wedding</w:t>
      </w:r>
      <w:r w:rsidDel="00000000" w:rsidR="00000000" w:rsidRPr="00000000">
        <w:rPr>
          <w:rFonts w:ascii="Arial" w:cs="Arial" w:eastAsia="Arial" w:hAnsi="Arial"/>
          <w:color w:val="202122"/>
          <w:sz w:val="22"/>
          <w:szCs w:val="22"/>
          <w:highlight w:val="white"/>
          <w:vertAlign w:val="superscript"/>
        </w:rPr>
        <w:footnoteReference w:customMarkFollows="0" w:id="81"/>
      </w:r>
      <w:r w:rsidDel="00000000" w:rsidR="00000000" w:rsidRPr="00000000">
        <w:rPr>
          <w:rFonts w:ascii="Arial" w:cs="Arial" w:eastAsia="Arial" w:hAnsi="Arial"/>
          <w:color w:val="202122"/>
          <w:sz w:val="22"/>
          <w:szCs w:val="22"/>
          <w:highlight w:val="white"/>
          <w:rtl w:val="0"/>
        </w:rPr>
        <w:t xml:space="preserve"> in Susa of his troops to the ladies of the Persian nobility, and the troops made it clear that so long as Alexander was alive they would tolerate these efforts. But at heart they wanted to maintain their Macedonian ways and sense of Greek civilisation. After the wars of the diadochi had calmed somewhat in the late 3rd century B.C.E., it became standard that the Macedonian conquerors were the ruling class and that all others over whom they ruled had to merely adapt to the new situation and the fact that their opportunities in the higher levels of society would be extremely limited until they themselves became more hellenised, rather than the reverse. That is not to say that the new rulers </w:t>
      </w:r>
      <w:r w:rsidDel="00000000" w:rsidR="00000000" w:rsidRPr="00000000">
        <w:rPr>
          <w:rFonts w:ascii="Arial" w:cs="Arial" w:eastAsia="Arial" w:hAnsi="Arial"/>
          <w:color w:val="202122"/>
          <w:sz w:val="22"/>
          <w:szCs w:val="22"/>
          <w:highlight w:val="white"/>
          <w:rtl w:val="0"/>
        </w:rPr>
        <w:t xml:space="preserve">proselytised</w:t>
      </w:r>
      <w:r w:rsidDel="00000000" w:rsidR="00000000" w:rsidRPr="00000000">
        <w:rPr>
          <w:rFonts w:ascii="Arial" w:cs="Arial" w:eastAsia="Arial" w:hAnsi="Arial"/>
          <w:color w:val="202122"/>
          <w:sz w:val="22"/>
          <w:szCs w:val="22"/>
          <w:highlight w:val="white"/>
          <w:rtl w:val="0"/>
        </w:rPr>
        <w:t xml:space="preserve"> their Greek ways, as they would have seen that the much larger indigenous population simply wanted to be left to live their lives and according to the laws they were willing to put up with. </w:t>
      </w:r>
      <w:r w:rsidDel="00000000" w:rsidR="00000000" w:rsidRPr="00000000">
        <w:rPr>
          <w:rFonts w:ascii="Arial" w:cs="Arial" w:eastAsia="Arial" w:hAnsi="Arial"/>
          <w:sz w:val="22"/>
          <w:szCs w:val="22"/>
          <w:rtl w:val="0"/>
        </w:rPr>
        <w:tab/>
        <w:tab/>
        <w:tab/>
        <w:tab/>
      </w:r>
    </w:p>
    <w:p w:rsidR="00000000" w:rsidDel="00000000" w:rsidP="00000000" w:rsidRDefault="00000000" w:rsidRPr="00000000" w14:paraId="0000003B">
      <w:pPr>
        <w:spacing w:after="240" w:before="240" w:lineRule="auto"/>
        <w:rPr>
          <w:rFonts w:ascii="Arial" w:cs="Arial" w:eastAsia="Arial" w:hAnsi="Arial"/>
          <w:color w:val="202122"/>
          <w:sz w:val="22"/>
          <w:szCs w:val="22"/>
          <w:highlight w:val="white"/>
        </w:rPr>
      </w:pPr>
      <w:r w:rsidDel="00000000" w:rsidR="00000000" w:rsidRPr="00000000">
        <w:rPr>
          <w:rFonts w:ascii="Arial" w:cs="Arial" w:eastAsia="Arial" w:hAnsi="Arial"/>
          <w:sz w:val="22"/>
          <w:szCs w:val="22"/>
          <w:rtl w:val="0"/>
        </w:rPr>
        <w:t xml:space="preserve">With the emergence of the new political units across the Hellenistic east in the decades after Alexander’s death, Cultural innovation in the Hellenistic world has rightly been linked to the conscious creation of new political units in the eastern Mediterranean, including the Seleucid Empire, the Attalid kingdom, Lysimachos’ realm in Thrace, and the Bosporan state of the Spartokid dynasty, as well as the fusion of cultures in Ptolemaic Egypt.</w:t>
      </w:r>
      <w:r w:rsidDel="00000000" w:rsidR="00000000" w:rsidRPr="00000000">
        <w:rPr>
          <w:rFonts w:ascii="Arial" w:cs="Arial" w:eastAsia="Arial" w:hAnsi="Arial"/>
          <w:sz w:val="22"/>
          <w:szCs w:val="22"/>
          <w:vertAlign w:val="superscript"/>
        </w:rPr>
        <w:footnoteReference w:customMarkFollows="0" w:id="82"/>
      </w:r>
      <w:r w:rsidDel="00000000" w:rsidR="00000000" w:rsidRPr="00000000">
        <w:rPr>
          <w:rtl w:val="0"/>
        </w:rPr>
      </w:r>
    </w:p>
    <w:p w:rsidR="00000000" w:rsidDel="00000000" w:rsidP="00000000" w:rsidRDefault="00000000" w:rsidRPr="00000000" w14:paraId="0000003C">
      <w:pPr>
        <w:rPr>
          <w:rFonts w:ascii="Arial" w:cs="Arial" w:eastAsia="Arial" w:hAnsi="Arial"/>
          <w:sz w:val="22"/>
          <w:szCs w:val="22"/>
          <w:highlight w:val="white"/>
        </w:rPr>
      </w:pPr>
      <w:r w:rsidDel="00000000" w:rsidR="00000000" w:rsidRPr="00000000">
        <w:rPr>
          <w:rFonts w:ascii="Arial" w:cs="Arial" w:eastAsia="Arial" w:hAnsi="Arial"/>
          <w:color w:val="202122"/>
          <w:sz w:val="22"/>
          <w:szCs w:val="22"/>
          <w:highlight w:val="white"/>
          <w:rtl w:val="0"/>
        </w:rPr>
        <w:t xml:space="preserve">Even if an active campaign of hellenisation were to have been attempted, the logistics across huge and populous territories such as that of Seleucus, were simply not workable using the available talents of a very limited number of Greek settlers. An indication of how slowly some logistical wheels moved is evidence of a royal order issued in western Asia Minor taking around 50 days to make its way to the recipients in Media.</w:t>
      </w:r>
      <w:r w:rsidDel="00000000" w:rsidR="00000000" w:rsidRPr="00000000">
        <w:rPr>
          <w:rFonts w:ascii="Arial" w:cs="Arial" w:eastAsia="Arial" w:hAnsi="Arial"/>
          <w:color w:val="202122"/>
          <w:sz w:val="22"/>
          <w:szCs w:val="22"/>
          <w:highlight w:val="white"/>
          <w:vertAlign w:val="superscript"/>
        </w:rPr>
        <w:footnoteReference w:customMarkFollows="0" w:id="83"/>
      </w:r>
      <w:r w:rsidDel="00000000" w:rsidR="00000000" w:rsidRPr="00000000">
        <w:rPr>
          <w:rFonts w:ascii="Arial" w:cs="Arial" w:eastAsia="Arial" w:hAnsi="Arial"/>
          <w:color w:val="202122"/>
          <w:sz w:val="22"/>
          <w:szCs w:val="22"/>
          <w:highlight w:val="white"/>
          <w:rtl w:val="0"/>
        </w:rPr>
        <w:t xml:space="preserve"> So the end result was a kingdom where the local populace was ruled over with a very light touch: there were no punitive taxes that we’re aware of, no intrusive foreign local government officials to constantly harass villages and towns, no enforcement of a state religion comprising foreign gods. This somewhat passive aloofness may well be what kept the peace in those parts of the eastern kingdom that weren’t constantly agitating for independence, so that the local population merely accepted their lot as they always had, and got on with their lives. There is a strong indication that under the Seleucids, the countryside and even the cities of Iran continued to live accordi</w:t>
      </w:r>
      <w:r w:rsidDel="00000000" w:rsidR="00000000" w:rsidRPr="00000000">
        <w:rPr>
          <w:rFonts w:ascii="Arial" w:cs="Arial" w:eastAsia="Arial" w:hAnsi="Arial"/>
          <w:color w:val="202122"/>
          <w:sz w:val="22"/>
          <w:szCs w:val="22"/>
          <w:rtl w:val="0"/>
        </w:rPr>
        <w:t xml:space="preserve">n</w:t>
      </w:r>
      <w:r w:rsidDel="00000000" w:rsidR="00000000" w:rsidRPr="00000000">
        <w:rPr>
          <w:rFonts w:ascii="Arial" w:cs="Arial" w:eastAsia="Arial" w:hAnsi="Arial"/>
          <w:color w:val="202122"/>
          <w:sz w:val="22"/>
          <w:szCs w:val="22"/>
          <w:rtl w:val="0"/>
        </w:rPr>
        <w:t xml:space="preserve">g to their own traditional and customary laws, including the administration of justice, in civil litigations at least.</w:t>
      </w:r>
      <w:r w:rsidDel="00000000" w:rsidR="00000000" w:rsidRPr="00000000">
        <w:rPr>
          <w:rFonts w:ascii="Arial" w:cs="Arial" w:eastAsia="Arial" w:hAnsi="Arial"/>
          <w:color w:val="202122"/>
          <w:sz w:val="22"/>
          <w:szCs w:val="22"/>
          <w:vertAlign w:val="superscript"/>
        </w:rPr>
        <w:footnoteReference w:customMarkFollows="0" w:id="84"/>
      </w:r>
      <w:r w:rsidDel="00000000" w:rsidR="00000000" w:rsidRPr="00000000">
        <w:rPr>
          <w:rFonts w:ascii="Arial" w:cs="Arial" w:eastAsia="Arial" w:hAnsi="Arial"/>
          <w:color w:val="202122"/>
          <w:sz w:val="22"/>
          <w:szCs w:val="22"/>
          <w:rtl w:val="0"/>
        </w:rPr>
        <w:t xml:space="preserve"> Any hellenisation that did take place was allowed to proceed organically as the Greek settlers moved in, such as was the case in the city of Uruk.</w:t>
      </w:r>
      <w:r w:rsidDel="00000000" w:rsidR="00000000" w:rsidRPr="00000000">
        <w:rPr>
          <w:rFonts w:ascii="Arial" w:cs="Arial" w:eastAsia="Arial" w:hAnsi="Arial"/>
          <w:color w:val="202122"/>
          <w:sz w:val="22"/>
          <w:szCs w:val="22"/>
          <w:vertAlign w:val="superscript"/>
        </w:rPr>
        <w:footnoteReference w:customMarkFollows="0" w:id="85"/>
      </w:r>
      <w:r w:rsidDel="00000000" w:rsidR="00000000" w:rsidRPr="00000000">
        <w:rPr>
          <w:rFonts w:ascii="Arial" w:cs="Arial" w:eastAsia="Arial" w:hAnsi="Arial"/>
          <w:color w:val="202122"/>
          <w:sz w:val="22"/>
          <w:szCs w:val="22"/>
          <w:rtl w:val="0"/>
        </w:rPr>
        <w:t xml:space="preserve"> In this respect, the societal split did have </w:t>
      </w:r>
      <w:r w:rsidDel="00000000" w:rsidR="00000000" w:rsidRPr="00000000">
        <w:rPr>
          <w:rFonts w:ascii="Arial" w:cs="Arial" w:eastAsia="Arial" w:hAnsi="Arial"/>
          <w:sz w:val="22"/>
          <w:szCs w:val="22"/>
          <w:rtl w:val="0"/>
        </w:rPr>
        <w:t xml:space="preserve">similarities with how the Ptolemaic kingdom h</w:t>
      </w:r>
      <w:r w:rsidDel="00000000" w:rsidR="00000000" w:rsidRPr="00000000">
        <w:rPr>
          <w:rFonts w:ascii="Arial" w:cs="Arial" w:eastAsia="Arial" w:hAnsi="Arial"/>
          <w:sz w:val="22"/>
          <w:szCs w:val="22"/>
          <w:rtl w:val="0"/>
        </w:rPr>
        <w:t xml:space="preserve">a</w:t>
      </w:r>
      <w:r w:rsidDel="00000000" w:rsidR="00000000" w:rsidRPr="00000000">
        <w:rPr>
          <w:rFonts w:ascii="Arial" w:cs="Arial" w:eastAsia="Arial" w:hAnsi="Arial"/>
          <w:sz w:val="22"/>
          <w:szCs w:val="22"/>
          <w:highlight w:val="white"/>
          <w:rtl w:val="0"/>
        </w:rPr>
        <w:t xml:space="preserve">d been organised. </w:t>
      </w:r>
    </w:p>
    <w:p w:rsidR="00000000" w:rsidDel="00000000" w:rsidP="00000000" w:rsidRDefault="00000000" w:rsidRPr="00000000" w14:paraId="0000003D">
      <w:pPr>
        <w:rPr>
          <w:rFonts w:ascii="Arial" w:cs="Arial" w:eastAsia="Arial" w:hAnsi="Arial"/>
          <w:sz w:val="22"/>
          <w:szCs w:val="22"/>
          <w:highlight w:val="white"/>
        </w:rPr>
      </w:pPr>
      <w:r w:rsidDel="00000000" w:rsidR="00000000" w:rsidRPr="00000000">
        <w:rPr>
          <w:rtl w:val="0"/>
        </w:rPr>
      </w:r>
    </w:p>
    <w:p w:rsidR="00000000" w:rsidDel="00000000" w:rsidP="00000000" w:rsidRDefault="00000000" w:rsidRPr="00000000" w14:paraId="0000003E">
      <w:pPr>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Thus, Greek society in the Hellenistic kingdoms was open and different to both the expanding Roman republic, and to a large extent an evolution of, rather than regression to, what had come before with the Achaemenids. There was, as far as we know, no hereditary nobility of big landowners as in the Persian heartland. The</w:t>
      </w:r>
    </w:p>
    <w:p w:rsidR="00000000" w:rsidDel="00000000" w:rsidP="00000000" w:rsidRDefault="00000000" w:rsidRPr="00000000" w14:paraId="0000003F">
      <w:pPr>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Seleucids did not have dynasties of viziers, like the Barmakids of Baghdad. This open society was governed by what Yarshalter (2006 p.17) has called “the spirit of adventure and greed.” This society of adventure was open to the Iranians if they were willing to hellenise to the extent that they could become citizens of a Greek polis in Persia or even generals in the Seleucid army. Even the ‘father of history’ Herodotus made the claim that of all men the Persians were the readiest to adopt foreign customs.</w:t>
      </w:r>
      <w:r w:rsidDel="00000000" w:rsidR="00000000" w:rsidRPr="00000000">
        <w:rPr>
          <w:rFonts w:ascii="Arial" w:cs="Arial" w:eastAsia="Arial" w:hAnsi="Arial"/>
          <w:sz w:val="22"/>
          <w:szCs w:val="22"/>
          <w:highlight w:val="white"/>
          <w:vertAlign w:val="superscript"/>
        </w:rPr>
        <w:footnoteReference w:customMarkFollows="0" w:id="86"/>
      </w:r>
      <w:r w:rsidDel="00000000" w:rsidR="00000000" w:rsidRPr="00000000">
        <w:rPr>
          <w:rFonts w:ascii="Arial" w:cs="Arial" w:eastAsia="Arial" w:hAnsi="Arial"/>
          <w:sz w:val="22"/>
          <w:szCs w:val="22"/>
          <w:highlight w:val="white"/>
          <w:rtl w:val="0"/>
        </w:rPr>
        <w:t xml:space="preserve"> Yarshalter goes on to make the claim that ‘these ambitious dreamers found this new world in the Greek city, in Seleucid service, or in Greek literature; and that Alexander's Romance was a more potent factor of hellenisation. than Homer</w:t>
      </w:r>
      <w:r w:rsidDel="00000000" w:rsidR="00000000" w:rsidRPr="00000000">
        <w:rPr>
          <w:rFonts w:ascii="Arial" w:cs="Arial" w:eastAsia="Arial" w:hAnsi="Arial"/>
          <w:sz w:val="22"/>
          <w:szCs w:val="22"/>
          <w:highlight w:val="white"/>
          <w:vertAlign w:val="superscript"/>
        </w:rPr>
        <w:footnoteReference w:customMarkFollows="0" w:id="87"/>
      </w:r>
      <w:r w:rsidDel="00000000" w:rsidR="00000000" w:rsidRPr="00000000">
        <w:rPr>
          <w:rFonts w:ascii="Arial" w:cs="Arial" w:eastAsia="Arial" w:hAnsi="Arial"/>
          <w:sz w:val="22"/>
          <w:szCs w:val="22"/>
          <w:highlight w:val="white"/>
          <w:rtl w:val="0"/>
        </w:rPr>
        <w:t xml:space="preserve">. My personal view is that this is an overly optimistic view of how the locals in Persia viewed their Greek overlords. After all,in the Seleucid empire the threat of usurpers or regions seeking to secede was an almost constant factor for the king to deal with across the third century B.C.E., before the decline accelerated in the second half of the second century B.C.E.after the death of Antiochus IV Epiphanes.</w:t>
      </w:r>
      <w:r w:rsidDel="00000000" w:rsidR="00000000" w:rsidRPr="00000000">
        <w:rPr>
          <w:rFonts w:ascii="Arial" w:cs="Arial" w:eastAsia="Arial" w:hAnsi="Arial"/>
          <w:sz w:val="22"/>
          <w:szCs w:val="22"/>
          <w:highlight w:val="white"/>
          <w:vertAlign w:val="superscript"/>
        </w:rPr>
        <w:footnoteReference w:customMarkFollows="0" w:id="88"/>
      </w:r>
      <w:r w:rsidDel="00000000" w:rsidR="00000000" w:rsidRPr="00000000">
        <w:rPr>
          <w:rFonts w:ascii="Arial" w:cs="Arial" w:eastAsia="Arial" w:hAnsi="Arial"/>
          <w:sz w:val="22"/>
          <w:szCs w:val="22"/>
          <w:highlight w:val="white"/>
          <w:rtl w:val="0"/>
        </w:rPr>
        <w:t xml:space="preserve">  </w:t>
      </w:r>
    </w:p>
    <w:p w:rsidR="00000000" w:rsidDel="00000000" w:rsidP="00000000" w:rsidRDefault="00000000" w:rsidRPr="00000000" w14:paraId="00000040">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41">
      <w:pPr>
        <w:rPr>
          <w:rFonts w:ascii="Arial" w:cs="Arial" w:eastAsia="Arial" w:hAnsi="Arial"/>
          <w:color w:val="202122"/>
          <w:sz w:val="22"/>
          <w:szCs w:val="22"/>
          <w:highlight w:val="white"/>
        </w:rPr>
      </w:pPr>
      <w:r w:rsidDel="00000000" w:rsidR="00000000" w:rsidRPr="00000000">
        <w:rPr>
          <w:rFonts w:ascii="Arial" w:cs="Arial" w:eastAsia="Arial" w:hAnsi="Arial"/>
          <w:color w:val="202122"/>
          <w:sz w:val="22"/>
          <w:szCs w:val="22"/>
          <w:highlight w:val="white"/>
          <w:rtl w:val="0"/>
        </w:rPr>
        <w:t xml:space="preserve">In Egypt, when Ptolemy took control after Alexander’s death, he enjoyed what Green (2007) called ‘two incomparable advantages: a geographic environment that offered excellent natural protection against attack; and accumulated pharaonic wealth so great that when Octavian finally took personal possession of it in 30 BCE, even after three centuries of expensive wars and extravagant royal self-indulgence, the value and volume was so great that the standard interest rate in Rome at once dropped from 12 to 4 per cent.</w:t>
      </w:r>
      <w:r w:rsidDel="00000000" w:rsidR="00000000" w:rsidRPr="00000000">
        <w:rPr>
          <w:rFonts w:ascii="Arial" w:cs="Arial" w:eastAsia="Arial" w:hAnsi="Arial"/>
          <w:color w:val="202122"/>
          <w:sz w:val="22"/>
          <w:szCs w:val="22"/>
          <w:highlight w:val="white"/>
          <w:vertAlign w:val="superscript"/>
        </w:rPr>
        <w:footnoteReference w:customMarkFollows="0" w:id="89"/>
      </w:r>
      <w:r w:rsidDel="00000000" w:rsidR="00000000" w:rsidRPr="00000000">
        <w:rPr>
          <w:rFonts w:ascii="Arial" w:cs="Arial" w:eastAsia="Arial" w:hAnsi="Arial"/>
          <w:color w:val="202122"/>
          <w:sz w:val="22"/>
          <w:szCs w:val="22"/>
          <w:highlight w:val="white"/>
          <w:rtl w:val="0"/>
        </w:rPr>
        <w:t xml:space="preserve"> In this Hellenistic kingdom the Greek and Egyptian populations were treated separately in that there the latter were the subjects of the pharaoh while the former were not. They were under royal orders as soldiers, tenants of his land as cleruchs, contractual partners as tax farmers or contractors of industrial and commercial activities covered by the royal monopolies. The Greek residents were not subject to the same laws and the same courts as the native Egyptians, which does not necessarily mean that there was discrimination between the two groups. This notion of citizens was broadened in favour of carriers of ethnic groups who would not have been recognised as Greeks in classical Greece, but who were recognised by extension as Hellenophones in Ptolemaic Egypt: the Macedonians, the Thracians, the Galatians and Hellenized Orientals such as Syrians and Jews</w:t>
      </w:r>
      <w:r w:rsidDel="00000000" w:rsidR="00000000" w:rsidRPr="00000000">
        <w:rPr>
          <w:rFonts w:ascii="Arial" w:cs="Arial" w:eastAsia="Arial" w:hAnsi="Arial"/>
          <w:color w:val="202122"/>
          <w:sz w:val="22"/>
          <w:szCs w:val="22"/>
          <w:highlight w:val="white"/>
          <w:vertAlign w:val="superscript"/>
        </w:rPr>
        <w:footnoteReference w:customMarkFollows="0" w:id="90"/>
      </w:r>
      <w:r w:rsidDel="00000000" w:rsidR="00000000" w:rsidRPr="00000000">
        <w:rPr>
          <w:rFonts w:ascii="Arial" w:cs="Arial" w:eastAsia="Arial" w:hAnsi="Arial"/>
          <w:color w:val="202122"/>
          <w:sz w:val="22"/>
          <w:szCs w:val="22"/>
          <w:highlight w:val="white"/>
          <w:rtl w:val="0"/>
        </w:rPr>
        <w:t xml:space="preserve">. </w:t>
      </w:r>
    </w:p>
    <w:p w:rsidR="00000000" w:rsidDel="00000000" w:rsidP="00000000" w:rsidRDefault="00000000" w:rsidRPr="00000000" w14:paraId="00000042">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color w:val="202122"/>
          <w:sz w:val="22"/>
          <w:szCs w:val="22"/>
          <w:highlight w:val="white"/>
          <w:rtl w:val="0"/>
        </w:rPr>
        <w:t xml:space="preserve">Egyptian society was built around the </w:t>
      </w:r>
      <w:r w:rsidDel="00000000" w:rsidR="00000000" w:rsidRPr="00000000">
        <w:rPr>
          <w:rFonts w:ascii="Arial" w:cs="Arial" w:eastAsia="Arial" w:hAnsi="Arial"/>
          <w:i w:val="1"/>
          <w:color w:val="202122"/>
          <w:sz w:val="22"/>
          <w:szCs w:val="22"/>
          <w:highlight w:val="white"/>
          <w:rtl w:val="0"/>
        </w:rPr>
        <w:t xml:space="preserve">mores</w:t>
      </w:r>
      <w:r w:rsidDel="00000000" w:rsidR="00000000" w:rsidRPr="00000000">
        <w:rPr>
          <w:rFonts w:ascii="Arial" w:cs="Arial" w:eastAsia="Arial" w:hAnsi="Arial"/>
          <w:color w:val="202122"/>
          <w:sz w:val="22"/>
          <w:szCs w:val="22"/>
          <w:highlight w:val="white"/>
          <w:rtl w:val="0"/>
        </w:rPr>
        <w:t xml:space="preserve"> of the temple priests, men whose unspoken (or perhaps spoken) bargain with the pharaoh was that they would keep the native population in check, advocating all the while that the ruler, regardless of ethnic origin, would continue to follow the way of things from time immemorial and preserve meet or ‘right order. This was all they and their forebears had ever known as Egypt had never possessed a constitution, a Plato or an Aristotle, nor encouraged intelligent men with trying to evolve the ‘perfect’ form of government.</w:t>
      </w:r>
      <w:r w:rsidDel="00000000" w:rsidR="00000000" w:rsidRPr="00000000">
        <w:rPr>
          <w:rFonts w:ascii="Arial" w:cs="Arial" w:eastAsia="Arial" w:hAnsi="Arial"/>
          <w:color w:val="202122"/>
          <w:sz w:val="22"/>
          <w:szCs w:val="22"/>
          <w:highlight w:val="white"/>
          <w:vertAlign w:val="superscript"/>
        </w:rPr>
        <w:footnoteReference w:customMarkFollows="0" w:id="91"/>
      </w:r>
      <w:r w:rsidDel="00000000" w:rsidR="00000000" w:rsidRPr="00000000">
        <w:rPr>
          <w:rFonts w:ascii="Arial" w:cs="Arial" w:eastAsia="Arial" w:hAnsi="Arial"/>
          <w:color w:val="202122"/>
          <w:sz w:val="22"/>
          <w:szCs w:val="22"/>
          <w:highlight w:val="white"/>
          <w:rtl w:val="0"/>
        </w:rPr>
        <w:t xml:space="preserve"> The Ptolemaic kings were at the dawn of what Ellis (1994) has called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22"/>
          <w:szCs w:val="22"/>
          <w:rtl w:val="0"/>
        </w:rPr>
        <w:t xml:space="preserve">an age of advertising where appearances were more important than realities, an age of novelty, hyperbole, and ruthless self aggrandizement. It was an age, in short, that had much in common with our own.” He further makes the point that Ptolemy, as a conservative Macedonian, may have viewed the Museum with cynicism or even suspicion, both Greeks and Egyptians with a royal condescension, and the cult of Serapis with irony. However his private views no longer mattered as he was effectively the CEO of an enterprise</w:t>
      </w:r>
    </w:p>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called Egypt, and it was his now-divine mission to ensure both its success, and his dynasty’s survival.</w:t>
      </w:r>
      <w:r w:rsidDel="00000000" w:rsidR="00000000" w:rsidRPr="00000000">
        <w:rPr>
          <w:rFonts w:ascii="Arial" w:cs="Arial" w:eastAsia="Arial" w:hAnsi="Arial"/>
          <w:sz w:val="22"/>
          <w:szCs w:val="22"/>
          <w:vertAlign w:val="superscript"/>
        </w:rPr>
        <w:footnoteReference w:customMarkFollows="0" w:id="92"/>
      </w:r>
      <w:r w:rsidDel="00000000" w:rsidR="00000000" w:rsidRPr="00000000">
        <w:rPr>
          <w:rFonts w:ascii="Arial" w:cs="Arial" w:eastAsia="Arial" w:hAnsi="Arial"/>
          <w:sz w:val="22"/>
          <w:szCs w:val="22"/>
          <w:rtl w:val="0"/>
        </w:rPr>
        <w:t xml:space="preserve"> And though the indigenous Egyptians were treated quite separately from those immigrant Greeks, Ptolemy did take the necessary steps in order to stabilise the regime via cooperation with the religious priests and even started to bring Egyptian elites to take their places within court and the wider administration.</w:t>
      </w:r>
      <w:r w:rsidDel="00000000" w:rsidR="00000000" w:rsidRPr="00000000">
        <w:rPr>
          <w:rFonts w:ascii="Arial" w:cs="Arial" w:eastAsia="Arial" w:hAnsi="Arial"/>
          <w:sz w:val="22"/>
          <w:szCs w:val="22"/>
          <w:vertAlign w:val="superscript"/>
        </w:rPr>
        <w:footnoteReference w:customMarkFollows="0" w:id="93"/>
      </w:r>
      <w:r w:rsidDel="00000000" w:rsidR="00000000" w:rsidRPr="00000000">
        <w:rPr>
          <w:rtl w:val="0"/>
        </w:rPr>
      </w:r>
    </w:p>
    <w:p w:rsidR="00000000" w:rsidDel="00000000" w:rsidP="00000000" w:rsidRDefault="00000000" w:rsidRPr="00000000" w14:paraId="000000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rPr>
          <w:rFonts w:ascii="Arial" w:cs="Arial" w:eastAsia="Arial" w:hAnsi="Arial"/>
          <w:color w:val="202122"/>
          <w:sz w:val="22"/>
          <w:szCs w:val="22"/>
          <w:highlight w:val="white"/>
        </w:rPr>
      </w:pPr>
      <w:r w:rsidDel="00000000" w:rsidR="00000000" w:rsidRPr="00000000">
        <w:rPr>
          <w:rFonts w:ascii="Arial" w:cs="Arial" w:eastAsia="Arial" w:hAnsi="Arial"/>
          <w:color w:val="202122"/>
          <w:sz w:val="22"/>
          <w:szCs w:val="22"/>
          <w:highlight w:val="white"/>
          <w:rtl w:val="0"/>
        </w:rPr>
        <w:t xml:space="preserve">It is not to be said, however, that the Hellenistic Kings that over time were all defeated by Rome’s armies, were ignorant of some of the ways in which Rome had risen to such a position of power. One such instance of effort to remould is linked to the Seleucid King Antiochus IV, who had spent time in Rome as a youth and learned much about the society there. After seeing the nature of his otherwise all-conquering father’s defeat at the hands of the Romans at Magnesia in 188 B.C.E. and subsequent settlement of the treaty of Apamea in 188 B.C.E., Antiochus IV made efforts to modernise and shape both the culture of his capital city Antioch,</w:t>
      </w:r>
      <w:r w:rsidDel="00000000" w:rsidR="00000000" w:rsidRPr="00000000">
        <w:rPr>
          <w:rFonts w:ascii="Arial" w:cs="Arial" w:eastAsia="Arial" w:hAnsi="Arial"/>
          <w:color w:val="202122"/>
          <w:sz w:val="22"/>
          <w:szCs w:val="22"/>
          <w:highlight w:val="white"/>
          <w:vertAlign w:val="superscript"/>
        </w:rPr>
        <w:footnoteReference w:customMarkFollows="0" w:id="94"/>
      </w:r>
      <w:r w:rsidDel="00000000" w:rsidR="00000000" w:rsidRPr="00000000">
        <w:rPr>
          <w:rFonts w:ascii="Arial" w:cs="Arial" w:eastAsia="Arial" w:hAnsi="Arial"/>
          <w:color w:val="202122"/>
          <w:sz w:val="22"/>
          <w:szCs w:val="22"/>
          <w:highlight w:val="white"/>
          <w:rtl w:val="0"/>
        </w:rPr>
        <w:t xml:space="preserve"> and his army to be more like the one possessed by Rome; and identified three key elements that led to the dominant martial character of the Romans: the </w:t>
      </w:r>
      <w:r w:rsidDel="00000000" w:rsidR="00000000" w:rsidRPr="00000000">
        <w:rPr>
          <w:rFonts w:ascii="Arial" w:cs="Arial" w:eastAsia="Arial" w:hAnsi="Arial"/>
          <w:sz w:val="22"/>
          <w:szCs w:val="22"/>
          <w:rtl w:val="0"/>
        </w:rPr>
        <w:t xml:space="preserve">ambition to become involved in public life, Italian institutionalised love of violence, and their military system</w:t>
      </w:r>
      <w:r w:rsidDel="00000000" w:rsidR="00000000" w:rsidRPr="00000000">
        <w:rPr>
          <w:rFonts w:ascii="Arial" w:cs="Arial" w:eastAsia="Arial" w:hAnsi="Arial"/>
          <w:color w:val="202122"/>
          <w:sz w:val="22"/>
          <w:szCs w:val="22"/>
          <w:highlight w:val="white"/>
          <w:rtl w:val="0"/>
        </w:rPr>
        <w:t xml:space="preserve">. As Polybius describes them, the king’s activities might easily be dismissed as eccentric theatricalities</w:t>
      </w:r>
      <w:r w:rsidDel="00000000" w:rsidR="00000000" w:rsidRPr="00000000">
        <w:rPr>
          <w:rFonts w:ascii="Arial" w:cs="Arial" w:eastAsia="Arial" w:hAnsi="Arial"/>
          <w:color w:val="202122"/>
          <w:sz w:val="22"/>
          <w:szCs w:val="22"/>
          <w:highlight w:val="white"/>
          <w:vertAlign w:val="superscript"/>
        </w:rPr>
        <w:footnoteReference w:customMarkFollows="0" w:id="95"/>
      </w:r>
      <w:r w:rsidDel="00000000" w:rsidR="00000000" w:rsidRPr="00000000">
        <w:rPr>
          <w:rFonts w:ascii="Arial" w:cs="Arial" w:eastAsia="Arial" w:hAnsi="Arial"/>
          <w:color w:val="202122"/>
          <w:sz w:val="22"/>
          <w:szCs w:val="22"/>
          <w:highlight w:val="white"/>
          <w:rtl w:val="0"/>
        </w:rPr>
        <w:t xml:space="preserve"> </w:t>
      </w:r>
      <w:r w:rsidDel="00000000" w:rsidR="00000000" w:rsidRPr="00000000">
        <w:rPr>
          <w:rFonts w:ascii="Arial" w:cs="Arial" w:eastAsia="Arial" w:hAnsi="Arial"/>
          <w:color w:val="202122"/>
          <w:sz w:val="22"/>
          <w:szCs w:val="22"/>
          <w:highlight w:val="white"/>
          <w:rtl w:val="0"/>
        </w:rPr>
        <w:t xml:space="preserve">however</w:t>
      </w:r>
      <w:r w:rsidDel="00000000" w:rsidR="00000000" w:rsidRPr="00000000">
        <w:rPr>
          <w:rFonts w:ascii="Arial" w:cs="Arial" w:eastAsia="Arial" w:hAnsi="Arial"/>
          <w:color w:val="202122"/>
          <w:sz w:val="22"/>
          <w:szCs w:val="22"/>
          <w:highlight w:val="white"/>
          <w:rtl w:val="0"/>
        </w:rPr>
        <w:t xml:space="preserve">, given his experience in and knowledge of how Roman society had been moulded over time, this is very likely not the case. Of course, Rome’s entire martial culture and social structure had been shaped by centuries of development, conflict and evolution, rather than by the order of an individual. And it is the shallowness of these wider reforms, and their limited nature, that would have been in the king’s mind when he hastily agreed to G. Popilius Laenas’ demands as he stood on the sand in Egypt in 168 B.C.E. with a circle drawn around him. </w:t>
      </w:r>
    </w:p>
    <w:p w:rsidR="00000000" w:rsidDel="00000000" w:rsidP="00000000" w:rsidRDefault="00000000" w:rsidRPr="00000000" w14:paraId="00000047">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The failure of Alexander’s attempts at integration and resultant Greek need for cultural supremacy, may have indeed been a factor that grew and led to the long decay of the Hellenistic monarchies. This may be because they were always looking for the ‘other’ in their internal realms rather than finding ways to effectively and properly integrate the disparate peoples and cultures. To be sure, Rome was not a bright light in this approach but by the time of her increasing contact with the east from the 220s B.C.E. onwards, the majority of the societal internal strife that an expanding and evolving state would suffer (for example, the Conflict of the Orders between the strike led by Lucius Sicinius Vellutus in 494 B.C.E</w:t>
      </w:r>
      <w:r w:rsidDel="00000000" w:rsidR="00000000" w:rsidRPr="00000000">
        <w:rPr>
          <w:rFonts w:ascii="Arial" w:cs="Arial" w:eastAsia="Arial" w:hAnsi="Arial"/>
          <w:sz w:val="22"/>
          <w:szCs w:val="22"/>
          <w:vertAlign w:val="superscript"/>
        </w:rPr>
        <w:footnoteReference w:customMarkFollows="0" w:id="96"/>
      </w:r>
      <w:r w:rsidDel="00000000" w:rsidR="00000000" w:rsidRPr="00000000">
        <w:rPr>
          <w:rFonts w:ascii="Arial" w:cs="Arial" w:eastAsia="Arial" w:hAnsi="Arial"/>
          <w:sz w:val="22"/>
          <w:szCs w:val="22"/>
          <w:rtl w:val="0"/>
        </w:rPr>
        <w:t xml:space="preserve"> and coming to an end with the passing of the </w:t>
      </w:r>
      <w:r w:rsidDel="00000000" w:rsidR="00000000" w:rsidRPr="00000000">
        <w:rPr>
          <w:rFonts w:ascii="Arial" w:cs="Arial" w:eastAsia="Arial" w:hAnsi="Arial"/>
          <w:i w:val="1"/>
          <w:sz w:val="22"/>
          <w:szCs w:val="22"/>
          <w:rtl w:val="0"/>
        </w:rPr>
        <w:t xml:space="preserve">lex hortensia</w:t>
      </w:r>
      <w:r w:rsidDel="00000000" w:rsidR="00000000" w:rsidRPr="00000000">
        <w:rPr>
          <w:rFonts w:ascii="Arial" w:cs="Arial" w:eastAsia="Arial" w:hAnsi="Arial"/>
          <w:sz w:val="22"/>
          <w:szCs w:val="22"/>
          <w:rtl w:val="0"/>
        </w:rPr>
        <w:t xml:space="preserve"> in 287 B.C.E.)</w:t>
      </w:r>
      <w:r w:rsidDel="00000000" w:rsidR="00000000" w:rsidRPr="00000000">
        <w:rPr>
          <w:rFonts w:ascii="Arial" w:cs="Arial" w:eastAsia="Arial" w:hAnsi="Arial"/>
          <w:sz w:val="22"/>
          <w:szCs w:val="22"/>
          <w:vertAlign w:val="superscript"/>
        </w:rPr>
        <w:footnoteReference w:customMarkFollows="0" w:id="97"/>
      </w:r>
      <w:r w:rsidDel="00000000" w:rsidR="00000000" w:rsidRPr="00000000">
        <w:rPr>
          <w:rFonts w:ascii="Arial" w:cs="Arial" w:eastAsia="Arial" w:hAnsi="Arial"/>
          <w:sz w:val="22"/>
          <w:szCs w:val="22"/>
          <w:rtl w:val="0"/>
        </w:rPr>
        <w:t xml:space="preserve"> had run its course. I make the distinction here between the Conflict of the Orders and the Social War of 90-88 B.C.E. where Rome’s allies on the Italian peninsula, broadly speaking, went to war with their suzerain so that they could achieve the </w:t>
      </w:r>
      <w:r w:rsidDel="00000000" w:rsidR="00000000" w:rsidRPr="00000000">
        <w:rPr>
          <w:rFonts w:ascii="Arial" w:cs="Arial" w:eastAsia="Arial" w:hAnsi="Arial"/>
          <w:i w:val="1"/>
          <w:sz w:val="22"/>
          <w:szCs w:val="22"/>
          <w:rtl w:val="0"/>
        </w:rPr>
        <w:t xml:space="preserve">civitas </w:t>
      </w:r>
      <w:r w:rsidDel="00000000" w:rsidR="00000000" w:rsidRPr="00000000">
        <w:rPr>
          <w:rFonts w:ascii="Arial" w:cs="Arial" w:eastAsia="Arial" w:hAnsi="Arial"/>
          <w:sz w:val="22"/>
          <w:szCs w:val="22"/>
          <w:rtl w:val="0"/>
        </w:rPr>
        <w:t xml:space="preserve">and </w:t>
      </w:r>
      <w:r w:rsidDel="00000000" w:rsidR="00000000" w:rsidRPr="00000000">
        <w:rPr>
          <w:rFonts w:ascii="Arial" w:cs="Arial" w:eastAsia="Arial" w:hAnsi="Arial"/>
          <w:i w:val="1"/>
          <w:sz w:val="22"/>
          <w:szCs w:val="22"/>
          <w:rtl w:val="0"/>
        </w:rPr>
        <w:t xml:space="preserve">suffragium </w:t>
      </w:r>
      <w:r w:rsidDel="00000000" w:rsidR="00000000" w:rsidRPr="00000000">
        <w:rPr>
          <w:rFonts w:ascii="Arial" w:cs="Arial" w:eastAsia="Arial" w:hAnsi="Arial"/>
          <w:sz w:val="22"/>
          <w:szCs w:val="22"/>
          <w:rtl w:val="0"/>
        </w:rPr>
        <w:t xml:space="preserve">that were eventually granted. Thus the republic was in a much stronger and more stable position with regards to </w:t>
      </w:r>
      <w:r w:rsidDel="00000000" w:rsidR="00000000" w:rsidRPr="00000000">
        <w:rPr>
          <w:rFonts w:ascii="Arial" w:cs="Arial" w:eastAsia="Arial" w:hAnsi="Arial"/>
          <w:sz w:val="22"/>
          <w:szCs w:val="22"/>
          <w:rtl w:val="0"/>
        </w:rPr>
        <w:t xml:space="preserve">concerns about internal revolts, and this was a concern that played larger in the minds of the Hellenistic kings. Ultimately Rome drew considerable strength from her state of relative political stability and population absorption (via extensive manumission, the draw of the Mediterranean’s largest city and an expanding economy), in contrast to the Ptolemies in Egypt who treated the Greeks and indigenous people very separately; the Seleucids in the east who as mentioned, across the third century B.C.E. had to watch their vast empire shrink piece by piece, and the Macedonian kings who were never quite able to completely subdue their Greek neighbours to the south. </w:t>
      </w:r>
    </w:p>
    <w:p w:rsidR="00000000" w:rsidDel="00000000" w:rsidP="00000000" w:rsidRDefault="00000000" w:rsidRPr="00000000" w14:paraId="00000049">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4A">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4B">
      <w:pPr>
        <w:rPr>
          <w:rFonts w:ascii="Arial" w:cs="Arial" w:eastAsia="Arial" w:hAnsi="Arial"/>
          <w:color w:val="202122"/>
          <w:sz w:val="22"/>
          <w:szCs w:val="22"/>
          <w:highlight w:val="white"/>
        </w:rPr>
      </w:pPr>
      <w:r w:rsidDel="00000000" w:rsidR="00000000" w:rsidRPr="00000000">
        <w:rPr>
          <w:rFonts w:ascii="Arial" w:cs="Arial" w:eastAsia="Arial" w:hAnsi="Arial"/>
          <w:color w:val="202122"/>
          <w:sz w:val="22"/>
          <w:szCs w:val="22"/>
          <w:highlight w:val="white"/>
          <w:rtl w:val="0"/>
        </w:rPr>
        <w:t xml:space="preserve">Cites Isocrates 8.117-119 in his questions about thessalians and megarians and the reasons behind the success of the megarians. He does not dive in to the economic reasons or ones related to trade. His arguments are around morality and fortitude. Making the point that even the most intelligent thinkers of the age didn’t have what we would call rudimentary economics knowledge. </w:t>
      </w:r>
    </w:p>
    <w:p w:rsidR="00000000" w:rsidDel="00000000" w:rsidP="00000000" w:rsidRDefault="00000000" w:rsidRPr="00000000" w14:paraId="0000004C">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4D">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Military</w:t>
      </w:r>
    </w:p>
    <w:p w:rsidR="00000000" w:rsidDel="00000000" w:rsidP="00000000" w:rsidRDefault="00000000" w:rsidRPr="00000000" w14:paraId="0000004E">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By 230 B.C.E the Roman army was one of the most adaptable and accomplished in the Mediterranean. It has learned painfully but usefully what it was like to fight against the Greek phalanx during the war of 280 - 275 B.C.E. when Phyrrus came to the aid of the cities of Magna Graecia. Phyrrus was victorious in the first of the three engagements at Heraclea in 280 B.C.E., then with regards to the battle of Asculum in 279 B.C.E. Cassius Dio, Plutarch and Dionysus of Halicarnassus disagree with each other in terms of who won the battle and over what period of time it was fought. By the time the battle of Beneventum was fought in 275 B.C.E.,after Phyrrus returned from his unsuccessful 3-year adventure in Sicily, the Romans were stronger, better prepared, more adaptable and in the end, victorious. As Rome expanded its influence and control over the Italian peninsula across the fifth, fourth and third centuries B.C.E., its slow absorption of new peoples and tribes allowed them to call on an ever-increasing manpower reserve. All whilst considering their different levels of citizenship and relationship with Rome itself: where the </w:t>
      </w:r>
      <w:r w:rsidDel="00000000" w:rsidR="00000000" w:rsidRPr="00000000">
        <w:rPr>
          <w:rFonts w:ascii="Arial" w:cs="Arial" w:eastAsia="Arial" w:hAnsi="Arial"/>
          <w:i w:val="1"/>
          <w:sz w:val="22"/>
          <w:szCs w:val="22"/>
          <w:rtl w:val="0"/>
        </w:rPr>
        <w:t xml:space="preserve">socii </w:t>
      </w:r>
      <w:r w:rsidDel="00000000" w:rsidR="00000000" w:rsidRPr="00000000">
        <w:rPr>
          <w:rFonts w:ascii="Arial" w:cs="Arial" w:eastAsia="Arial" w:hAnsi="Arial"/>
          <w:sz w:val="22"/>
          <w:szCs w:val="22"/>
          <w:rtl w:val="0"/>
        </w:rPr>
        <w:t xml:space="preserve"> by their </w:t>
      </w:r>
      <w:r w:rsidDel="00000000" w:rsidR="00000000" w:rsidRPr="00000000">
        <w:rPr>
          <w:rFonts w:ascii="Arial" w:cs="Arial" w:eastAsia="Arial" w:hAnsi="Arial"/>
          <w:i w:val="1"/>
          <w:sz w:val="22"/>
          <w:szCs w:val="22"/>
          <w:rtl w:val="0"/>
        </w:rPr>
        <w:t xml:space="preserve">foedera </w:t>
      </w:r>
      <w:r w:rsidDel="00000000" w:rsidR="00000000" w:rsidRPr="00000000">
        <w:rPr>
          <w:rFonts w:ascii="Arial" w:cs="Arial" w:eastAsia="Arial" w:hAnsi="Arial"/>
          <w:sz w:val="22"/>
          <w:szCs w:val="22"/>
          <w:rtl w:val="0"/>
        </w:rPr>
        <w:t xml:space="preserve">were bound to send a fixed number of troops or ships annually to be placed under Roman command, whilst the </w:t>
      </w:r>
      <w:r w:rsidDel="00000000" w:rsidR="00000000" w:rsidRPr="00000000">
        <w:rPr>
          <w:rFonts w:ascii="Arial" w:cs="Arial" w:eastAsia="Arial" w:hAnsi="Arial"/>
          <w:i w:val="1"/>
          <w:sz w:val="22"/>
          <w:szCs w:val="22"/>
          <w:rtl w:val="0"/>
        </w:rPr>
        <w:t xml:space="preserve">amici</w:t>
      </w:r>
      <w:r w:rsidDel="00000000" w:rsidR="00000000" w:rsidRPr="00000000">
        <w:rPr>
          <w:rFonts w:ascii="Arial" w:cs="Arial" w:eastAsia="Arial" w:hAnsi="Arial"/>
          <w:sz w:val="22"/>
          <w:szCs w:val="22"/>
          <w:rtl w:val="0"/>
        </w:rPr>
        <w:t xml:space="preserve"> were bound to no more than neutrality with the option of sending troops voluntarily and not necessarily under Roman command.</w:t>
      </w:r>
      <w:r w:rsidDel="00000000" w:rsidR="00000000" w:rsidRPr="00000000">
        <w:rPr>
          <w:rFonts w:ascii="Arial" w:cs="Arial" w:eastAsia="Arial" w:hAnsi="Arial"/>
          <w:sz w:val="22"/>
          <w:szCs w:val="22"/>
          <w:vertAlign w:val="superscript"/>
        </w:rPr>
        <w:footnoteReference w:customMarkFollows="0" w:id="98"/>
      </w:r>
      <w:r w:rsidDel="00000000" w:rsidR="00000000" w:rsidRPr="00000000">
        <w:rPr>
          <w:rtl w:val="0"/>
        </w:rPr>
      </w:r>
    </w:p>
    <w:p w:rsidR="00000000" w:rsidDel="00000000" w:rsidP="00000000" w:rsidRDefault="00000000" w:rsidRPr="00000000" w14:paraId="000000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 and McNab 2010 on the evolution of the army across the centuries towards the late republic and Phang (2008) regarding more detail on the army itself).</w:t>
      </w:r>
    </w:p>
    <w:p w:rsidR="00000000" w:rsidDel="00000000" w:rsidP="00000000" w:rsidRDefault="00000000" w:rsidRPr="00000000" w14:paraId="000000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The organisation of the army also evolved across the centuries and by the time of Augustus and Agrippa, it was the most flexible and formidable force in the Mediterranean to the extent that it has been claimed that the civilian, political and military histories of the Roman republic are difficult to differentiate.</w:t>
      </w:r>
      <w:r w:rsidDel="00000000" w:rsidR="00000000" w:rsidRPr="00000000">
        <w:rPr>
          <w:rFonts w:ascii="Arial" w:cs="Arial" w:eastAsia="Arial" w:hAnsi="Arial"/>
          <w:sz w:val="22"/>
          <w:szCs w:val="22"/>
          <w:vertAlign w:val="superscript"/>
        </w:rPr>
        <w:footnoteReference w:customMarkFollows="0" w:id="99"/>
      </w:r>
      <w:r w:rsidDel="00000000" w:rsidR="00000000" w:rsidRPr="00000000">
        <w:rPr>
          <w:rFonts w:ascii="Arial" w:cs="Arial" w:eastAsia="Arial" w:hAnsi="Arial"/>
          <w:sz w:val="22"/>
          <w:szCs w:val="22"/>
          <w:rtl w:val="0"/>
        </w:rPr>
        <w:t xml:space="preserve"> Prior to the imperial age this situation is founded in the fact that for a young man to travel up the </w:t>
      </w:r>
      <w:r w:rsidDel="00000000" w:rsidR="00000000" w:rsidRPr="00000000">
        <w:rPr>
          <w:rFonts w:ascii="Arial" w:cs="Arial" w:eastAsia="Arial" w:hAnsi="Arial"/>
          <w:i w:val="1"/>
          <w:sz w:val="22"/>
          <w:szCs w:val="22"/>
          <w:rtl w:val="0"/>
        </w:rPr>
        <w:t xml:space="preserve">cursus honorum</w:t>
      </w:r>
      <w:r w:rsidDel="00000000" w:rsidR="00000000" w:rsidRPr="00000000">
        <w:rPr>
          <w:rFonts w:ascii="Arial" w:cs="Arial" w:eastAsia="Arial" w:hAnsi="Arial"/>
          <w:sz w:val="22"/>
          <w:szCs w:val="22"/>
          <w:rtl w:val="0"/>
        </w:rPr>
        <w:t xml:space="preserve">, the cultural necessities were that he needed to straddle his military duties with those more oriented towards the forum and the roles that he would need to perform in the service of what needed to been seen as the public good. </w:t>
      </w:r>
    </w:p>
    <w:p w:rsidR="00000000" w:rsidDel="00000000" w:rsidP="00000000" w:rsidRDefault="00000000" w:rsidRPr="00000000" w14:paraId="000000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The war against Pyrrhus in the early third century B.C.E. helped the already war-like Romans to see beyond the capabilities of the Etruscans, Samnites, Volscians and Umbrians nearby on the Italian peninsula, or Gauls in the north; for it was their first meaningful opportunity to test their mettle first-hand against the strengths and weaknesses of a phalanx, and learn to their advantage the unpredictability of war elephants. The first Punic war forced Rome to quickly learn how to become a  maritime state and birthed inventions such as the </w:t>
      </w:r>
      <w:r w:rsidDel="00000000" w:rsidR="00000000" w:rsidRPr="00000000">
        <w:rPr>
          <w:rFonts w:ascii="Arial" w:cs="Arial" w:eastAsia="Arial" w:hAnsi="Arial"/>
          <w:i w:val="1"/>
          <w:sz w:val="22"/>
          <w:szCs w:val="22"/>
          <w:rtl w:val="0"/>
        </w:rPr>
        <w:t xml:space="preserve">corvus;</w:t>
      </w:r>
      <w:r w:rsidDel="00000000" w:rsidR="00000000" w:rsidRPr="00000000">
        <w:rPr>
          <w:rFonts w:ascii="Arial" w:cs="Arial" w:eastAsia="Arial" w:hAnsi="Arial"/>
          <w:sz w:val="22"/>
          <w:szCs w:val="22"/>
          <w:vertAlign w:val="superscript"/>
        </w:rPr>
        <w:footnoteReference w:customMarkFollows="0" w:id="100"/>
      </w:r>
      <w:r w:rsidDel="00000000" w:rsidR="00000000" w:rsidRPr="00000000">
        <w:rPr>
          <w:rFonts w:ascii="Arial" w:cs="Arial" w:eastAsia="Arial" w:hAnsi="Arial"/>
          <w:sz w:val="22"/>
          <w:szCs w:val="22"/>
          <w:rtl w:val="0"/>
        </w:rPr>
        <w:t xml:space="preserve"> the second Punic war forced Rome to accept a flexibility in strategy that was seemingly against their head-on martial nature. The Fabian strategy of avoiding direct pitched battle in order to wear down Hannibal’s forces grated with those more traditionally martial and ambitious senators who were spoiling for a fight,</w:t>
      </w:r>
      <w:r w:rsidDel="00000000" w:rsidR="00000000" w:rsidRPr="00000000">
        <w:rPr>
          <w:rFonts w:ascii="Arial" w:cs="Arial" w:eastAsia="Arial" w:hAnsi="Arial"/>
          <w:sz w:val="22"/>
          <w:szCs w:val="22"/>
          <w:vertAlign w:val="superscript"/>
        </w:rPr>
        <w:footnoteReference w:customMarkFollows="0" w:id="101"/>
      </w:r>
      <w:r w:rsidDel="00000000" w:rsidR="00000000" w:rsidRPr="00000000">
        <w:rPr>
          <w:rFonts w:ascii="Arial" w:cs="Arial" w:eastAsia="Arial" w:hAnsi="Arial"/>
          <w:sz w:val="22"/>
          <w:szCs w:val="22"/>
          <w:rtl w:val="0"/>
        </w:rPr>
        <w:t xml:space="preserve"> but after Rome’s largest-ever assembled army was crushed at Cannae in 216 B.C.E., a change of approach was no longer optional if Rome was to emerge victorious. This new adaptability with regards to how to not just win battles, but also how to not lose them, was to be yet another important tactic that would be added to their wider armoury.</w:t>
      </w:r>
    </w:p>
    <w:p w:rsidR="00000000" w:rsidDel="00000000" w:rsidP="00000000" w:rsidRDefault="00000000" w:rsidRPr="00000000" w14:paraId="000000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rPr>
          <w:rFonts w:ascii="Arial" w:cs="Arial" w:eastAsia="Arial" w:hAnsi="Arial"/>
          <w:sz w:val="22"/>
          <w:szCs w:val="22"/>
        </w:rPr>
      </w:pPr>
      <w:r w:rsidDel="00000000" w:rsidR="00000000" w:rsidRPr="00000000">
        <w:rPr>
          <w:rFonts w:ascii="Arial" w:cs="Arial" w:eastAsia="Arial" w:hAnsi="Arial"/>
          <w:sz w:val="22"/>
          <w:szCs w:val="22"/>
          <w:rtl w:val="0"/>
        </w:rPr>
        <w:t xml:space="preserve">Another such crucial tactic of the army was the use of cavalry, and the Roman cavalry and how they were used also had to evolve over the centuries. Polybius tells us that at the catastrophe at Cannae the Romans dismounted and fought on foot;</w:t>
      </w:r>
      <w:r w:rsidDel="00000000" w:rsidR="00000000" w:rsidRPr="00000000">
        <w:rPr>
          <w:rFonts w:ascii="Arial" w:cs="Arial" w:eastAsia="Arial" w:hAnsi="Arial"/>
          <w:sz w:val="22"/>
          <w:szCs w:val="22"/>
          <w:vertAlign w:val="superscript"/>
        </w:rPr>
        <w:footnoteReference w:customMarkFollows="0" w:id="102"/>
      </w:r>
      <w:r w:rsidDel="00000000" w:rsidR="00000000" w:rsidRPr="00000000">
        <w:rPr>
          <w:rFonts w:ascii="Arial" w:cs="Arial" w:eastAsia="Arial" w:hAnsi="Arial"/>
          <w:sz w:val="22"/>
          <w:szCs w:val="22"/>
          <w:rtl w:val="0"/>
        </w:rPr>
        <w:t xml:space="preserve"> whilst this same tactic in Spain was enough to surprise Mago’s Carthaginians and drive them to a retreat.</w:t>
      </w:r>
      <w:r w:rsidDel="00000000" w:rsidR="00000000" w:rsidRPr="00000000">
        <w:rPr>
          <w:rFonts w:ascii="Arial" w:cs="Arial" w:eastAsia="Arial" w:hAnsi="Arial"/>
          <w:sz w:val="22"/>
          <w:szCs w:val="22"/>
          <w:vertAlign w:val="superscript"/>
        </w:rPr>
        <w:footnoteReference w:customMarkFollows="0" w:id="103"/>
      </w:r>
      <w:r w:rsidDel="00000000" w:rsidR="00000000" w:rsidRPr="00000000">
        <w:rPr>
          <w:rFonts w:ascii="Arial" w:cs="Arial" w:eastAsia="Arial" w:hAnsi="Arial"/>
          <w:sz w:val="22"/>
          <w:szCs w:val="22"/>
          <w:rtl w:val="0"/>
        </w:rPr>
        <w:t xml:space="preserve"> It also found success in 200 B.C.E. against Philip V of Macedon in the second Macedonian War.</w:t>
      </w:r>
      <w:r w:rsidDel="00000000" w:rsidR="00000000" w:rsidRPr="00000000">
        <w:rPr>
          <w:rFonts w:ascii="Arial" w:cs="Arial" w:eastAsia="Arial" w:hAnsi="Arial"/>
          <w:sz w:val="22"/>
          <w:szCs w:val="22"/>
          <w:vertAlign w:val="superscript"/>
        </w:rPr>
        <w:footnoteReference w:customMarkFollows="0" w:id="104"/>
      </w:r>
      <w:r w:rsidDel="00000000" w:rsidR="00000000" w:rsidRPr="00000000">
        <w:rPr>
          <w:rFonts w:ascii="Arial" w:cs="Arial" w:eastAsia="Arial" w:hAnsi="Arial"/>
          <w:sz w:val="22"/>
          <w:szCs w:val="22"/>
          <w:rtl w:val="0"/>
        </w:rPr>
        <w:t xml:space="preserve"> Around this time another approach to the cavalry was to have auxiliaries augment the Roman numbers, seen in the concluding battle of the second Punic War, when Roma was able to take advantage of the training and expertise of Massinissa’s troops at Zama whilst also reducing the cost and burden of maintaining such a fighting force themselves.</w:t>
      </w:r>
      <w:r w:rsidDel="00000000" w:rsidR="00000000" w:rsidRPr="00000000">
        <w:rPr>
          <w:rFonts w:ascii="Arial" w:cs="Arial" w:eastAsia="Arial" w:hAnsi="Arial"/>
          <w:sz w:val="22"/>
          <w:szCs w:val="22"/>
          <w:vertAlign w:val="superscript"/>
        </w:rPr>
        <w:footnoteReference w:customMarkFollows="0" w:id="105"/>
      </w:r>
      <w:r w:rsidDel="00000000" w:rsidR="00000000" w:rsidRPr="00000000">
        <w:rPr>
          <w:rFonts w:ascii="Arial" w:cs="Arial" w:eastAsia="Arial" w:hAnsi="Arial"/>
          <w:sz w:val="22"/>
          <w:szCs w:val="22"/>
          <w:rtl w:val="0"/>
        </w:rPr>
        <w:t xml:space="preserve"> The most notable change that occurred with regards to the cavalry in the Roman army is the fact that by the time of Gaius Marius, the sources indicate that it was no longer filled by Roman citizen soldiers. We know from a fragment of Cassius Dio that they served in Spain as late as 140 B.C.E.</w:t>
      </w:r>
      <w:r w:rsidDel="00000000" w:rsidR="00000000" w:rsidRPr="00000000">
        <w:rPr>
          <w:rFonts w:ascii="Arial" w:cs="Arial" w:eastAsia="Arial" w:hAnsi="Arial"/>
          <w:sz w:val="22"/>
          <w:szCs w:val="22"/>
          <w:vertAlign w:val="superscript"/>
        </w:rPr>
        <w:footnoteReference w:customMarkFollows="0" w:id="106"/>
      </w:r>
      <w:r w:rsidDel="00000000" w:rsidR="00000000" w:rsidRPr="00000000">
        <w:rPr>
          <w:rFonts w:ascii="Arial" w:cs="Arial" w:eastAsia="Arial" w:hAnsi="Arial"/>
          <w:sz w:val="22"/>
          <w:szCs w:val="22"/>
          <w:rtl w:val="0"/>
        </w:rPr>
        <w:t xml:space="preserve"> and Polybius referred to the citizen equites as part of the army in his time, suggesting that they were still present through to the 150s B.C.E.</w:t>
      </w:r>
      <w:r w:rsidDel="00000000" w:rsidR="00000000" w:rsidRPr="00000000">
        <w:rPr>
          <w:rFonts w:ascii="Arial" w:cs="Arial" w:eastAsia="Arial" w:hAnsi="Arial"/>
          <w:sz w:val="22"/>
          <w:szCs w:val="22"/>
          <w:vertAlign w:val="superscript"/>
        </w:rPr>
        <w:footnoteReference w:customMarkFollows="0" w:id="107"/>
      </w:r>
      <w:r w:rsidDel="00000000" w:rsidR="00000000" w:rsidRPr="00000000">
        <w:rPr>
          <w:rFonts w:ascii="Arial" w:cs="Arial" w:eastAsia="Arial" w:hAnsi="Arial"/>
          <w:sz w:val="22"/>
          <w:szCs w:val="22"/>
          <w:rtl w:val="0"/>
        </w:rPr>
        <w:t xml:space="preserve">. There are many reasons as to why this change took place, and my view is that as post 146 B.C.E. Rome found itself the unchallenged master of the mediterranean, the equites focused more on business than war as they began to evolve into the bureaucratic class of the empire. The vast new realms over which Rome ruled also gave them access to the auxiliary specialists (such as slingers from Crete and cavalry from Numidia) whose services could either be purchased with the new-found wealth, or as </w:t>
      </w:r>
      <w:r w:rsidDel="00000000" w:rsidR="00000000" w:rsidRPr="00000000">
        <w:rPr>
          <w:rFonts w:ascii="Arial" w:cs="Arial" w:eastAsia="Arial" w:hAnsi="Arial"/>
          <w:i w:val="1"/>
          <w:sz w:val="22"/>
          <w:szCs w:val="22"/>
          <w:rtl w:val="0"/>
        </w:rPr>
        <w:t xml:space="preserve">amicitia</w:t>
      </w:r>
      <w:r w:rsidDel="00000000" w:rsidR="00000000" w:rsidRPr="00000000">
        <w:rPr>
          <w:rFonts w:ascii="Arial" w:cs="Arial" w:eastAsia="Arial" w:hAnsi="Arial"/>
          <w:sz w:val="22"/>
          <w:szCs w:val="22"/>
          <w:rtl w:val="0"/>
        </w:rPr>
        <w:t xml:space="preserve"> and/or subjects of Rome. </w:t>
      </w:r>
    </w:p>
    <w:p w:rsidR="00000000" w:rsidDel="00000000" w:rsidP="00000000" w:rsidRDefault="00000000" w:rsidRPr="00000000" w14:paraId="000000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sz w:val="22"/>
          <w:szCs w:val="22"/>
          <w:rtl w:val="0"/>
        </w:rPr>
        <w:t xml:space="preserve">Towards the end of the republic , the Marian reforms were debatably the key organisational changes made to the Roman Army in this period. These changes  strengthened the army in the field in terms of flexibility and organisation, whilst at the same time further sowing the seeds of the destruction of the republic via armies that were loyal to their generals rather than the Roman senate and state. In many ways the reforms were long overdue, as although Rome had, by the mid 2nd Century B.C.E. come to dominate the Mediterranean via a string of victories against her closest rivals, the simple fact remained that the army was in essence a temporary one. After each campaign the citizen soldiers had to demobilise and with a new conflict, came a new army composed of recruits of varying experience (or none at all), all of whom needed to be re-trained and re-drilled. This presented a paradox, for although it was with these citizen soldiers Rome had come to dominate first Latium, then Italy and finally the wider Mediterranean, there was still this fundamental weakness. It was a weakness exposed at Cannae, Lake Trasimene, the Trebia and in the Numantine war in Spain. Viewed through the lens of history, it may be easy to see that when Rome had a well-drilled army and a competent general, then success was more likely than not. But the continuous rotation of generals even when the troops remained the same, always left Rome at risk of putting in place a Varro rather than a Scipios Africanus’ or a Mancinus rather than a Scipio Aemelianus.</w:t>
      </w:r>
      <w:r w:rsidDel="00000000" w:rsidR="00000000" w:rsidRPr="00000000">
        <w:rPr>
          <w:rFonts w:ascii="Arial" w:cs="Arial" w:eastAsia="Arial" w:hAnsi="Arial"/>
          <w:sz w:val="22"/>
          <w:szCs w:val="22"/>
          <w:vertAlign w:val="superscript"/>
        </w:rPr>
        <w:footnoteReference w:customMarkFollows="0" w:id="108"/>
      </w:r>
      <w:r w:rsidDel="00000000" w:rsidR="00000000" w:rsidRPr="00000000">
        <w:rPr>
          <w:rFonts w:ascii="Arial" w:cs="Arial" w:eastAsia="Arial" w:hAnsi="Arial"/>
          <w:sz w:val="22"/>
          <w:szCs w:val="22"/>
          <w:rtl w:val="0"/>
        </w:rPr>
        <w:t xml:space="preserve"> It seems almost inevitable then that the rules of rotation would evolve so that competent generals would be placed in charge of trained troops for longer and longer periods of time, especially given the changing nature of threats that Rome faced, and in wars that were taking place farther and farther away from peninsular Italy. One of these wars began in earnest in 111 BCE in Africa against the former ally and Numidian King, Jugurtha. For some 7 years since the death of his adoptive father Micipsa, Jugertha had been pulling diplomatic strings with his allies in the senate through ill-concealed bribery, but after the massacre of Roman </w:t>
      </w:r>
      <w:r w:rsidDel="00000000" w:rsidR="00000000" w:rsidRPr="00000000">
        <w:rPr>
          <w:rFonts w:ascii="Arial" w:cs="Arial" w:eastAsia="Arial" w:hAnsi="Arial"/>
          <w:i w:val="1"/>
          <w:sz w:val="22"/>
          <w:szCs w:val="22"/>
          <w:rtl w:val="0"/>
        </w:rPr>
        <w:t xml:space="preserve">equites</w:t>
      </w:r>
      <w:r w:rsidDel="00000000" w:rsidR="00000000" w:rsidRPr="00000000">
        <w:rPr>
          <w:rFonts w:ascii="Arial" w:cs="Arial" w:eastAsia="Arial" w:hAnsi="Arial"/>
          <w:sz w:val="22"/>
          <w:szCs w:val="22"/>
          <w:rtl w:val="0"/>
        </w:rPr>
        <w:t xml:space="preserve"> in his brother’s city of refuge, Cirta, the senate was finally compelled to act and declared war on their still well-liked former friend and ally.</w:t>
      </w:r>
      <w:r w:rsidDel="00000000" w:rsidR="00000000" w:rsidRPr="00000000">
        <w:rPr>
          <w:rFonts w:ascii="Arial" w:cs="Arial" w:eastAsia="Arial" w:hAnsi="Arial"/>
          <w:sz w:val="22"/>
          <w:szCs w:val="22"/>
          <w:vertAlign w:val="superscript"/>
        </w:rPr>
        <w:footnoteReference w:customMarkFollows="0" w:id="109"/>
      </w:r>
      <w:r w:rsidDel="00000000" w:rsidR="00000000" w:rsidRPr="00000000">
        <w:rPr>
          <w:rFonts w:ascii="Arial" w:cs="Arial" w:eastAsia="Arial" w:hAnsi="Arial"/>
          <w:sz w:val="22"/>
          <w:szCs w:val="22"/>
          <w:rtl w:val="0"/>
        </w:rPr>
        <w:t xml:space="preserve"> After 4 years of unsuccessful confrontations, drawn-out negotiations and guerilla warfare waged by Jugurtha, Marius took command of the army in 107 B.C.E. as consul, and began his reforms. </w:t>
      </w:r>
    </w:p>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Among other things, these reforms formalised the creation for the first time outside of a catastrophic threat to Rome itself,</w:t>
      </w:r>
      <w:r w:rsidDel="00000000" w:rsidR="00000000" w:rsidRPr="00000000">
        <w:rPr>
          <w:rFonts w:ascii="Arial" w:cs="Arial" w:eastAsia="Arial" w:hAnsi="Arial"/>
          <w:sz w:val="22"/>
          <w:szCs w:val="22"/>
          <w:vertAlign w:val="superscript"/>
        </w:rPr>
        <w:footnoteReference w:customMarkFollows="0" w:id="110"/>
      </w:r>
      <w:r w:rsidDel="00000000" w:rsidR="00000000" w:rsidRPr="00000000">
        <w:rPr>
          <w:rFonts w:ascii="Arial" w:cs="Arial" w:eastAsia="Arial" w:hAnsi="Arial"/>
          <w:sz w:val="22"/>
          <w:szCs w:val="22"/>
          <w:rtl w:val="0"/>
        </w:rPr>
        <w:t xml:space="preserve"> of a professional standing army that was drawn from all classes including the </w:t>
      </w:r>
      <w:r w:rsidDel="00000000" w:rsidR="00000000" w:rsidRPr="00000000">
        <w:rPr>
          <w:rFonts w:ascii="Arial" w:cs="Arial" w:eastAsia="Arial" w:hAnsi="Arial"/>
          <w:i w:val="1"/>
          <w:sz w:val="22"/>
          <w:szCs w:val="22"/>
          <w:rtl w:val="0"/>
        </w:rPr>
        <w:t xml:space="preserve">capite censi</w:t>
      </w:r>
      <w:r w:rsidDel="00000000" w:rsidR="00000000" w:rsidRPr="00000000">
        <w:rPr>
          <w:rFonts w:ascii="Arial" w:cs="Arial" w:eastAsia="Arial" w:hAnsi="Arial"/>
          <w:i w:val="1"/>
          <w:sz w:val="22"/>
          <w:szCs w:val="22"/>
          <w:vertAlign w:val="superscript"/>
        </w:rPr>
        <w:footnoteReference w:customMarkFollows="0" w:id="111"/>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(thus further moving away from the historical citizen army of farmers and landowners); drastically reduced the slow-moving baggage train so that the soldiers carried their own packs and provisions (hence ‘Marius’s mules’);</w:t>
      </w:r>
      <w:r w:rsidDel="00000000" w:rsidR="00000000" w:rsidRPr="00000000">
        <w:rPr>
          <w:rFonts w:ascii="Arial" w:cs="Arial" w:eastAsia="Arial" w:hAnsi="Arial"/>
          <w:sz w:val="22"/>
          <w:szCs w:val="22"/>
          <w:vertAlign w:val="superscript"/>
        </w:rPr>
        <w:footnoteReference w:customMarkFollows="0" w:id="112"/>
      </w:r>
      <w:r w:rsidDel="00000000" w:rsidR="00000000" w:rsidRPr="00000000">
        <w:rPr>
          <w:rFonts w:ascii="Arial" w:cs="Arial" w:eastAsia="Arial" w:hAnsi="Arial"/>
          <w:sz w:val="22"/>
          <w:szCs w:val="22"/>
          <w:rtl w:val="0"/>
        </w:rPr>
        <w:t xml:space="preserve"> reorganised of maniples into cohorts; provided retirement benefits and land grants; a pathway to full citizenship for soldiers from allied cities and states; a training regime based on one that was followed by gladiators, and a unified standard behind which the soldiers would fight.</w:t>
      </w:r>
      <w:r w:rsidDel="00000000" w:rsidR="00000000" w:rsidRPr="00000000">
        <w:rPr>
          <w:rFonts w:ascii="Arial" w:cs="Arial" w:eastAsia="Arial" w:hAnsi="Arial"/>
          <w:sz w:val="22"/>
          <w:szCs w:val="22"/>
          <w:vertAlign w:val="superscript"/>
        </w:rPr>
        <w:footnoteReference w:customMarkFollows="0" w:id="113"/>
      </w:r>
      <w:r w:rsidDel="00000000" w:rsidR="00000000" w:rsidRPr="00000000">
        <w:rPr>
          <w:rFonts w:ascii="Arial" w:cs="Arial" w:eastAsia="Arial" w:hAnsi="Arial"/>
          <w:sz w:val="22"/>
          <w:szCs w:val="22"/>
          <w:rtl w:val="0"/>
        </w:rPr>
        <w:t xml:space="preserve"> Add to the above the facts that these soldiers were now paid largely from the booty secured via victory and the increased numbers provided by the </w:t>
      </w:r>
      <w:r w:rsidDel="00000000" w:rsidR="00000000" w:rsidRPr="00000000">
        <w:rPr>
          <w:rFonts w:ascii="Arial" w:cs="Arial" w:eastAsia="Arial" w:hAnsi="Arial"/>
          <w:i w:val="1"/>
          <w:sz w:val="22"/>
          <w:szCs w:val="22"/>
          <w:rtl w:val="0"/>
        </w:rPr>
        <w:t xml:space="preserve">capati censi, </w:t>
      </w:r>
      <w:r w:rsidDel="00000000" w:rsidR="00000000" w:rsidRPr="00000000">
        <w:rPr>
          <w:rFonts w:ascii="Arial" w:cs="Arial" w:eastAsia="Arial" w:hAnsi="Arial"/>
          <w:sz w:val="22"/>
          <w:szCs w:val="22"/>
          <w:rtl w:val="0"/>
        </w:rPr>
        <w:t xml:space="preserve">and the result was an army loyal to their general rather than the state. It was, in many ways a natural evolution towards perfection of the Roman military machine; but with this evolution is is notable that in this professionalisation of the formerly citizen army, the Roman senate did not show the foresight to see that this new form of army was the one that would lead to their ultimate downfall, as well as that of their republic.</w:t>
      </w:r>
    </w:p>
    <w:p w:rsidR="00000000" w:rsidDel="00000000" w:rsidP="00000000" w:rsidRDefault="00000000" w:rsidRPr="00000000" w14:paraId="000000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sz w:val="22"/>
          <w:szCs w:val="22"/>
          <w:rtl w:val="0"/>
        </w:rPr>
        <w:t xml:space="preserve">Even prior to the time of Marius, the generals of the Roman army enjoyed a (temporary) degree of power and autonomy that would have been lacking in the armies of the Hellenistic kingdoms. By the late 3rd century BCE we have evidence that the foreign policy beyond northern Italy was driven more by the leaders on the ground than the senate (though with the obvious need to seemingly keep to </w:t>
      </w:r>
      <w:r w:rsidDel="00000000" w:rsidR="00000000" w:rsidRPr="00000000">
        <w:rPr>
          <w:rFonts w:ascii="Arial" w:cs="Arial" w:eastAsia="Arial" w:hAnsi="Arial"/>
          <w:i w:val="1"/>
          <w:sz w:val="22"/>
          <w:szCs w:val="22"/>
          <w:rtl w:val="0"/>
        </w:rPr>
        <w:t xml:space="preserve">mos maiorum</w:t>
      </w:r>
      <w:r w:rsidDel="00000000" w:rsidR="00000000" w:rsidRPr="00000000">
        <w:rPr>
          <w:rFonts w:ascii="Arial" w:cs="Arial" w:eastAsia="Arial" w:hAnsi="Arial"/>
          <w:sz w:val="22"/>
          <w:szCs w:val="22"/>
          <w:rtl w:val="0"/>
        </w:rPr>
        <w:t xml:space="preserve"> via nominal deferral to the senate).</w:t>
      </w:r>
      <w:r w:rsidDel="00000000" w:rsidR="00000000" w:rsidRPr="00000000">
        <w:rPr>
          <w:rFonts w:ascii="Arial" w:cs="Arial" w:eastAsia="Arial" w:hAnsi="Arial"/>
          <w:sz w:val="22"/>
          <w:szCs w:val="22"/>
          <w:vertAlign w:val="superscript"/>
        </w:rPr>
        <w:footnoteReference w:customMarkFollows="0" w:id="114"/>
      </w:r>
      <w:r w:rsidDel="00000000" w:rsidR="00000000" w:rsidRPr="00000000">
        <w:rPr>
          <w:rFonts w:ascii="Arial" w:cs="Arial" w:eastAsia="Arial" w:hAnsi="Arial"/>
          <w:sz w:val="22"/>
          <w:szCs w:val="22"/>
          <w:rtl w:val="0"/>
        </w:rPr>
        <w:t xml:space="preserve"> Further evidence of this can be seen in the parallel campaigns in 146 B.C.E. of Scipio Aemelianus in Carthage and Lucius Mummius in Corinth, both geographically far to the respective west and east of peninsular Italy. Having said that, the generals were not given carte blanche whilst in the field, as they tended to make decisions and treaties that they would view as  acceptable to the senate, for they knew that that such actions could be roundly rejected if they the demonstrated what the senate would regard as a betrayal of the Roman character. This was the case in 136 B.C.E. when Gaius Hostilius Mancinus (mentioned above) was returned to the Numantines in chains after the Senate rejected the peace deal brokered by Tiberius Gracchus with the Numantines.</w:t>
      </w:r>
      <w:r w:rsidDel="00000000" w:rsidR="00000000" w:rsidRPr="00000000">
        <w:rPr>
          <w:rFonts w:ascii="Arial" w:cs="Arial" w:eastAsia="Arial" w:hAnsi="Arial"/>
          <w:sz w:val="22"/>
          <w:szCs w:val="22"/>
          <w:vertAlign w:val="superscript"/>
        </w:rPr>
        <w:footnoteReference w:customMarkFollows="0" w:id="115"/>
      </w:r>
      <w:r w:rsidDel="00000000" w:rsidR="00000000" w:rsidRPr="00000000">
        <w:rPr>
          <w:rFonts w:ascii="Arial" w:cs="Arial" w:eastAsia="Arial" w:hAnsi="Arial"/>
          <w:sz w:val="22"/>
          <w:szCs w:val="22"/>
          <w:rtl w:val="0"/>
        </w:rPr>
        <w:t xml:space="preserve"> In the view of Eckstein (1987 p323), by the late 3rd century B.C.E., the relationship between the Roman generals and their masters in the senate was one of “cooperation and mutual understanding”, for while the senators were not overly concerned with events led by others far afield, they strongly tended to trust the decisions and courses of actions taken by those commanders who were, after all, drawn from the same body of men, and bound to return to this body to face accountability for the decisions they took while on campaign.</w:t>
      </w:r>
      <w:r w:rsidDel="00000000" w:rsidR="00000000" w:rsidRPr="00000000">
        <w:rPr>
          <w:rFonts w:ascii="Arial" w:cs="Arial" w:eastAsia="Arial" w:hAnsi="Arial"/>
          <w:sz w:val="22"/>
          <w:szCs w:val="22"/>
          <w:vertAlign w:val="superscript"/>
        </w:rPr>
        <w:footnoteReference w:customMarkFollows="0" w:id="116"/>
      </w:r>
      <w:r w:rsidDel="00000000" w:rsidR="00000000" w:rsidRPr="00000000">
        <w:rPr>
          <w:rtl w:val="0"/>
        </w:rPr>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This contrasts with the Hellenistic kingdoms who more often than not were led by their kings in major conflicts, such as Ptolemy IV and Antiochus III in 217 B.C.E. at the battle of Raphia, and Antiochus’s reconquests of the east of his empire between 209-198 B.C.E. before running afoul of the Roman juggernaut in 191 B.C.E. at Thermopylae and 190 B.C.E. at Magnesia. </w:t>
      </w:r>
    </w:p>
    <w:p w:rsidR="00000000" w:rsidDel="00000000" w:rsidP="00000000" w:rsidRDefault="00000000" w:rsidRPr="00000000" w14:paraId="000000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 Hellenistic Military:</w:t>
      </w:r>
    </w:p>
    <w:p w:rsidR="00000000" w:rsidDel="00000000" w:rsidP="00000000" w:rsidRDefault="00000000" w:rsidRPr="00000000" w14:paraId="00000063">
      <w:pPr>
        <w:rPr>
          <w:rFonts w:ascii="Arial" w:cs="Arial" w:eastAsia="Arial" w:hAnsi="Arial"/>
          <w:sz w:val="22"/>
          <w:szCs w:val="22"/>
        </w:rPr>
      </w:pPr>
      <w:r w:rsidDel="00000000" w:rsidR="00000000" w:rsidRPr="00000000">
        <w:rPr>
          <w:rFonts w:ascii="Arial" w:cs="Arial" w:eastAsia="Arial" w:hAnsi="Arial"/>
          <w:sz w:val="22"/>
          <w:szCs w:val="22"/>
          <w:rtl w:val="0"/>
        </w:rPr>
        <w:t xml:space="preserve">The armies of the Hellistic kingdoms served a different function to those placed into the field by the Roman republic. As covered, these kingdoms were ‘spear-won’ and thus the credibility of regimes themselves were to lesser or greater extent dependent upon military capability and success. Those whose right to rule relied more on military capability were the Seleucids and the kings of Macedon. Of the fourteen Seleucid kings who reigned between 312 B.C.E. and 129 B.C.E., only two were fortunate enough to die in their beds, with two infants being murdered and ten kings killed when on campaign. The backbone of the Seleucid (as well as the Ptolemaic) army was the heavy Macedonian phalanx and heavy cavalry, manned mainly by Macedonian and Greek colonists and mercenaries. Using the battle of Raphia in 217 B.C.E. </w:t>
      </w:r>
      <w:r w:rsidDel="00000000" w:rsidR="00000000" w:rsidRPr="00000000">
        <w:rPr>
          <w:rFonts w:ascii="Arial" w:cs="Arial" w:eastAsia="Arial" w:hAnsi="Arial"/>
          <w:sz w:val="22"/>
          <w:szCs w:val="22"/>
          <w:rtl w:val="0"/>
        </w:rPr>
        <w:t xml:space="preserve">as an</w:t>
      </w:r>
      <w:r w:rsidDel="00000000" w:rsidR="00000000" w:rsidRPr="00000000">
        <w:rPr>
          <w:rFonts w:ascii="Arial" w:cs="Arial" w:eastAsia="Arial" w:hAnsi="Arial"/>
          <w:sz w:val="22"/>
          <w:szCs w:val="22"/>
          <w:rtl w:val="0"/>
        </w:rPr>
        <w:t xml:space="preserve"> example, only 12,000 of the army of 68,000 were from the Persian east and thus made up of non-Greeks.</w:t>
      </w:r>
      <w:r w:rsidDel="00000000" w:rsidR="00000000" w:rsidRPr="00000000">
        <w:rPr>
          <w:rFonts w:ascii="Arial" w:cs="Arial" w:eastAsia="Arial" w:hAnsi="Arial"/>
          <w:sz w:val="22"/>
          <w:szCs w:val="22"/>
          <w:vertAlign w:val="superscript"/>
        </w:rPr>
        <w:footnoteReference w:customMarkFollows="0" w:id="117"/>
      </w:r>
      <w:r w:rsidDel="00000000" w:rsidR="00000000" w:rsidRPr="00000000">
        <w:rPr>
          <w:rFonts w:ascii="Arial" w:cs="Arial" w:eastAsia="Arial" w:hAnsi="Arial"/>
          <w:sz w:val="22"/>
          <w:szCs w:val="22"/>
          <w:rtl w:val="0"/>
        </w:rPr>
        <w:t xml:space="preserve"> The reason for this deliberate omission of what has been called some of the best men and horses in Persia and Media</w:t>
      </w:r>
      <w:r w:rsidDel="00000000" w:rsidR="00000000" w:rsidRPr="00000000">
        <w:rPr>
          <w:rFonts w:ascii="Arial" w:cs="Arial" w:eastAsia="Arial" w:hAnsi="Arial"/>
          <w:sz w:val="22"/>
          <w:szCs w:val="22"/>
          <w:vertAlign w:val="superscript"/>
        </w:rPr>
        <w:footnoteReference w:customMarkFollows="0" w:id="118"/>
      </w:r>
      <w:r w:rsidDel="00000000" w:rsidR="00000000" w:rsidRPr="00000000">
        <w:rPr>
          <w:rFonts w:ascii="Arial" w:cs="Arial" w:eastAsia="Arial" w:hAnsi="Arial"/>
          <w:sz w:val="22"/>
          <w:szCs w:val="22"/>
          <w:rtl w:val="0"/>
        </w:rPr>
        <w:t xml:space="preserve"> is an obvious one: that if the Macedonian king had trained up a sufficient number of non-Greek troops for his army, then it would only have been a matter of time before a native general decided to use that trained force to secede or worse, to supplant. This necessary omission from the pool of available manpower hampered the military capability of all the Hellenistic kings. One such king who may have made a major exception by training and arming non-Greeks was Ptolemy IV Philopater. In 217 B.C.E. his armies defeated Antiochus III (The Great) at Raphia in the conclusion of the fourth Syrian War, and it seems that a large number of his troops were trained native Egyptians. By 207-6 B.C.E. revolts had begun both in the delta and also in Upper Egypt to the south, and Polybius makes the not unbelievable claim that the revolting troops were many of those same ones trained and armed a decade previously.</w:t>
      </w:r>
      <w:r w:rsidDel="00000000" w:rsidR="00000000" w:rsidRPr="00000000">
        <w:rPr>
          <w:rFonts w:ascii="Arial" w:cs="Arial" w:eastAsia="Arial" w:hAnsi="Arial"/>
          <w:sz w:val="22"/>
          <w:szCs w:val="22"/>
          <w:vertAlign w:val="superscript"/>
        </w:rPr>
        <w:footnoteReference w:customMarkFollows="0" w:id="119"/>
      </w:r>
      <w:r w:rsidDel="00000000" w:rsidR="00000000" w:rsidRPr="00000000">
        <w:rPr>
          <w:rFonts w:ascii="Arial" w:cs="Arial" w:eastAsia="Arial" w:hAnsi="Arial"/>
          <w:sz w:val="22"/>
          <w:szCs w:val="22"/>
          <w:rtl w:val="0"/>
        </w:rPr>
        <w:t xml:space="preserve">  The reasons behind the revolt are unclear though </w:t>
      </w:r>
      <w:r w:rsidDel="00000000" w:rsidR="00000000" w:rsidRPr="00000000">
        <w:rPr>
          <w:rFonts w:ascii="Arial" w:cs="Arial" w:eastAsia="Arial" w:hAnsi="Arial"/>
          <w:color w:val="202122"/>
          <w:sz w:val="22"/>
          <w:szCs w:val="22"/>
          <w:highlight w:val="white"/>
          <w:rtl w:val="0"/>
        </w:rPr>
        <w:t xml:space="preserve">Hölbl</w:t>
      </w:r>
      <w:r w:rsidDel="00000000" w:rsidR="00000000" w:rsidRPr="00000000">
        <w:rPr>
          <w:rFonts w:ascii="Arial" w:cs="Arial" w:eastAsia="Arial" w:hAnsi="Arial"/>
          <w:sz w:val="22"/>
          <w:szCs w:val="22"/>
          <w:rtl w:val="0"/>
        </w:rPr>
        <w:t xml:space="preserve"> (2001) suggests that as the troops were attacking the temples, this suggests that the lower classes were rebelling against the ruling order who had taxed them so heavily in order to fund amongst other things, the fourth Syrian War from a decade before.</w:t>
      </w:r>
      <w:r w:rsidDel="00000000" w:rsidR="00000000" w:rsidRPr="00000000">
        <w:rPr>
          <w:rFonts w:ascii="Arial" w:cs="Arial" w:eastAsia="Arial" w:hAnsi="Arial"/>
          <w:sz w:val="22"/>
          <w:szCs w:val="22"/>
          <w:vertAlign w:val="superscript"/>
        </w:rPr>
        <w:footnoteReference w:customMarkFollows="0" w:id="120"/>
      </w:r>
      <w:r w:rsidDel="00000000" w:rsidR="00000000" w:rsidRPr="00000000">
        <w:rPr>
          <w:rtl w:val="0"/>
        </w:rPr>
      </w:r>
    </w:p>
    <w:p w:rsidR="00000000" w:rsidDel="00000000" w:rsidP="00000000" w:rsidRDefault="00000000" w:rsidRPr="00000000" w14:paraId="000000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The Macedonian armies of the third and second centuries B.C.E. were the descendants of Alexander’s all-conquering sarissa-inspired phalanx and companion cavalry. From the death of Alexander in 323 B.C.E. to the final destruction of the Macedonian kingdom by Rome in 168 B.C.E., the royal army within the the Greek geographical orbit was almost unbeatable, though it must be noted that such was the streak of independence in the Greek character, that they never fully managed to crush then absorb their bothersome neighbours to the south in the same way that the Roman armies slowly expanded north and south in Italy, then across the seas to Sicily and beyond after the second Punic war. Our main sources on the details and operations of the Macedonian army rely heavily on Livy and Polybius (both incomplete) with other details from Diodorus and Plutarch. We know that by 228 B.C.E. the Macedonian army was still relying on their phalanx and sarsissas as their main engine of success in battle,</w:t>
      </w:r>
      <w:r w:rsidDel="00000000" w:rsidR="00000000" w:rsidRPr="00000000">
        <w:rPr>
          <w:rFonts w:ascii="Arial" w:cs="Arial" w:eastAsia="Arial" w:hAnsi="Arial"/>
          <w:sz w:val="22"/>
          <w:szCs w:val="22"/>
          <w:vertAlign w:val="superscript"/>
        </w:rPr>
        <w:footnoteReference w:customMarkFollows="0" w:id="121"/>
      </w:r>
      <w:r w:rsidDel="00000000" w:rsidR="00000000" w:rsidRPr="00000000">
        <w:rPr>
          <w:rFonts w:ascii="Arial" w:cs="Arial" w:eastAsia="Arial" w:hAnsi="Arial"/>
          <w:sz w:val="22"/>
          <w:szCs w:val="22"/>
          <w:rtl w:val="0"/>
        </w:rPr>
        <w:t xml:space="preserve"> and given their continued position as hegemon of Greece, this form of military organisation seems to have brought them the level of success they required, until Rome started to bring her armies east. The core of the Macedonian armies seems to have been recruited from within the cities of Macedon,</w:t>
      </w:r>
      <w:r w:rsidDel="00000000" w:rsidR="00000000" w:rsidRPr="00000000">
        <w:rPr>
          <w:rFonts w:ascii="Arial" w:cs="Arial" w:eastAsia="Arial" w:hAnsi="Arial"/>
          <w:sz w:val="22"/>
          <w:szCs w:val="22"/>
          <w:vertAlign w:val="superscript"/>
        </w:rPr>
        <w:footnoteReference w:customMarkFollows="0" w:id="122"/>
      </w:r>
      <w:r w:rsidDel="00000000" w:rsidR="00000000" w:rsidRPr="00000000">
        <w:rPr>
          <w:rFonts w:ascii="Arial" w:cs="Arial" w:eastAsia="Arial" w:hAnsi="Arial"/>
          <w:sz w:val="22"/>
          <w:szCs w:val="22"/>
          <w:rtl w:val="0"/>
        </w:rPr>
        <w:t xml:space="preserve"> and whilst this gave access to a much larger pool of potential soldiers than the unfederated poleis of Greece, it was a hugely limiting factor when one considers the pool of men from which Rome and even the Seleukid armies could draw. To illustrate, Sekunda (2010 p.465) claims that the size of the phalanx for the battle of Sellasia was perhaps 10,000 men, and for the battle of Cynoscephalae this increased to 16,000. In the latter battle, the Macedonians lost perhaps half of this phalanx number with another 5,000 captured</w:t>
      </w:r>
      <w:r w:rsidDel="00000000" w:rsidR="00000000" w:rsidRPr="00000000">
        <w:rPr>
          <w:rFonts w:ascii="Arial" w:cs="Arial" w:eastAsia="Arial" w:hAnsi="Arial"/>
          <w:sz w:val="22"/>
          <w:szCs w:val="22"/>
          <w:vertAlign w:val="superscript"/>
        </w:rPr>
        <w:footnoteReference w:customMarkFollows="0" w:id="123"/>
      </w:r>
      <w:r w:rsidDel="00000000" w:rsidR="00000000" w:rsidRPr="00000000">
        <w:rPr>
          <w:rFonts w:ascii="Arial" w:cs="Arial" w:eastAsia="Arial" w:hAnsi="Arial"/>
          <w:sz w:val="22"/>
          <w:szCs w:val="22"/>
          <w:rtl w:val="0"/>
        </w:rPr>
        <w:t xml:space="preserve"> and these are not an inconsiderable proportion of the armies that could be placed in the field by the kingdom at that time. When placed in comparison with the Roman losses to Hannibal (perhaps a total of between 80,000-100,000 men across Cannae, Trasimene and Trebia), it is clear that simply in terms of the number of men available, those kings of Macedon who fell into conflict with Rome, Philip V and Perseus, were at what we could now claim to be an insurmountable disadvantage in terms of manpower when faced with the resources of the Roman military machine. </w:t>
      </w:r>
    </w:p>
    <w:p w:rsidR="00000000" w:rsidDel="00000000" w:rsidP="00000000" w:rsidRDefault="00000000" w:rsidRPr="00000000" w14:paraId="000000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The Seleucid royal army was less homogeneous than the Macedonian one and drew widely from across, in the late third and early second centuries B.C.E., what was still a vast eastward-stretching empire. Mysians, Cyprians, Cilicians, Thracians, Galatians and a ‘Roman’ infantry were all component parts of the armies that went into battle against the Roman republic.</w:t>
      </w:r>
      <w:r w:rsidDel="00000000" w:rsidR="00000000" w:rsidRPr="00000000">
        <w:rPr>
          <w:rFonts w:ascii="Arial" w:cs="Arial" w:eastAsia="Arial" w:hAnsi="Arial"/>
          <w:sz w:val="22"/>
          <w:szCs w:val="22"/>
          <w:vertAlign w:val="superscript"/>
        </w:rPr>
        <w:footnoteReference w:customMarkFollows="0" w:id="124"/>
      </w:r>
      <w:r w:rsidDel="00000000" w:rsidR="00000000" w:rsidRPr="00000000">
        <w:rPr>
          <w:rFonts w:ascii="Arial" w:cs="Arial" w:eastAsia="Arial" w:hAnsi="Arial"/>
          <w:sz w:val="22"/>
          <w:szCs w:val="22"/>
          <w:rtl w:val="0"/>
        </w:rPr>
        <w:t xml:space="preserve"> Where success leads, imitation will follow and from what is extant in the sources, the Seleucids army was the one that tried most earnestly to learn from the army that had defeated them in Thermopylae (191 B.C.E.) and Magnesia (190 B.C.E.), where Antiochus III armed many of his legions ‘in the Roman fashion’.</w:t>
      </w:r>
      <w:r w:rsidDel="00000000" w:rsidR="00000000" w:rsidRPr="00000000">
        <w:rPr>
          <w:rFonts w:ascii="Arial" w:cs="Arial" w:eastAsia="Arial" w:hAnsi="Arial"/>
          <w:sz w:val="22"/>
          <w:szCs w:val="22"/>
          <w:vertAlign w:val="superscript"/>
        </w:rPr>
        <w:footnoteReference w:customMarkFollows="0" w:id="125"/>
      </w:r>
      <w:r w:rsidDel="00000000" w:rsidR="00000000" w:rsidRPr="00000000">
        <w:rPr>
          <w:rFonts w:ascii="Arial" w:cs="Arial" w:eastAsia="Arial" w:hAnsi="Arial"/>
          <w:sz w:val="22"/>
          <w:szCs w:val="22"/>
          <w:rtl w:val="0"/>
        </w:rPr>
        <w:t xml:space="preserve"> Another factor with the Seleucid armies of this time that brought them closer to Rome than Macedonia is the size of the force that could take the field. For example, at the battle of Magnesia, both Livy (37.37-44) and Appian </w:t>
      </w:r>
      <w:r w:rsidDel="00000000" w:rsidR="00000000" w:rsidRPr="00000000">
        <w:rPr>
          <w:rFonts w:ascii="Arial" w:cs="Arial" w:eastAsia="Arial" w:hAnsi="Arial"/>
          <w:i w:val="1"/>
          <w:sz w:val="22"/>
          <w:szCs w:val="22"/>
          <w:rtl w:val="0"/>
        </w:rPr>
        <w:t xml:space="preserve">Syriaca </w:t>
      </w:r>
      <w:r w:rsidDel="00000000" w:rsidR="00000000" w:rsidRPr="00000000">
        <w:rPr>
          <w:rFonts w:ascii="Arial" w:cs="Arial" w:eastAsia="Arial" w:hAnsi="Arial"/>
          <w:sz w:val="22"/>
          <w:szCs w:val="22"/>
          <w:rtl w:val="0"/>
        </w:rPr>
        <w:t xml:space="preserve">(30-6) describe the Seleucid army as having a strength of approximately 72,000 against the Roman strength of 30,000.</w:t>
      </w:r>
      <w:r w:rsidDel="00000000" w:rsidR="00000000" w:rsidRPr="00000000">
        <w:rPr>
          <w:rFonts w:ascii="Arial" w:cs="Arial" w:eastAsia="Arial" w:hAnsi="Arial"/>
          <w:sz w:val="22"/>
          <w:szCs w:val="22"/>
          <w:vertAlign w:val="superscript"/>
        </w:rPr>
        <w:footnoteReference w:customMarkFollows="0" w:id="126"/>
      </w:r>
      <w:r w:rsidDel="00000000" w:rsidR="00000000" w:rsidRPr="00000000">
        <w:rPr>
          <w:rFonts w:ascii="Arial" w:cs="Arial" w:eastAsia="Arial" w:hAnsi="Arial"/>
          <w:sz w:val="22"/>
          <w:szCs w:val="22"/>
          <w:rtl w:val="0"/>
        </w:rPr>
        <w:t xml:space="preserve"> Such numbers, though only as reliable as are all ancient primary and secondary sources, certainly point to an empire that could draw upon manpower to a similar level as Rome. Which leads to the questions: how could such a numerically superior (and otherwise recently successful in the east)  army suffer such a defeat to a considerably smaller force? and what does this further tell us about the reasons why Rome, in its confrontations with the Hellenistic kingdoms, was able to suffer occasional minor reverses but yet always win the war?</w:t>
      </w:r>
    </w:p>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The view of Sirikakis (1974) is that though Eumenes of Pergamon was successful in his cavalry charges, it was the break in formation of the phalanx that contributed heavily to the rout. And this break on formation was attributable to the panic of the war elephants on the Seleucid side, who had been discomfited by the projectiles hurled by the Roman peltasts.</w:t>
      </w:r>
      <w:r w:rsidDel="00000000" w:rsidR="00000000" w:rsidRPr="00000000">
        <w:rPr>
          <w:rFonts w:ascii="Arial" w:cs="Arial" w:eastAsia="Arial" w:hAnsi="Arial"/>
          <w:sz w:val="22"/>
          <w:szCs w:val="22"/>
          <w:vertAlign w:val="superscript"/>
        </w:rPr>
        <w:footnoteReference w:customMarkFollows="0" w:id="127"/>
      </w:r>
      <w:r w:rsidDel="00000000" w:rsidR="00000000" w:rsidRPr="00000000">
        <w:rPr>
          <w:rFonts w:ascii="Arial" w:cs="Arial" w:eastAsia="Arial" w:hAnsi="Arial"/>
          <w:sz w:val="22"/>
          <w:szCs w:val="22"/>
          <w:rtl w:val="0"/>
        </w:rPr>
        <w:t xml:space="preserve"> A short answer to the second question, I posit, is that the Roman army was more disciplined, more organised, had more effective auxiliaries (in the case of Magnesia, Eumenes and his cavalry) and a wider and more competent leadership structure. After all, Rome could lead many armies into battle in different places concurrently, and be confident that their men were well-led thanks to their long-established political structures and the relentless ambition that they engendered. In the case of the kingdoms, the major battles required the king (or where they fought each other, the kings) to be present, leading huge armies gathered for that one engagement. Defeat was always extremely costly and recovery through the replacement of men and training was slow. These were some of the foundational weaknesses of the hellenic armies when compared with Rome.</w:t>
      </w:r>
    </w:p>
    <w:p w:rsidR="00000000" w:rsidDel="00000000" w:rsidP="00000000" w:rsidRDefault="00000000" w:rsidRPr="00000000" w14:paraId="000000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A">
      <w:pPr>
        <w:rPr>
          <w:rFonts w:ascii="Arial" w:cs="Arial" w:eastAsia="Arial" w:hAnsi="Arial"/>
          <w:sz w:val="22"/>
          <w:szCs w:val="22"/>
        </w:rPr>
      </w:pPr>
      <w:r w:rsidDel="00000000" w:rsidR="00000000" w:rsidRPr="00000000">
        <w:rPr>
          <w:rFonts w:ascii="Arial" w:cs="Arial" w:eastAsia="Arial" w:hAnsi="Arial"/>
          <w:sz w:val="22"/>
          <w:szCs w:val="22"/>
          <w:rtl w:val="0"/>
        </w:rPr>
        <w:t xml:space="preserve">The Ptolemaic army was an almost entirely Greek and hellenic one (with the exception noted above regarding the battle of Raphia in 217 B.C.E.), though it was not without its mercenary components. One rare example is of a Roman who was garrison commander of Itanos (Crete) under Ptolemy IV somewhere between 221 and 209 B.C.E.</w:t>
      </w:r>
      <w:r w:rsidDel="00000000" w:rsidR="00000000" w:rsidRPr="00000000">
        <w:rPr>
          <w:rFonts w:ascii="Arial" w:cs="Arial" w:eastAsia="Arial" w:hAnsi="Arial"/>
          <w:sz w:val="22"/>
          <w:szCs w:val="22"/>
          <w:vertAlign w:val="superscript"/>
        </w:rPr>
        <w:footnoteReference w:customMarkFollows="0" w:id="128"/>
      </w:r>
      <w:r w:rsidDel="00000000" w:rsidR="00000000" w:rsidRPr="00000000">
        <w:rPr>
          <w:rFonts w:ascii="Arial" w:cs="Arial" w:eastAsia="Arial" w:hAnsi="Arial"/>
          <w:sz w:val="22"/>
          <w:szCs w:val="22"/>
          <w:rtl w:val="0"/>
        </w:rPr>
        <w:t xml:space="preserve"> As was the case with the Seleucid army, the Ptolemaic one could put a huge army into the field for one-off set battles such as that at Raphia where some 75,000 men and horse fought approximately 68,000 total on the opposing side.</w:t>
      </w:r>
      <w:r w:rsidDel="00000000" w:rsidR="00000000" w:rsidRPr="00000000">
        <w:rPr>
          <w:rFonts w:ascii="Arial" w:cs="Arial" w:eastAsia="Arial" w:hAnsi="Arial"/>
          <w:sz w:val="22"/>
          <w:szCs w:val="22"/>
          <w:vertAlign w:val="superscript"/>
        </w:rPr>
        <w:footnoteReference w:customMarkFollows="0" w:id="129"/>
      </w:r>
      <w:r w:rsidDel="00000000" w:rsidR="00000000" w:rsidRPr="00000000">
        <w:rPr>
          <w:rFonts w:ascii="Arial" w:cs="Arial" w:eastAsia="Arial" w:hAnsi="Arial"/>
          <w:sz w:val="22"/>
          <w:szCs w:val="22"/>
          <w:rtl w:val="0"/>
        </w:rPr>
        <w:t xml:space="preserve"> The organisation of the army differed from the other kingdoms in that it was essentially divided into two parts: the standing army and the cleuruchic army. The former was comprised of the regiments and guards who protected the person of the pharaoh and the wider court; while the latter was made up of the mercenaries who were stationed throughout the empire.</w:t>
      </w:r>
      <w:r w:rsidDel="00000000" w:rsidR="00000000" w:rsidRPr="00000000">
        <w:rPr>
          <w:rFonts w:ascii="Arial" w:cs="Arial" w:eastAsia="Arial" w:hAnsi="Arial"/>
          <w:sz w:val="22"/>
          <w:szCs w:val="22"/>
          <w:vertAlign w:val="superscript"/>
        </w:rPr>
        <w:footnoteReference w:customMarkFollows="0" w:id="130"/>
      </w:r>
      <w:r w:rsidDel="00000000" w:rsidR="00000000" w:rsidRPr="00000000">
        <w:rPr>
          <w:rFonts w:ascii="Arial" w:cs="Arial" w:eastAsia="Arial" w:hAnsi="Arial"/>
          <w:sz w:val="22"/>
          <w:szCs w:val="22"/>
          <w:rtl w:val="0"/>
        </w:rPr>
        <w:t xml:space="preserve"> Throughout the Ptolemaic period this group was allotted land in return for their military service,and were organised, as were most of the Hellenistic armies, much as they had been in the time of Alexander. Evidence of the more detailed organisation of units, cohorts and maniples of the late Ptolemaic army in Hermopolis Magna can be found in Lefebvre (1908 pp. 187-195). The rapid decline in the standing of the Ptolemaic army and regime can be seen in how Rome treated its overtures whilst engaged in the struggle with Antiochus III. Both before and after the Battle of Thermopylae in 191 B.C.E. an embassy was sent to Rome to offer any form of assistance they required.</w:t>
      </w:r>
      <w:r w:rsidDel="00000000" w:rsidR="00000000" w:rsidRPr="00000000">
        <w:rPr>
          <w:rFonts w:ascii="Arial" w:cs="Arial" w:eastAsia="Arial" w:hAnsi="Arial"/>
          <w:sz w:val="22"/>
          <w:szCs w:val="22"/>
          <w:vertAlign w:val="superscript"/>
        </w:rPr>
        <w:footnoteReference w:customMarkFollows="0" w:id="131"/>
      </w:r>
      <w:r w:rsidDel="00000000" w:rsidR="00000000" w:rsidRPr="00000000">
        <w:rPr>
          <w:rFonts w:ascii="Arial" w:cs="Arial" w:eastAsia="Arial" w:hAnsi="Arial"/>
          <w:sz w:val="22"/>
          <w:szCs w:val="22"/>
          <w:rtl w:val="0"/>
        </w:rPr>
        <w:t xml:space="preserve"> Both offers were ignored and the Hellenistic beneficiaries of the Roman victory were Pergamum and Rhodes — both of whom had provided much more energetic and tangible support to the Romans. </w:t>
      </w:r>
    </w:p>
    <w:p w:rsidR="00000000" w:rsidDel="00000000" w:rsidP="00000000" w:rsidRDefault="00000000" w:rsidRPr="00000000" w14:paraId="000000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Economic </w:t>
      </w:r>
    </w:p>
    <w:p w:rsidR="00000000" w:rsidDel="00000000" w:rsidP="00000000" w:rsidRDefault="00000000" w:rsidRPr="00000000" w14:paraId="0000006F">
      <w:pPr>
        <w:spacing w:line="24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70">
      <w:pPr>
        <w:spacing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 examining 1,000 years of states in Europe, Tilley (1990) very succinctly concluded that </w:t>
      </w:r>
      <w:r w:rsidDel="00000000" w:rsidR="00000000" w:rsidRPr="00000000">
        <w:rPr>
          <w:rFonts w:ascii="Arial" w:cs="Arial" w:eastAsia="Arial" w:hAnsi="Arial"/>
          <w:b w:val="1"/>
          <w:sz w:val="22"/>
          <w:szCs w:val="22"/>
          <w:rtl w:val="0"/>
        </w:rPr>
        <w:t xml:space="preserve">“</w:t>
      </w:r>
      <w:r w:rsidDel="00000000" w:rsidR="00000000" w:rsidRPr="00000000">
        <w:rPr>
          <w:rFonts w:ascii="Arial" w:cs="Arial" w:eastAsia="Arial" w:hAnsi="Arial"/>
          <w:sz w:val="22"/>
          <w:szCs w:val="22"/>
          <w:rtl w:val="0"/>
        </w:rPr>
        <w:t xml:space="preserve">One specialty of states is to make war; another is to tax,”</w:t>
      </w:r>
      <w:r w:rsidDel="00000000" w:rsidR="00000000" w:rsidRPr="00000000">
        <w:rPr>
          <w:rFonts w:ascii="Arial" w:cs="Arial" w:eastAsia="Arial" w:hAnsi="Arial"/>
          <w:sz w:val="22"/>
          <w:szCs w:val="22"/>
          <w:vertAlign w:val="superscript"/>
        </w:rPr>
        <w:footnoteReference w:customMarkFollows="0" w:id="132"/>
      </w:r>
      <w:r w:rsidDel="00000000" w:rsidR="00000000" w:rsidRPr="00000000">
        <w:rPr>
          <w:rFonts w:ascii="Arial" w:cs="Arial" w:eastAsia="Arial" w:hAnsi="Arial"/>
          <w:sz w:val="22"/>
          <w:szCs w:val="22"/>
          <w:rtl w:val="0"/>
        </w:rPr>
        <w:t xml:space="preserve"> and with this we have an epigram of how the economies of ancient Rome and the Hellenistic kingdoms to a large extent functioned. Indeed, Garlan (1975) made the prescient point that most conflicts between ancient states were both military and political in character, to the extent that each fed on each other: that (military) power was used to seize wealth, and that wealth was seized in order to enhance power.</w:t>
      </w:r>
      <w:r w:rsidDel="00000000" w:rsidR="00000000" w:rsidRPr="00000000">
        <w:rPr>
          <w:rFonts w:ascii="Arial" w:cs="Arial" w:eastAsia="Arial" w:hAnsi="Arial"/>
          <w:sz w:val="22"/>
          <w:szCs w:val="22"/>
          <w:vertAlign w:val="superscript"/>
        </w:rPr>
        <w:footnoteReference w:customMarkFollows="0" w:id="133"/>
      </w:r>
      <w:r w:rsidDel="00000000" w:rsidR="00000000" w:rsidRPr="00000000">
        <w:rPr>
          <w:rFonts w:ascii="Arial" w:cs="Arial" w:eastAsia="Arial" w:hAnsi="Arial"/>
          <w:sz w:val="22"/>
          <w:szCs w:val="22"/>
          <w:rtl w:val="0"/>
        </w:rPr>
        <w:t xml:space="preserve"> Thus we see through the lens of history (and perhaps indeed with one eye on the foreign policies of more contemporary states), this cycle as a thread that ran throughout the Hellenistic period in the mediterranean and beyond. </w:t>
      </w:r>
    </w:p>
    <w:p w:rsidR="00000000" w:rsidDel="00000000" w:rsidP="00000000" w:rsidRDefault="00000000" w:rsidRPr="00000000" w14:paraId="00000071">
      <w:pPr>
        <w:spacing w:line="240" w:lineRule="auto"/>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72">
      <w:pPr>
        <w:spacing w:line="240" w:lineRule="auto"/>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Rome</w:t>
      </w:r>
    </w:p>
    <w:p w:rsidR="00000000" w:rsidDel="00000000" w:rsidP="00000000" w:rsidRDefault="00000000" w:rsidRPr="00000000" w14:paraId="00000073">
      <w:pPr>
        <w:spacing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4">
      <w:pPr>
        <w:spacing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have been extensive studies made of the ancient Roman economy, given the huge range of factors that one must consider. One of the most well-known of these is the surprisingly compact volume ‘The Ancient Economy’ by M. I. Finley (1973). In this work he makes the following points about the nature of ancient economies: 1) they were underdeveloped and had little by way of investment in productivity or technological development 2) there is minimal evidence for profit-led growth 3) outside of the grain dole, there was little long-distance trade in rare or luxurious items 4) that social factors rather than economically rational ones were key when it came to defining economic relationships and 5) that the relationship between the urban centres and the rural hinterlands was essentially one of exploitation where the city-dwellers enjoyed the fruits of the farmers’ labours. This simplified summary of Finley’s conclusions must, however, be digested carefully, for when one seeks to explore the ‘economy’ of any ancient state, we must be careful to take into account many things, the first of which is the timeframe. From the founding of the republic in 509-8 B.C.E. to the defeat of Cleopatra in 31 B.C.E., Rome grew from a small settlement on the Tiber into the master of a continent with a population in the tens of millions. So how is one to approach such a study in a succinct manner? I propose to look at how the economy evolved over the centuries and in what ways, so that by the first century B.C.E. the end result was an entity whose wealth, organisation and manpower placed made it the superpower of its day.</w:t>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6">
      <w:pPr>
        <w:rPr>
          <w:rFonts w:ascii="Arial" w:cs="Arial" w:eastAsia="Arial" w:hAnsi="Arial"/>
          <w:sz w:val="22"/>
          <w:szCs w:val="22"/>
        </w:rPr>
      </w:pPr>
      <w:r w:rsidDel="00000000" w:rsidR="00000000" w:rsidRPr="00000000">
        <w:rPr>
          <w:rFonts w:ascii="Arial" w:cs="Arial" w:eastAsia="Arial" w:hAnsi="Arial"/>
          <w:sz w:val="22"/>
          <w:szCs w:val="22"/>
          <w:rtl w:val="0"/>
        </w:rPr>
        <w:t xml:space="preserve">As with all ancient societies, the economy of the Roman republic was founded foremost in agriculture.</w:t>
      </w:r>
      <w:r w:rsidDel="00000000" w:rsidR="00000000" w:rsidRPr="00000000">
        <w:rPr>
          <w:rFonts w:ascii="Arial" w:cs="Arial" w:eastAsia="Arial" w:hAnsi="Arial"/>
          <w:sz w:val="22"/>
          <w:szCs w:val="22"/>
          <w:vertAlign w:val="superscript"/>
        </w:rPr>
        <w:footnoteReference w:customMarkFollows="0" w:id="134"/>
      </w:r>
      <w:r w:rsidDel="00000000" w:rsidR="00000000" w:rsidRPr="00000000">
        <w:rPr>
          <w:rFonts w:ascii="Arial" w:cs="Arial" w:eastAsia="Arial" w:hAnsi="Arial"/>
          <w:sz w:val="22"/>
          <w:szCs w:val="22"/>
          <w:rtl w:val="0"/>
        </w:rPr>
        <w:t xml:space="preserve"> The citizen farmers formed the bedrock of the state and when not marching to war, were tilling their fields to provide their families and wider society with the sustenance they needed. A scholarly consensus has long been of the opinion that before the second Punic war, the complementary rhythms of warfare and agriculture allowed farmers to meet the demands of both. The change came when Rome’s armies started to campaign in Spain and the Greek East, and this change led to a slowly moving conflict that helped bring about the agrarian crisis that Tiberius Gracchus and others sought to solve.</w:t>
      </w:r>
      <w:r w:rsidDel="00000000" w:rsidR="00000000" w:rsidRPr="00000000">
        <w:rPr>
          <w:rFonts w:ascii="Arial" w:cs="Arial" w:eastAsia="Arial" w:hAnsi="Arial"/>
          <w:sz w:val="22"/>
          <w:szCs w:val="22"/>
          <w:vertAlign w:val="superscript"/>
        </w:rPr>
        <w:footnoteReference w:customMarkFollows="0" w:id="135"/>
      </w:r>
      <w:r w:rsidDel="00000000" w:rsidR="00000000" w:rsidRPr="00000000">
        <w:rPr>
          <w:rFonts w:ascii="Arial" w:cs="Arial" w:eastAsia="Arial" w:hAnsi="Arial"/>
          <w:sz w:val="22"/>
          <w:szCs w:val="22"/>
          <w:rtl w:val="0"/>
        </w:rPr>
        <w:t xml:space="preserve"> However, with all of the campaigns and conflicts that the republic engaged in across the fifth, fourth and third centuries, it cannot be said with any sense of credibility that each of these ended when the weather changed and the crops needed to be harvested. So it seems that there were measures in place and certain expectations that a level of flexibility was required in order to meet both the obligations of war and agriculture. Though as a ball rolling down a hill picks up speed, and the Roman state expanded both geographically and in terms of the power and influence it wielded, thus grew both the length of time that the farmers were spending away from their fields, as well as the volume of produce and opportunities for trade that became open to it. With expanding opportunities for trade, came concurrent opportunities for conquest; across Italy north and south, then Sicily, north Africa and finally the Greek lands and Kingdoms to the east. This expansion resulted in uneven economic growth, enrichment of the upper classes, and urbanisation linked to colonisation. An increasingly broad range of products were trafficked east and west, north and south; covering raw materials, agricultural produce, finished goods, gold and silver coinage, of all types, and in huge numbers - slaves. It has been called “the most advanced level of globalization the world was to know before the twentieth century”.</w:t>
      </w:r>
      <w:r w:rsidDel="00000000" w:rsidR="00000000" w:rsidRPr="00000000">
        <w:rPr>
          <w:rFonts w:ascii="Arial" w:cs="Arial" w:eastAsia="Arial" w:hAnsi="Arial"/>
          <w:sz w:val="22"/>
          <w:szCs w:val="22"/>
          <w:vertAlign w:val="superscript"/>
        </w:rPr>
        <w:footnoteReference w:customMarkFollows="0" w:id="136"/>
      </w:r>
      <w:r w:rsidDel="00000000" w:rsidR="00000000" w:rsidRPr="00000000">
        <w:rPr>
          <w:rFonts w:ascii="Arial" w:cs="Arial" w:eastAsia="Arial" w:hAnsi="Arial"/>
          <w:sz w:val="22"/>
          <w:szCs w:val="22"/>
          <w:rtl w:val="0"/>
        </w:rPr>
        <w:t xml:space="preserve"> One of the key strands of this globalisation was indeed slavery, with Rome having built and sustained the largest slave society in history,</w:t>
      </w:r>
      <w:r w:rsidDel="00000000" w:rsidR="00000000" w:rsidRPr="00000000">
        <w:rPr>
          <w:rFonts w:ascii="Arial" w:cs="Arial" w:eastAsia="Arial" w:hAnsi="Arial"/>
          <w:sz w:val="22"/>
          <w:szCs w:val="22"/>
          <w:vertAlign w:val="superscript"/>
        </w:rPr>
        <w:footnoteReference w:customMarkFollows="0" w:id="137"/>
      </w:r>
      <w:r w:rsidDel="00000000" w:rsidR="00000000" w:rsidRPr="00000000">
        <w:rPr>
          <w:rFonts w:ascii="Arial" w:cs="Arial" w:eastAsia="Arial" w:hAnsi="Arial"/>
          <w:sz w:val="22"/>
          <w:szCs w:val="22"/>
          <w:rtl w:val="0"/>
        </w:rPr>
        <w:t xml:space="preserve"> one only partially mitigated by the fact that in both the republic and empire, manumission seems to have been a much more easily achievable outcome than in the Greek poleis and kingdoms. As with other advantages of size and scope, as Rome conquered more territory it gained an increasing number of educated and able slaves. The net effects on the Roman economy were more to the positive until the late second century B.C.E. when Tiberius Gracchus became the most notable of the republic’s famed figures to see and then verbalise the negative effect that this was having on the citizen farmers upon whom the strength of the republic had been built. It is not the place of this thesis to dive deeper into part this development may have played in the republic’s eventual downfall, but I make the case that up to a point, this inexpensive and seemingly inexhaustible flow of productive manpower, was a net positive with regards to strengthening the Roman economy. As terrible as it seems to modern sensibilities, more men meant that more fields could be harvested, more products manufactured and more olives picked. </w:t>
      </w:r>
    </w:p>
    <w:p w:rsidR="00000000" w:rsidDel="00000000" w:rsidP="00000000" w:rsidRDefault="00000000" w:rsidRPr="00000000" w14:paraId="0000007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8">
      <w:pPr>
        <w:spacing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agriculture of the republic was extensive and carried out across an ever-increasing range of territories, with the fertile soil of Sicily being the first territory outside of peninsular Italy to become a province in the wake of the first Punic War in 241 B.C.E., thence one of the bread baskets of the empire that the Roman government relied on to feed the hundreds of thousands of hungry mouths in the city of Rome. To add a level of perspective, the broad quality of the nutrition across the empire (and also to a degree in the Greek east) led to the average height of 168cm, equal to that of Italian males just after World War II. In the Hellenistic east the average height may have been as tall as 172cm, a level not reached again in modern Greece until the 1970s.</w:t>
      </w:r>
      <w:r w:rsidDel="00000000" w:rsidR="00000000" w:rsidRPr="00000000">
        <w:rPr>
          <w:rFonts w:ascii="Arial" w:cs="Arial" w:eastAsia="Arial" w:hAnsi="Arial"/>
          <w:sz w:val="22"/>
          <w:szCs w:val="22"/>
          <w:vertAlign w:val="superscript"/>
        </w:rPr>
        <w:footnoteReference w:customMarkFollows="0" w:id="138"/>
      </w:r>
      <w:r w:rsidDel="00000000" w:rsidR="00000000" w:rsidRPr="00000000">
        <w:rPr>
          <w:rFonts w:ascii="Arial" w:cs="Arial" w:eastAsia="Arial" w:hAnsi="Arial"/>
          <w:sz w:val="22"/>
          <w:szCs w:val="22"/>
          <w:rtl w:val="0"/>
        </w:rPr>
        <w:t xml:space="preserve"> Many well-versed authorities have long-surmised that Roman agricultural methods and productivity have been both productive and sophisticated</w:t>
      </w:r>
      <w:r w:rsidDel="00000000" w:rsidR="00000000" w:rsidRPr="00000000">
        <w:rPr>
          <w:rFonts w:ascii="Arial" w:cs="Arial" w:eastAsia="Arial" w:hAnsi="Arial"/>
          <w:sz w:val="22"/>
          <w:szCs w:val="22"/>
          <w:vertAlign w:val="superscript"/>
        </w:rPr>
        <w:footnoteReference w:customMarkFollows="0" w:id="139"/>
      </w:r>
      <w:r w:rsidDel="00000000" w:rsidR="00000000" w:rsidRPr="00000000">
        <w:rPr>
          <w:rFonts w:ascii="Arial" w:cs="Arial" w:eastAsia="Arial" w:hAnsi="Arial"/>
          <w:sz w:val="22"/>
          <w:szCs w:val="22"/>
          <w:rtl w:val="0"/>
        </w:rPr>
        <w:t xml:space="preserve"> with many innovations that paved the way for modern agricultural production, such as seed selection, effective tillage, hoeing to destroy weeds, crop rotations, improved manure management, housing of livestock, and convertible husbandry.</w:t>
      </w:r>
      <w:r w:rsidDel="00000000" w:rsidR="00000000" w:rsidRPr="00000000">
        <w:rPr>
          <w:rFonts w:ascii="Arial" w:cs="Arial" w:eastAsia="Arial" w:hAnsi="Arial"/>
          <w:sz w:val="22"/>
          <w:szCs w:val="22"/>
          <w:vertAlign w:val="superscript"/>
        </w:rPr>
        <w:footnoteReference w:customMarkFollows="0" w:id="140"/>
      </w:r>
      <w:r w:rsidDel="00000000" w:rsidR="00000000" w:rsidRPr="00000000">
        <w:rPr>
          <w:rFonts w:ascii="Arial" w:cs="Arial" w:eastAsia="Arial" w:hAnsi="Arial"/>
          <w:sz w:val="22"/>
          <w:szCs w:val="22"/>
          <w:rtl w:val="0"/>
        </w:rPr>
        <w:t xml:space="preserve"> These advancements attributable to this one state over the centuries points to a society of such innovation and experimentation, that its continued growth and prosperity seem irresistible. It seems axiomatic that no state, regardless of prosperity or culture at a single point of time, can remain on an upward curve forever, though the duration of the Roman empire does offer evidence that states such as this tend to last a lot longer than others that lack the vitality to continually improve different aspects of their economies, governments and societies. </w:t>
      </w:r>
    </w:p>
    <w:p w:rsidR="00000000" w:rsidDel="00000000" w:rsidP="00000000" w:rsidRDefault="00000000" w:rsidRPr="00000000" w14:paraId="00000079">
      <w:pPr>
        <w:spacing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spacing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That said, Roman trade was not without its challenges, and Tenney (2004) highlights the ways in which to trade and industry of Rome were indeed not as impressive as it might seem.</w:t>
      </w:r>
      <w:r w:rsidDel="00000000" w:rsidR="00000000" w:rsidRPr="00000000">
        <w:rPr>
          <w:rFonts w:ascii="Arial" w:cs="Arial" w:eastAsia="Arial" w:hAnsi="Arial"/>
          <w:sz w:val="22"/>
          <w:szCs w:val="22"/>
          <w:vertAlign w:val="superscript"/>
        </w:rPr>
        <w:footnoteReference w:customMarkFollows="0" w:id="141"/>
      </w:r>
      <w:r w:rsidDel="00000000" w:rsidR="00000000" w:rsidRPr="00000000">
        <w:rPr>
          <w:rFonts w:ascii="Arial" w:cs="Arial" w:eastAsia="Arial" w:hAnsi="Arial"/>
          <w:sz w:val="22"/>
          <w:szCs w:val="22"/>
          <w:rtl w:val="0"/>
        </w:rPr>
        <w:t xml:space="preserve"> He cites the treaty with Carthage in 348 B.C.E. gave a Punic trader free access to the markets of Latium whilst the Roman trader was excluded from ¾ of the Carthaginian domains.</w:t>
      </w:r>
      <w:r w:rsidDel="00000000" w:rsidR="00000000" w:rsidRPr="00000000">
        <w:rPr>
          <w:rFonts w:ascii="Arial" w:cs="Arial" w:eastAsia="Arial" w:hAnsi="Arial"/>
          <w:sz w:val="22"/>
          <w:szCs w:val="22"/>
          <w:vertAlign w:val="superscript"/>
        </w:rPr>
        <w:footnoteReference w:customMarkFollows="0" w:id="142"/>
      </w:r>
      <w:r w:rsidDel="00000000" w:rsidR="00000000" w:rsidRPr="00000000">
        <w:rPr>
          <w:rFonts w:ascii="Arial" w:cs="Arial" w:eastAsia="Arial" w:hAnsi="Arial"/>
          <w:sz w:val="22"/>
          <w:szCs w:val="22"/>
          <w:rtl w:val="0"/>
        </w:rPr>
        <w:t xml:space="preserve"> He cites no trade of importance during the second century B.C.E., the time when Rome cemented its hold over the Hellenistic east, so we are left with two questions out of this: firstly whether this is the correct prognosis based on the historical evidence and secondly, if it is indeed true, what other elements of the Roman state placed it, regardless of wealth through trade and commerce, in the position to rise to dominance? This is a view echoed by Duncan-Jones (1990) when he offered scepticism around a large-scale trading economy.</w:t>
      </w:r>
      <w:r w:rsidDel="00000000" w:rsidR="00000000" w:rsidRPr="00000000">
        <w:rPr>
          <w:rFonts w:ascii="Arial" w:cs="Arial" w:eastAsia="Arial" w:hAnsi="Arial"/>
          <w:sz w:val="22"/>
          <w:szCs w:val="22"/>
          <w:vertAlign w:val="superscript"/>
        </w:rPr>
        <w:footnoteReference w:customMarkFollows="0" w:id="143"/>
      </w:r>
      <w:r w:rsidDel="00000000" w:rsidR="00000000" w:rsidRPr="00000000">
        <w:rPr>
          <w:rFonts w:ascii="Arial" w:cs="Arial" w:eastAsia="Arial" w:hAnsi="Arial"/>
          <w:sz w:val="22"/>
          <w:szCs w:val="22"/>
          <w:rtl w:val="0"/>
        </w:rPr>
        <w:t xml:space="preserve"> There are indeed studies that focus on the growth of Roman trade as the empire expanded, and so whilst certain areas of the economy may have felt stagnation at various points in time, with new conquests and a new hegemony, came new markets, new gold and silver mines, and new people to sell to and trade with. By 66 B.C.E. Cicero was claiming that even before the annexation of Syria, that Asia easily exceeded all other regions in her exports</w:t>
      </w:r>
      <w:r w:rsidDel="00000000" w:rsidR="00000000" w:rsidRPr="00000000">
        <w:rPr>
          <w:rFonts w:ascii="Arial" w:cs="Arial" w:eastAsia="Arial" w:hAnsi="Arial"/>
          <w:sz w:val="22"/>
          <w:szCs w:val="22"/>
          <w:vertAlign w:val="superscript"/>
        </w:rPr>
        <w:footnoteReference w:customMarkFollows="0" w:id="144"/>
      </w:r>
      <w:r w:rsidDel="00000000" w:rsidR="00000000" w:rsidRPr="00000000">
        <w:rPr>
          <w:rFonts w:ascii="Arial" w:cs="Arial" w:eastAsia="Arial" w:hAnsi="Arial"/>
          <w:sz w:val="22"/>
          <w:szCs w:val="22"/>
          <w:rtl w:val="0"/>
        </w:rPr>
        <w:t xml:space="preserve"> and we know that Roman industrial output in the late republic and early empire was at a scale not seen again until the industrial revolution.</w:t>
      </w:r>
      <w:r w:rsidDel="00000000" w:rsidR="00000000" w:rsidRPr="00000000">
        <w:rPr>
          <w:rFonts w:ascii="Arial" w:cs="Arial" w:eastAsia="Arial" w:hAnsi="Arial"/>
          <w:sz w:val="22"/>
          <w:szCs w:val="22"/>
          <w:vertAlign w:val="superscript"/>
        </w:rPr>
        <w:footnoteReference w:customMarkFollows="0" w:id="145"/>
      </w:r>
      <w:r w:rsidDel="00000000" w:rsidR="00000000" w:rsidRPr="00000000">
        <w:rPr>
          <w:rFonts w:ascii="Arial" w:cs="Arial" w:eastAsia="Arial" w:hAnsi="Arial"/>
          <w:sz w:val="22"/>
          <w:szCs w:val="22"/>
          <w:rtl w:val="0"/>
        </w:rPr>
        <w:t xml:space="preserve"> In my estimation Levick (2004) comes somewhere closer to the truth of things when she emphasises the intimate relationship between the Roman economy and its ever-growing armies, for the government and the army created what she calls “a network that had an economic dimension and economic consequences.”</w:t>
      </w:r>
      <w:r w:rsidDel="00000000" w:rsidR="00000000" w:rsidRPr="00000000">
        <w:rPr>
          <w:rFonts w:ascii="Arial" w:cs="Arial" w:eastAsia="Arial" w:hAnsi="Arial"/>
          <w:sz w:val="22"/>
          <w:szCs w:val="22"/>
          <w:vertAlign w:val="superscript"/>
        </w:rPr>
        <w:footnoteReference w:customMarkFollows="0" w:id="146"/>
      </w:r>
      <w:r w:rsidDel="00000000" w:rsidR="00000000" w:rsidRPr="00000000">
        <w:rPr>
          <w:rtl w:val="0"/>
        </w:rPr>
      </w:r>
    </w:p>
    <w:p w:rsidR="00000000" w:rsidDel="00000000" w:rsidP="00000000" w:rsidRDefault="00000000" w:rsidRPr="00000000" w14:paraId="0000007B">
      <w:pPr>
        <w:spacing w:line="240" w:lineRule="auto"/>
        <w:rPr>
          <w:rFonts w:ascii="Arial" w:cs="Arial" w:eastAsia="Arial" w:hAnsi="Arial"/>
          <w:sz w:val="9"/>
          <w:szCs w:val="9"/>
        </w:rPr>
      </w:pPr>
      <w:r w:rsidDel="00000000" w:rsidR="00000000" w:rsidRPr="00000000">
        <w:rPr>
          <w:rtl w:val="0"/>
        </w:rPr>
      </w:r>
    </w:p>
    <w:p w:rsidR="00000000" w:rsidDel="00000000" w:rsidP="00000000" w:rsidRDefault="00000000" w:rsidRPr="00000000" w14:paraId="0000007C">
      <w:pPr>
        <w:spacing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rPr>
          <w:rFonts w:ascii="Arial" w:cs="Arial" w:eastAsia="Arial" w:hAnsi="Arial"/>
          <w:b w:val="1"/>
          <w:color w:val="202122"/>
          <w:sz w:val="22"/>
          <w:szCs w:val="22"/>
          <w:highlight w:val="white"/>
        </w:rPr>
      </w:pPr>
      <w:r w:rsidDel="00000000" w:rsidR="00000000" w:rsidRPr="00000000">
        <w:rPr>
          <w:rFonts w:ascii="Arial" w:cs="Arial" w:eastAsia="Arial" w:hAnsi="Arial"/>
          <w:b w:val="1"/>
          <w:color w:val="202122"/>
          <w:sz w:val="22"/>
          <w:szCs w:val="22"/>
          <w:highlight w:val="white"/>
          <w:rtl w:val="0"/>
        </w:rPr>
        <w:t xml:space="preserve">Hellenistic Kingdoms:</w:t>
      </w:r>
    </w:p>
    <w:p w:rsidR="00000000" w:rsidDel="00000000" w:rsidP="00000000" w:rsidRDefault="00000000" w:rsidRPr="00000000" w14:paraId="0000007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decades of almost universal conflict that ran in concurrently with the emergence of the new political units in the decades after Alexander’s death meant that a sound economic footing for any of the kingdoms was going to be a difficult, nay impossible thing to achieve. As ‘spear-won’ (δορυάλωτος) kingdoms, their very existence depended on success in the field for survival, with the booty yielded by victory needed to pay the troops and also reward friends to strengthen their loyalty;</w:t>
      </w:r>
      <w:r w:rsidDel="00000000" w:rsidR="00000000" w:rsidRPr="00000000">
        <w:rPr>
          <w:rFonts w:ascii="Arial" w:cs="Arial" w:eastAsia="Arial" w:hAnsi="Arial"/>
          <w:sz w:val="22"/>
          <w:szCs w:val="22"/>
          <w:vertAlign w:val="superscript"/>
        </w:rPr>
        <w:footnoteReference w:customMarkFollows="0" w:id="147"/>
      </w:r>
      <w:r w:rsidDel="00000000" w:rsidR="00000000" w:rsidRPr="00000000">
        <w:rPr>
          <w:rFonts w:ascii="Arial" w:cs="Arial" w:eastAsia="Arial" w:hAnsi="Arial"/>
          <w:sz w:val="22"/>
          <w:szCs w:val="22"/>
          <w:rtl w:val="0"/>
        </w:rPr>
        <w:t xml:space="preserve"> and due to this, all available resources of the state needed to be focused on achieving survival as the end result. The cost of this survival, as explored by Rostovtzeff (1957) was “sound economic development”, which was first stunted, then gradually atrophied any meaningful progress that might have otherwise been made. The new states needed to concentrate all of their efforts and huge sums of money into almost constant military preparedness,</w:t>
      </w:r>
      <w:r w:rsidDel="00000000" w:rsidR="00000000" w:rsidRPr="00000000">
        <w:rPr>
          <w:rFonts w:ascii="Arial" w:cs="Arial" w:eastAsia="Arial" w:hAnsi="Arial"/>
          <w:sz w:val="22"/>
          <w:szCs w:val="22"/>
          <w:vertAlign w:val="superscript"/>
        </w:rPr>
        <w:footnoteReference w:customMarkFollows="0" w:id="148"/>
      </w:r>
      <w:r w:rsidDel="00000000" w:rsidR="00000000" w:rsidRPr="00000000">
        <w:rPr>
          <w:rFonts w:ascii="Arial" w:cs="Arial" w:eastAsia="Arial" w:hAnsi="Arial"/>
          <w:sz w:val="22"/>
          <w:szCs w:val="22"/>
          <w:rtl w:val="0"/>
        </w:rPr>
        <w:t xml:space="preserve"> leaving to secondary importance the fact that on a depressingly constant basis cities were pillaged, their residents sold into slavery, and crop-growing fields were devastated, leaving Ogden (2002) to quite bluntly (and relatively accurately) call them “predatory, exploitative, monopolist, racist, and colonialist.”</w:t>
      </w:r>
      <w:r w:rsidDel="00000000" w:rsidR="00000000" w:rsidRPr="00000000">
        <w:rPr>
          <w:rFonts w:ascii="Arial" w:cs="Arial" w:eastAsia="Arial" w:hAnsi="Arial"/>
          <w:sz w:val="22"/>
          <w:szCs w:val="22"/>
          <w:vertAlign w:val="superscript"/>
        </w:rPr>
        <w:footnoteReference w:customMarkFollows="0" w:id="149"/>
      </w:r>
      <w:r w:rsidDel="00000000" w:rsidR="00000000" w:rsidRPr="00000000">
        <w:rPr>
          <w:rtl w:val="0"/>
        </w:rPr>
      </w:r>
    </w:p>
    <w:p w:rsidR="00000000" w:rsidDel="00000000" w:rsidP="00000000" w:rsidRDefault="00000000" w:rsidRPr="00000000" w14:paraId="0000007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devastation of the crop-growing fields was particularly damaging as the economy of the Hellenistic world remained essentially what it had been before the arrival of Alexander and his successors, that is, a mainly agrarian one where wealth was centred in landed property to the extent that even with the expansion of sea trade, almost all poleis were able to live on the resources harvested from their own territories.</w:t>
      </w:r>
      <w:r w:rsidDel="00000000" w:rsidR="00000000" w:rsidRPr="00000000">
        <w:rPr>
          <w:rFonts w:ascii="Arial" w:cs="Arial" w:eastAsia="Arial" w:hAnsi="Arial"/>
          <w:sz w:val="22"/>
          <w:szCs w:val="22"/>
          <w:vertAlign w:val="superscript"/>
        </w:rPr>
        <w:footnoteReference w:customMarkFollows="0" w:id="150"/>
      </w:r>
      <w:r w:rsidDel="00000000" w:rsidR="00000000" w:rsidRPr="00000000">
        <w:rPr>
          <w:rFonts w:ascii="Arial" w:cs="Arial" w:eastAsia="Arial" w:hAnsi="Arial"/>
          <w:sz w:val="22"/>
          <w:szCs w:val="22"/>
          <w:rtl w:val="0"/>
        </w:rPr>
        <w:t xml:space="preserve"> It was not until almost half a century after Alexander’s death that the second (and in some cases third) generation of the successors were able to feel secure enough in their positions, and once those kingdoms started to become slightly more stabilised after the wars had started to simmer rather than blaze, from the late third century BCE onwards, then the new kings needed to give more thought to their revenue streams. One avenue that they did not pursue was that with which we are all-too familiar today: direct income taxes; however there were myriad other ways in which the royal and local civic treasuries could be augmented. The main revenues of cities were customs duties for imports and exports; via the leasing of public land or other communal resources; permits for activities such as fishing, fines payable to the city’s treasury, and occasionally war booty. Regular expenses for the upkeep of civic buildings, religious activities, for festivals and athletic contests, were often imposed on the wealthier citizens in the form of ‘liturgies’ where the financial responsibility for a particular public work or activity was assigned to a wealthy citizen.</w:t>
      </w:r>
      <w:r w:rsidDel="00000000" w:rsidR="00000000" w:rsidRPr="00000000">
        <w:rPr>
          <w:rFonts w:ascii="Arial" w:cs="Arial" w:eastAsia="Arial" w:hAnsi="Arial"/>
          <w:sz w:val="22"/>
          <w:szCs w:val="22"/>
          <w:vertAlign w:val="superscript"/>
        </w:rPr>
        <w:footnoteReference w:customMarkFollows="0" w:id="151"/>
      </w:r>
      <w:r w:rsidDel="00000000" w:rsidR="00000000" w:rsidRPr="00000000">
        <w:rPr>
          <w:rtl w:val="0"/>
        </w:rPr>
      </w:r>
    </w:p>
    <w:p w:rsidR="00000000" w:rsidDel="00000000" w:rsidP="00000000" w:rsidRDefault="00000000" w:rsidRPr="00000000" w14:paraId="00000080">
      <w:pPr>
        <w:rPr>
          <w:rFonts w:ascii="Arial" w:cs="Arial" w:eastAsia="Arial" w:hAnsi="Arial"/>
          <w:color w:val="202122"/>
          <w:sz w:val="22"/>
          <w:szCs w:val="22"/>
          <w:highlight w:val="white"/>
        </w:rPr>
      </w:pPr>
      <w:r w:rsidDel="00000000" w:rsidR="00000000" w:rsidRPr="00000000">
        <w:rPr>
          <w:rFonts w:ascii="Arial" w:cs="Arial" w:eastAsia="Arial" w:hAnsi="Arial"/>
          <w:color w:val="202122"/>
          <w:sz w:val="22"/>
          <w:szCs w:val="22"/>
          <w:highlight w:val="white"/>
          <w:rtl w:val="0"/>
        </w:rPr>
        <w:t xml:space="preserve">Predictably, the economies of the Hellenistic Kingdoms were extremely varied but with some commonalities. The most controlled of these was that of Ptolemaic Egypt, built upon local customs and strengths by Ptolemy Soter and then his son and heir Ptolemy II Philadelphus, across combined reigns of more than three quarters of a century. Their challenges in moulding the new kingdom into a more controlled edifice were many, for a workable formula had to be found with regards to the mix of Greeks and indigenous Egyptians and their roles across the new political and economic system. Ellis (1994) summarised the situation thus: “As the Greeks were addicted to change and novelty, the Egyptians thought only in terms of continuity” where the lower classes looked to the priesthood and bureaucracy for guidance; and these groups in turn looked for guidance to their god on earth — the pharaoh.</w:t>
      </w:r>
      <w:r w:rsidDel="00000000" w:rsidR="00000000" w:rsidRPr="00000000">
        <w:rPr>
          <w:rFonts w:ascii="Arial" w:cs="Arial" w:eastAsia="Arial" w:hAnsi="Arial"/>
          <w:color w:val="202122"/>
          <w:sz w:val="22"/>
          <w:szCs w:val="22"/>
          <w:highlight w:val="white"/>
          <w:vertAlign w:val="superscript"/>
        </w:rPr>
        <w:footnoteReference w:customMarkFollows="0" w:id="152"/>
      </w:r>
      <w:r w:rsidDel="00000000" w:rsidR="00000000" w:rsidRPr="00000000">
        <w:rPr>
          <w:rFonts w:ascii="Arial" w:cs="Arial" w:eastAsia="Arial" w:hAnsi="Arial"/>
          <w:color w:val="202122"/>
          <w:sz w:val="22"/>
          <w:szCs w:val="22"/>
          <w:highlight w:val="white"/>
          <w:rtl w:val="0"/>
        </w:rPr>
        <w:t xml:space="preserve"> Ptolemy claimed this particular crown in 306 B.C.E. and he and his successor gradually reformed the administrative and fiscal system that they inherited by the spear. They took important steps to develop agriculture and production with a view to increasing tax revenues, introduced the use of Greek in the administration, and created a network of banks in the interior of the country.</w:t>
      </w:r>
      <w:r w:rsidDel="00000000" w:rsidR="00000000" w:rsidRPr="00000000">
        <w:rPr>
          <w:rFonts w:ascii="Arial" w:cs="Arial" w:eastAsia="Arial" w:hAnsi="Arial"/>
          <w:color w:val="202122"/>
          <w:sz w:val="22"/>
          <w:szCs w:val="22"/>
          <w:highlight w:val="white"/>
          <w:vertAlign w:val="superscript"/>
        </w:rPr>
        <w:footnoteReference w:customMarkFollows="0" w:id="153"/>
      </w:r>
      <w:r w:rsidDel="00000000" w:rsidR="00000000" w:rsidRPr="00000000">
        <w:rPr>
          <w:rtl w:val="0"/>
        </w:rPr>
      </w:r>
    </w:p>
    <w:p w:rsidR="00000000" w:rsidDel="00000000" w:rsidP="00000000" w:rsidRDefault="00000000" w:rsidRPr="00000000" w14:paraId="00000081">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82">
      <w:pPr>
        <w:rPr>
          <w:rFonts w:ascii="Arial" w:cs="Arial" w:eastAsia="Arial" w:hAnsi="Arial"/>
          <w:color w:val="202122"/>
          <w:sz w:val="22"/>
          <w:szCs w:val="22"/>
          <w:highlight w:val="white"/>
        </w:rPr>
      </w:pPr>
      <w:r w:rsidDel="00000000" w:rsidR="00000000" w:rsidRPr="00000000">
        <w:rPr>
          <w:rFonts w:ascii="Arial" w:cs="Arial" w:eastAsia="Arial" w:hAnsi="Arial"/>
          <w:color w:val="202122"/>
          <w:sz w:val="22"/>
          <w:szCs w:val="22"/>
          <w:highlight w:val="white"/>
          <w:rtl w:val="0"/>
        </w:rPr>
        <w:t xml:space="preserve">Though on the surface there seems to be an abundance of evidence (at least, in comparison to other parts of the ancient world), there are many uncertainties about the Egyptian economy in the Hellenistic age and it is not possible to offer definitive answers to questions about economic growth and welfare in Egypt.</w:t>
      </w:r>
      <w:r w:rsidDel="00000000" w:rsidR="00000000" w:rsidRPr="00000000">
        <w:rPr>
          <w:rFonts w:ascii="Arial" w:cs="Arial" w:eastAsia="Arial" w:hAnsi="Arial"/>
          <w:color w:val="202122"/>
          <w:sz w:val="22"/>
          <w:szCs w:val="22"/>
          <w:highlight w:val="white"/>
          <w:vertAlign w:val="superscript"/>
        </w:rPr>
        <w:footnoteReference w:customMarkFollows="0" w:id="154"/>
      </w:r>
      <w:r w:rsidDel="00000000" w:rsidR="00000000" w:rsidRPr="00000000">
        <w:rPr>
          <w:rFonts w:ascii="Arial" w:cs="Arial" w:eastAsia="Arial" w:hAnsi="Arial"/>
          <w:color w:val="202122"/>
          <w:sz w:val="22"/>
          <w:szCs w:val="22"/>
          <w:highlight w:val="white"/>
          <w:rtl w:val="0"/>
        </w:rPr>
        <w:t xml:space="preserve"> What we can be confident of is that agriculture was the basis of that economy and this was the main source of income for the elite of the pre-Alexandrian kingdom, then with later importance regarding the finances of both the Ptolemaic state and the later Roman empire.</w:t>
      </w:r>
      <w:r w:rsidDel="00000000" w:rsidR="00000000" w:rsidRPr="00000000">
        <w:rPr>
          <w:rFonts w:ascii="Arial" w:cs="Arial" w:eastAsia="Arial" w:hAnsi="Arial"/>
          <w:color w:val="202122"/>
          <w:sz w:val="22"/>
          <w:szCs w:val="22"/>
          <w:highlight w:val="white"/>
          <w:vertAlign w:val="superscript"/>
        </w:rPr>
        <w:footnoteReference w:customMarkFollows="0" w:id="155"/>
      </w:r>
      <w:r w:rsidDel="00000000" w:rsidR="00000000" w:rsidRPr="00000000">
        <w:rPr>
          <w:rFonts w:ascii="Arial" w:cs="Arial" w:eastAsia="Arial" w:hAnsi="Arial"/>
          <w:color w:val="202122"/>
          <w:sz w:val="22"/>
          <w:szCs w:val="22"/>
          <w:highlight w:val="white"/>
          <w:rtl w:val="0"/>
        </w:rPr>
        <w:t xml:space="preserve"> These abundant agricultural resources along the fertile Nile Delta depended on managing water supplies from scarce and irregular rainfall, in order to cultivate basic staples of grain, olive oil and wine.</w:t>
      </w:r>
      <w:r w:rsidDel="00000000" w:rsidR="00000000" w:rsidRPr="00000000">
        <w:rPr>
          <w:rFonts w:ascii="Arial" w:cs="Arial" w:eastAsia="Arial" w:hAnsi="Arial"/>
          <w:color w:val="202122"/>
          <w:sz w:val="22"/>
          <w:szCs w:val="22"/>
          <w:highlight w:val="white"/>
          <w:vertAlign w:val="superscript"/>
        </w:rPr>
        <w:footnoteReference w:customMarkFollows="0" w:id="156"/>
      </w:r>
      <w:r w:rsidDel="00000000" w:rsidR="00000000" w:rsidRPr="00000000">
        <w:rPr>
          <w:rFonts w:ascii="Arial" w:cs="Arial" w:eastAsia="Arial" w:hAnsi="Arial"/>
          <w:color w:val="202122"/>
          <w:sz w:val="22"/>
          <w:szCs w:val="22"/>
          <w:highlight w:val="white"/>
          <w:rtl w:val="0"/>
        </w:rPr>
        <w:t xml:space="preserve"> The management of the annual flooding of the Nile was crucial to survival and required almost a communistic level of top-down organisation as the river started its rise in the summer months and then subsided in the late autumn.</w:t>
      </w:r>
      <w:r w:rsidDel="00000000" w:rsidR="00000000" w:rsidRPr="00000000">
        <w:rPr>
          <w:rFonts w:ascii="Arial" w:cs="Arial" w:eastAsia="Arial" w:hAnsi="Arial"/>
          <w:color w:val="202122"/>
          <w:sz w:val="22"/>
          <w:szCs w:val="22"/>
          <w:highlight w:val="white"/>
          <w:vertAlign w:val="superscript"/>
        </w:rPr>
        <w:footnoteReference w:customMarkFollows="0" w:id="157"/>
      </w:r>
      <w:r w:rsidDel="00000000" w:rsidR="00000000" w:rsidRPr="00000000">
        <w:rPr>
          <w:rFonts w:ascii="Arial" w:cs="Arial" w:eastAsia="Arial" w:hAnsi="Arial"/>
          <w:color w:val="202122"/>
          <w:sz w:val="22"/>
          <w:szCs w:val="22"/>
          <w:highlight w:val="white"/>
          <w:rtl w:val="0"/>
        </w:rPr>
        <w:t xml:space="preserve"> This organisation had existed in pre-Ptolemaic times and there is evidence that they managed to extend and improve this approach.</w:t>
      </w:r>
      <w:r w:rsidDel="00000000" w:rsidR="00000000" w:rsidRPr="00000000">
        <w:rPr>
          <w:rFonts w:ascii="Arial" w:cs="Arial" w:eastAsia="Arial" w:hAnsi="Arial"/>
          <w:color w:val="202122"/>
          <w:sz w:val="22"/>
          <w:szCs w:val="22"/>
          <w:highlight w:val="white"/>
          <w:vertAlign w:val="superscript"/>
        </w:rPr>
        <w:footnoteReference w:customMarkFollows="0" w:id="158"/>
      </w:r>
      <w:r w:rsidDel="00000000" w:rsidR="00000000" w:rsidRPr="00000000">
        <w:rPr>
          <w:rFonts w:ascii="Arial" w:cs="Arial" w:eastAsia="Arial" w:hAnsi="Arial"/>
          <w:color w:val="202122"/>
          <w:sz w:val="22"/>
          <w:szCs w:val="22"/>
          <w:highlight w:val="white"/>
          <w:rtl w:val="0"/>
        </w:rPr>
        <w:t xml:space="preserve"> Egypt’s challenges differed from those in many other parts of the Meditteranean world at the time in that the factor to be wary of was not drought, but that the flooding would not reach the land that it was intended to cultivate. So productive and lucrative was the soil that flanked the Nile, and so successful was the Ptolemaic administration at putting in place a system for its irrigation, harvest and tax collection; that it has been estimated that 40% of the harvest went to the pharaoh and ruling class.</w:t>
      </w:r>
      <w:r w:rsidDel="00000000" w:rsidR="00000000" w:rsidRPr="00000000">
        <w:rPr>
          <w:rFonts w:ascii="Arial" w:cs="Arial" w:eastAsia="Arial" w:hAnsi="Arial"/>
          <w:color w:val="202122"/>
          <w:sz w:val="22"/>
          <w:szCs w:val="22"/>
          <w:highlight w:val="white"/>
          <w:vertAlign w:val="superscript"/>
        </w:rPr>
        <w:footnoteReference w:customMarkFollows="0" w:id="159"/>
      </w:r>
      <w:r w:rsidDel="00000000" w:rsidR="00000000" w:rsidRPr="00000000">
        <w:rPr>
          <w:rFonts w:ascii="Arial" w:cs="Arial" w:eastAsia="Arial" w:hAnsi="Arial"/>
          <w:color w:val="202122"/>
          <w:sz w:val="22"/>
          <w:szCs w:val="22"/>
          <w:highlight w:val="white"/>
          <w:rtl w:val="0"/>
        </w:rPr>
        <w:t xml:space="preserve"> Land grants were at the behest of the king and were divided broadly into three areas.  ‘Sacred land’ was under the stewardship of the temples and provided one method of controlling / placating the indigenous Egyptians who were outside the Greek elite. The second was ‘cleuruchic land’ which was passed in lieu of salary to the mercenary Greek soldiers who manned many of the senior roles in the Ptolemaic army and who guarded the frontiers and caravan routes.</w:t>
      </w:r>
      <w:r w:rsidDel="00000000" w:rsidR="00000000" w:rsidRPr="00000000">
        <w:rPr>
          <w:rFonts w:ascii="Arial" w:cs="Arial" w:eastAsia="Arial" w:hAnsi="Arial"/>
          <w:color w:val="202122"/>
          <w:sz w:val="22"/>
          <w:szCs w:val="22"/>
          <w:highlight w:val="white"/>
          <w:vertAlign w:val="superscript"/>
        </w:rPr>
        <w:footnoteReference w:customMarkFollows="0" w:id="160"/>
      </w:r>
      <w:r w:rsidDel="00000000" w:rsidR="00000000" w:rsidRPr="00000000">
        <w:rPr>
          <w:rFonts w:ascii="Arial" w:cs="Arial" w:eastAsia="Arial" w:hAnsi="Arial"/>
          <w:color w:val="202122"/>
          <w:sz w:val="22"/>
          <w:szCs w:val="22"/>
          <w:highlight w:val="white"/>
          <w:rtl w:val="0"/>
        </w:rPr>
        <w:t xml:space="preserve"> The third type was  ‘doreai,’ which was land passed to the civil employees of the administration as ‘gift-estates’ (particularly by Ptolemy II Philadelphus). In addition to these three, there were tracts of private land scattered across Egypt, and the revenues of the state depended heavily on the productivity of these landholders and the taxes they paid in coin or in kind.   </w:t>
      </w:r>
    </w:p>
    <w:p w:rsidR="00000000" w:rsidDel="00000000" w:rsidP="00000000" w:rsidRDefault="00000000" w:rsidRPr="00000000" w14:paraId="00000083">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84">
      <w:pPr>
        <w:rPr>
          <w:rFonts w:ascii="Arial" w:cs="Arial" w:eastAsia="Arial" w:hAnsi="Arial"/>
          <w:color w:val="202122"/>
          <w:sz w:val="22"/>
          <w:szCs w:val="22"/>
          <w:highlight w:val="white"/>
        </w:rPr>
      </w:pPr>
      <w:r w:rsidDel="00000000" w:rsidR="00000000" w:rsidRPr="00000000">
        <w:rPr>
          <w:rFonts w:ascii="Arial" w:cs="Arial" w:eastAsia="Arial" w:hAnsi="Arial"/>
          <w:color w:val="202122"/>
          <w:sz w:val="22"/>
          <w:szCs w:val="22"/>
          <w:highlight w:val="white"/>
          <w:rtl w:val="0"/>
        </w:rPr>
        <w:t xml:space="preserve">The capital Alexandria differed markedly when compared with the capitals of the other Hellenistic kingdoms, not because it was a relatively ‘young’ city founded by Alexander, but in that it had two very distinctive features with one stemming from the other. The first point is that its population had a very clear split across three groups, and an unimpressed Polybius, who visited the city shortly after the falls of Carthage and Corinth, was the first to highlight this: civilised Egyptians, mercenary soldiers and native Alexandrians (‘a mongrel race’) who by that time in the mid-second century B.C.E. were the Greek-cultured descendants of the original Greek residents of Alexander and Ptolemy Soter’s city.</w:t>
      </w:r>
      <w:r w:rsidDel="00000000" w:rsidR="00000000" w:rsidRPr="00000000">
        <w:rPr>
          <w:rFonts w:ascii="Arial" w:cs="Arial" w:eastAsia="Arial" w:hAnsi="Arial"/>
          <w:color w:val="202122"/>
          <w:sz w:val="22"/>
          <w:szCs w:val="22"/>
          <w:highlight w:val="white"/>
          <w:vertAlign w:val="superscript"/>
        </w:rPr>
        <w:footnoteReference w:customMarkFollows="0" w:id="161"/>
      </w:r>
      <w:r w:rsidDel="00000000" w:rsidR="00000000" w:rsidRPr="00000000">
        <w:rPr>
          <w:rFonts w:ascii="Arial" w:cs="Arial" w:eastAsia="Arial" w:hAnsi="Arial"/>
          <w:color w:val="202122"/>
          <w:sz w:val="22"/>
          <w:szCs w:val="22"/>
          <w:highlight w:val="white"/>
          <w:rtl w:val="0"/>
        </w:rPr>
        <w:t xml:space="preserve"> The second distinction is that though it was the capital city, it was not quite considered to be part of Egypt proper, given its foundation by Alexander, its large Greek population and largely Greek culture. This strong power base in a protected part of Egypt, allowed the Ptolemies to effectively nationalise the land over which they ruled, enforced by landed Greek migrants who owed their loyalty to the Ptolemaic paymasters. It is easy to see how this was a necessary  step to ensure continuance of the regime, as Egypt’s mines and quarries at the time still active if unproductive,</w:t>
      </w:r>
      <w:r w:rsidDel="00000000" w:rsidR="00000000" w:rsidRPr="00000000">
        <w:rPr>
          <w:rFonts w:ascii="Arial" w:cs="Arial" w:eastAsia="Arial" w:hAnsi="Arial"/>
          <w:color w:val="202122"/>
          <w:sz w:val="22"/>
          <w:szCs w:val="22"/>
          <w:highlight w:val="white"/>
          <w:vertAlign w:val="superscript"/>
        </w:rPr>
        <w:footnoteReference w:customMarkFollows="0" w:id="162"/>
      </w:r>
      <w:r w:rsidDel="00000000" w:rsidR="00000000" w:rsidRPr="00000000">
        <w:rPr>
          <w:rFonts w:ascii="Arial" w:cs="Arial" w:eastAsia="Arial" w:hAnsi="Arial"/>
          <w:color w:val="202122"/>
          <w:sz w:val="22"/>
          <w:szCs w:val="22"/>
          <w:highlight w:val="white"/>
          <w:rtl w:val="0"/>
        </w:rPr>
        <w:t xml:space="preserve"> so the regime needed to base its wealth on something other  than the silver or gold that the Seleucids or even Romans had access to,</w:t>
      </w:r>
      <w:r w:rsidDel="00000000" w:rsidR="00000000" w:rsidRPr="00000000">
        <w:rPr>
          <w:rFonts w:ascii="Arial" w:cs="Arial" w:eastAsia="Arial" w:hAnsi="Arial"/>
          <w:color w:val="202122"/>
          <w:sz w:val="22"/>
          <w:szCs w:val="22"/>
          <w:highlight w:val="white"/>
          <w:vertAlign w:val="superscript"/>
        </w:rPr>
        <w:footnoteReference w:customMarkFollows="0" w:id="163"/>
      </w:r>
      <w:r w:rsidDel="00000000" w:rsidR="00000000" w:rsidRPr="00000000">
        <w:rPr>
          <w:rFonts w:ascii="Arial" w:cs="Arial" w:eastAsia="Arial" w:hAnsi="Arial"/>
          <w:color w:val="202122"/>
          <w:sz w:val="22"/>
          <w:szCs w:val="22"/>
          <w:highlight w:val="white"/>
          <w:rtl w:val="0"/>
        </w:rPr>
        <w:t xml:space="preserve"> and so the effective nationalisation of the country’s land was essential. This needed to be managed extremely carefully, given that the ruling class was indeed a foregin dynasty and not ones that sought levels of local integration that had been aspired to by Alexander during his conquest of Persia.</w:t>
      </w:r>
      <w:r w:rsidDel="00000000" w:rsidR="00000000" w:rsidRPr="00000000">
        <w:rPr>
          <w:rFonts w:ascii="Arial" w:cs="Arial" w:eastAsia="Arial" w:hAnsi="Arial"/>
          <w:color w:val="202122"/>
          <w:sz w:val="22"/>
          <w:szCs w:val="22"/>
          <w:highlight w:val="white"/>
          <w:vertAlign w:val="superscript"/>
        </w:rPr>
        <w:footnoteReference w:customMarkFollows="0" w:id="164"/>
      </w:r>
      <w:r w:rsidDel="00000000" w:rsidR="00000000" w:rsidRPr="00000000">
        <w:rPr>
          <w:rFonts w:ascii="Arial" w:cs="Arial" w:eastAsia="Arial" w:hAnsi="Arial"/>
          <w:color w:val="202122"/>
          <w:sz w:val="22"/>
          <w:szCs w:val="22"/>
          <w:highlight w:val="white"/>
          <w:rtl w:val="0"/>
        </w:rPr>
        <w:t xml:space="preserve">  </w:t>
      </w:r>
    </w:p>
    <w:p w:rsidR="00000000" w:rsidDel="00000000" w:rsidP="00000000" w:rsidRDefault="00000000" w:rsidRPr="00000000" w14:paraId="00000085">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86">
      <w:pPr>
        <w:rPr>
          <w:rFonts w:ascii="Arial" w:cs="Arial" w:eastAsia="Arial" w:hAnsi="Arial"/>
          <w:color w:val="202122"/>
          <w:sz w:val="22"/>
          <w:szCs w:val="22"/>
          <w:highlight w:val="white"/>
        </w:rPr>
      </w:pPr>
      <w:r w:rsidDel="00000000" w:rsidR="00000000" w:rsidRPr="00000000">
        <w:rPr>
          <w:rFonts w:ascii="Arial" w:cs="Arial" w:eastAsia="Arial" w:hAnsi="Arial"/>
          <w:color w:val="202122"/>
          <w:sz w:val="22"/>
          <w:szCs w:val="22"/>
          <w:highlight w:val="white"/>
          <w:rtl w:val="0"/>
        </w:rPr>
        <w:t xml:space="preserve">The Seleucid empire (at least for its first 150 years of existence) was vast and by 200 B.C.E. with the eastern lands for the most part pacified by Antiochus III, he was in a stronger position to attempt to actually rule the approximately 18 million subjects of the empire, whether through legitimate taxation and trade, or by merely plundering thier communities in order to sustain the regime in times of crisis.</w:t>
      </w:r>
      <w:r w:rsidDel="00000000" w:rsidR="00000000" w:rsidRPr="00000000">
        <w:rPr>
          <w:rFonts w:ascii="Arial" w:cs="Arial" w:eastAsia="Arial" w:hAnsi="Arial"/>
          <w:color w:val="202122"/>
          <w:sz w:val="22"/>
          <w:szCs w:val="22"/>
          <w:highlight w:val="white"/>
          <w:vertAlign w:val="superscript"/>
        </w:rPr>
        <w:footnoteReference w:customMarkFollows="0" w:id="165"/>
      </w:r>
      <w:r w:rsidDel="00000000" w:rsidR="00000000" w:rsidRPr="00000000">
        <w:rPr>
          <w:rFonts w:ascii="Arial" w:cs="Arial" w:eastAsia="Arial" w:hAnsi="Arial"/>
          <w:color w:val="202122"/>
          <w:sz w:val="22"/>
          <w:szCs w:val="22"/>
          <w:highlight w:val="white"/>
          <w:rtl w:val="0"/>
        </w:rPr>
        <w:t xml:space="preserve"> The monetary system across the empire (and the wider Hennelistic world) seems to have been standardised and identical to the Attic standard, with the essential unit being being a silver piece of four drachms and 17g weight, where the Ptolemaic kingdom used a silver four drachm piece of approximately 14.4g.</w:t>
      </w:r>
      <w:r w:rsidDel="00000000" w:rsidR="00000000" w:rsidRPr="00000000">
        <w:rPr>
          <w:rFonts w:ascii="Arial" w:cs="Arial" w:eastAsia="Arial" w:hAnsi="Arial"/>
          <w:color w:val="202122"/>
          <w:sz w:val="22"/>
          <w:szCs w:val="22"/>
          <w:highlight w:val="white"/>
          <w:vertAlign w:val="superscript"/>
        </w:rPr>
        <w:footnoteReference w:customMarkFollows="0" w:id="166"/>
      </w:r>
      <w:r w:rsidDel="00000000" w:rsidR="00000000" w:rsidRPr="00000000">
        <w:rPr>
          <w:rFonts w:ascii="Arial" w:cs="Arial" w:eastAsia="Arial" w:hAnsi="Arial"/>
          <w:color w:val="202122"/>
          <w:sz w:val="22"/>
          <w:szCs w:val="22"/>
          <w:highlight w:val="white"/>
          <w:rtl w:val="0"/>
        </w:rPr>
        <w:t xml:space="preserve"> The Seleucids encouraged the growth of agriculture and commerce as this provided a rich revenue stream for them, and a form of stability was found by giving hereditary possession of empty land to the farmer who planted trees on it.</w:t>
      </w:r>
      <w:r w:rsidDel="00000000" w:rsidR="00000000" w:rsidRPr="00000000">
        <w:rPr>
          <w:rFonts w:ascii="Arial" w:cs="Arial" w:eastAsia="Arial" w:hAnsi="Arial"/>
          <w:color w:val="202122"/>
          <w:sz w:val="22"/>
          <w:szCs w:val="22"/>
          <w:highlight w:val="white"/>
          <w:vertAlign w:val="superscript"/>
        </w:rPr>
        <w:footnoteReference w:customMarkFollows="0" w:id="167"/>
      </w:r>
      <w:r w:rsidDel="00000000" w:rsidR="00000000" w:rsidRPr="00000000">
        <w:rPr>
          <w:rFonts w:ascii="Arial" w:cs="Arial" w:eastAsia="Arial" w:hAnsi="Arial"/>
          <w:color w:val="202122"/>
          <w:sz w:val="22"/>
          <w:szCs w:val="22"/>
          <w:highlight w:val="white"/>
          <w:rtl w:val="0"/>
        </w:rPr>
        <w:t xml:space="preserve"> As is to be expected within such a vast space, the population density of the Seleucid empire varied hugely, with figures of around 100-200 people per hectare estimated for the rural areas, whilst the urban areas being much higher</w:t>
      </w:r>
      <w:r w:rsidDel="00000000" w:rsidR="00000000" w:rsidRPr="00000000">
        <w:rPr>
          <w:rFonts w:ascii="Arial" w:cs="Arial" w:eastAsia="Arial" w:hAnsi="Arial"/>
          <w:color w:val="202122"/>
          <w:sz w:val="22"/>
          <w:szCs w:val="22"/>
          <w:highlight w:val="white"/>
          <w:vertAlign w:val="superscript"/>
        </w:rPr>
        <w:footnoteReference w:customMarkFollows="0" w:id="168"/>
      </w:r>
      <w:r w:rsidDel="00000000" w:rsidR="00000000" w:rsidRPr="00000000">
        <w:rPr>
          <w:rFonts w:ascii="Arial" w:cs="Arial" w:eastAsia="Arial" w:hAnsi="Arial"/>
          <w:color w:val="202122"/>
          <w:sz w:val="22"/>
          <w:szCs w:val="22"/>
          <w:highlight w:val="white"/>
          <w:rtl w:val="0"/>
        </w:rPr>
        <w:t xml:space="preserve"> with estimates the total population of the empire in 280 B.C.E. to be approximately 25 million.</w:t>
      </w:r>
      <w:r w:rsidDel="00000000" w:rsidR="00000000" w:rsidRPr="00000000">
        <w:rPr>
          <w:rFonts w:ascii="Arial" w:cs="Arial" w:eastAsia="Arial" w:hAnsi="Arial"/>
          <w:color w:val="202122"/>
          <w:sz w:val="22"/>
          <w:szCs w:val="22"/>
          <w:highlight w:val="white"/>
          <w:vertAlign w:val="superscript"/>
        </w:rPr>
        <w:footnoteReference w:customMarkFollows="0" w:id="169"/>
      </w:r>
      <w:r w:rsidDel="00000000" w:rsidR="00000000" w:rsidRPr="00000000">
        <w:rPr>
          <w:rFonts w:ascii="Arial" w:cs="Arial" w:eastAsia="Arial" w:hAnsi="Arial"/>
          <w:color w:val="202122"/>
          <w:sz w:val="22"/>
          <w:szCs w:val="22"/>
          <w:highlight w:val="white"/>
          <w:rtl w:val="0"/>
        </w:rPr>
        <w:t xml:space="preserve"> This huge population may have enabled 6,000 talents of royal revenue annually with significantly higher than 10% of annual harvest being paid as tax,</w:t>
      </w:r>
      <w:r w:rsidDel="00000000" w:rsidR="00000000" w:rsidRPr="00000000">
        <w:rPr>
          <w:rFonts w:ascii="Arial" w:cs="Arial" w:eastAsia="Arial" w:hAnsi="Arial"/>
          <w:color w:val="202122"/>
          <w:sz w:val="22"/>
          <w:szCs w:val="22"/>
          <w:highlight w:val="white"/>
          <w:vertAlign w:val="superscript"/>
        </w:rPr>
        <w:footnoteReference w:customMarkFollows="0" w:id="170"/>
      </w:r>
      <w:r w:rsidDel="00000000" w:rsidR="00000000" w:rsidRPr="00000000">
        <w:rPr>
          <w:rFonts w:ascii="Arial" w:cs="Arial" w:eastAsia="Arial" w:hAnsi="Arial"/>
          <w:color w:val="202122"/>
          <w:sz w:val="22"/>
          <w:szCs w:val="22"/>
          <w:highlight w:val="white"/>
          <w:rtl w:val="0"/>
        </w:rPr>
        <w:t xml:space="preserve"> and so the methods of taxation must have been efficient with the end result that the Seleucid kings could draw upon no shortage of wealth in order to maintain their regimes and seek new wars that would justify their power.</w:t>
      </w:r>
      <w:r w:rsidDel="00000000" w:rsidR="00000000" w:rsidRPr="00000000">
        <w:rPr>
          <w:rFonts w:ascii="Arial" w:cs="Arial" w:eastAsia="Arial" w:hAnsi="Arial"/>
          <w:color w:val="202122"/>
          <w:sz w:val="22"/>
          <w:szCs w:val="22"/>
          <w:highlight w:val="white"/>
          <w:vertAlign w:val="superscript"/>
        </w:rPr>
        <w:footnoteReference w:customMarkFollows="0" w:id="171"/>
      </w:r>
      <w:r w:rsidDel="00000000" w:rsidR="00000000" w:rsidRPr="00000000">
        <w:rPr>
          <w:rFonts w:ascii="Arial" w:cs="Arial" w:eastAsia="Arial" w:hAnsi="Arial"/>
          <w:color w:val="202122"/>
          <w:sz w:val="22"/>
          <w:szCs w:val="22"/>
          <w:highlight w:val="white"/>
          <w:rtl w:val="0"/>
        </w:rPr>
        <w:t xml:space="preserve"> Though the Seleucid economy was not as controlled from the top-down as the Ptolemaic one, it was still organised so that the flow of wealth was from the bottom to the top. The king had certain ‘royal domains’ that directly extracted wealth from the tenants and even within cities themselves, the king had certain properties for which his subjects would pay rent.</w:t>
      </w:r>
      <w:r w:rsidDel="00000000" w:rsidR="00000000" w:rsidRPr="00000000">
        <w:rPr>
          <w:rFonts w:ascii="Arial" w:cs="Arial" w:eastAsia="Arial" w:hAnsi="Arial"/>
          <w:color w:val="202122"/>
          <w:sz w:val="22"/>
          <w:szCs w:val="22"/>
          <w:highlight w:val="white"/>
          <w:vertAlign w:val="superscript"/>
        </w:rPr>
        <w:footnoteReference w:customMarkFollows="0" w:id="172"/>
      </w:r>
      <w:r w:rsidDel="00000000" w:rsidR="00000000" w:rsidRPr="00000000">
        <w:rPr>
          <w:rFonts w:ascii="Arial" w:cs="Arial" w:eastAsia="Arial" w:hAnsi="Arial"/>
          <w:color w:val="202122"/>
          <w:sz w:val="22"/>
          <w:szCs w:val="22"/>
          <w:highlight w:val="white"/>
          <w:rtl w:val="0"/>
        </w:rPr>
        <w:t xml:space="preserve">  Cities across the empire would pay their formal taxes by way of tribute and this was a collective tax based on all of the local income for the year, then there were the informal means of raising tax revenue via levies on grain, fruit trees, flocks of sheep, beehives and game.</w:t>
      </w:r>
      <w:r w:rsidDel="00000000" w:rsidR="00000000" w:rsidRPr="00000000">
        <w:rPr>
          <w:rFonts w:ascii="Arial" w:cs="Arial" w:eastAsia="Arial" w:hAnsi="Arial"/>
          <w:color w:val="202122"/>
          <w:sz w:val="22"/>
          <w:szCs w:val="22"/>
          <w:highlight w:val="white"/>
          <w:vertAlign w:val="superscript"/>
        </w:rPr>
        <w:footnoteReference w:customMarkFollows="0" w:id="173"/>
      </w:r>
      <w:r w:rsidDel="00000000" w:rsidR="00000000" w:rsidRPr="00000000">
        <w:rPr>
          <w:rFonts w:ascii="Arial" w:cs="Arial" w:eastAsia="Arial" w:hAnsi="Arial"/>
          <w:color w:val="202122"/>
          <w:sz w:val="22"/>
          <w:szCs w:val="22"/>
          <w:highlight w:val="white"/>
          <w:rtl w:val="0"/>
        </w:rPr>
        <w:t xml:space="preserve"> The economy remained strong even after the loss of Asia Minor to Rome and her allies in the late second century B.C.E. after the defeat suffered at Cynoscephalae. The weakened state of the Ptolemaic empire at this time meant that the Seleucids held the valuable province of Syria and the increased caravan trade largely compensated for the loss, and such was the revenue it helped to generate that it covered no small part of the indemnity to Rome and allowed Antiochus IV to crush the revolt in Judea and temporarily occupy Egypt.</w:t>
      </w:r>
      <w:r w:rsidDel="00000000" w:rsidR="00000000" w:rsidRPr="00000000">
        <w:rPr>
          <w:rFonts w:ascii="Arial" w:cs="Arial" w:eastAsia="Arial" w:hAnsi="Arial"/>
          <w:color w:val="202122"/>
          <w:sz w:val="22"/>
          <w:szCs w:val="22"/>
          <w:highlight w:val="white"/>
          <w:vertAlign w:val="superscript"/>
        </w:rPr>
        <w:footnoteReference w:customMarkFollows="0" w:id="174"/>
      </w:r>
      <w:r w:rsidDel="00000000" w:rsidR="00000000" w:rsidRPr="00000000">
        <w:rPr>
          <w:rFonts w:ascii="Arial" w:cs="Arial" w:eastAsia="Arial" w:hAnsi="Arial"/>
          <w:color w:val="202122"/>
          <w:sz w:val="22"/>
          <w:szCs w:val="22"/>
          <w:highlight w:val="white"/>
          <w:rtl w:val="0"/>
        </w:rPr>
        <w:t xml:space="preserve"> </w:t>
      </w:r>
    </w:p>
    <w:p w:rsidR="00000000" w:rsidDel="00000000" w:rsidP="00000000" w:rsidRDefault="00000000" w:rsidRPr="00000000" w14:paraId="00000087">
      <w:pPr>
        <w:rPr>
          <w:rFonts w:ascii="Arial" w:cs="Arial" w:eastAsia="Arial" w:hAnsi="Arial"/>
          <w:color w:val="202122"/>
          <w:sz w:val="22"/>
          <w:szCs w:val="22"/>
          <w:highlight w:val="white"/>
        </w:rPr>
      </w:pPr>
      <w:r w:rsidDel="00000000" w:rsidR="00000000" w:rsidRPr="00000000">
        <w:rPr>
          <w:rFonts w:ascii="Arial" w:cs="Arial" w:eastAsia="Arial" w:hAnsi="Arial"/>
          <w:color w:val="202122"/>
          <w:sz w:val="22"/>
          <w:szCs w:val="22"/>
          <w:highlight w:val="white"/>
          <w:rtl w:val="0"/>
        </w:rPr>
        <w:t xml:space="preserve">Though the Seleucid state inherited much of the organisation of the earlier Persian empire, key changes were made so as to have more direct control and shorter lines of both reporting and revenue collection upwards to the royal regime, one example of which was that previously (relatively) autonomous satraps were replaced with military governors.</w:t>
      </w:r>
      <w:r w:rsidDel="00000000" w:rsidR="00000000" w:rsidRPr="00000000">
        <w:rPr>
          <w:rFonts w:ascii="Arial" w:cs="Arial" w:eastAsia="Arial" w:hAnsi="Arial"/>
          <w:color w:val="202122"/>
          <w:sz w:val="22"/>
          <w:szCs w:val="22"/>
          <w:highlight w:val="white"/>
          <w:vertAlign w:val="superscript"/>
        </w:rPr>
        <w:footnoteReference w:customMarkFollows="0" w:id="175"/>
      </w:r>
      <w:r w:rsidDel="00000000" w:rsidR="00000000" w:rsidRPr="00000000">
        <w:rPr>
          <w:rFonts w:ascii="Arial" w:cs="Arial" w:eastAsia="Arial" w:hAnsi="Arial"/>
          <w:color w:val="202122"/>
          <w:sz w:val="22"/>
          <w:szCs w:val="22"/>
          <w:highlight w:val="white"/>
          <w:rtl w:val="0"/>
        </w:rPr>
        <w:t xml:space="preserve"> </w:t>
      </w:r>
    </w:p>
    <w:p w:rsidR="00000000" w:rsidDel="00000000" w:rsidP="00000000" w:rsidRDefault="00000000" w:rsidRPr="00000000" w14:paraId="00000088">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89">
      <w:pPr>
        <w:rPr>
          <w:rFonts w:ascii="Arial" w:cs="Arial" w:eastAsia="Arial" w:hAnsi="Arial"/>
          <w:color w:val="202122"/>
          <w:sz w:val="22"/>
          <w:szCs w:val="22"/>
          <w:highlight w:val="white"/>
        </w:rPr>
      </w:pPr>
      <w:r w:rsidDel="00000000" w:rsidR="00000000" w:rsidRPr="00000000">
        <w:rPr>
          <w:rFonts w:ascii="Arial" w:cs="Arial" w:eastAsia="Arial" w:hAnsi="Arial"/>
          <w:color w:val="202122"/>
          <w:sz w:val="22"/>
          <w:szCs w:val="22"/>
          <w:highlight w:val="white"/>
          <w:rtl w:val="0"/>
        </w:rPr>
        <w:t xml:space="preserve">Of the three major Hellenistic kingdoms, we know the least about the economy of Macedonia. Unlike the early Seleucid and Ptolemaic realms, the first 60 or so years after the death of Alexander were a time of instability with kings and dynasties being usurped and replaced frequently. The location and size of the kingdom meant that it could not draw upon the resources that the rival kingdoms could, whilst having to constantly garrison and be wary of threats from the independence-loving Greek states to the south. Though Macedonia’s population was much larger than any Greek poleis (perhaps 500,000 vs Athens’ 250,000), the pool of men for military and economically productive work was dwarfed by the resources of the other successor states.</w:t>
      </w:r>
      <w:r w:rsidDel="00000000" w:rsidR="00000000" w:rsidRPr="00000000">
        <w:rPr>
          <w:rFonts w:ascii="Arial" w:cs="Arial" w:eastAsia="Arial" w:hAnsi="Arial"/>
          <w:color w:val="202122"/>
          <w:sz w:val="22"/>
          <w:szCs w:val="22"/>
          <w:highlight w:val="white"/>
          <w:vertAlign w:val="superscript"/>
        </w:rPr>
        <w:footnoteReference w:customMarkFollows="0" w:id="176"/>
      </w:r>
      <w:r w:rsidDel="00000000" w:rsidR="00000000" w:rsidRPr="00000000">
        <w:rPr>
          <w:rFonts w:ascii="Arial" w:cs="Arial" w:eastAsia="Arial" w:hAnsi="Arial"/>
          <w:color w:val="202122"/>
          <w:sz w:val="22"/>
          <w:szCs w:val="22"/>
          <w:highlight w:val="white"/>
          <w:rtl w:val="0"/>
        </w:rPr>
        <w:t xml:space="preserve"> The economic activity of Macedonia was governed by the climate and terrain and as such, geographically limited agricultural production remained the core of its economy, with this work carried out by non-slave landholders and tenants, much as the Roman republic had been before the expansion that allowed it to bring  an increasing number of slaves back to Italy.</w:t>
      </w:r>
      <w:r w:rsidDel="00000000" w:rsidR="00000000" w:rsidRPr="00000000">
        <w:rPr>
          <w:rFonts w:ascii="Arial" w:cs="Arial" w:eastAsia="Arial" w:hAnsi="Arial"/>
          <w:color w:val="202122"/>
          <w:sz w:val="22"/>
          <w:szCs w:val="22"/>
          <w:highlight w:val="white"/>
          <w:vertAlign w:val="superscript"/>
        </w:rPr>
        <w:footnoteReference w:customMarkFollows="0" w:id="177"/>
      </w:r>
      <w:r w:rsidDel="00000000" w:rsidR="00000000" w:rsidRPr="00000000">
        <w:rPr>
          <w:rFonts w:ascii="Arial" w:cs="Arial" w:eastAsia="Arial" w:hAnsi="Arial"/>
          <w:color w:val="202122"/>
          <w:sz w:val="22"/>
          <w:szCs w:val="22"/>
          <w:highlight w:val="white"/>
          <w:rtl w:val="0"/>
        </w:rPr>
        <w:t xml:space="preserve"> That geography may have been surprisingly fertile, especially the wetlands, with ample space for the grazing of cattle and sheep, and harvesting of honey, wax, silk and timber, though the extent and eventual productivity is disputed.</w:t>
      </w:r>
      <w:r w:rsidDel="00000000" w:rsidR="00000000" w:rsidRPr="00000000">
        <w:rPr>
          <w:rFonts w:ascii="Arial" w:cs="Arial" w:eastAsia="Arial" w:hAnsi="Arial"/>
          <w:color w:val="202122"/>
          <w:sz w:val="22"/>
          <w:szCs w:val="22"/>
          <w:highlight w:val="white"/>
          <w:vertAlign w:val="superscript"/>
        </w:rPr>
        <w:footnoteReference w:customMarkFollows="0" w:id="178"/>
      </w:r>
      <w:r w:rsidDel="00000000" w:rsidR="00000000" w:rsidRPr="00000000">
        <w:rPr>
          <w:rFonts w:ascii="Arial" w:cs="Arial" w:eastAsia="Arial" w:hAnsi="Arial"/>
          <w:color w:val="202122"/>
          <w:sz w:val="22"/>
          <w:szCs w:val="22"/>
          <w:highlight w:val="white"/>
          <w:rtl w:val="0"/>
        </w:rPr>
        <w:t xml:space="preserve">  Rostovtzeff’s view was that down to the time of Philip V and Perseus, the resources available to the Macedonian regime were still considerable</w:t>
      </w:r>
      <w:r w:rsidDel="00000000" w:rsidR="00000000" w:rsidRPr="00000000">
        <w:rPr>
          <w:rFonts w:ascii="Arial" w:cs="Arial" w:eastAsia="Arial" w:hAnsi="Arial"/>
          <w:color w:val="202122"/>
          <w:sz w:val="22"/>
          <w:szCs w:val="22"/>
          <w:highlight w:val="white"/>
          <w:vertAlign w:val="superscript"/>
        </w:rPr>
        <w:footnoteReference w:customMarkFollows="0" w:id="179"/>
      </w:r>
      <w:r w:rsidDel="00000000" w:rsidR="00000000" w:rsidRPr="00000000">
        <w:rPr>
          <w:rFonts w:ascii="Arial" w:cs="Arial" w:eastAsia="Arial" w:hAnsi="Arial"/>
          <w:color w:val="202122"/>
          <w:sz w:val="22"/>
          <w:szCs w:val="22"/>
          <w:highlight w:val="white"/>
          <w:rtl w:val="0"/>
        </w:rPr>
        <w:t xml:space="preserve"> though with the caveat that we know sadly little of the details. Livy (39.24) and Polybus (23.10) do say that in the aftermath of Philip V took measures to improve the situation of the Macedonian economy. These included attempts to reverse population decline through the resettlement of Thracians, increasing taxes on cultivated land, and the raising of import and export duties. The result of these reforms was success to a level, in Rostoftzeff’s view, that their defeats to the Romans were not attributable to a lack of men, money or supplies. My view is that this may be an overly optimistic opinion, given what we know about the huge disparity in terms of wealth, manpower and trading networks between the Macedonian kingdom and the Roman republic.  </w:t>
      </w:r>
    </w:p>
    <w:p w:rsidR="00000000" w:rsidDel="00000000" w:rsidP="00000000" w:rsidRDefault="00000000" w:rsidRPr="00000000" w14:paraId="0000008A">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8B">
      <w:pPr>
        <w:spacing w:line="276" w:lineRule="auto"/>
        <w:rPr>
          <w:rFonts w:ascii="Arial" w:cs="Arial" w:eastAsia="Arial" w:hAnsi="Arial"/>
          <w:color w:val="202122"/>
          <w:sz w:val="9"/>
          <w:szCs w:val="9"/>
          <w:highlight w:val="white"/>
        </w:rPr>
      </w:pPr>
      <w:r w:rsidDel="00000000" w:rsidR="00000000" w:rsidRPr="00000000">
        <w:rPr>
          <w:rtl w:val="0"/>
        </w:rPr>
      </w:r>
    </w:p>
    <w:p w:rsidR="00000000" w:rsidDel="00000000" w:rsidP="00000000" w:rsidRDefault="00000000" w:rsidRPr="00000000" w14:paraId="0000008C">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8D">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8E">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8F">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0">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1">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2">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3">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4">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5">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6">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7">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8">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9">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A">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B">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C">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D">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E">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9F">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0">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1">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2">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3">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4">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5">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6">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7">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8">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9">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A">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B">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C">
      <w:pPr>
        <w:rPr>
          <w:rFonts w:ascii="Arial" w:cs="Arial" w:eastAsia="Arial" w:hAnsi="Arial"/>
          <w:color w:val="202122"/>
          <w:sz w:val="22"/>
          <w:szCs w:val="22"/>
          <w:highlight w:val="white"/>
        </w:rPr>
      </w:pPr>
      <w:r w:rsidDel="00000000" w:rsidR="00000000" w:rsidRPr="00000000">
        <w:rPr>
          <w:rtl w:val="0"/>
        </w:rPr>
      </w:r>
    </w:p>
    <w:p w:rsidR="00000000" w:rsidDel="00000000" w:rsidP="00000000" w:rsidRDefault="00000000" w:rsidRPr="00000000" w14:paraId="000000A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Conclusion:</w:t>
      </w:r>
    </w:p>
    <w:p w:rsidR="00000000" w:rsidDel="00000000" w:rsidP="00000000" w:rsidRDefault="00000000" w:rsidRPr="00000000" w14:paraId="000000A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Having explored in detail the social, economic and military aspects of the Roman republic and the Hellenistic kingdoms, it is possible to form  a concluding point of view as to why Rome was structurally strong to the extent that it was able to subsume the eastern kingdoms across the timespan of two centuries beginning in 230 B.C.E.</w:t>
      </w:r>
    </w:p>
    <w:p w:rsidR="00000000" w:rsidDel="00000000" w:rsidP="00000000" w:rsidRDefault="00000000" w:rsidRPr="00000000" w14:paraId="000000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The first point we must consider is the relative condition of the different states in 230 B.C.E. By that time, Rome had been a political entity for more than five centuries and a republic for almost three of those, with a long history of evolving their political, social, military and economic structures and norms. In contrast, none of the Hellenistic kingdoms had existed as separate entities for more than a century and the wars between the successors had only moved from ‘hot’ to ‘simmering’ approximately 50 years earlier Having said that, conflict and campaigning was an almost constant activity: whether that was quelling internal revolts in the Seleucid empire, subduing the Achaean League in mainland Greece, suppressing revolts of the natives in Upper Egypt; the repulsion of Thracians in the Balkans, or the almost endless rounds of wars over Coele Syria. Even though a fragile balance of power had been reached between the three major Hellenistic Kingdoms, a new conflict seemed to be never far away. This foundational instability and to an extent, fragility, can be seen as a result of how the kingdoms began, for the legitimacy of the kings was based on conquest and martial prowess. Thus the argument could be made that a peaceful kingdom may eventually lose its legitimacy over time, especially as the generations changed. Even in times of relative peace in those kingdoms, there was never going to be a reversion to anything resembling a benevolent rule whose objective was to improve the lives of all the citizens. The Hellenistic kingdoms were formed out of war, were economically sustained by war, and across their existence rarely managed to experience a sustained period absent internal revolts or external threats. </w:t>
      </w:r>
    </w:p>
    <w:p w:rsidR="00000000" w:rsidDel="00000000" w:rsidP="00000000" w:rsidRDefault="00000000" w:rsidRPr="00000000" w14:paraId="000000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All of the states, Rome included, had weaknesses that they fought to address across time and to varying degrees of success. The Seleucid Empire’s size and heterogeneity was especially fragile due to the king’s ability to only be in one place at any given time;</w:t>
      </w:r>
      <w:r w:rsidDel="00000000" w:rsidR="00000000" w:rsidRPr="00000000">
        <w:rPr>
          <w:rFonts w:ascii="Arial" w:cs="Arial" w:eastAsia="Arial" w:hAnsi="Arial"/>
          <w:sz w:val="22"/>
          <w:szCs w:val="22"/>
          <w:vertAlign w:val="superscript"/>
        </w:rPr>
        <w:footnoteReference w:customMarkFollows="0" w:id="180"/>
      </w:r>
      <w:r w:rsidDel="00000000" w:rsidR="00000000" w:rsidRPr="00000000">
        <w:rPr>
          <w:rFonts w:ascii="Arial" w:cs="Arial" w:eastAsia="Arial" w:hAnsi="Arial"/>
          <w:sz w:val="22"/>
          <w:szCs w:val="22"/>
          <w:rtl w:val="0"/>
        </w:rPr>
        <w:t xml:space="preserve"> and those satraps or military governors who were strong enough and so inclined, were able to make an attempt to break away from the empire.</w:t>
      </w:r>
      <w:r w:rsidDel="00000000" w:rsidR="00000000" w:rsidRPr="00000000">
        <w:rPr>
          <w:rFonts w:ascii="Arial" w:cs="Arial" w:eastAsia="Arial" w:hAnsi="Arial"/>
          <w:sz w:val="22"/>
          <w:szCs w:val="22"/>
          <w:vertAlign w:val="superscript"/>
        </w:rPr>
        <w:footnoteReference w:customMarkFollows="0" w:id="181"/>
      </w:r>
      <w:r w:rsidDel="00000000" w:rsidR="00000000" w:rsidRPr="00000000">
        <w:rPr>
          <w:rFonts w:ascii="Arial" w:cs="Arial" w:eastAsia="Arial" w:hAnsi="Arial"/>
          <w:sz w:val="22"/>
          <w:szCs w:val="22"/>
          <w:rtl w:val="0"/>
        </w:rPr>
        <w:t xml:space="preserve"> Others who dared to rebel were initially crushed, then particularly across the second half of the third century B.C.E., more of them started to experience success in carving out their own ‘spear-won’ kingdoms. The wealth of the expansive realm also came at a price, as it was spread across multiple capitals and thus tempting to the local governors who wished to ensure that they had the necessary financial resources with which to launch their own secession. Macedon’s almost incomprehensible success during Alexander’s rule was a zenith that the rulers that followed, were never likely to surpass. The limits of their geography and population, combined with the inability to fully crush and absorb the Greek poleis to the south, left them strong but only within a highly localised orbit. The Ptolemaic empire in many ways was the one successor to Alexander who was best-placed to last the longest, and indeed they did. The culture and governmental structures that Ptolemny I Soter was able to seamlessly step into, combined with the environmental and geographical advantages of Egypt, meant that for the first four generations of the dynasty, the regime was relatively stable. But as can be seen with all autocratic dynasties, much can unravel within a single generation whether through factional fighting within the court, or a ruler who is particularly ill-fitted to the role. As the saying goes, the fish rots from the head down. </w:t>
      </w:r>
    </w:p>
    <w:p w:rsidR="00000000" w:rsidDel="00000000" w:rsidP="00000000" w:rsidRDefault="00000000" w:rsidRPr="00000000" w14:paraId="000000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Militarily the armies of these kingdoms were certainly strong and often extremely well-drilled. This is to be expected from the successors of Alexander’s unbeatable Macadonian machine, yet the true quality of any entity can only be gauged once it comes up against something that is beyond its experience, and this is what the Roman army provided. The phalanxes and cavalry of these kingdoms did cause Rome concern on occasion, yet they ultimately failed in no small part due to their inferior (and smaller) conveyor-belt of excellent generals, more limited ability to muster manpower, and the sense that a mercenary army will rarely be as passionate in battle as one who is fighting to protect their hearth and home. </w:t>
      </w:r>
    </w:p>
    <w:p w:rsidR="00000000" w:rsidDel="00000000" w:rsidP="00000000" w:rsidRDefault="00000000" w:rsidRPr="00000000" w14:paraId="000000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The Roman republic was not a flawless entity, but it didn’t need to be. It simply needed to have stronger and more adaptable structures that those it fell into conflict with. It’s martial prowess had been honed on the whetstone of centuries of war, then further refined through the trauma of the second Punic war against Hannibal. They were able to produce a stunning flow of able and occasionally exceptional generals, all of whom understood that their opportunities for glory would be limited, and that they would have to answer for their actions once their commands were relinquished. There is debate around the strength of the Roman economy across these centuries but it is clear that however it might be viewed when placed against modern economic measures, it still functioned on a scale and with an efficiency that its rivals lacked. The social </w:t>
      </w:r>
      <w:r w:rsidDel="00000000" w:rsidR="00000000" w:rsidRPr="00000000">
        <w:rPr>
          <w:rFonts w:ascii="Arial" w:cs="Arial" w:eastAsia="Arial" w:hAnsi="Arial"/>
          <w:i w:val="1"/>
          <w:sz w:val="22"/>
          <w:szCs w:val="22"/>
          <w:rtl w:val="0"/>
        </w:rPr>
        <w:t xml:space="preserve">mores</w:t>
      </w:r>
      <w:r w:rsidDel="00000000" w:rsidR="00000000" w:rsidRPr="00000000">
        <w:rPr>
          <w:rFonts w:ascii="Arial" w:cs="Arial" w:eastAsia="Arial" w:hAnsi="Arial"/>
          <w:sz w:val="22"/>
          <w:szCs w:val="22"/>
          <w:rtl w:val="0"/>
        </w:rPr>
        <w:t xml:space="preserve"> of the republic had also been refined across centuries so that two  key advantages Rome possessed were its martial character, and the willingness to at least partially abrogate self-interest so that the whole might survive. One concession that played its part was the increasing openness to foreigners who may eventually become citizens. The process towards citizenship was not a road without bumps, as the Conflict of the Orders and Social War have shown us; indeed, Rome was the largest slave--owning society in history. Yet these slaves could buy their freedom, make their fortunes and play valuable roles in Roman society. Few if any opportunities of this sort existed in the Hellenistic kingdoms.  </w:t>
      </w:r>
    </w:p>
    <w:p w:rsidR="00000000" w:rsidDel="00000000" w:rsidP="00000000" w:rsidRDefault="00000000" w:rsidRPr="00000000" w14:paraId="000000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The Roman army and its relentless efficiency was the end product of centuries of culture, economic policy and the system of republican government. The men were men bred in war and fighting with a passion unknown to conscripted levies generalled by regimes that they had no stake in or love for. The innovations shown by the republic’s armies are well-known: in creating a navy able to go head-to-head with the Carthiginian masters of the sea during the second Punic war; adapting ways to deal with potentially terrifying war elephants; and evolving formations to more flexibly deal with a terrifying wall of </w:t>
      </w:r>
      <w:r w:rsidDel="00000000" w:rsidR="00000000" w:rsidRPr="00000000">
        <w:rPr>
          <w:rFonts w:ascii="Arial" w:cs="Arial" w:eastAsia="Arial" w:hAnsi="Arial"/>
          <w:i w:val="1"/>
          <w:sz w:val="22"/>
          <w:szCs w:val="22"/>
          <w:rtl w:val="0"/>
        </w:rPr>
        <w:t xml:space="preserve">sarissas</w:t>
      </w:r>
      <w:r w:rsidDel="00000000" w:rsidR="00000000" w:rsidRPr="00000000">
        <w:rPr>
          <w:rFonts w:ascii="Arial" w:cs="Arial" w:eastAsia="Arial" w:hAnsi="Arial"/>
          <w:sz w:val="22"/>
          <w:szCs w:val="22"/>
          <w:rtl w:val="0"/>
        </w:rPr>
        <w:t xml:space="preserve"> fronting a Macedonian phalanx. These are but a few of the innovations that aided the Roman republic in its march across the mediterranean. </w:t>
      </w:r>
    </w:p>
    <w:p w:rsidR="00000000" w:rsidDel="00000000" w:rsidP="00000000" w:rsidRDefault="00000000" w:rsidRPr="00000000" w14:paraId="000000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Ultimately, Rome's final victories over not just the Greek kingdoms, but the entire mediterranean, were down to many factors that were shaped over centuries of trial, error, innovation and experience. I hope that in thesis above I have shed some more light on these specifics. </w:t>
      </w:r>
    </w:p>
    <w:p w:rsidR="00000000" w:rsidDel="00000000" w:rsidP="00000000" w:rsidRDefault="00000000" w:rsidRPr="00000000" w14:paraId="000000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D">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F">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Bibliography:</w:t>
      </w:r>
    </w:p>
    <w:p w:rsidR="00000000" w:rsidDel="00000000" w:rsidP="00000000" w:rsidRDefault="00000000" w:rsidRPr="00000000" w14:paraId="000000C0">
      <w:pPr>
        <w:ind w:left="175"/>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C1">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Ancient Sources:</w:t>
      </w:r>
    </w:p>
    <w:p w:rsidR="00000000" w:rsidDel="00000000" w:rsidP="00000000" w:rsidRDefault="00000000" w:rsidRPr="00000000" w14:paraId="000000C2">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Appian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The Foreign Wars, </w:t>
      </w:r>
      <w:r w:rsidDel="00000000" w:rsidR="00000000" w:rsidRPr="00000000">
        <w:rPr>
          <w:rFonts w:ascii="Arial" w:cs="Arial" w:eastAsia="Arial" w:hAnsi="Arial"/>
          <w:sz w:val="22"/>
          <w:szCs w:val="22"/>
          <w:rtl w:val="0"/>
        </w:rPr>
        <w:t xml:space="preserve">Loeb Classical Library online source translated by Horace White at: </w:t>
      </w:r>
      <w:r w:rsidDel="00000000" w:rsidR="00000000" w:rsidRPr="00000000">
        <w:rPr>
          <w:rFonts w:ascii="Arial" w:cs="Arial" w:eastAsia="Arial" w:hAnsi="Arial"/>
          <w:sz w:val="22"/>
          <w:szCs w:val="22"/>
          <w:rtl w:val="0"/>
        </w:rPr>
        <w:t xml:space="preserve">http://penelope.uchicago.edu/Thayer/E/Roman/Texts/Appian/home.html</w:t>
      </w:r>
      <w:r w:rsidDel="00000000" w:rsidR="00000000" w:rsidRPr="00000000">
        <w:rPr>
          <w:rtl w:val="0"/>
        </w:rPr>
      </w:r>
    </w:p>
    <w:p w:rsidR="00000000" w:rsidDel="00000000" w:rsidP="00000000" w:rsidRDefault="00000000" w:rsidRPr="00000000" w14:paraId="000000C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Appian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The Syrian Wars, </w:t>
      </w:r>
      <w:r w:rsidDel="00000000" w:rsidR="00000000" w:rsidRPr="00000000">
        <w:rPr>
          <w:rFonts w:ascii="Arial" w:cs="Arial" w:eastAsia="Arial" w:hAnsi="Arial"/>
          <w:sz w:val="22"/>
          <w:szCs w:val="22"/>
          <w:rtl w:val="0"/>
        </w:rPr>
        <w:t xml:space="preserve">Loeb Classical Library online source translated by Horace White at: </w:t>
      </w:r>
      <w:r w:rsidDel="00000000" w:rsidR="00000000" w:rsidRPr="00000000">
        <w:rPr>
          <w:rFonts w:ascii="Arial" w:cs="Arial" w:eastAsia="Arial" w:hAnsi="Arial"/>
          <w:sz w:val="22"/>
          <w:szCs w:val="22"/>
          <w:rtl w:val="0"/>
        </w:rPr>
        <w:t xml:space="preserve">https://www.livius.org/sources/content/appian/appian-the-syrian-wars/</w:t>
      </w:r>
      <w:r w:rsidDel="00000000" w:rsidR="00000000" w:rsidRPr="00000000">
        <w:rPr>
          <w:rtl w:val="0"/>
        </w:rPr>
      </w:r>
    </w:p>
    <w:p w:rsidR="00000000" w:rsidDel="00000000" w:rsidP="00000000" w:rsidRDefault="00000000" w:rsidRPr="00000000" w14:paraId="000000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7">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Arrian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Anabasis of Alexander, online resource translated by E. J. Chinnock at: https://www.gutenberg.org/files/46976/46976-h/46976-h.htm</w:t>
      </w:r>
    </w:p>
    <w:p w:rsidR="00000000" w:rsidDel="00000000" w:rsidP="00000000" w:rsidRDefault="00000000" w:rsidRPr="00000000" w14:paraId="000000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Aristotle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Politics, </w:t>
      </w:r>
      <w:r w:rsidDel="00000000" w:rsidR="00000000" w:rsidRPr="00000000">
        <w:rPr>
          <w:rFonts w:ascii="Arial" w:cs="Arial" w:eastAsia="Arial" w:hAnsi="Arial"/>
          <w:sz w:val="22"/>
          <w:szCs w:val="22"/>
          <w:rtl w:val="0"/>
        </w:rPr>
        <w:t xml:space="preserve">Loeb Classical Library online resource translated by William Ellis at: </w:t>
      </w:r>
      <w:r w:rsidDel="00000000" w:rsidR="00000000" w:rsidRPr="00000000">
        <w:rPr>
          <w:rFonts w:ascii="Arial" w:cs="Arial" w:eastAsia="Arial" w:hAnsi="Arial"/>
          <w:sz w:val="22"/>
          <w:szCs w:val="22"/>
          <w:rtl w:val="0"/>
        </w:rPr>
        <w:t xml:space="preserve">http://www.gutenberg.org/files/6762/6762-h/6762-h.htm</w:t>
      </w:r>
    </w:p>
    <w:p w:rsidR="00000000" w:rsidDel="00000000" w:rsidP="00000000" w:rsidRDefault="00000000" w:rsidRPr="00000000" w14:paraId="000000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Cicero</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Pro Lege Manilia, </w:t>
      </w:r>
      <w:r w:rsidDel="00000000" w:rsidR="00000000" w:rsidRPr="00000000">
        <w:rPr>
          <w:rFonts w:ascii="Arial" w:cs="Arial" w:eastAsia="Arial" w:hAnsi="Arial"/>
          <w:sz w:val="22"/>
          <w:szCs w:val="22"/>
          <w:rtl w:val="0"/>
        </w:rPr>
        <w:t xml:space="preserve">online resource translated by Albert Curtis Clark at: https://www.perseus.tufts.edu/hopper/text?doc=Perseus%3Atext%3A1999.02.0019%3Atext%3DMan</w:t>
      </w:r>
      <w:r w:rsidDel="00000000" w:rsidR="00000000" w:rsidRPr="00000000">
        <w:rPr>
          <w:rtl w:val="0"/>
        </w:rPr>
      </w:r>
    </w:p>
    <w:p w:rsidR="00000000" w:rsidDel="00000000" w:rsidP="00000000" w:rsidRDefault="00000000" w:rsidRPr="00000000" w14:paraId="000000CC">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Dio Cassius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Roman History, </w:t>
      </w:r>
      <w:r w:rsidDel="00000000" w:rsidR="00000000" w:rsidRPr="00000000">
        <w:rPr>
          <w:rFonts w:ascii="Arial" w:cs="Arial" w:eastAsia="Arial" w:hAnsi="Arial"/>
          <w:sz w:val="22"/>
          <w:szCs w:val="22"/>
          <w:rtl w:val="0"/>
        </w:rPr>
        <w:t xml:space="preserve">Loeb Classical Library online resource translated by Earnest Cary at: http://penelope.uchicago.edu/Thayer/E/Roman/Texts/Cassius_Dio/home.html</w:t>
      </w:r>
    </w:p>
    <w:p w:rsidR="00000000" w:rsidDel="00000000" w:rsidP="00000000" w:rsidRDefault="00000000" w:rsidRPr="00000000" w14:paraId="000000CE">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Diodorus Siculus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Historical Library, </w:t>
      </w:r>
      <w:r w:rsidDel="00000000" w:rsidR="00000000" w:rsidRPr="00000000">
        <w:rPr>
          <w:rFonts w:ascii="Arial" w:cs="Arial" w:eastAsia="Arial" w:hAnsi="Arial"/>
          <w:sz w:val="22"/>
          <w:szCs w:val="22"/>
          <w:rtl w:val="0"/>
        </w:rPr>
        <w:t xml:space="preserve">Loeb Classical Library online resource translated by Charles Henry Oldfather at: http://penelope.uchicago.edu/Thayer/E/Roman/Texts/Diodorus_Siculus/home.html</w:t>
      </w:r>
      <w:r w:rsidDel="00000000" w:rsidR="00000000" w:rsidRPr="00000000">
        <w:rPr>
          <w:rFonts w:ascii="Arial" w:cs="Arial" w:eastAsia="Arial" w:hAnsi="Arial"/>
          <w:i w:val="1"/>
          <w:sz w:val="22"/>
          <w:szCs w:val="22"/>
          <w:rtl w:val="0"/>
        </w:rPr>
        <w:t xml:space="preserve"> </w:t>
      </w:r>
      <w:r w:rsidDel="00000000" w:rsidR="00000000" w:rsidRPr="00000000">
        <w:rPr>
          <w:rtl w:val="0"/>
        </w:rPr>
      </w:r>
    </w:p>
    <w:p w:rsidR="00000000" w:rsidDel="00000000" w:rsidP="00000000" w:rsidRDefault="00000000" w:rsidRPr="00000000" w14:paraId="000000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Horace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The Epistles Book II</w:t>
      </w:r>
      <w:r w:rsidDel="00000000" w:rsidR="00000000" w:rsidRPr="00000000">
        <w:rPr>
          <w:rFonts w:ascii="Arial" w:cs="Arial" w:eastAsia="Arial" w:hAnsi="Arial"/>
          <w:sz w:val="22"/>
          <w:szCs w:val="22"/>
          <w:rtl w:val="0"/>
        </w:rPr>
        <w:t xml:space="preserve">, online resource translated by C. Smart and revised by T. A. Buckley at: </w:t>
      </w:r>
      <w:r w:rsidDel="00000000" w:rsidR="00000000" w:rsidRPr="00000000">
        <w:rPr>
          <w:rFonts w:ascii="Arial" w:cs="Arial" w:eastAsia="Arial" w:hAnsi="Arial"/>
          <w:sz w:val="22"/>
          <w:szCs w:val="22"/>
          <w:rtl w:val="0"/>
        </w:rPr>
        <w:t xml:space="preserve">https://www.gutenberg.org/files/14020/14020-h/14020-h.htm#THE_SECOND_BOOK_OF_THE_ODES_OF_HORACE</w:t>
      </w:r>
      <w:r w:rsidDel="00000000" w:rsidR="00000000" w:rsidRPr="00000000">
        <w:rPr>
          <w:rtl w:val="0"/>
        </w:rPr>
      </w:r>
    </w:p>
    <w:p w:rsidR="00000000" w:rsidDel="00000000" w:rsidP="00000000" w:rsidRDefault="00000000" w:rsidRPr="00000000" w14:paraId="000000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Justin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Epitome of the Philippic History of Pompeius Trogus, </w:t>
      </w:r>
      <w:r w:rsidDel="00000000" w:rsidR="00000000" w:rsidRPr="00000000">
        <w:rPr>
          <w:rFonts w:ascii="Arial" w:cs="Arial" w:eastAsia="Arial" w:hAnsi="Arial"/>
          <w:sz w:val="22"/>
          <w:szCs w:val="22"/>
          <w:rtl w:val="0"/>
        </w:rPr>
        <w:t xml:space="preserve">online resource translated by J. S. Watson at: http://www.attalus.org/info/justinus.html</w:t>
      </w:r>
    </w:p>
    <w:p w:rsidR="00000000" w:rsidDel="00000000" w:rsidP="00000000" w:rsidRDefault="00000000" w:rsidRPr="00000000" w14:paraId="000000D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Livy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Books from the Foundation of the City, </w:t>
      </w:r>
      <w:r w:rsidDel="00000000" w:rsidR="00000000" w:rsidRPr="00000000">
        <w:rPr>
          <w:rFonts w:ascii="Arial" w:cs="Arial" w:eastAsia="Arial" w:hAnsi="Arial"/>
          <w:sz w:val="22"/>
          <w:szCs w:val="22"/>
          <w:rtl w:val="0"/>
        </w:rPr>
        <w:t xml:space="preserve">online resource translated by D. Spillan at: https://www.gutenberg.org/files/19725/19725-h/19725-h.htm</w:t>
      </w:r>
    </w:p>
    <w:p w:rsidR="00000000" w:rsidDel="00000000" w:rsidP="00000000" w:rsidRDefault="00000000" w:rsidRPr="00000000" w14:paraId="000000D6">
      <w:pPr>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Plutarch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Parallel Lives, </w:t>
      </w:r>
      <w:r w:rsidDel="00000000" w:rsidR="00000000" w:rsidRPr="00000000">
        <w:rPr>
          <w:rFonts w:ascii="Arial" w:cs="Arial" w:eastAsia="Arial" w:hAnsi="Arial"/>
          <w:sz w:val="22"/>
          <w:szCs w:val="22"/>
          <w:rtl w:val="0"/>
        </w:rPr>
        <w:t xml:space="preserve">Loeb Classical Library online resource translated by Bernadotte Perrin at: https://penelope.uchicago.edu/Thayer/E/Roman/Texts/Plutarch/Lives/home.html</w:t>
      </w:r>
    </w:p>
    <w:p w:rsidR="00000000" w:rsidDel="00000000" w:rsidP="00000000" w:rsidRDefault="00000000" w:rsidRPr="00000000" w14:paraId="000000D8">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D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Polybius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The Histories, </w:t>
      </w:r>
      <w:r w:rsidDel="00000000" w:rsidR="00000000" w:rsidRPr="00000000">
        <w:rPr>
          <w:rFonts w:ascii="Arial" w:cs="Arial" w:eastAsia="Arial" w:hAnsi="Arial"/>
          <w:sz w:val="22"/>
          <w:szCs w:val="22"/>
          <w:rtl w:val="0"/>
        </w:rPr>
        <w:t xml:space="preserve">Loeb Classical Library online resource translated by H. J. Edwards at: http://penelope.uchicago.edu/Thayer/E/Roman/Texts/Polybius/home.html</w:t>
      </w:r>
      <w:r w:rsidDel="00000000" w:rsidR="00000000" w:rsidRPr="00000000">
        <w:rPr>
          <w:rtl w:val="0"/>
        </w:rPr>
      </w:r>
    </w:p>
    <w:p w:rsidR="00000000" w:rsidDel="00000000" w:rsidP="00000000" w:rsidRDefault="00000000" w:rsidRPr="00000000" w14:paraId="000000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Sallust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The Jugurthine War, </w:t>
      </w:r>
      <w:r w:rsidDel="00000000" w:rsidR="00000000" w:rsidRPr="00000000">
        <w:rPr>
          <w:rFonts w:ascii="Arial" w:cs="Arial" w:eastAsia="Arial" w:hAnsi="Arial"/>
          <w:sz w:val="22"/>
          <w:szCs w:val="22"/>
          <w:rtl w:val="0"/>
        </w:rPr>
        <w:t xml:space="preserve">Loeb Classical Library online resource at: </w:t>
      </w:r>
      <w:r w:rsidDel="00000000" w:rsidR="00000000" w:rsidRPr="00000000">
        <w:rPr>
          <w:rFonts w:ascii="Arial" w:cs="Arial" w:eastAsia="Arial" w:hAnsi="Arial"/>
          <w:sz w:val="22"/>
          <w:szCs w:val="22"/>
          <w:rtl w:val="0"/>
        </w:rPr>
        <w:t xml:space="preserve">https://penelope.uchicago.edu/Thayer/E/Roman/Texts/Sallust/Bellum_Jugurthinum/1*.html</w:t>
      </w:r>
      <w:r w:rsidDel="00000000" w:rsidR="00000000" w:rsidRPr="00000000">
        <w:rPr>
          <w:rtl w:val="0"/>
        </w:rPr>
      </w:r>
    </w:p>
    <w:p w:rsidR="00000000" w:rsidDel="00000000" w:rsidP="00000000" w:rsidRDefault="00000000" w:rsidRPr="00000000" w14:paraId="000000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D">
      <w:pP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DE">
      <w:pP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Bibliography</w:t>
      </w:r>
    </w:p>
    <w:p w:rsidR="00000000" w:rsidDel="00000000" w:rsidP="00000000" w:rsidRDefault="00000000" w:rsidRPr="00000000" w14:paraId="000000DF">
      <w:pPr>
        <w:rPr>
          <w:rFonts w:ascii="Arial" w:cs="Arial" w:eastAsia="Arial" w:hAnsi="Arial"/>
          <w:b w:val="1"/>
          <w:sz w:val="22"/>
          <w:szCs w:val="22"/>
          <w:highlight w:val="yellow"/>
          <w:u w:val="single"/>
        </w:rPr>
      </w:pPr>
      <w:r w:rsidDel="00000000" w:rsidR="00000000" w:rsidRPr="00000000">
        <w:rPr>
          <w:rtl w:val="0"/>
        </w:rPr>
      </w:r>
    </w:p>
    <w:p w:rsidR="00000000" w:rsidDel="00000000" w:rsidP="00000000" w:rsidRDefault="00000000" w:rsidRPr="00000000" w14:paraId="000000E0">
      <w:pPr>
        <w:ind w:left="425.19685039370086" w:hanging="425.19685039370086"/>
        <w:rPr>
          <w:rFonts w:ascii="Arial" w:cs="Arial" w:eastAsia="Arial" w:hAnsi="Arial"/>
          <w:sz w:val="22"/>
          <w:szCs w:val="22"/>
        </w:rPr>
      </w:pPr>
      <w:r w:rsidDel="00000000" w:rsidR="00000000" w:rsidRPr="00000000">
        <w:rPr>
          <w:rFonts w:ascii="Arial" w:cs="Arial" w:eastAsia="Arial" w:hAnsi="Arial"/>
          <w:color w:val="202122"/>
          <w:sz w:val="22"/>
          <w:szCs w:val="22"/>
          <w:rtl w:val="0"/>
        </w:rPr>
        <w:t xml:space="preserve">Abbott, F. F. (1901). </w:t>
      </w:r>
      <w:r w:rsidDel="00000000" w:rsidR="00000000" w:rsidRPr="00000000">
        <w:rPr>
          <w:rFonts w:ascii="Arial" w:cs="Arial" w:eastAsia="Arial" w:hAnsi="Arial"/>
          <w:i w:val="1"/>
          <w:color w:val="202122"/>
          <w:sz w:val="22"/>
          <w:szCs w:val="22"/>
          <w:rtl w:val="0"/>
        </w:rPr>
        <w:t xml:space="preserve">A History and Description of Roman Political Institutions</w:t>
      </w:r>
      <w:r w:rsidDel="00000000" w:rsidR="00000000" w:rsidRPr="00000000">
        <w:rPr>
          <w:rFonts w:ascii="Arial" w:cs="Arial" w:eastAsia="Arial" w:hAnsi="Arial"/>
          <w:color w:val="202122"/>
          <w:sz w:val="22"/>
          <w:szCs w:val="22"/>
          <w:rtl w:val="0"/>
        </w:rPr>
        <w:t xml:space="preserve">. Elibron Classics </w:t>
      </w:r>
      <w:r w:rsidDel="00000000" w:rsidR="00000000" w:rsidRPr="00000000">
        <w:rPr>
          <w:rtl w:val="0"/>
        </w:rPr>
      </w:r>
    </w:p>
    <w:p w:rsidR="00000000" w:rsidDel="00000000" w:rsidP="00000000" w:rsidRDefault="00000000" w:rsidRPr="00000000" w14:paraId="000000E1">
      <w:pPr>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E2">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Acemoglu D. and Robinson J. A. (2006) </w:t>
      </w:r>
      <w:r w:rsidDel="00000000" w:rsidR="00000000" w:rsidRPr="00000000">
        <w:rPr>
          <w:rFonts w:ascii="Arial" w:cs="Arial" w:eastAsia="Arial" w:hAnsi="Arial"/>
          <w:i w:val="1"/>
          <w:sz w:val="22"/>
          <w:szCs w:val="22"/>
          <w:highlight w:val="yellow"/>
          <w:rtl w:val="0"/>
        </w:rPr>
        <w:t xml:space="preserve">Economic Origins of Dictatorship and Democracy</w:t>
      </w:r>
      <w:r w:rsidDel="00000000" w:rsidR="00000000" w:rsidRPr="00000000">
        <w:rPr>
          <w:rFonts w:ascii="Arial" w:cs="Arial" w:eastAsia="Arial" w:hAnsi="Arial"/>
          <w:sz w:val="22"/>
          <w:szCs w:val="22"/>
          <w:highlight w:val="yellow"/>
          <w:rtl w:val="0"/>
        </w:rPr>
        <w:t xml:space="preserve">, Cambridge University Press</w:t>
      </w:r>
    </w:p>
    <w:p w:rsidR="00000000" w:rsidDel="00000000" w:rsidP="00000000" w:rsidRDefault="00000000" w:rsidRPr="00000000" w14:paraId="000000E3">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E4">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Ager, S. L. (1997) </w:t>
      </w:r>
      <w:r w:rsidDel="00000000" w:rsidR="00000000" w:rsidRPr="00000000">
        <w:rPr>
          <w:rFonts w:ascii="Arial" w:cs="Arial" w:eastAsia="Arial" w:hAnsi="Arial"/>
          <w:i w:val="1"/>
          <w:sz w:val="22"/>
          <w:szCs w:val="22"/>
          <w:highlight w:val="yellow"/>
          <w:rtl w:val="0"/>
        </w:rPr>
        <w:t xml:space="preserve">Interstate Arbitrations in the Greek World 337-90 B.C.</w:t>
      </w:r>
      <w:r w:rsidDel="00000000" w:rsidR="00000000" w:rsidRPr="00000000">
        <w:rPr>
          <w:rFonts w:ascii="Arial" w:cs="Arial" w:eastAsia="Arial" w:hAnsi="Arial"/>
          <w:sz w:val="22"/>
          <w:szCs w:val="22"/>
          <w:highlight w:val="yellow"/>
          <w:rtl w:val="0"/>
        </w:rPr>
        <w:t xml:space="preserve">, University of California Press, Berkely, Los Angeles, London</w:t>
      </w:r>
    </w:p>
    <w:p w:rsidR="00000000" w:rsidDel="00000000" w:rsidP="00000000" w:rsidRDefault="00000000" w:rsidRPr="00000000" w14:paraId="000000E5">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E6">
      <w:pPr>
        <w:widowControl w:val="0"/>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Aperghis, G. G. (2004) </w:t>
      </w:r>
      <w:r w:rsidDel="00000000" w:rsidR="00000000" w:rsidRPr="00000000">
        <w:rPr>
          <w:rFonts w:ascii="Arial" w:cs="Arial" w:eastAsia="Arial" w:hAnsi="Arial"/>
          <w:i w:val="1"/>
          <w:sz w:val="22"/>
          <w:szCs w:val="22"/>
          <w:rtl w:val="0"/>
        </w:rPr>
        <w:t xml:space="preserve">The Seleukid Royal Economy – The Finances and Financial Administration of the Seleukid Empire</w:t>
      </w:r>
      <w:r w:rsidDel="00000000" w:rsidR="00000000" w:rsidRPr="00000000">
        <w:rPr>
          <w:rFonts w:ascii="Arial" w:cs="Arial" w:eastAsia="Arial" w:hAnsi="Arial"/>
          <w:sz w:val="22"/>
          <w:szCs w:val="22"/>
          <w:rtl w:val="0"/>
        </w:rPr>
        <w:t xml:space="preserve">, Cambridge University Press</w:t>
      </w:r>
    </w:p>
    <w:p w:rsidR="00000000" w:rsidDel="00000000" w:rsidP="00000000" w:rsidRDefault="00000000" w:rsidRPr="00000000" w14:paraId="000000E7">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E8">
      <w:pPr>
        <w:widowControl w:val="0"/>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Archibald, Z. H., Davies, J. K., Gabrielsen, V. and Oliver, G. J. (eds.) (2001) Hellenistic Economies, London and New York, Routledge </w:t>
      </w:r>
    </w:p>
    <w:p w:rsidR="00000000" w:rsidDel="00000000" w:rsidP="00000000" w:rsidRDefault="00000000" w:rsidRPr="00000000" w14:paraId="000000E9">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EA">
      <w:pPr>
        <w:widowControl w:val="0"/>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Archibald, Z. H., Davies, J. K. and Gabrielsen, V. (eds.) (2011) </w:t>
      </w:r>
      <w:r w:rsidDel="00000000" w:rsidR="00000000" w:rsidRPr="00000000">
        <w:rPr>
          <w:rFonts w:ascii="Arial" w:cs="Arial" w:eastAsia="Arial" w:hAnsi="Arial"/>
          <w:i w:val="1"/>
          <w:sz w:val="22"/>
          <w:szCs w:val="22"/>
          <w:rtl w:val="0"/>
        </w:rPr>
        <w:t xml:space="preserve">The Economies of Hellenistic Societies Third to First Centuries BC</w:t>
      </w:r>
      <w:r w:rsidDel="00000000" w:rsidR="00000000" w:rsidRPr="00000000">
        <w:rPr>
          <w:rFonts w:ascii="Arial" w:cs="Arial" w:eastAsia="Arial" w:hAnsi="Arial"/>
          <w:sz w:val="22"/>
          <w:szCs w:val="22"/>
          <w:rtl w:val="0"/>
        </w:rPr>
        <w:t xml:space="preserve">, Oxford University Press </w:t>
      </w:r>
    </w:p>
    <w:p w:rsidR="00000000" w:rsidDel="00000000" w:rsidP="00000000" w:rsidRDefault="00000000" w:rsidRPr="00000000" w14:paraId="000000EB">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EC">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Astin, A. E. Roman Government and Politics 200-134 B.C. in Walbank, F. W., Astin, A. E., Fredericksen, M. W. and Ogilvie, R. M. (2006) </w:t>
      </w:r>
      <w:r w:rsidDel="00000000" w:rsidR="00000000" w:rsidRPr="00000000">
        <w:rPr>
          <w:rFonts w:ascii="Arial" w:cs="Arial" w:eastAsia="Arial" w:hAnsi="Arial"/>
          <w:i w:val="1"/>
          <w:sz w:val="22"/>
          <w:szCs w:val="22"/>
          <w:highlight w:val="yellow"/>
          <w:rtl w:val="0"/>
        </w:rPr>
        <w:t xml:space="preserve">The Cambridge Ancient History Second Edition Volume VIII – Rome and the Mediterranean to 133 B.C</w:t>
      </w:r>
      <w:r w:rsidDel="00000000" w:rsidR="00000000" w:rsidRPr="00000000">
        <w:rPr>
          <w:rFonts w:ascii="Arial" w:cs="Arial" w:eastAsia="Arial" w:hAnsi="Arial"/>
          <w:sz w:val="22"/>
          <w:szCs w:val="22"/>
          <w:highlight w:val="yellow"/>
          <w:rtl w:val="0"/>
        </w:rPr>
        <w:t xml:space="preserve">., Cambridge University Press </w:t>
      </w:r>
    </w:p>
    <w:p w:rsidR="00000000" w:rsidDel="00000000" w:rsidP="00000000" w:rsidRDefault="00000000" w:rsidRPr="00000000" w14:paraId="000000ED">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EE">
      <w:pPr>
        <w:ind w:left="566.9291338582675" w:hanging="566.9291338582675"/>
        <w:rPr>
          <w:rFonts w:ascii="Arial" w:cs="Arial" w:eastAsia="Arial" w:hAnsi="Arial"/>
          <w:sz w:val="23"/>
          <w:szCs w:val="23"/>
        </w:rPr>
      </w:pPr>
      <w:r w:rsidDel="00000000" w:rsidR="00000000" w:rsidRPr="00000000">
        <w:rPr>
          <w:rFonts w:ascii="Arial" w:cs="Arial" w:eastAsia="Arial" w:hAnsi="Arial"/>
          <w:sz w:val="22"/>
          <w:szCs w:val="22"/>
          <w:rtl w:val="0"/>
        </w:rPr>
        <w:t xml:space="preserve">Aubert, J. </w:t>
      </w:r>
      <w:r w:rsidDel="00000000" w:rsidR="00000000" w:rsidRPr="00000000">
        <w:rPr>
          <w:rFonts w:ascii="Arial" w:cs="Arial" w:eastAsia="Arial" w:hAnsi="Arial"/>
          <w:sz w:val="23"/>
          <w:szCs w:val="23"/>
          <w:rtl w:val="0"/>
        </w:rPr>
        <w:t xml:space="preserve">The Republican Economy and Roman Law: Regulation, Promotion, or Reflection? in Flower, H.I. (Ed.) (2014) </w:t>
      </w:r>
      <w:r w:rsidDel="00000000" w:rsidR="00000000" w:rsidRPr="00000000">
        <w:rPr>
          <w:rFonts w:ascii="Arial" w:cs="Arial" w:eastAsia="Arial" w:hAnsi="Arial"/>
          <w:i w:val="1"/>
          <w:sz w:val="23"/>
          <w:szCs w:val="23"/>
          <w:rtl w:val="0"/>
        </w:rPr>
        <w:t xml:space="preserve">The Cambridge Companion to the Roman Republic </w:t>
      </w:r>
      <w:r w:rsidDel="00000000" w:rsidR="00000000" w:rsidRPr="00000000">
        <w:rPr>
          <w:rFonts w:ascii="Arial" w:cs="Arial" w:eastAsia="Arial" w:hAnsi="Arial"/>
          <w:sz w:val="23"/>
          <w:szCs w:val="23"/>
          <w:rtl w:val="0"/>
        </w:rPr>
        <w:t xml:space="preserve"> 2nd Ed., Cambridge University Press</w:t>
      </w:r>
    </w:p>
    <w:p w:rsidR="00000000" w:rsidDel="00000000" w:rsidP="00000000" w:rsidRDefault="00000000" w:rsidRPr="00000000" w14:paraId="000000EF">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F0">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F1">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Austin, M. (1986) ‘Hellenistic Kings, War, and the Economy’, </w:t>
      </w:r>
      <w:r w:rsidDel="00000000" w:rsidR="00000000" w:rsidRPr="00000000">
        <w:rPr>
          <w:rFonts w:ascii="Arial" w:cs="Arial" w:eastAsia="Arial" w:hAnsi="Arial"/>
          <w:i w:val="1"/>
          <w:sz w:val="22"/>
          <w:szCs w:val="22"/>
          <w:rtl w:val="0"/>
        </w:rPr>
        <w:t xml:space="preserve">The Classical Quarterly,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36</w:t>
      </w:r>
      <w:r w:rsidDel="00000000" w:rsidR="00000000" w:rsidRPr="00000000">
        <w:rPr>
          <w:rFonts w:ascii="Arial" w:cs="Arial" w:eastAsia="Arial" w:hAnsi="Arial"/>
          <w:sz w:val="22"/>
          <w:szCs w:val="22"/>
          <w:rtl w:val="0"/>
        </w:rPr>
        <w:t xml:space="preserve">(2), 450-466</w:t>
      </w:r>
    </w:p>
    <w:p w:rsidR="00000000" w:rsidDel="00000000" w:rsidP="00000000" w:rsidRDefault="00000000" w:rsidRPr="00000000" w14:paraId="000000F2">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F3">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Austin, M. (2006) </w:t>
      </w:r>
      <w:r w:rsidDel="00000000" w:rsidR="00000000" w:rsidRPr="00000000">
        <w:rPr>
          <w:rFonts w:ascii="Arial" w:cs="Arial" w:eastAsia="Arial" w:hAnsi="Arial"/>
          <w:i w:val="1"/>
          <w:sz w:val="22"/>
          <w:szCs w:val="22"/>
          <w:highlight w:val="yellow"/>
          <w:rtl w:val="0"/>
        </w:rPr>
        <w:t xml:space="preserve">The Hellenistic World from Alexander to the Roman Conquest: A Selection of Ancient Sources in Translation (2</w:t>
      </w:r>
      <w:r w:rsidDel="00000000" w:rsidR="00000000" w:rsidRPr="00000000">
        <w:rPr>
          <w:rFonts w:ascii="Arial" w:cs="Arial" w:eastAsia="Arial" w:hAnsi="Arial"/>
          <w:i w:val="1"/>
          <w:sz w:val="22"/>
          <w:szCs w:val="22"/>
          <w:highlight w:val="yellow"/>
          <w:vertAlign w:val="superscript"/>
          <w:rtl w:val="0"/>
        </w:rPr>
        <w:t xml:space="preserve">nd</w:t>
      </w:r>
      <w:r w:rsidDel="00000000" w:rsidR="00000000" w:rsidRPr="00000000">
        <w:rPr>
          <w:rFonts w:ascii="Arial" w:cs="Arial" w:eastAsia="Arial" w:hAnsi="Arial"/>
          <w:i w:val="1"/>
          <w:sz w:val="22"/>
          <w:szCs w:val="22"/>
          <w:highlight w:val="yellow"/>
          <w:rtl w:val="0"/>
        </w:rPr>
        <w:t xml:space="preserve"> ed.),</w:t>
      </w:r>
      <w:r w:rsidDel="00000000" w:rsidR="00000000" w:rsidRPr="00000000">
        <w:rPr>
          <w:rFonts w:ascii="Arial" w:cs="Arial" w:eastAsia="Arial" w:hAnsi="Arial"/>
          <w:sz w:val="22"/>
          <w:szCs w:val="22"/>
          <w:highlight w:val="yellow"/>
          <w:rtl w:val="0"/>
        </w:rPr>
        <w:t xml:space="preserve"> Cambridge University Press</w:t>
      </w:r>
    </w:p>
    <w:p w:rsidR="00000000" w:rsidDel="00000000" w:rsidP="00000000" w:rsidRDefault="00000000" w:rsidRPr="00000000" w14:paraId="000000F4">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F5">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Badian, E. (1968) </w:t>
      </w:r>
      <w:r w:rsidDel="00000000" w:rsidR="00000000" w:rsidRPr="00000000">
        <w:rPr>
          <w:rFonts w:ascii="Arial" w:cs="Arial" w:eastAsia="Arial" w:hAnsi="Arial"/>
          <w:i w:val="1"/>
          <w:sz w:val="22"/>
          <w:szCs w:val="22"/>
          <w:rtl w:val="0"/>
        </w:rPr>
        <w:t xml:space="preserve">Roman Imperialism in the Late Republic</w:t>
      </w:r>
      <w:r w:rsidDel="00000000" w:rsidR="00000000" w:rsidRPr="00000000">
        <w:rPr>
          <w:rFonts w:ascii="Arial" w:cs="Arial" w:eastAsia="Arial" w:hAnsi="Arial"/>
          <w:sz w:val="22"/>
          <w:szCs w:val="22"/>
          <w:rtl w:val="0"/>
        </w:rPr>
        <w:t xml:space="preserve">, Oxford, Basil Blackwell</w:t>
      </w:r>
    </w:p>
    <w:p w:rsidR="00000000" w:rsidDel="00000000" w:rsidP="00000000" w:rsidRDefault="00000000" w:rsidRPr="00000000" w14:paraId="000000F6">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F7">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Bagnall, R. S. and Derow, P. (2004) </w:t>
      </w:r>
      <w:r w:rsidDel="00000000" w:rsidR="00000000" w:rsidRPr="00000000">
        <w:rPr>
          <w:rFonts w:ascii="Arial" w:cs="Arial" w:eastAsia="Arial" w:hAnsi="Arial"/>
          <w:i w:val="1"/>
          <w:sz w:val="22"/>
          <w:szCs w:val="22"/>
          <w:highlight w:val="yellow"/>
          <w:rtl w:val="0"/>
        </w:rPr>
        <w:t xml:space="preserve">The Hellenistic Period – Historical Sources in Translation</w:t>
      </w:r>
      <w:r w:rsidDel="00000000" w:rsidR="00000000" w:rsidRPr="00000000">
        <w:rPr>
          <w:rFonts w:ascii="Arial" w:cs="Arial" w:eastAsia="Arial" w:hAnsi="Arial"/>
          <w:sz w:val="22"/>
          <w:szCs w:val="22"/>
          <w:highlight w:val="yellow"/>
          <w:rtl w:val="0"/>
        </w:rPr>
        <w:t xml:space="preserve">, Blackwell Publishing</w:t>
      </w:r>
    </w:p>
    <w:p w:rsidR="00000000" w:rsidDel="00000000" w:rsidP="00000000" w:rsidRDefault="00000000" w:rsidRPr="00000000" w14:paraId="000000F8">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F9">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Bar-Kochva, B. (1976) </w:t>
      </w:r>
      <w:r w:rsidDel="00000000" w:rsidR="00000000" w:rsidRPr="00000000">
        <w:rPr>
          <w:rFonts w:ascii="Arial" w:cs="Arial" w:eastAsia="Arial" w:hAnsi="Arial"/>
          <w:i w:val="1"/>
          <w:sz w:val="22"/>
          <w:szCs w:val="22"/>
          <w:rtl w:val="0"/>
        </w:rPr>
        <w:t xml:space="preserve">The Seleucid Army – Organization and Tactics in The Great Campaigns</w:t>
      </w:r>
      <w:r w:rsidDel="00000000" w:rsidR="00000000" w:rsidRPr="00000000">
        <w:rPr>
          <w:rFonts w:ascii="Arial" w:cs="Arial" w:eastAsia="Arial" w:hAnsi="Arial"/>
          <w:sz w:val="22"/>
          <w:szCs w:val="22"/>
          <w:rtl w:val="0"/>
        </w:rPr>
        <w:t xml:space="preserve">, Cambridge University Press</w:t>
      </w:r>
    </w:p>
    <w:p w:rsidR="00000000" w:rsidDel="00000000" w:rsidP="00000000" w:rsidRDefault="00000000" w:rsidRPr="00000000" w14:paraId="000000FA">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FB">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Barlow, C. (1980). The Roman Government and the Roman Economy, 92-80 B.C. The American Journal of Philology, 101(2), 202-219. doi:10.2307/294431</w:t>
      </w:r>
    </w:p>
    <w:p w:rsidR="00000000" w:rsidDel="00000000" w:rsidP="00000000" w:rsidRDefault="00000000" w:rsidRPr="00000000" w14:paraId="000000FC">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FD">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Barry, P. (1910) ‘Antiochus IV, Epiphanes.’ </w:t>
      </w:r>
      <w:r w:rsidDel="00000000" w:rsidR="00000000" w:rsidRPr="00000000">
        <w:rPr>
          <w:rFonts w:ascii="Arial" w:cs="Arial" w:eastAsia="Arial" w:hAnsi="Arial"/>
          <w:i w:val="1"/>
          <w:sz w:val="22"/>
          <w:szCs w:val="22"/>
          <w:highlight w:val="yellow"/>
          <w:rtl w:val="0"/>
        </w:rPr>
        <w:t xml:space="preserve">Journal of Biblical Literature,</w:t>
      </w:r>
      <w:r w:rsidDel="00000000" w:rsidR="00000000" w:rsidRPr="00000000">
        <w:rPr>
          <w:rFonts w:ascii="Arial" w:cs="Arial" w:eastAsia="Arial" w:hAnsi="Arial"/>
          <w:sz w:val="22"/>
          <w:szCs w:val="22"/>
          <w:highlight w:val="yellow"/>
          <w:rtl w:val="0"/>
        </w:rPr>
        <w:t xml:space="preserve"> </w:t>
      </w:r>
      <w:r w:rsidDel="00000000" w:rsidR="00000000" w:rsidRPr="00000000">
        <w:rPr>
          <w:rFonts w:ascii="Arial" w:cs="Arial" w:eastAsia="Arial" w:hAnsi="Arial"/>
          <w:i w:val="1"/>
          <w:sz w:val="22"/>
          <w:szCs w:val="22"/>
          <w:highlight w:val="yellow"/>
          <w:rtl w:val="0"/>
        </w:rPr>
        <w:t xml:space="preserve">29</w:t>
      </w:r>
      <w:r w:rsidDel="00000000" w:rsidR="00000000" w:rsidRPr="00000000">
        <w:rPr>
          <w:rFonts w:ascii="Arial" w:cs="Arial" w:eastAsia="Arial" w:hAnsi="Arial"/>
          <w:sz w:val="22"/>
          <w:szCs w:val="22"/>
          <w:highlight w:val="yellow"/>
          <w:rtl w:val="0"/>
        </w:rPr>
        <w:t xml:space="preserve">(2), 126-138</w:t>
      </w:r>
    </w:p>
    <w:p w:rsidR="00000000" w:rsidDel="00000000" w:rsidP="00000000" w:rsidRDefault="00000000" w:rsidRPr="00000000" w14:paraId="000000FE">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FF">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Beck, H. (ed.) (2013) A Companion to Ancient Greek Government, Wiley-Blackwell</w:t>
      </w:r>
    </w:p>
    <w:p w:rsidR="00000000" w:rsidDel="00000000" w:rsidP="00000000" w:rsidRDefault="00000000" w:rsidRPr="00000000" w14:paraId="00000100">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01">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Bernard, S. (2016) Debt, Land, and Labor in the Early Republican Economy. Phoenix, 70(3/4), 317-338. doi:10.7834/phoenix.70.3-4.0317</w:t>
      </w:r>
    </w:p>
    <w:p w:rsidR="00000000" w:rsidDel="00000000" w:rsidP="00000000" w:rsidRDefault="00000000" w:rsidRPr="00000000" w14:paraId="00000102">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03">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Bevan, E. R. (1902) ‘Antiochus III and His Title 'Great-King'.’ </w:t>
      </w:r>
      <w:r w:rsidDel="00000000" w:rsidR="00000000" w:rsidRPr="00000000">
        <w:rPr>
          <w:rFonts w:ascii="Arial" w:cs="Arial" w:eastAsia="Arial" w:hAnsi="Arial"/>
          <w:i w:val="1"/>
          <w:sz w:val="22"/>
          <w:szCs w:val="22"/>
          <w:highlight w:val="yellow"/>
          <w:rtl w:val="0"/>
        </w:rPr>
        <w:t xml:space="preserve">The Journal of Hellenic Studies</w:t>
      </w:r>
      <w:r w:rsidDel="00000000" w:rsidR="00000000" w:rsidRPr="00000000">
        <w:rPr>
          <w:rFonts w:ascii="Arial" w:cs="Arial" w:eastAsia="Arial" w:hAnsi="Arial"/>
          <w:sz w:val="22"/>
          <w:szCs w:val="22"/>
          <w:highlight w:val="yellow"/>
          <w:rtl w:val="0"/>
        </w:rPr>
        <w:t xml:space="preserve"> 22: 241-44</w:t>
      </w:r>
    </w:p>
    <w:p w:rsidR="00000000" w:rsidDel="00000000" w:rsidP="00000000" w:rsidRDefault="00000000" w:rsidRPr="00000000" w14:paraId="00000104">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05">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Bevan, E. R. (1902) </w:t>
      </w:r>
      <w:r w:rsidDel="00000000" w:rsidR="00000000" w:rsidRPr="00000000">
        <w:rPr>
          <w:rFonts w:ascii="Arial" w:cs="Arial" w:eastAsia="Arial" w:hAnsi="Arial"/>
          <w:i w:val="1"/>
          <w:sz w:val="22"/>
          <w:szCs w:val="22"/>
          <w:highlight w:val="yellow"/>
          <w:rtl w:val="0"/>
        </w:rPr>
        <w:t xml:space="preserve">House of Seleucus Vol. 2</w:t>
      </w:r>
      <w:r w:rsidDel="00000000" w:rsidR="00000000" w:rsidRPr="00000000">
        <w:rPr>
          <w:rFonts w:ascii="Arial" w:cs="Arial" w:eastAsia="Arial" w:hAnsi="Arial"/>
          <w:sz w:val="22"/>
          <w:szCs w:val="22"/>
          <w:highlight w:val="yellow"/>
          <w:rtl w:val="0"/>
        </w:rPr>
        <w:t xml:space="preserve">, London, Edward Arnold</w:t>
      </w:r>
    </w:p>
    <w:p w:rsidR="00000000" w:rsidDel="00000000" w:rsidP="00000000" w:rsidRDefault="00000000" w:rsidRPr="00000000" w14:paraId="00000106">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07">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Billows, R. A. (1997) </w:t>
      </w:r>
      <w:r w:rsidDel="00000000" w:rsidR="00000000" w:rsidRPr="00000000">
        <w:rPr>
          <w:rFonts w:ascii="Arial" w:cs="Arial" w:eastAsia="Arial" w:hAnsi="Arial"/>
          <w:i w:val="1"/>
          <w:sz w:val="22"/>
          <w:szCs w:val="22"/>
          <w:rtl w:val="0"/>
        </w:rPr>
        <w:t xml:space="preserve">Antigonos the One-Eyed and the Creation of the Hellenistic State</w:t>
      </w:r>
      <w:r w:rsidDel="00000000" w:rsidR="00000000" w:rsidRPr="00000000">
        <w:rPr>
          <w:rFonts w:ascii="Arial" w:cs="Arial" w:eastAsia="Arial" w:hAnsi="Arial"/>
          <w:sz w:val="22"/>
          <w:szCs w:val="22"/>
          <w:rtl w:val="0"/>
        </w:rPr>
        <w:t xml:space="preserve">, University of California Press </w:t>
      </w:r>
    </w:p>
    <w:p w:rsidR="00000000" w:rsidDel="00000000" w:rsidP="00000000" w:rsidRDefault="00000000" w:rsidRPr="00000000" w14:paraId="00000108">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09">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Blois, L. and Lo. Cascio, E. (eds.) (2007) The Impact of the Roman Army 200 B.C. – A.D. 476, Leiden and Boston, Brill</w:t>
      </w:r>
    </w:p>
    <w:p w:rsidR="00000000" w:rsidDel="00000000" w:rsidP="00000000" w:rsidRDefault="00000000" w:rsidRPr="00000000" w14:paraId="0000010A">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0B">
      <w:pPr>
        <w:ind w:left="566.9291338582675" w:hanging="566.9291338582675"/>
        <w:rPr>
          <w:rFonts w:ascii="Arial" w:cs="Arial" w:eastAsia="Arial" w:hAnsi="Arial"/>
        </w:rPr>
      </w:pPr>
      <w:r w:rsidDel="00000000" w:rsidR="00000000" w:rsidRPr="00000000">
        <w:rPr>
          <w:rFonts w:ascii="Arial" w:cs="Arial" w:eastAsia="Arial" w:hAnsi="Arial"/>
          <w:sz w:val="22"/>
          <w:szCs w:val="22"/>
          <w:rtl w:val="0"/>
        </w:rPr>
        <w:t xml:space="preserve">Bogaert, R. (1998) ‘Liste géographique des banques et des banquiers de l'Egypte ptolémaïque’, ZPEy 120, p.165-202.</w:t>
      </w:r>
      <w:r w:rsidDel="00000000" w:rsidR="00000000" w:rsidRPr="00000000">
        <w:rPr>
          <w:rtl w:val="0"/>
        </w:rPr>
      </w:r>
    </w:p>
    <w:p w:rsidR="00000000" w:rsidDel="00000000" w:rsidP="00000000" w:rsidRDefault="00000000" w:rsidRPr="00000000" w14:paraId="0000010C">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0D">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Bowman, A. (1986) </w:t>
      </w:r>
      <w:r w:rsidDel="00000000" w:rsidR="00000000" w:rsidRPr="00000000">
        <w:rPr>
          <w:rFonts w:ascii="Arial" w:cs="Arial" w:eastAsia="Arial" w:hAnsi="Arial"/>
          <w:i w:val="1"/>
          <w:sz w:val="22"/>
          <w:szCs w:val="22"/>
          <w:highlight w:val="yellow"/>
          <w:rtl w:val="0"/>
        </w:rPr>
        <w:t xml:space="preserve">Egypt After the Pharaohs – 332 BC – AD642 From Alexander to the Arab Conquest</w:t>
      </w:r>
      <w:r w:rsidDel="00000000" w:rsidR="00000000" w:rsidRPr="00000000">
        <w:rPr>
          <w:rFonts w:ascii="Arial" w:cs="Arial" w:eastAsia="Arial" w:hAnsi="Arial"/>
          <w:sz w:val="22"/>
          <w:szCs w:val="22"/>
          <w:highlight w:val="yellow"/>
          <w:rtl w:val="0"/>
        </w:rPr>
        <w:t xml:space="preserve">, Berkeley and Los Angeles, University of California Press</w:t>
      </w:r>
    </w:p>
    <w:p w:rsidR="00000000" w:rsidDel="00000000" w:rsidP="00000000" w:rsidRDefault="00000000" w:rsidRPr="00000000" w14:paraId="0000010E">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0F">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Bowman, A. and Wilson, A. (eds.) (2011) </w:t>
      </w:r>
      <w:r w:rsidDel="00000000" w:rsidR="00000000" w:rsidRPr="00000000">
        <w:rPr>
          <w:rFonts w:ascii="Arial" w:cs="Arial" w:eastAsia="Arial" w:hAnsi="Arial"/>
          <w:i w:val="1"/>
          <w:sz w:val="22"/>
          <w:szCs w:val="22"/>
          <w:highlight w:val="yellow"/>
          <w:rtl w:val="0"/>
        </w:rPr>
        <w:t xml:space="preserve">Settlement, Urbanization and Population</w:t>
      </w:r>
      <w:r w:rsidDel="00000000" w:rsidR="00000000" w:rsidRPr="00000000">
        <w:rPr>
          <w:rFonts w:ascii="Arial" w:cs="Arial" w:eastAsia="Arial" w:hAnsi="Arial"/>
          <w:sz w:val="22"/>
          <w:szCs w:val="22"/>
          <w:highlight w:val="yellow"/>
          <w:rtl w:val="0"/>
        </w:rPr>
        <w:t xml:space="preserve">, Oxford University Press</w:t>
      </w:r>
    </w:p>
    <w:p w:rsidR="00000000" w:rsidDel="00000000" w:rsidP="00000000" w:rsidRDefault="00000000" w:rsidRPr="00000000" w14:paraId="00000110">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11">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Bowman, A. and Wilson, A. (eds.) (2013) </w:t>
      </w:r>
      <w:r w:rsidDel="00000000" w:rsidR="00000000" w:rsidRPr="00000000">
        <w:rPr>
          <w:rFonts w:ascii="Arial" w:cs="Arial" w:eastAsia="Arial" w:hAnsi="Arial"/>
          <w:i w:val="1"/>
          <w:sz w:val="22"/>
          <w:szCs w:val="22"/>
          <w:highlight w:val="yellow"/>
          <w:rtl w:val="0"/>
        </w:rPr>
        <w:t xml:space="preserve">The Roman Agricultural Economy – Organization, Production and Investment</w:t>
      </w:r>
      <w:r w:rsidDel="00000000" w:rsidR="00000000" w:rsidRPr="00000000">
        <w:rPr>
          <w:rFonts w:ascii="Arial" w:cs="Arial" w:eastAsia="Arial" w:hAnsi="Arial"/>
          <w:sz w:val="22"/>
          <w:szCs w:val="22"/>
          <w:highlight w:val="yellow"/>
          <w:rtl w:val="0"/>
        </w:rPr>
        <w:t xml:space="preserve">, Oxford University Press</w:t>
      </w:r>
    </w:p>
    <w:p w:rsidR="00000000" w:rsidDel="00000000" w:rsidP="00000000" w:rsidRDefault="00000000" w:rsidRPr="00000000" w14:paraId="00000112">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13">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Bradley, K. (1994) </w:t>
      </w:r>
      <w:r w:rsidDel="00000000" w:rsidR="00000000" w:rsidRPr="00000000">
        <w:rPr>
          <w:rFonts w:ascii="Arial" w:cs="Arial" w:eastAsia="Arial" w:hAnsi="Arial"/>
          <w:i w:val="1"/>
          <w:sz w:val="22"/>
          <w:szCs w:val="22"/>
          <w:rtl w:val="0"/>
        </w:rPr>
        <w:t xml:space="preserve">Slavery and Society at Rome</w:t>
      </w:r>
      <w:r w:rsidDel="00000000" w:rsidR="00000000" w:rsidRPr="00000000">
        <w:rPr>
          <w:rFonts w:ascii="Arial" w:cs="Arial" w:eastAsia="Arial" w:hAnsi="Arial"/>
          <w:sz w:val="22"/>
          <w:szCs w:val="22"/>
          <w:rtl w:val="0"/>
        </w:rPr>
        <w:t xml:space="preserve">, Cambridge University Press</w:t>
      </w:r>
    </w:p>
    <w:p w:rsidR="00000000" w:rsidDel="00000000" w:rsidP="00000000" w:rsidRDefault="00000000" w:rsidRPr="00000000" w14:paraId="00000114">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15">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Brunt, P.A. (1987) </w:t>
      </w:r>
      <w:r w:rsidDel="00000000" w:rsidR="00000000" w:rsidRPr="00000000">
        <w:rPr>
          <w:rFonts w:ascii="Arial" w:cs="Arial" w:eastAsia="Arial" w:hAnsi="Arial"/>
          <w:i w:val="1"/>
          <w:sz w:val="22"/>
          <w:szCs w:val="22"/>
          <w:rtl w:val="0"/>
        </w:rPr>
        <w:t xml:space="preserve">Italian Manpower 225 B.C.-A.D.14</w:t>
      </w:r>
      <w:r w:rsidDel="00000000" w:rsidR="00000000" w:rsidRPr="00000000">
        <w:rPr>
          <w:rFonts w:ascii="Arial" w:cs="Arial" w:eastAsia="Arial" w:hAnsi="Arial"/>
          <w:sz w:val="22"/>
          <w:szCs w:val="22"/>
          <w:rtl w:val="0"/>
        </w:rPr>
        <w:t xml:space="preserve">, Oxford at the Clarendon Press</w:t>
      </w:r>
    </w:p>
    <w:p w:rsidR="00000000" w:rsidDel="00000000" w:rsidP="00000000" w:rsidRDefault="00000000" w:rsidRPr="00000000" w14:paraId="00000116">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17">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Burkhalter, F. (2012) ‘Les Grecs en Égypte au III e siècle av. J.-C.’ </w:t>
      </w:r>
      <w:r w:rsidDel="00000000" w:rsidR="00000000" w:rsidRPr="00000000">
        <w:rPr>
          <w:rFonts w:ascii="Arial" w:cs="Arial" w:eastAsia="Arial" w:hAnsi="Arial"/>
          <w:i w:val="1"/>
          <w:sz w:val="22"/>
          <w:szCs w:val="22"/>
          <w:rtl w:val="0"/>
        </w:rPr>
        <w:t xml:space="preserve">Pallas,</w:t>
      </w:r>
      <w:r w:rsidDel="00000000" w:rsidR="00000000" w:rsidRPr="00000000">
        <w:rPr>
          <w:rFonts w:ascii="Arial" w:cs="Arial" w:eastAsia="Arial" w:hAnsi="Arial"/>
          <w:sz w:val="22"/>
          <w:szCs w:val="22"/>
          <w:rtl w:val="0"/>
        </w:rPr>
        <w:t xml:space="preserve"> (89), 307-316. Retrieved October 30, 2020, from http://www.jstor.org/stable/43606168</w:t>
      </w:r>
    </w:p>
    <w:p w:rsidR="00000000" w:rsidDel="00000000" w:rsidP="00000000" w:rsidRDefault="00000000" w:rsidRPr="00000000" w14:paraId="00000118">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19">
      <w:pPr>
        <w:shd w:fill="ffffff" w:val="clear"/>
        <w:spacing w:line="276" w:lineRule="auto"/>
        <w:ind w:left="566.9291338582675" w:hanging="566.9291338582675"/>
        <w:rPr>
          <w:rFonts w:ascii="Arial" w:cs="Arial" w:eastAsia="Arial" w:hAnsi="Arial"/>
          <w:i w:val="1"/>
          <w:color w:val="231f20"/>
          <w:sz w:val="22"/>
          <w:szCs w:val="22"/>
        </w:rPr>
      </w:pPr>
      <w:r w:rsidDel="00000000" w:rsidR="00000000" w:rsidRPr="00000000">
        <w:rPr>
          <w:rFonts w:ascii="Arial" w:cs="Arial" w:eastAsia="Arial" w:hAnsi="Arial"/>
          <w:color w:val="231f20"/>
          <w:sz w:val="22"/>
          <w:szCs w:val="22"/>
          <w:rtl w:val="0"/>
        </w:rPr>
        <w:t xml:space="preserve">Capdetrey, L. (2007) </w:t>
      </w:r>
      <w:r w:rsidDel="00000000" w:rsidR="00000000" w:rsidRPr="00000000">
        <w:rPr>
          <w:rFonts w:ascii="Arial" w:cs="Arial" w:eastAsia="Arial" w:hAnsi="Arial"/>
          <w:i w:val="1"/>
          <w:color w:val="231f20"/>
          <w:sz w:val="22"/>
          <w:szCs w:val="22"/>
          <w:rtl w:val="0"/>
        </w:rPr>
        <w:t xml:space="preserve">Le pouvoir séleucide: territoire, administration, finances d’un</w:t>
      </w:r>
    </w:p>
    <w:p w:rsidR="00000000" w:rsidDel="00000000" w:rsidP="00000000" w:rsidRDefault="00000000" w:rsidRPr="00000000" w14:paraId="0000011A">
      <w:pPr>
        <w:shd w:fill="ffffff" w:val="clear"/>
        <w:spacing w:line="276" w:lineRule="auto"/>
        <w:ind w:left="566.9291338582675" w:hanging="566.9291338582675"/>
        <w:rPr>
          <w:rFonts w:ascii="Arial" w:cs="Arial" w:eastAsia="Arial" w:hAnsi="Arial"/>
          <w:sz w:val="22"/>
          <w:szCs w:val="22"/>
        </w:rPr>
      </w:pPr>
      <w:r w:rsidDel="00000000" w:rsidR="00000000" w:rsidRPr="00000000">
        <w:rPr>
          <w:rFonts w:ascii="Arial" w:cs="Arial" w:eastAsia="Arial" w:hAnsi="Arial"/>
          <w:i w:val="1"/>
          <w:color w:val="231f20"/>
          <w:sz w:val="22"/>
          <w:szCs w:val="22"/>
          <w:rtl w:val="0"/>
        </w:rPr>
        <w:t xml:space="preserve">royaume hellénistique</w:t>
      </w:r>
      <w:r w:rsidDel="00000000" w:rsidR="00000000" w:rsidRPr="00000000">
        <w:rPr>
          <w:rFonts w:ascii="Arial" w:cs="Arial" w:eastAsia="Arial" w:hAnsi="Arial"/>
          <w:color w:val="231f20"/>
          <w:sz w:val="22"/>
          <w:szCs w:val="22"/>
          <w:rtl w:val="0"/>
        </w:rPr>
        <w:t xml:space="preserve"> (312–129 avant J-C). Rennes.</w:t>
      </w:r>
      <w:r w:rsidDel="00000000" w:rsidR="00000000" w:rsidRPr="00000000">
        <w:rPr>
          <w:rtl w:val="0"/>
        </w:rPr>
      </w:r>
    </w:p>
    <w:p w:rsidR="00000000" w:rsidDel="00000000" w:rsidP="00000000" w:rsidRDefault="00000000" w:rsidRPr="00000000" w14:paraId="0000011B">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1C">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Cartledge, P. (2009) </w:t>
      </w:r>
      <w:r w:rsidDel="00000000" w:rsidR="00000000" w:rsidRPr="00000000">
        <w:rPr>
          <w:rFonts w:ascii="Arial" w:cs="Arial" w:eastAsia="Arial" w:hAnsi="Arial"/>
          <w:i w:val="1"/>
          <w:sz w:val="22"/>
          <w:szCs w:val="22"/>
          <w:rtl w:val="0"/>
        </w:rPr>
        <w:t xml:space="preserve">Ancient Greek political thought in practice</w:t>
      </w:r>
      <w:r w:rsidDel="00000000" w:rsidR="00000000" w:rsidRPr="00000000">
        <w:rPr>
          <w:rFonts w:ascii="Arial" w:cs="Arial" w:eastAsia="Arial" w:hAnsi="Arial"/>
          <w:sz w:val="22"/>
          <w:szCs w:val="22"/>
          <w:rtl w:val="0"/>
        </w:rPr>
        <w:t xml:space="preserve">, Cambridge University Press </w:t>
      </w:r>
    </w:p>
    <w:p w:rsidR="00000000" w:rsidDel="00000000" w:rsidP="00000000" w:rsidRDefault="00000000" w:rsidRPr="00000000" w14:paraId="0000011D">
      <w:pPr>
        <w:ind w:left="566.9291338582675" w:hanging="566.9291338582675"/>
        <w:rPr>
          <w:rFonts w:ascii="Arial" w:cs="Arial" w:eastAsia="Arial" w:hAnsi="Arial"/>
          <w:color w:val="333333"/>
          <w:sz w:val="22"/>
          <w:szCs w:val="22"/>
          <w:highlight w:val="yellow"/>
        </w:rPr>
      </w:pPr>
      <w:r w:rsidDel="00000000" w:rsidR="00000000" w:rsidRPr="00000000">
        <w:rPr>
          <w:rtl w:val="0"/>
        </w:rPr>
      </w:r>
    </w:p>
    <w:p w:rsidR="00000000" w:rsidDel="00000000" w:rsidP="00000000" w:rsidRDefault="00000000" w:rsidRPr="00000000" w14:paraId="0000011E">
      <w:pPr>
        <w:ind w:left="566.9291338582675" w:hanging="566.9291338582675"/>
        <w:rPr>
          <w:rFonts w:ascii="Arial" w:cs="Arial" w:eastAsia="Arial" w:hAnsi="Arial"/>
          <w:color w:val="333333"/>
          <w:sz w:val="22"/>
          <w:szCs w:val="22"/>
          <w:highlight w:val="yellow"/>
        </w:rPr>
      </w:pPr>
      <w:r w:rsidDel="00000000" w:rsidR="00000000" w:rsidRPr="00000000">
        <w:rPr>
          <w:rFonts w:ascii="Arial" w:cs="Arial" w:eastAsia="Arial" w:hAnsi="Arial"/>
          <w:color w:val="333333"/>
          <w:sz w:val="22"/>
          <w:szCs w:val="22"/>
          <w:highlight w:val="yellow"/>
          <w:rtl w:val="0"/>
        </w:rPr>
        <w:t xml:space="preserve">Cartwright, M. (2018, April 12). ‘Trade in the Roman World’ </w:t>
      </w:r>
      <w:r w:rsidDel="00000000" w:rsidR="00000000" w:rsidRPr="00000000">
        <w:rPr>
          <w:rFonts w:ascii="Arial" w:cs="Arial" w:eastAsia="Arial" w:hAnsi="Arial"/>
          <w:i w:val="1"/>
          <w:color w:val="333333"/>
          <w:sz w:val="22"/>
          <w:szCs w:val="22"/>
          <w:highlight w:val="yellow"/>
          <w:rtl w:val="0"/>
        </w:rPr>
        <w:t xml:space="preserve">Ancient History Encyclopedia</w:t>
      </w:r>
      <w:r w:rsidDel="00000000" w:rsidR="00000000" w:rsidRPr="00000000">
        <w:rPr>
          <w:rFonts w:ascii="Arial" w:cs="Arial" w:eastAsia="Arial" w:hAnsi="Arial"/>
          <w:color w:val="333333"/>
          <w:sz w:val="22"/>
          <w:szCs w:val="22"/>
          <w:highlight w:val="yellow"/>
          <w:rtl w:val="0"/>
        </w:rPr>
        <w:t xml:space="preserve">. Retrieved from https://www.ancient.eu/article/638/</w:t>
      </w:r>
    </w:p>
    <w:p w:rsidR="00000000" w:rsidDel="00000000" w:rsidP="00000000" w:rsidRDefault="00000000" w:rsidRPr="00000000" w14:paraId="0000011F">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20">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Chamoux, F. (1981) </w:t>
      </w:r>
      <w:r w:rsidDel="00000000" w:rsidR="00000000" w:rsidRPr="00000000">
        <w:rPr>
          <w:rFonts w:ascii="Arial" w:cs="Arial" w:eastAsia="Arial" w:hAnsi="Arial"/>
          <w:i w:val="1"/>
          <w:sz w:val="22"/>
          <w:szCs w:val="22"/>
          <w:rtl w:val="0"/>
        </w:rPr>
        <w:t xml:space="preserve">Hellenistic Civilization</w:t>
      </w:r>
      <w:r w:rsidDel="00000000" w:rsidR="00000000" w:rsidRPr="00000000">
        <w:rPr>
          <w:rFonts w:ascii="Arial" w:cs="Arial" w:eastAsia="Arial" w:hAnsi="Arial"/>
          <w:sz w:val="22"/>
          <w:szCs w:val="22"/>
          <w:rtl w:val="0"/>
        </w:rPr>
        <w:t xml:space="preserve">, Blackwell</w:t>
      </w:r>
    </w:p>
    <w:p w:rsidR="00000000" w:rsidDel="00000000" w:rsidP="00000000" w:rsidRDefault="00000000" w:rsidRPr="00000000" w14:paraId="00000121">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22">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Champion, C. (2007) ‘Empire by Invitation: Greek Political Strategies and Roman Imperial Interventions in the Second Century B.C.E.’ </w:t>
      </w:r>
      <w:r w:rsidDel="00000000" w:rsidR="00000000" w:rsidRPr="00000000">
        <w:rPr>
          <w:rFonts w:ascii="Arial" w:cs="Arial" w:eastAsia="Arial" w:hAnsi="Arial"/>
          <w:i w:val="1"/>
          <w:sz w:val="22"/>
          <w:szCs w:val="22"/>
          <w:rtl w:val="0"/>
        </w:rPr>
        <w:t xml:space="preserve">Transactions of the American Philological Association (1974-),</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137</w:t>
      </w:r>
      <w:r w:rsidDel="00000000" w:rsidR="00000000" w:rsidRPr="00000000">
        <w:rPr>
          <w:rFonts w:ascii="Arial" w:cs="Arial" w:eastAsia="Arial" w:hAnsi="Arial"/>
          <w:sz w:val="22"/>
          <w:szCs w:val="22"/>
          <w:rtl w:val="0"/>
        </w:rPr>
        <w:t xml:space="preserve">(2), 255-275</w:t>
      </w:r>
    </w:p>
    <w:p w:rsidR="00000000" w:rsidDel="00000000" w:rsidP="00000000" w:rsidRDefault="00000000" w:rsidRPr="00000000" w14:paraId="00000123">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24">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Champion, J. (2009) </w:t>
      </w:r>
      <w:r w:rsidDel="00000000" w:rsidR="00000000" w:rsidRPr="00000000">
        <w:rPr>
          <w:rFonts w:ascii="Arial" w:cs="Arial" w:eastAsia="Arial" w:hAnsi="Arial"/>
          <w:i w:val="1"/>
          <w:sz w:val="22"/>
          <w:szCs w:val="22"/>
          <w:highlight w:val="yellow"/>
          <w:rtl w:val="0"/>
        </w:rPr>
        <w:t xml:space="preserve">Pyrrhus of Epirus</w:t>
      </w:r>
      <w:r w:rsidDel="00000000" w:rsidR="00000000" w:rsidRPr="00000000">
        <w:rPr>
          <w:rFonts w:ascii="Arial" w:cs="Arial" w:eastAsia="Arial" w:hAnsi="Arial"/>
          <w:sz w:val="22"/>
          <w:szCs w:val="22"/>
          <w:highlight w:val="yellow"/>
          <w:rtl w:val="0"/>
        </w:rPr>
        <w:t xml:space="preserve">, Pen &amp; Sword Military </w:t>
      </w:r>
    </w:p>
    <w:p w:rsidR="00000000" w:rsidDel="00000000" w:rsidP="00000000" w:rsidRDefault="00000000" w:rsidRPr="00000000" w14:paraId="00000125">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26">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Ciaraldi, M. (2007) </w:t>
      </w:r>
      <w:r w:rsidDel="00000000" w:rsidR="00000000" w:rsidRPr="00000000">
        <w:rPr>
          <w:rFonts w:ascii="Arial" w:cs="Arial" w:eastAsia="Arial" w:hAnsi="Arial"/>
          <w:i w:val="1"/>
          <w:sz w:val="22"/>
          <w:szCs w:val="22"/>
          <w:rtl w:val="0"/>
        </w:rPr>
        <w:t xml:space="preserve">People and Plants From Ancient Pompeii: A New Approach To Urbanism From The Microscope Room. </w:t>
      </w:r>
      <w:r w:rsidDel="00000000" w:rsidR="00000000" w:rsidRPr="00000000">
        <w:rPr>
          <w:rFonts w:ascii="Arial" w:cs="Arial" w:eastAsia="Arial" w:hAnsi="Arial"/>
          <w:sz w:val="22"/>
          <w:szCs w:val="22"/>
          <w:rtl w:val="0"/>
        </w:rPr>
        <w:t xml:space="preserve">London</w:t>
      </w:r>
    </w:p>
    <w:p w:rsidR="00000000" w:rsidDel="00000000" w:rsidP="00000000" w:rsidRDefault="00000000" w:rsidRPr="00000000" w14:paraId="00000127">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28">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Cohen, D. (1957) ‘The Origin of Roman Dictatorship’, </w:t>
      </w:r>
      <w:r w:rsidDel="00000000" w:rsidR="00000000" w:rsidRPr="00000000">
        <w:rPr>
          <w:rFonts w:ascii="Arial" w:cs="Arial" w:eastAsia="Arial" w:hAnsi="Arial"/>
          <w:i w:val="1"/>
          <w:sz w:val="22"/>
          <w:szCs w:val="22"/>
          <w:highlight w:val="yellow"/>
          <w:rtl w:val="0"/>
        </w:rPr>
        <w:t xml:space="preserve">Mnemosyne,</w:t>
      </w:r>
      <w:r w:rsidDel="00000000" w:rsidR="00000000" w:rsidRPr="00000000">
        <w:rPr>
          <w:rFonts w:ascii="Arial" w:cs="Arial" w:eastAsia="Arial" w:hAnsi="Arial"/>
          <w:sz w:val="22"/>
          <w:szCs w:val="22"/>
          <w:highlight w:val="yellow"/>
          <w:rtl w:val="0"/>
        </w:rPr>
        <w:t xml:space="preserve"> </w:t>
      </w:r>
      <w:r w:rsidDel="00000000" w:rsidR="00000000" w:rsidRPr="00000000">
        <w:rPr>
          <w:rFonts w:ascii="Arial" w:cs="Arial" w:eastAsia="Arial" w:hAnsi="Arial"/>
          <w:i w:val="1"/>
          <w:sz w:val="22"/>
          <w:szCs w:val="22"/>
          <w:highlight w:val="yellow"/>
          <w:rtl w:val="0"/>
        </w:rPr>
        <w:t xml:space="preserve">10</w:t>
      </w:r>
      <w:r w:rsidDel="00000000" w:rsidR="00000000" w:rsidRPr="00000000">
        <w:rPr>
          <w:rFonts w:ascii="Arial" w:cs="Arial" w:eastAsia="Arial" w:hAnsi="Arial"/>
          <w:sz w:val="22"/>
          <w:szCs w:val="22"/>
          <w:highlight w:val="yellow"/>
          <w:rtl w:val="0"/>
        </w:rPr>
        <w:t xml:space="preserve">(4), fourth series, 300-318</w:t>
      </w:r>
    </w:p>
    <w:p w:rsidR="00000000" w:rsidDel="00000000" w:rsidP="00000000" w:rsidRDefault="00000000" w:rsidRPr="00000000" w14:paraId="00000129">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2A">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Cornell, T. J. Rome and Latium to 390 B.C. In Walbank, F. W., Astin, A. E., Fredericksen, M. W. and Ogilvie, R. M. (1989) </w:t>
      </w:r>
      <w:r w:rsidDel="00000000" w:rsidR="00000000" w:rsidRPr="00000000">
        <w:rPr>
          <w:rFonts w:ascii="Arial" w:cs="Arial" w:eastAsia="Arial" w:hAnsi="Arial"/>
          <w:i w:val="1"/>
          <w:sz w:val="22"/>
          <w:szCs w:val="22"/>
          <w:rtl w:val="0"/>
        </w:rPr>
        <w:t xml:space="preserve">The Cambridge Ancient History Volume VII, Part 2 – The Rise of Rome to 220 B.C.</w:t>
      </w:r>
      <w:r w:rsidDel="00000000" w:rsidR="00000000" w:rsidRPr="00000000">
        <w:rPr>
          <w:rFonts w:ascii="Arial" w:cs="Arial" w:eastAsia="Arial" w:hAnsi="Arial"/>
          <w:sz w:val="22"/>
          <w:szCs w:val="22"/>
          <w:rtl w:val="0"/>
        </w:rPr>
        <w:t xml:space="preserve">, Cambridge University Press</w:t>
      </w:r>
      <w:r w:rsidDel="00000000" w:rsidR="00000000" w:rsidRPr="00000000">
        <w:rPr>
          <w:rFonts w:ascii="Arial" w:cs="Arial" w:eastAsia="Arial" w:hAnsi="Arial"/>
          <w:sz w:val="22"/>
          <w:szCs w:val="22"/>
          <w:highlight w:val="yellow"/>
          <w:rtl w:val="0"/>
        </w:rPr>
        <w:t xml:space="preserve"> </w:t>
      </w:r>
    </w:p>
    <w:p w:rsidR="00000000" w:rsidDel="00000000" w:rsidP="00000000" w:rsidRDefault="00000000" w:rsidRPr="00000000" w14:paraId="0000012B">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2C">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Christesen, P. and Murray S.C., Macedonian Religion. In Roisman, J and Worthington, I. eds. (2010) </w:t>
      </w:r>
      <w:r w:rsidDel="00000000" w:rsidR="00000000" w:rsidRPr="00000000">
        <w:rPr>
          <w:rFonts w:ascii="Arial" w:cs="Arial" w:eastAsia="Arial" w:hAnsi="Arial"/>
          <w:i w:val="1"/>
          <w:sz w:val="22"/>
          <w:szCs w:val="22"/>
          <w:rtl w:val="0"/>
        </w:rPr>
        <w:t xml:space="preserve">A Companion to Ancient Macedonia</w:t>
      </w:r>
      <w:r w:rsidDel="00000000" w:rsidR="00000000" w:rsidRPr="00000000">
        <w:rPr>
          <w:rFonts w:ascii="Arial" w:cs="Arial" w:eastAsia="Arial" w:hAnsi="Arial"/>
          <w:sz w:val="22"/>
          <w:szCs w:val="22"/>
          <w:rtl w:val="0"/>
        </w:rPr>
        <w:t xml:space="preserve">, Wiley-Blackwell</w:t>
      </w:r>
    </w:p>
    <w:p w:rsidR="00000000" w:rsidDel="00000000" w:rsidP="00000000" w:rsidRDefault="00000000" w:rsidRPr="00000000" w14:paraId="0000012D">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2E">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Chrubasik, B. (2016) </w:t>
      </w:r>
      <w:r w:rsidDel="00000000" w:rsidR="00000000" w:rsidRPr="00000000">
        <w:rPr>
          <w:rFonts w:ascii="Arial" w:cs="Arial" w:eastAsia="Arial" w:hAnsi="Arial"/>
          <w:i w:val="1"/>
          <w:sz w:val="22"/>
          <w:szCs w:val="22"/>
          <w:rtl w:val="0"/>
        </w:rPr>
        <w:t xml:space="preserve">Kings and Usurpers in the Seleukid Empire: The Men Who Would be King</w:t>
      </w:r>
      <w:r w:rsidDel="00000000" w:rsidR="00000000" w:rsidRPr="00000000">
        <w:rPr>
          <w:rFonts w:ascii="Arial" w:cs="Arial" w:eastAsia="Arial" w:hAnsi="Arial"/>
          <w:sz w:val="22"/>
          <w:szCs w:val="22"/>
          <w:rtl w:val="0"/>
        </w:rPr>
        <w:t xml:space="preserve">, Oxford University Press</w:t>
      </w:r>
    </w:p>
    <w:p w:rsidR="00000000" w:rsidDel="00000000" w:rsidP="00000000" w:rsidRDefault="00000000" w:rsidRPr="00000000" w14:paraId="0000012F">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30">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De Ligt, L. Roman Manpower and Recruitment During the Middle Republic. In Erdkamp, P. (ed) (2007) </w:t>
      </w:r>
      <w:r w:rsidDel="00000000" w:rsidR="00000000" w:rsidRPr="00000000">
        <w:rPr>
          <w:rFonts w:ascii="Arial" w:cs="Arial" w:eastAsia="Arial" w:hAnsi="Arial"/>
          <w:i w:val="1"/>
          <w:sz w:val="22"/>
          <w:szCs w:val="22"/>
          <w:rtl w:val="0"/>
        </w:rPr>
        <w:t xml:space="preserve">A Companion to the Roman Army</w:t>
      </w:r>
      <w:r w:rsidDel="00000000" w:rsidR="00000000" w:rsidRPr="00000000">
        <w:rPr>
          <w:rFonts w:ascii="Arial" w:cs="Arial" w:eastAsia="Arial" w:hAnsi="Arial"/>
          <w:sz w:val="22"/>
          <w:szCs w:val="22"/>
          <w:rtl w:val="0"/>
        </w:rPr>
        <w:t xml:space="preserve">, Blackwell Publishing</w:t>
      </w:r>
    </w:p>
    <w:p w:rsidR="00000000" w:rsidDel="00000000" w:rsidP="00000000" w:rsidRDefault="00000000" w:rsidRPr="00000000" w14:paraId="00000131">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32">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Dell, H. J. (1967) ‘Antigonus III and Rome.’ </w:t>
      </w:r>
      <w:r w:rsidDel="00000000" w:rsidR="00000000" w:rsidRPr="00000000">
        <w:rPr>
          <w:rFonts w:ascii="Arial" w:cs="Arial" w:eastAsia="Arial" w:hAnsi="Arial"/>
          <w:i w:val="1"/>
          <w:sz w:val="22"/>
          <w:szCs w:val="22"/>
          <w:highlight w:val="yellow"/>
          <w:rtl w:val="0"/>
        </w:rPr>
        <w:t xml:space="preserve">Classical Philology</w:t>
      </w:r>
      <w:r w:rsidDel="00000000" w:rsidR="00000000" w:rsidRPr="00000000">
        <w:rPr>
          <w:rFonts w:ascii="Arial" w:cs="Arial" w:eastAsia="Arial" w:hAnsi="Arial"/>
          <w:sz w:val="22"/>
          <w:szCs w:val="22"/>
          <w:highlight w:val="yellow"/>
          <w:rtl w:val="0"/>
        </w:rPr>
        <w:t xml:space="preserve"> 62, no. 2: 94-103</w:t>
      </w:r>
    </w:p>
    <w:p w:rsidR="00000000" w:rsidDel="00000000" w:rsidP="00000000" w:rsidRDefault="00000000" w:rsidRPr="00000000" w14:paraId="00000133">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34">
      <w:pPr>
        <w:shd w:fill="ffffff" w:val="clea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Develin, R. (1978) "Provocatio" and Plebiscites. Early Roman Legislation and the Historical Tradition. </w:t>
      </w:r>
      <w:r w:rsidDel="00000000" w:rsidR="00000000" w:rsidRPr="00000000">
        <w:rPr>
          <w:rFonts w:ascii="Arial" w:cs="Arial" w:eastAsia="Arial" w:hAnsi="Arial"/>
          <w:i w:val="1"/>
          <w:sz w:val="22"/>
          <w:szCs w:val="22"/>
          <w:highlight w:val="yellow"/>
          <w:rtl w:val="0"/>
        </w:rPr>
        <w:t xml:space="preserve">Mnemosyne,</w:t>
      </w:r>
      <w:r w:rsidDel="00000000" w:rsidR="00000000" w:rsidRPr="00000000">
        <w:rPr>
          <w:rFonts w:ascii="Arial" w:cs="Arial" w:eastAsia="Arial" w:hAnsi="Arial"/>
          <w:sz w:val="22"/>
          <w:szCs w:val="22"/>
          <w:highlight w:val="yellow"/>
          <w:rtl w:val="0"/>
        </w:rPr>
        <w:t xml:space="preserve"> </w:t>
      </w:r>
      <w:r w:rsidDel="00000000" w:rsidR="00000000" w:rsidRPr="00000000">
        <w:rPr>
          <w:rFonts w:ascii="Arial" w:cs="Arial" w:eastAsia="Arial" w:hAnsi="Arial"/>
          <w:i w:val="1"/>
          <w:sz w:val="22"/>
          <w:szCs w:val="22"/>
          <w:highlight w:val="yellow"/>
          <w:rtl w:val="0"/>
        </w:rPr>
        <w:t xml:space="preserve">31</w:t>
      </w:r>
      <w:r w:rsidDel="00000000" w:rsidR="00000000" w:rsidRPr="00000000">
        <w:rPr>
          <w:rFonts w:ascii="Arial" w:cs="Arial" w:eastAsia="Arial" w:hAnsi="Arial"/>
          <w:sz w:val="22"/>
          <w:szCs w:val="22"/>
          <w:highlight w:val="yellow"/>
          <w:rtl w:val="0"/>
        </w:rPr>
        <w:t xml:space="preserve">(1), fourth series, 45-60, accessed 22 January 2018, &lt;http://www.jstor.org.ezproxy.uwtsd.ac.uk/stable/4430760&gt; </w:t>
      </w:r>
    </w:p>
    <w:p w:rsidR="00000000" w:rsidDel="00000000" w:rsidP="00000000" w:rsidRDefault="00000000" w:rsidRPr="00000000" w14:paraId="00000135">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36">
      <w:pPr>
        <w:shd w:fill="ffffff" w:val="clea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Dillon, M. and Garland, L. (2000) </w:t>
      </w:r>
      <w:r w:rsidDel="00000000" w:rsidR="00000000" w:rsidRPr="00000000">
        <w:rPr>
          <w:rFonts w:ascii="Arial" w:cs="Arial" w:eastAsia="Arial" w:hAnsi="Arial"/>
          <w:i w:val="1"/>
          <w:sz w:val="22"/>
          <w:szCs w:val="22"/>
          <w:highlight w:val="yellow"/>
          <w:rtl w:val="0"/>
        </w:rPr>
        <w:t xml:space="preserve">Ancient Greece: Social and Historical Documents from Archaic Times to the Death of Socrates</w:t>
      </w:r>
      <w:r w:rsidDel="00000000" w:rsidR="00000000" w:rsidRPr="00000000">
        <w:rPr>
          <w:rFonts w:ascii="Arial" w:cs="Arial" w:eastAsia="Arial" w:hAnsi="Arial"/>
          <w:sz w:val="22"/>
          <w:szCs w:val="22"/>
          <w:highlight w:val="yellow"/>
          <w:rtl w:val="0"/>
        </w:rPr>
        <w:t xml:space="preserve"> (c.800–399 BC), London &amp; New York, Routledge</w:t>
      </w:r>
    </w:p>
    <w:p w:rsidR="00000000" w:rsidDel="00000000" w:rsidP="00000000" w:rsidRDefault="00000000" w:rsidRPr="00000000" w14:paraId="00000137">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38">
      <w:pPr>
        <w:widowControl w:val="0"/>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Dittenberger, W., &amp; Hiller, . G. F. (1915). </w:t>
      </w:r>
      <w:r w:rsidDel="00000000" w:rsidR="00000000" w:rsidRPr="00000000">
        <w:rPr>
          <w:rFonts w:ascii="Arial" w:cs="Arial" w:eastAsia="Arial" w:hAnsi="Arial"/>
          <w:i w:val="1"/>
          <w:sz w:val="22"/>
          <w:szCs w:val="22"/>
          <w:rtl w:val="0"/>
        </w:rPr>
        <w:t xml:space="preserve">Sylloge inscriptionum graecarum</w:t>
      </w:r>
      <w:r w:rsidDel="00000000" w:rsidR="00000000" w:rsidRPr="00000000">
        <w:rPr>
          <w:rFonts w:ascii="Arial" w:cs="Arial" w:eastAsia="Arial" w:hAnsi="Arial"/>
          <w:sz w:val="22"/>
          <w:szCs w:val="22"/>
          <w:rtl w:val="0"/>
        </w:rPr>
        <w:t xml:space="preserve">. Leipzig: S. Hirzel. 543. 27-40</w:t>
      </w:r>
    </w:p>
    <w:p w:rsidR="00000000" w:rsidDel="00000000" w:rsidP="00000000" w:rsidRDefault="00000000" w:rsidRPr="00000000" w14:paraId="00000139">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3A">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Droysen, J. G. (1878) </w:t>
      </w:r>
      <w:r w:rsidDel="00000000" w:rsidR="00000000" w:rsidRPr="00000000">
        <w:rPr>
          <w:rFonts w:ascii="Arial" w:cs="Arial" w:eastAsia="Arial" w:hAnsi="Arial"/>
          <w:i w:val="1"/>
          <w:sz w:val="22"/>
          <w:szCs w:val="22"/>
          <w:highlight w:val="yellow"/>
          <w:rtl w:val="0"/>
        </w:rPr>
        <w:t xml:space="preserve">Geschicte des Hellenismus</w:t>
      </w:r>
      <w:r w:rsidDel="00000000" w:rsidR="00000000" w:rsidRPr="00000000">
        <w:rPr>
          <w:rFonts w:ascii="Arial" w:cs="Arial" w:eastAsia="Arial" w:hAnsi="Arial"/>
          <w:sz w:val="22"/>
          <w:szCs w:val="22"/>
          <w:highlight w:val="yellow"/>
          <w:rtl w:val="0"/>
        </w:rPr>
        <w:t xml:space="preserve">, 2 vols., Gotha</w:t>
      </w:r>
    </w:p>
    <w:p w:rsidR="00000000" w:rsidDel="00000000" w:rsidP="00000000" w:rsidRDefault="00000000" w:rsidRPr="00000000" w14:paraId="0000013B">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3C">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Duncan-Jones, R.P. (1990) </w:t>
      </w:r>
      <w:r w:rsidDel="00000000" w:rsidR="00000000" w:rsidRPr="00000000">
        <w:rPr>
          <w:rFonts w:ascii="Arial" w:cs="Arial" w:eastAsia="Arial" w:hAnsi="Arial"/>
          <w:i w:val="1"/>
          <w:sz w:val="22"/>
          <w:szCs w:val="22"/>
          <w:rtl w:val="0"/>
        </w:rPr>
        <w:t xml:space="preserve">Structure and Scale in the Roman Economy, </w:t>
      </w:r>
      <w:r w:rsidDel="00000000" w:rsidR="00000000" w:rsidRPr="00000000">
        <w:rPr>
          <w:rFonts w:ascii="Arial" w:cs="Arial" w:eastAsia="Arial" w:hAnsi="Arial"/>
          <w:sz w:val="22"/>
          <w:szCs w:val="22"/>
          <w:rtl w:val="0"/>
        </w:rPr>
        <w:t xml:space="preserve">Cambridge </w:t>
      </w:r>
    </w:p>
    <w:p w:rsidR="00000000" w:rsidDel="00000000" w:rsidP="00000000" w:rsidRDefault="00000000" w:rsidRPr="00000000" w14:paraId="0000013D">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3E">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Eckstein, A. M. (2006) </w:t>
      </w:r>
      <w:r w:rsidDel="00000000" w:rsidR="00000000" w:rsidRPr="00000000">
        <w:rPr>
          <w:rFonts w:ascii="Arial" w:cs="Arial" w:eastAsia="Arial" w:hAnsi="Arial"/>
          <w:i w:val="1"/>
          <w:sz w:val="22"/>
          <w:szCs w:val="22"/>
          <w:rtl w:val="0"/>
        </w:rPr>
        <w:t xml:space="preserve">Mediterranean Anarchy, Interstate War and the Rise of Rome</w:t>
      </w:r>
      <w:r w:rsidDel="00000000" w:rsidR="00000000" w:rsidRPr="00000000">
        <w:rPr>
          <w:rFonts w:ascii="Arial" w:cs="Arial" w:eastAsia="Arial" w:hAnsi="Arial"/>
          <w:sz w:val="22"/>
          <w:szCs w:val="22"/>
          <w:rtl w:val="0"/>
        </w:rPr>
        <w:t xml:space="preserve">, Berkely, Los Angeles, London; University of California Press </w:t>
      </w:r>
    </w:p>
    <w:p w:rsidR="00000000" w:rsidDel="00000000" w:rsidP="00000000" w:rsidRDefault="00000000" w:rsidRPr="00000000" w14:paraId="0000013F">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40">
      <w:pPr>
        <w:widowControl w:val="0"/>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Eckstein, A. M. (2008) </w:t>
      </w:r>
      <w:r w:rsidDel="00000000" w:rsidR="00000000" w:rsidRPr="00000000">
        <w:rPr>
          <w:rFonts w:ascii="Arial" w:cs="Arial" w:eastAsia="Arial" w:hAnsi="Arial"/>
          <w:i w:val="1"/>
          <w:sz w:val="22"/>
          <w:szCs w:val="22"/>
          <w:rtl w:val="0"/>
        </w:rPr>
        <w:t xml:space="preserve">Rome Enters the Greek East: From Anarchy to Hierarchy in the Hellenistic Mediterranean, 230–170 B.C.</w:t>
      </w:r>
      <w:r w:rsidDel="00000000" w:rsidR="00000000" w:rsidRPr="00000000">
        <w:rPr>
          <w:rFonts w:ascii="Arial" w:cs="Arial" w:eastAsia="Arial" w:hAnsi="Arial"/>
          <w:sz w:val="22"/>
          <w:szCs w:val="22"/>
          <w:rtl w:val="0"/>
        </w:rPr>
        <w:t xml:space="preserve">, Blackwell Publishing </w:t>
      </w:r>
    </w:p>
    <w:p w:rsidR="00000000" w:rsidDel="00000000" w:rsidP="00000000" w:rsidRDefault="00000000" w:rsidRPr="00000000" w14:paraId="00000141">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42">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Eckstein, A. (2009) ‘What is an Empire? Rome and the Greeks after 188 B.C.’ </w:t>
      </w:r>
      <w:r w:rsidDel="00000000" w:rsidR="00000000" w:rsidRPr="00000000">
        <w:rPr>
          <w:rFonts w:ascii="Arial" w:cs="Arial" w:eastAsia="Arial" w:hAnsi="Arial"/>
          <w:i w:val="1"/>
          <w:sz w:val="22"/>
          <w:szCs w:val="22"/>
          <w:rtl w:val="0"/>
        </w:rPr>
        <w:t xml:space="preserve">South Central Review,</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26</w:t>
      </w:r>
      <w:r w:rsidDel="00000000" w:rsidR="00000000" w:rsidRPr="00000000">
        <w:rPr>
          <w:rFonts w:ascii="Arial" w:cs="Arial" w:eastAsia="Arial" w:hAnsi="Arial"/>
          <w:sz w:val="22"/>
          <w:szCs w:val="22"/>
          <w:rtl w:val="0"/>
        </w:rPr>
        <w:t xml:space="preserve">(3), 20-37 </w:t>
      </w:r>
    </w:p>
    <w:p w:rsidR="00000000" w:rsidDel="00000000" w:rsidP="00000000" w:rsidRDefault="00000000" w:rsidRPr="00000000" w14:paraId="00000143">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44">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Ellis, W. M. (1994) Ptolemy of Egypt, Routledge, New York</w:t>
      </w:r>
    </w:p>
    <w:p w:rsidR="00000000" w:rsidDel="00000000" w:rsidP="00000000" w:rsidRDefault="00000000" w:rsidRPr="00000000" w14:paraId="00000145">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46">
      <w:pPr>
        <w:widowControl w:val="0"/>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Erickson, K. Seleucus I, Zeus and Alexander. In Mitchell, L and Melville, C. (2013) </w:t>
      </w:r>
      <w:r w:rsidDel="00000000" w:rsidR="00000000" w:rsidRPr="00000000">
        <w:rPr>
          <w:rFonts w:ascii="Arial" w:cs="Arial" w:eastAsia="Arial" w:hAnsi="Arial"/>
          <w:i w:val="1"/>
          <w:sz w:val="22"/>
          <w:szCs w:val="22"/>
          <w:rtl w:val="0"/>
        </w:rPr>
        <w:t xml:space="preserve">Every Inch a King: Comparative Studies on Kings and Kingship in the Ancient and Medieval Worlds</w:t>
      </w:r>
      <w:r w:rsidDel="00000000" w:rsidR="00000000" w:rsidRPr="00000000">
        <w:rPr>
          <w:rFonts w:ascii="Arial" w:cs="Arial" w:eastAsia="Arial" w:hAnsi="Arial"/>
          <w:sz w:val="22"/>
          <w:szCs w:val="22"/>
          <w:rtl w:val="0"/>
        </w:rPr>
        <w:t xml:space="preserve">, Leiden &amp; Boston, Brill</w:t>
      </w:r>
    </w:p>
    <w:p w:rsidR="00000000" w:rsidDel="00000000" w:rsidP="00000000" w:rsidRDefault="00000000" w:rsidRPr="00000000" w14:paraId="00000147">
      <w:pPr>
        <w:widowControl w:val="0"/>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8">
      <w:pPr>
        <w:widowControl w:val="0"/>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Errington, R. M. (2008) </w:t>
      </w:r>
      <w:r w:rsidDel="00000000" w:rsidR="00000000" w:rsidRPr="00000000">
        <w:rPr>
          <w:rFonts w:ascii="Arial" w:cs="Arial" w:eastAsia="Arial" w:hAnsi="Arial"/>
          <w:i w:val="1"/>
          <w:sz w:val="22"/>
          <w:szCs w:val="22"/>
          <w:rtl w:val="0"/>
        </w:rPr>
        <w:t xml:space="preserve">A History of the Hellenistic World 323-30 B.C.</w:t>
      </w:r>
      <w:r w:rsidDel="00000000" w:rsidR="00000000" w:rsidRPr="00000000">
        <w:rPr>
          <w:rFonts w:ascii="Arial" w:cs="Arial" w:eastAsia="Arial" w:hAnsi="Arial"/>
          <w:sz w:val="22"/>
          <w:szCs w:val="22"/>
          <w:rtl w:val="0"/>
        </w:rPr>
        <w:t xml:space="preserve">, Blackwell Publishing, Oxford</w:t>
      </w:r>
    </w:p>
    <w:p w:rsidR="00000000" w:rsidDel="00000000" w:rsidP="00000000" w:rsidRDefault="00000000" w:rsidRPr="00000000" w14:paraId="00000149">
      <w:pPr>
        <w:widowControl w:val="0"/>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A">
      <w:pPr>
        <w:ind w:left="566.9291338582675" w:hanging="566.9291338582675"/>
        <w:rPr>
          <w:rFonts w:ascii="Arial" w:cs="Arial" w:eastAsia="Arial" w:hAnsi="Arial"/>
          <w:sz w:val="22"/>
          <w:szCs w:val="22"/>
        </w:rPr>
      </w:pPr>
      <w:r w:rsidDel="00000000" w:rsidR="00000000" w:rsidRPr="00000000">
        <w:rPr>
          <w:rFonts w:ascii="Arial" w:cs="Arial" w:eastAsia="Arial" w:hAnsi="Arial"/>
          <w:sz w:val="20"/>
          <w:szCs w:val="20"/>
          <w:rtl w:val="0"/>
        </w:rPr>
        <w:t xml:space="preserve">Errington (2008) in CAH Vol. 8 p. 8</w:t>
      </w:r>
      <w:r w:rsidDel="00000000" w:rsidR="00000000" w:rsidRPr="00000000">
        <w:rPr>
          <w:rtl w:val="0"/>
        </w:rPr>
      </w:r>
    </w:p>
    <w:p w:rsidR="00000000" w:rsidDel="00000000" w:rsidP="00000000" w:rsidRDefault="00000000" w:rsidRPr="00000000" w14:paraId="0000014B">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4C">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Erskine, A. (ed) (2003) </w:t>
      </w:r>
      <w:r w:rsidDel="00000000" w:rsidR="00000000" w:rsidRPr="00000000">
        <w:rPr>
          <w:rFonts w:ascii="Arial" w:cs="Arial" w:eastAsia="Arial" w:hAnsi="Arial"/>
          <w:i w:val="1"/>
          <w:sz w:val="22"/>
          <w:szCs w:val="22"/>
          <w:rtl w:val="0"/>
        </w:rPr>
        <w:t xml:space="preserve">A Companion to the Hellenistic World, </w:t>
      </w:r>
      <w:r w:rsidDel="00000000" w:rsidR="00000000" w:rsidRPr="00000000">
        <w:rPr>
          <w:rFonts w:ascii="Arial" w:cs="Arial" w:eastAsia="Arial" w:hAnsi="Arial"/>
          <w:sz w:val="22"/>
          <w:szCs w:val="22"/>
          <w:rtl w:val="0"/>
        </w:rPr>
        <w:t xml:space="preserve">Blackwell Publishing</w:t>
      </w:r>
    </w:p>
    <w:p w:rsidR="00000000" w:rsidDel="00000000" w:rsidP="00000000" w:rsidRDefault="00000000" w:rsidRPr="00000000" w14:paraId="0000014D">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4E">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Erskine, A. (1991) ‘Hellenistic Monarchy and Roman Political Invective’. </w:t>
      </w:r>
      <w:r w:rsidDel="00000000" w:rsidR="00000000" w:rsidRPr="00000000">
        <w:rPr>
          <w:rFonts w:ascii="Arial" w:cs="Arial" w:eastAsia="Arial" w:hAnsi="Arial"/>
          <w:i w:val="1"/>
          <w:sz w:val="22"/>
          <w:szCs w:val="22"/>
          <w:highlight w:val="yellow"/>
          <w:rtl w:val="0"/>
        </w:rPr>
        <w:t xml:space="preserve">The Classical Quarterly,</w:t>
      </w:r>
      <w:r w:rsidDel="00000000" w:rsidR="00000000" w:rsidRPr="00000000">
        <w:rPr>
          <w:rFonts w:ascii="Arial" w:cs="Arial" w:eastAsia="Arial" w:hAnsi="Arial"/>
          <w:sz w:val="22"/>
          <w:szCs w:val="22"/>
          <w:highlight w:val="yellow"/>
          <w:rtl w:val="0"/>
        </w:rPr>
        <w:t xml:space="preserve"> </w:t>
      </w:r>
      <w:r w:rsidDel="00000000" w:rsidR="00000000" w:rsidRPr="00000000">
        <w:rPr>
          <w:rFonts w:ascii="Arial" w:cs="Arial" w:eastAsia="Arial" w:hAnsi="Arial"/>
          <w:i w:val="1"/>
          <w:sz w:val="22"/>
          <w:szCs w:val="22"/>
          <w:highlight w:val="yellow"/>
          <w:rtl w:val="0"/>
        </w:rPr>
        <w:t xml:space="preserve">41</w:t>
      </w:r>
      <w:r w:rsidDel="00000000" w:rsidR="00000000" w:rsidRPr="00000000">
        <w:rPr>
          <w:rFonts w:ascii="Arial" w:cs="Arial" w:eastAsia="Arial" w:hAnsi="Arial"/>
          <w:sz w:val="22"/>
          <w:szCs w:val="22"/>
          <w:highlight w:val="yellow"/>
          <w:rtl w:val="0"/>
        </w:rPr>
        <w:t xml:space="preserve">(1), 106-120 </w:t>
      </w:r>
    </w:p>
    <w:p w:rsidR="00000000" w:rsidDel="00000000" w:rsidP="00000000" w:rsidRDefault="00000000" w:rsidRPr="00000000" w14:paraId="0000014F">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50">
      <w:pPr>
        <w:spacing w:line="276" w:lineRule="auto"/>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Forni, G. and Marcone, A. (eds.) (2002) </w:t>
      </w:r>
      <w:r w:rsidDel="00000000" w:rsidR="00000000" w:rsidRPr="00000000">
        <w:rPr>
          <w:rFonts w:ascii="Arial" w:cs="Arial" w:eastAsia="Arial" w:hAnsi="Arial"/>
          <w:i w:val="1"/>
          <w:sz w:val="22"/>
          <w:szCs w:val="22"/>
          <w:rtl w:val="0"/>
        </w:rPr>
        <w:t xml:space="preserve">Storia dell’agricoltura italiana I.2: l’et`a romana.</w:t>
      </w:r>
      <w:r w:rsidDel="00000000" w:rsidR="00000000" w:rsidRPr="00000000">
        <w:rPr>
          <w:rFonts w:ascii="Arial" w:cs="Arial" w:eastAsia="Arial" w:hAnsi="Arial"/>
          <w:sz w:val="22"/>
          <w:szCs w:val="22"/>
          <w:rtl w:val="0"/>
        </w:rPr>
        <w:t xml:space="preserve"> Florence.</w:t>
      </w:r>
    </w:p>
    <w:p w:rsidR="00000000" w:rsidDel="00000000" w:rsidP="00000000" w:rsidRDefault="00000000" w:rsidRPr="00000000" w14:paraId="00000151">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52">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Freely, J. (2010) The Children of Achilles: The Greeks in Asia Minor Since the Time of Achilles, London &amp; New York, I B Tauris</w:t>
      </w:r>
    </w:p>
    <w:p w:rsidR="00000000" w:rsidDel="00000000" w:rsidP="00000000" w:rsidRDefault="00000000" w:rsidRPr="00000000" w14:paraId="00000153">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54">
      <w:pPr>
        <w:spacing w:line="240" w:lineRule="auto"/>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Gauthier, P. (1989) Nouvelles inscriptions de Sardes II (Archaeological Exploration</w:t>
      </w:r>
    </w:p>
    <w:p w:rsidR="00000000" w:rsidDel="00000000" w:rsidP="00000000" w:rsidRDefault="00000000" w:rsidRPr="00000000" w14:paraId="00000155">
      <w:pPr>
        <w:spacing w:line="240" w:lineRule="auto"/>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 of Sardis / École Pratique des hautes études , IVe section. Hautes Études </w:t>
      </w:r>
    </w:p>
    <w:p w:rsidR="00000000" w:rsidDel="00000000" w:rsidP="00000000" w:rsidRDefault="00000000" w:rsidRPr="00000000" w14:paraId="00000156">
      <w:pPr>
        <w:spacing w:line="240" w:lineRule="auto"/>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du Monde Gréco - Roma in 15), Paris and Geneva : Droz.</w:t>
      </w:r>
    </w:p>
    <w:p w:rsidR="00000000" w:rsidDel="00000000" w:rsidP="00000000" w:rsidRDefault="00000000" w:rsidRPr="00000000" w14:paraId="00000157">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58">
      <w:pPr>
        <w:ind w:left="566.9291338582675" w:hanging="566.9291338582675"/>
        <w:rPr>
          <w:rFonts w:ascii="Arial" w:cs="Arial" w:eastAsia="Arial" w:hAnsi="Arial"/>
          <w:color w:val="0000ff"/>
          <w:sz w:val="22"/>
          <w:szCs w:val="22"/>
          <w:highlight w:val="yellow"/>
          <w:u w:val="single"/>
        </w:rPr>
      </w:pPr>
      <w:r w:rsidDel="00000000" w:rsidR="00000000" w:rsidRPr="00000000">
        <w:rPr>
          <w:rFonts w:ascii="Arial" w:cs="Arial" w:eastAsia="Arial" w:hAnsi="Arial"/>
          <w:sz w:val="22"/>
          <w:szCs w:val="22"/>
          <w:highlight w:val="yellow"/>
          <w:rtl w:val="0"/>
        </w:rPr>
        <w:t xml:space="preserve">Gotter, U. (2008) ‘Cultural Differences and Cross-Cultural Contact: Greek and Roman Concepts of Power’, </w:t>
      </w:r>
      <w:r w:rsidDel="00000000" w:rsidR="00000000" w:rsidRPr="00000000">
        <w:rPr>
          <w:rFonts w:ascii="Arial" w:cs="Arial" w:eastAsia="Arial" w:hAnsi="Arial"/>
          <w:i w:val="1"/>
          <w:sz w:val="22"/>
          <w:szCs w:val="22"/>
          <w:highlight w:val="yellow"/>
          <w:rtl w:val="0"/>
        </w:rPr>
        <w:t xml:space="preserve">Harvard Studies in Classical Philology,</w:t>
      </w:r>
      <w:r w:rsidDel="00000000" w:rsidR="00000000" w:rsidRPr="00000000">
        <w:rPr>
          <w:rFonts w:ascii="Arial" w:cs="Arial" w:eastAsia="Arial" w:hAnsi="Arial"/>
          <w:sz w:val="22"/>
          <w:szCs w:val="22"/>
          <w:highlight w:val="yellow"/>
          <w:rtl w:val="0"/>
        </w:rPr>
        <w:t xml:space="preserve"> </w:t>
      </w:r>
      <w:r w:rsidDel="00000000" w:rsidR="00000000" w:rsidRPr="00000000">
        <w:rPr>
          <w:rFonts w:ascii="Arial" w:cs="Arial" w:eastAsia="Arial" w:hAnsi="Arial"/>
          <w:i w:val="1"/>
          <w:sz w:val="22"/>
          <w:szCs w:val="22"/>
          <w:highlight w:val="yellow"/>
          <w:rtl w:val="0"/>
        </w:rPr>
        <w:t xml:space="preserve">104</w:t>
      </w:r>
      <w:r w:rsidDel="00000000" w:rsidR="00000000" w:rsidRPr="00000000">
        <w:rPr>
          <w:rFonts w:ascii="Arial" w:cs="Arial" w:eastAsia="Arial" w:hAnsi="Arial"/>
          <w:sz w:val="22"/>
          <w:szCs w:val="22"/>
          <w:highlight w:val="yellow"/>
          <w:rtl w:val="0"/>
        </w:rPr>
        <w:t xml:space="preserve">, 179-230</w:t>
      </w:r>
      <w:r w:rsidDel="00000000" w:rsidR="00000000" w:rsidRPr="00000000">
        <w:rPr>
          <w:rtl w:val="0"/>
        </w:rPr>
      </w:r>
    </w:p>
    <w:p w:rsidR="00000000" w:rsidDel="00000000" w:rsidP="00000000" w:rsidRDefault="00000000" w:rsidRPr="00000000" w14:paraId="00000159">
      <w:pPr>
        <w:ind w:left="566.9291338582675" w:hanging="566.9291338582675"/>
        <w:rPr>
          <w:rFonts w:ascii="Arial" w:cs="Arial" w:eastAsia="Arial" w:hAnsi="Arial"/>
          <w:color w:val="0000ff"/>
          <w:sz w:val="22"/>
          <w:szCs w:val="22"/>
          <w:highlight w:val="yellow"/>
          <w:u w:val="single"/>
        </w:rPr>
      </w:pPr>
      <w:r w:rsidDel="00000000" w:rsidR="00000000" w:rsidRPr="00000000">
        <w:rPr>
          <w:rtl w:val="0"/>
        </w:rPr>
      </w:r>
    </w:p>
    <w:p w:rsidR="00000000" w:rsidDel="00000000" w:rsidP="00000000" w:rsidRDefault="00000000" w:rsidRPr="00000000" w14:paraId="0000015A">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Gabelko, O. L. The Dynastic History of the Hellenistic Monarchies of Asia Minor According to the </w:t>
      </w:r>
      <w:r w:rsidDel="00000000" w:rsidR="00000000" w:rsidRPr="00000000">
        <w:rPr>
          <w:rFonts w:ascii="Arial" w:cs="Arial" w:eastAsia="Arial" w:hAnsi="Arial"/>
          <w:i w:val="1"/>
          <w:sz w:val="22"/>
          <w:szCs w:val="22"/>
          <w:highlight w:val="yellow"/>
          <w:rtl w:val="0"/>
        </w:rPr>
        <w:t xml:space="preserve">Chronography </w:t>
      </w:r>
      <w:r w:rsidDel="00000000" w:rsidR="00000000" w:rsidRPr="00000000">
        <w:rPr>
          <w:rFonts w:ascii="Arial" w:cs="Arial" w:eastAsia="Arial" w:hAnsi="Arial"/>
          <w:sz w:val="22"/>
          <w:szCs w:val="22"/>
          <w:highlight w:val="yellow"/>
          <w:rtl w:val="0"/>
        </w:rPr>
        <w:t xml:space="preserve">of George Synkellos. In </w:t>
      </w:r>
      <w:r w:rsidDel="00000000" w:rsidR="00000000" w:rsidRPr="00000000">
        <w:rPr>
          <w:rFonts w:ascii="Arial" w:cs="Arial" w:eastAsia="Arial" w:hAnsi="Arial"/>
          <w:i w:val="1"/>
          <w:sz w:val="22"/>
          <w:szCs w:val="22"/>
          <w:highlight w:val="yellow"/>
          <w:rtl w:val="0"/>
        </w:rPr>
        <w:t xml:space="preserve">Højte</w:t>
      </w:r>
      <w:r w:rsidDel="00000000" w:rsidR="00000000" w:rsidRPr="00000000">
        <w:rPr>
          <w:rFonts w:ascii="Arial" w:cs="Arial" w:eastAsia="Arial" w:hAnsi="Arial"/>
          <w:sz w:val="22"/>
          <w:szCs w:val="22"/>
          <w:highlight w:val="yellow"/>
          <w:rtl w:val="0"/>
        </w:rPr>
        <w:t xml:space="preserve"> J. M. (ed.) (2009) </w:t>
      </w:r>
      <w:r w:rsidDel="00000000" w:rsidR="00000000" w:rsidRPr="00000000">
        <w:rPr>
          <w:rFonts w:ascii="Arial" w:cs="Arial" w:eastAsia="Arial" w:hAnsi="Arial"/>
          <w:i w:val="1"/>
          <w:sz w:val="22"/>
          <w:szCs w:val="22"/>
          <w:highlight w:val="yellow"/>
          <w:rtl w:val="0"/>
        </w:rPr>
        <w:t xml:space="preserve">Mithridates VI and the Pontic Kingdom</w:t>
      </w:r>
      <w:r w:rsidDel="00000000" w:rsidR="00000000" w:rsidRPr="00000000">
        <w:rPr>
          <w:rFonts w:ascii="Arial" w:cs="Arial" w:eastAsia="Arial" w:hAnsi="Arial"/>
          <w:sz w:val="22"/>
          <w:szCs w:val="22"/>
          <w:highlight w:val="yellow"/>
          <w:rtl w:val="0"/>
        </w:rPr>
        <w:t xml:space="preserve">, Aarhus University press</w:t>
      </w:r>
    </w:p>
    <w:p w:rsidR="00000000" w:rsidDel="00000000" w:rsidP="00000000" w:rsidRDefault="00000000" w:rsidRPr="00000000" w14:paraId="0000015B">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5C">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Garland, Y. (1976) </w:t>
      </w:r>
      <w:r w:rsidDel="00000000" w:rsidR="00000000" w:rsidRPr="00000000">
        <w:rPr>
          <w:rFonts w:ascii="Arial" w:cs="Arial" w:eastAsia="Arial" w:hAnsi="Arial"/>
          <w:i w:val="1"/>
          <w:sz w:val="22"/>
          <w:szCs w:val="22"/>
          <w:rtl w:val="0"/>
        </w:rPr>
        <w:t xml:space="preserve">War in the Ancient World: A Social History</w:t>
      </w:r>
      <w:r w:rsidDel="00000000" w:rsidR="00000000" w:rsidRPr="00000000">
        <w:rPr>
          <w:rFonts w:ascii="Arial" w:cs="Arial" w:eastAsia="Arial" w:hAnsi="Arial"/>
          <w:sz w:val="22"/>
          <w:szCs w:val="22"/>
          <w:rtl w:val="0"/>
        </w:rPr>
        <w:t xml:space="preserve">, translated from French by Janet Lloyd, Chatto &amp; Windus, London</w:t>
      </w:r>
      <w:r w:rsidDel="00000000" w:rsidR="00000000" w:rsidRPr="00000000">
        <w:rPr>
          <w:rtl w:val="0"/>
        </w:rPr>
      </w:r>
    </w:p>
    <w:p w:rsidR="00000000" w:rsidDel="00000000" w:rsidP="00000000" w:rsidRDefault="00000000" w:rsidRPr="00000000" w14:paraId="0000015D">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5E">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Grafton, A., &amp; Swerdlow, N. (1985). Technical Chronology and Astrological History in Varro, Censorinus and Others. </w:t>
      </w:r>
      <w:r w:rsidDel="00000000" w:rsidR="00000000" w:rsidRPr="00000000">
        <w:rPr>
          <w:rFonts w:ascii="Arial" w:cs="Arial" w:eastAsia="Arial" w:hAnsi="Arial"/>
          <w:i w:val="1"/>
          <w:sz w:val="22"/>
          <w:szCs w:val="22"/>
          <w:rtl w:val="0"/>
        </w:rPr>
        <w:t xml:space="preserve">The Classical Quarterly,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35</w:t>
      </w:r>
      <w:r w:rsidDel="00000000" w:rsidR="00000000" w:rsidRPr="00000000">
        <w:rPr>
          <w:rFonts w:ascii="Arial" w:cs="Arial" w:eastAsia="Arial" w:hAnsi="Arial"/>
          <w:sz w:val="22"/>
          <w:szCs w:val="22"/>
          <w:rtl w:val="0"/>
        </w:rPr>
        <w:t xml:space="preserve">(2), 454-465. Retrieved November 22, 2020, from http://www.jstor.org/stable/639075</w:t>
      </w:r>
    </w:p>
    <w:p w:rsidR="00000000" w:rsidDel="00000000" w:rsidP="00000000" w:rsidRDefault="00000000" w:rsidRPr="00000000" w14:paraId="0000015F">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60">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Grainger, J. D. (2017) </w:t>
      </w:r>
      <w:r w:rsidDel="00000000" w:rsidR="00000000" w:rsidRPr="00000000">
        <w:rPr>
          <w:rFonts w:ascii="Arial" w:cs="Arial" w:eastAsia="Arial" w:hAnsi="Arial"/>
          <w:i w:val="1"/>
          <w:sz w:val="22"/>
          <w:szCs w:val="22"/>
          <w:rtl w:val="0"/>
        </w:rPr>
        <w:t xml:space="preserve">Great Power Diplomacy in the Hellenistic World</w:t>
      </w:r>
      <w:r w:rsidDel="00000000" w:rsidR="00000000" w:rsidRPr="00000000">
        <w:rPr>
          <w:rFonts w:ascii="Arial" w:cs="Arial" w:eastAsia="Arial" w:hAnsi="Arial"/>
          <w:sz w:val="22"/>
          <w:szCs w:val="22"/>
          <w:rtl w:val="0"/>
        </w:rPr>
        <w:t xml:space="preserve">, London &amp; New York, Routledge</w:t>
      </w:r>
    </w:p>
    <w:p w:rsidR="00000000" w:rsidDel="00000000" w:rsidP="00000000" w:rsidRDefault="00000000" w:rsidRPr="00000000" w14:paraId="00000161">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62">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Grainger, J. D. (2015) </w:t>
      </w:r>
      <w:r w:rsidDel="00000000" w:rsidR="00000000" w:rsidRPr="00000000">
        <w:rPr>
          <w:rFonts w:ascii="Arial" w:cs="Arial" w:eastAsia="Arial" w:hAnsi="Arial"/>
          <w:i w:val="1"/>
          <w:sz w:val="22"/>
          <w:szCs w:val="22"/>
          <w:highlight w:val="yellow"/>
          <w:rtl w:val="0"/>
        </w:rPr>
        <w:t xml:space="preserve">The Seleukid Empire of Antiochus III – 223-187 BC</w:t>
      </w:r>
      <w:r w:rsidDel="00000000" w:rsidR="00000000" w:rsidRPr="00000000">
        <w:rPr>
          <w:rFonts w:ascii="Arial" w:cs="Arial" w:eastAsia="Arial" w:hAnsi="Arial"/>
          <w:sz w:val="22"/>
          <w:szCs w:val="22"/>
          <w:highlight w:val="yellow"/>
          <w:rtl w:val="0"/>
        </w:rPr>
        <w:t xml:space="preserve">, Pen &amp; Sword Military</w:t>
      </w:r>
    </w:p>
    <w:p w:rsidR="00000000" w:rsidDel="00000000" w:rsidP="00000000" w:rsidRDefault="00000000" w:rsidRPr="00000000" w14:paraId="00000163">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64">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Grainger, J. D. (2015) </w:t>
      </w:r>
      <w:r w:rsidDel="00000000" w:rsidR="00000000" w:rsidRPr="00000000">
        <w:rPr>
          <w:rFonts w:ascii="Arial" w:cs="Arial" w:eastAsia="Arial" w:hAnsi="Arial"/>
          <w:i w:val="1"/>
          <w:sz w:val="22"/>
          <w:szCs w:val="22"/>
          <w:highlight w:val="yellow"/>
          <w:rtl w:val="0"/>
        </w:rPr>
        <w:t xml:space="preserve">The Fall of the Seleukid Empire – 187-75 BC</w:t>
      </w:r>
      <w:r w:rsidDel="00000000" w:rsidR="00000000" w:rsidRPr="00000000">
        <w:rPr>
          <w:rFonts w:ascii="Arial" w:cs="Arial" w:eastAsia="Arial" w:hAnsi="Arial"/>
          <w:sz w:val="22"/>
          <w:szCs w:val="22"/>
          <w:highlight w:val="yellow"/>
          <w:rtl w:val="0"/>
        </w:rPr>
        <w:t xml:space="preserve">, Pen &amp; Sword Military</w:t>
      </w:r>
    </w:p>
    <w:p w:rsidR="00000000" w:rsidDel="00000000" w:rsidP="00000000" w:rsidRDefault="00000000" w:rsidRPr="00000000" w14:paraId="00000165">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66">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Green, P. (1990) </w:t>
      </w:r>
      <w:r w:rsidDel="00000000" w:rsidR="00000000" w:rsidRPr="00000000">
        <w:rPr>
          <w:rFonts w:ascii="Arial" w:cs="Arial" w:eastAsia="Arial" w:hAnsi="Arial"/>
          <w:i w:val="1"/>
          <w:sz w:val="22"/>
          <w:szCs w:val="22"/>
          <w:rtl w:val="0"/>
        </w:rPr>
        <w:t xml:space="preserve">Alexander to Actium – The historical Evolution of the Hellenistic Age</w:t>
      </w:r>
      <w:r w:rsidDel="00000000" w:rsidR="00000000" w:rsidRPr="00000000">
        <w:rPr>
          <w:rFonts w:ascii="Arial" w:cs="Arial" w:eastAsia="Arial" w:hAnsi="Arial"/>
          <w:sz w:val="22"/>
          <w:szCs w:val="22"/>
          <w:rtl w:val="0"/>
        </w:rPr>
        <w:t xml:space="preserve">, Berkely, Los Angeles; University of California Press</w:t>
      </w:r>
    </w:p>
    <w:p w:rsidR="00000000" w:rsidDel="00000000" w:rsidP="00000000" w:rsidRDefault="00000000" w:rsidRPr="00000000" w14:paraId="00000167">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68">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Green, P. (2007) </w:t>
      </w:r>
      <w:r w:rsidDel="00000000" w:rsidR="00000000" w:rsidRPr="00000000">
        <w:rPr>
          <w:rFonts w:ascii="Arial" w:cs="Arial" w:eastAsia="Arial" w:hAnsi="Arial"/>
          <w:i w:val="1"/>
          <w:sz w:val="22"/>
          <w:szCs w:val="22"/>
          <w:rtl w:val="0"/>
        </w:rPr>
        <w:t xml:space="preserve">Alexander the Great and the Hellenistic Age</w:t>
      </w:r>
      <w:r w:rsidDel="00000000" w:rsidR="00000000" w:rsidRPr="00000000">
        <w:rPr>
          <w:rFonts w:ascii="Arial" w:cs="Arial" w:eastAsia="Arial" w:hAnsi="Arial"/>
          <w:sz w:val="22"/>
          <w:szCs w:val="22"/>
          <w:rtl w:val="0"/>
        </w:rPr>
        <w:t xml:space="preserve">, London, Weidenfeld and Nicholson </w:t>
      </w:r>
    </w:p>
    <w:p w:rsidR="00000000" w:rsidDel="00000000" w:rsidP="00000000" w:rsidRDefault="00000000" w:rsidRPr="00000000" w14:paraId="00000169">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6A">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Greenwalt, W.S. Thracian and Macedonian Kingship in Valeva, J., Nankov, E. and Graninger, D. (2015) </w:t>
      </w:r>
      <w:r w:rsidDel="00000000" w:rsidR="00000000" w:rsidRPr="00000000">
        <w:rPr>
          <w:rFonts w:ascii="Arial" w:cs="Arial" w:eastAsia="Arial" w:hAnsi="Arial"/>
          <w:i w:val="1"/>
          <w:sz w:val="22"/>
          <w:szCs w:val="22"/>
          <w:rtl w:val="0"/>
        </w:rPr>
        <w:t xml:space="preserve">A Companion to Ancient Thrace</w:t>
      </w:r>
      <w:r w:rsidDel="00000000" w:rsidR="00000000" w:rsidRPr="00000000">
        <w:rPr>
          <w:rFonts w:ascii="Arial" w:cs="Arial" w:eastAsia="Arial" w:hAnsi="Arial"/>
          <w:sz w:val="22"/>
          <w:szCs w:val="22"/>
          <w:rtl w:val="0"/>
        </w:rPr>
        <w:t xml:space="preserve">, Wiley Blackwell</w:t>
      </w:r>
    </w:p>
    <w:p w:rsidR="00000000" w:rsidDel="00000000" w:rsidP="00000000" w:rsidRDefault="00000000" w:rsidRPr="00000000" w14:paraId="0000016B">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6C">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Gruen, E. S. (1993) in Bulloch, A. W., Gruen, E. S., Long, A. A. and Stewart, A. (1993) </w:t>
      </w:r>
      <w:r w:rsidDel="00000000" w:rsidR="00000000" w:rsidRPr="00000000">
        <w:rPr>
          <w:rFonts w:ascii="Arial" w:cs="Arial" w:eastAsia="Arial" w:hAnsi="Arial"/>
          <w:i w:val="1"/>
          <w:sz w:val="22"/>
          <w:szCs w:val="22"/>
          <w:rtl w:val="0"/>
        </w:rPr>
        <w:t xml:space="preserve">Images and Ideologies: Self-Definition in the Hellenistic World</w:t>
      </w:r>
      <w:r w:rsidDel="00000000" w:rsidR="00000000" w:rsidRPr="00000000">
        <w:rPr>
          <w:rFonts w:ascii="Arial" w:cs="Arial" w:eastAsia="Arial" w:hAnsi="Arial"/>
          <w:sz w:val="22"/>
          <w:szCs w:val="22"/>
          <w:rtl w:val="0"/>
        </w:rPr>
        <w:t xml:space="preserve">, Berkely, Los Angeles, London; University of California Press; </w:t>
      </w:r>
    </w:p>
    <w:p w:rsidR="00000000" w:rsidDel="00000000" w:rsidP="00000000" w:rsidRDefault="00000000" w:rsidRPr="00000000" w14:paraId="0000016D">
      <w:pPr>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E">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Gruen, E.S. (1992) </w:t>
      </w:r>
      <w:r w:rsidDel="00000000" w:rsidR="00000000" w:rsidRPr="00000000">
        <w:rPr>
          <w:rFonts w:ascii="Arial" w:cs="Arial" w:eastAsia="Arial" w:hAnsi="Arial"/>
          <w:i w:val="1"/>
          <w:sz w:val="22"/>
          <w:szCs w:val="22"/>
          <w:rtl w:val="0"/>
        </w:rPr>
        <w:t xml:space="preserve">Culture and National Identity in Rome, </w:t>
      </w:r>
      <w:r w:rsidDel="00000000" w:rsidR="00000000" w:rsidRPr="00000000">
        <w:rPr>
          <w:rFonts w:ascii="Arial" w:cs="Arial" w:eastAsia="Arial" w:hAnsi="Arial"/>
          <w:sz w:val="22"/>
          <w:szCs w:val="22"/>
          <w:rtl w:val="0"/>
        </w:rPr>
        <w:t xml:space="preserve">Cornell University Press, Ithaca</w:t>
      </w:r>
    </w:p>
    <w:p w:rsidR="00000000" w:rsidDel="00000000" w:rsidP="00000000" w:rsidRDefault="00000000" w:rsidRPr="00000000" w14:paraId="0000016F">
      <w:pPr>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0">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Gruen, E. S. (1986) </w:t>
      </w:r>
      <w:r w:rsidDel="00000000" w:rsidR="00000000" w:rsidRPr="00000000">
        <w:rPr>
          <w:rFonts w:ascii="Arial" w:cs="Arial" w:eastAsia="Arial" w:hAnsi="Arial"/>
          <w:i w:val="1"/>
          <w:sz w:val="22"/>
          <w:szCs w:val="22"/>
          <w:rtl w:val="0"/>
        </w:rPr>
        <w:t xml:space="preserve">The Hellenistic World and the Coming of Rome</w:t>
      </w:r>
      <w:r w:rsidDel="00000000" w:rsidR="00000000" w:rsidRPr="00000000">
        <w:rPr>
          <w:rFonts w:ascii="Arial" w:cs="Arial" w:eastAsia="Arial" w:hAnsi="Arial"/>
          <w:sz w:val="22"/>
          <w:szCs w:val="22"/>
          <w:rtl w:val="0"/>
        </w:rPr>
        <w:t xml:space="preserve">, Berkely, University of California Press</w:t>
      </w:r>
      <w:r w:rsidDel="00000000" w:rsidR="00000000" w:rsidRPr="00000000">
        <w:rPr>
          <w:rtl w:val="0"/>
        </w:rPr>
      </w:r>
    </w:p>
    <w:p w:rsidR="00000000" w:rsidDel="00000000" w:rsidP="00000000" w:rsidRDefault="00000000" w:rsidRPr="00000000" w14:paraId="00000171">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72">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Habicht, C. (2006) </w:t>
      </w:r>
      <w:r w:rsidDel="00000000" w:rsidR="00000000" w:rsidRPr="00000000">
        <w:rPr>
          <w:rFonts w:ascii="Arial" w:cs="Arial" w:eastAsia="Arial" w:hAnsi="Arial"/>
          <w:i w:val="1"/>
          <w:sz w:val="22"/>
          <w:szCs w:val="22"/>
          <w:highlight w:val="yellow"/>
          <w:rtl w:val="0"/>
        </w:rPr>
        <w:t xml:space="preserve">The Hellenistic Monarchies</w:t>
      </w:r>
      <w:r w:rsidDel="00000000" w:rsidR="00000000" w:rsidRPr="00000000">
        <w:rPr>
          <w:rFonts w:ascii="Arial" w:cs="Arial" w:eastAsia="Arial" w:hAnsi="Arial"/>
          <w:sz w:val="22"/>
          <w:szCs w:val="22"/>
          <w:highlight w:val="yellow"/>
          <w:rtl w:val="0"/>
        </w:rPr>
        <w:t xml:space="preserve">, Ann Arbor, The University of Michigan Press</w:t>
      </w:r>
    </w:p>
    <w:p w:rsidR="00000000" w:rsidDel="00000000" w:rsidP="00000000" w:rsidRDefault="00000000" w:rsidRPr="00000000" w14:paraId="00000173">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74">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Hankins, J. (2010). ‘Exclusivist Republicanism and the Non-Monarchical Republic’, </w:t>
      </w:r>
      <w:r w:rsidDel="00000000" w:rsidR="00000000" w:rsidRPr="00000000">
        <w:rPr>
          <w:rFonts w:ascii="Arial" w:cs="Arial" w:eastAsia="Arial" w:hAnsi="Arial"/>
          <w:i w:val="1"/>
          <w:sz w:val="22"/>
          <w:szCs w:val="22"/>
          <w:rtl w:val="0"/>
        </w:rPr>
        <w:t xml:space="preserve">Political Theory,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38</w:t>
      </w:r>
      <w:r w:rsidDel="00000000" w:rsidR="00000000" w:rsidRPr="00000000">
        <w:rPr>
          <w:rFonts w:ascii="Arial" w:cs="Arial" w:eastAsia="Arial" w:hAnsi="Arial"/>
          <w:sz w:val="22"/>
          <w:szCs w:val="22"/>
          <w:rtl w:val="0"/>
        </w:rPr>
        <w:t xml:space="preserve">(4), 452-482</w:t>
      </w:r>
    </w:p>
    <w:p w:rsidR="00000000" w:rsidDel="00000000" w:rsidP="00000000" w:rsidRDefault="00000000" w:rsidRPr="00000000" w14:paraId="00000175">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76">
      <w:pPr>
        <w:shd w:fill="ffffff" w:val="clea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Harris, W. V. (1979) </w:t>
      </w:r>
      <w:r w:rsidDel="00000000" w:rsidR="00000000" w:rsidRPr="00000000">
        <w:rPr>
          <w:rFonts w:ascii="Arial" w:cs="Arial" w:eastAsia="Arial" w:hAnsi="Arial"/>
          <w:i w:val="1"/>
          <w:sz w:val="22"/>
          <w:szCs w:val="22"/>
          <w:highlight w:val="yellow"/>
          <w:rtl w:val="0"/>
        </w:rPr>
        <w:t xml:space="preserve">War and Imperialism in Republican Rome 327-70B.C.</w:t>
      </w:r>
      <w:r w:rsidDel="00000000" w:rsidR="00000000" w:rsidRPr="00000000">
        <w:rPr>
          <w:rFonts w:ascii="Arial" w:cs="Arial" w:eastAsia="Arial" w:hAnsi="Arial"/>
          <w:sz w:val="22"/>
          <w:szCs w:val="22"/>
          <w:highlight w:val="yellow"/>
          <w:rtl w:val="0"/>
        </w:rPr>
        <w:t xml:space="preserve">, Oxford University Press</w:t>
      </w:r>
    </w:p>
    <w:p w:rsidR="00000000" w:rsidDel="00000000" w:rsidP="00000000" w:rsidRDefault="00000000" w:rsidRPr="00000000" w14:paraId="00000177">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78">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Hennig, D. (2003) Sicherheitskräfte zur Überwachung der Wüstengrenzen und</w:t>
      </w:r>
    </w:p>
    <w:p w:rsidR="00000000" w:rsidDel="00000000" w:rsidP="00000000" w:rsidRDefault="00000000" w:rsidRPr="00000000" w14:paraId="00000179">
      <w:pPr>
        <w:shd w:fill="ffffff" w:val="clea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Karawanenwege im ptolemäischen Ägypten, Chiron, 33: 145–74</w:t>
      </w:r>
      <w:r w:rsidDel="00000000" w:rsidR="00000000" w:rsidRPr="00000000">
        <w:rPr>
          <w:rFonts w:ascii="Arial" w:cs="Arial" w:eastAsia="Arial" w:hAnsi="Arial"/>
          <w:sz w:val="22"/>
          <w:szCs w:val="22"/>
          <w:highlight w:val="yellow"/>
          <w:rtl w:val="0"/>
        </w:rPr>
        <w:t xml:space="preserve">.</w:t>
      </w:r>
    </w:p>
    <w:p w:rsidR="00000000" w:rsidDel="00000000" w:rsidP="00000000" w:rsidRDefault="00000000" w:rsidRPr="00000000" w14:paraId="0000017A">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7B">
      <w:pPr>
        <w:shd w:fill="ffffff" w:val="clear"/>
        <w:spacing w:line="276" w:lineRule="auto"/>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Hong, S., Candelone, J-P., Patterson, C. C. and Boutron, C. F. (1994), ‘Greenland ice evidence of hemispheric lead pollution two millennia ago by Greek and Roman civilisations’, Science 265, 1841–3.</w:t>
      </w:r>
    </w:p>
    <w:p w:rsidR="00000000" w:rsidDel="00000000" w:rsidP="00000000" w:rsidRDefault="00000000" w:rsidRPr="00000000" w14:paraId="0000017C">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7D">
      <w:pPr>
        <w:shd w:fill="ffffff" w:val="clea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Hildinger, E. (2002) </w:t>
      </w:r>
      <w:r w:rsidDel="00000000" w:rsidR="00000000" w:rsidRPr="00000000">
        <w:rPr>
          <w:rFonts w:ascii="Arial" w:cs="Arial" w:eastAsia="Arial" w:hAnsi="Arial"/>
          <w:i w:val="1"/>
          <w:sz w:val="22"/>
          <w:szCs w:val="22"/>
          <w:highlight w:val="yellow"/>
          <w:rtl w:val="0"/>
        </w:rPr>
        <w:t xml:space="preserve">Swords Against the Senate</w:t>
      </w:r>
      <w:r w:rsidDel="00000000" w:rsidR="00000000" w:rsidRPr="00000000">
        <w:rPr>
          <w:rFonts w:ascii="Arial" w:cs="Arial" w:eastAsia="Arial" w:hAnsi="Arial"/>
          <w:sz w:val="22"/>
          <w:szCs w:val="22"/>
          <w:highlight w:val="yellow"/>
          <w:rtl w:val="0"/>
        </w:rPr>
        <w:t xml:space="preserve">, Da Capo Press</w:t>
      </w:r>
    </w:p>
    <w:p w:rsidR="00000000" w:rsidDel="00000000" w:rsidP="00000000" w:rsidRDefault="00000000" w:rsidRPr="00000000" w14:paraId="0000017E">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7F">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HIll, H. (1952) </w:t>
      </w:r>
      <w:r w:rsidDel="00000000" w:rsidR="00000000" w:rsidRPr="00000000">
        <w:rPr>
          <w:rFonts w:ascii="Arial" w:cs="Arial" w:eastAsia="Arial" w:hAnsi="Arial"/>
          <w:i w:val="1"/>
          <w:sz w:val="22"/>
          <w:szCs w:val="22"/>
          <w:rtl w:val="0"/>
        </w:rPr>
        <w:t xml:space="preserve">The Roman Middle Class in the Republican Period</w:t>
      </w:r>
      <w:r w:rsidDel="00000000" w:rsidR="00000000" w:rsidRPr="00000000">
        <w:rPr>
          <w:rFonts w:ascii="Arial" w:cs="Arial" w:eastAsia="Arial" w:hAnsi="Arial"/>
          <w:sz w:val="22"/>
          <w:szCs w:val="22"/>
          <w:rtl w:val="0"/>
        </w:rPr>
        <w:t xml:space="preserve">, Basil Blackwell, Oxford</w:t>
      </w:r>
    </w:p>
    <w:p w:rsidR="00000000" w:rsidDel="00000000" w:rsidP="00000000" w:rsidRDefault="00000000" w:rsidRPr="00000000" w14:paraId="00000180">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81">
      <w:pPr>
        <w:shd w:fill="ffffff" w:val="clear"/>
        <w:ind w:left="566.9291338582675" w:hanging="566.9291338582675"/>
        <w:rPr>
          <w:rFonts w:ascii="Arial" w:cs="Arial" w:eastAsia="Arial" w:hAnsi="Arial"/>
          <w:color w:val="202122"/>
          <w:sz w:val="22"/>
          <w:szCs w:val="22"/>
        </w:rPr>
      </w:pPr>
      <w:r w:rsidDel="00000000" w:rsidR="00000000" w:rsidRPr="00000000">
        <w:rPr>
          <w:rFonts w:ascii="Arial" w:cs="Arial" w:eastAsia="Arial" w:hAnsi="Arial"/>
          <w:color w:val="202122"/>
          <w:sz w:val="22"/>
          <w:szCs w:val="22"/>
          <w:rtl w:val="0"/>
        </w:rPr>
        <w:t xml:space="preserve">Hölbl, G. (2001). </w:t>
      </w:r>
      <w:r w:rsidDel="00000000" w:rsidR="00000000" w:rsidRPr="00000000">
        <w:rPr>
          <w:rFonts w:ascii="Arial" w:cs="Arial" w:eastAsia="Arial" w:hAnsi="Arial"/>
          <w:i w:val="1"/>
          <w:color w:val="202122"/>
          <w:sz w:val="22"/>
          <w:szCs w:val="22"/>
          <w:rtl w:val="0"/>
        </w:rPr>
        <w:t xml:space="preserve">A History of the Ptolemaic Empire</w:t>
      </w:r>
      <w:r w:rsidDel="00000000" w:rsidR="00000000" w:rsidRPr="00000000">
        <w:rPr>
          <w:rFonts w:ascii="Arial" w:cs="Arial" w:eastAsia="Arial" w:hAnsi="Arial"/>
          <w:color w:val="202122"/>
          <w:sz w:val="22"/>
          <w:szCs w:val="22"/>
          <w:rtl w:val="0"/>
        </w:rPr>
        <w:t xml:space="preserve">. London &amp; New York: Routledge.</w:t>
      </w:r>
    </w:p>
    <w:p w:rsidR="00000000" w:rsidDel="00000000" w:rsidP="00000000" w:rsidRDefault="00000000" w:rsidRPr="00000000" w14:paraId="00000182">
      <w:pPr>
        <w:shd w:fill="ffffff" w:val="clear"/>
        <w:ind w:left="566.9291338582675" w:hanging="566.9291338582675"/>
        <w:rPr>
          <w:rFonts w:ascii="Arial" w:cs="Arial" w:eastAsia="Arial" w:hAnsi="Arial"/>
          <w:color w:val="202122"/>
          <w:sz w:val="22"/>
          <w:szCs w:val="22"/>
          <w:highlight w:val="yellow"/>
        </w:rPr>
      </w:pPr>
      <w:r w:rsidDel="00000000" w:rsidR="00000000" w:rsidRPr="00000000">
        <w:rPr>
          <w:rtl w:val="0"/>
        </w:rPr>
      </w:r>
    </w:p>
    <w:p w:rsidR="00000000" w:rsidDel="00000000" w:rsidP="00000000" w:rsidRDefault="00000000" w:rsidRPr="00000000" w14:paraId="00000183">
      <w:pPr>
        <w:shd w:fill="ffffff" w:val="clear"/>
        <w:ind w:left="566.9291338582675" w:hanging="566.9291338582675"/>
        <w:rPr>
          <w:rFonts w:ascii="Arial" w:cs="Arial" w:eastAsia="Arial" w:hAnsi="Arial"/>
          <w:color w:val="202122"/>
          <w:sz w:val="22"/>
          <w:szCs w:val="22"/>
          <w:highlight w:val="yellow"/>
        </w:rPr>
      </w:pPr>
      <w:r w:rsidDel="00000000" w:rsidR="00000000" w:rsidRPr="00000000">
        <w:rPr>
          <w:rFonts w:ascii="Arial" w:cs="Arial" w:eastAsia="Arial" w:hAnsi="Arial"/>
          <w:color w:val="202122"/>
          <w:sz w:val="22"/>
          <w:szCs w:val="22"/>
          <w:rtl w:val="0"/>
        </w:rPr>
        <w:t xml:space="preserve">Hopkins,  K. (1978) Conquerors and Slaves: Sociological Studies in Roman History. Vol. 1. Cambridge</w:t>
      </w:r>
      <w:r w:rsidDel="00000000" w:rsidR="00000000" w:rsidRPr="00000000">
        <w:rPr>
          <w:rtl w:val="0"/>
        </w:rPr>
      </w:r>
    </w:p>
    <w:p w:rsidR="00000000" w:rsidDel="00000000" w:rsidP="00000000" w:rsidRDefault="00000000" w:rsidRPr="00000000" w14:paraId="00000184">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85">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Howgego, C. (2001) </w:t>
      </w:r>
      <w:r w:rsidDel="00000000" w:rsidR="00000000" w:rsidRPr="00000000">
        <w:rPr>
          <w:rFonts w:ascii="Arial" w:cs="Arial" w:eastAsia="Arial" w:hAnsi="Arial"/>
          <w:i w:val="1"/>
          <w:sz w:val="22"/>
          <w:szCs w:val="22"/>
          <w:rtl w:val="0"/>
        </w:rPr>
        <w:t xml:space="preserve">Ancient History from Coins</w:t>
      </w:r>
      <w:r w:rsidDel="00000000" w:rsidR="00000000" w:rsidRPr="00000000">
        <w:rPr>
          <w:rFonts w:ascii="Arial" w:cs="Arial" w:eastAsia="Arial" w:hAnsi="Arial"/>
          <w:sz w:val="22"/>
          <w:szCs w:val="22"/>
          <w:rtl w:val="0"/>
        </w:rPr>
        <w:t xml:space="preserve">, London &amp; New York, Routledge</w:t>
      </w:r>
    </w:p>
    <w:p w:rsidR="00000000" w:rsidDel="00000000" w:rsidP="00000000" w:rsidRDefault="00000000" w:rsidRPr="00000000" w14:paraId="00000186">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87">
      <w:pPr>
        <w:widowControl w:val="0"/>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Kallet-Marx, R. M. (1996) </w:t>
      </w:r>
      <w:r w:rsidDel="00000000" w:rsidR="00000000" w:rsidRPr="00000000">
        <w:rPr>
          <w:rFonts w:ascii="Arial" w:cs="Arial" w:eastAsia="Arial" w:hAnsi="Arial"/>
          <w:i w:val="1"/>
          <w:sz w:val="22"/>
          <w:szCs w:val="22"/>
          <w:rtl w:val="0"/>
        </w:rPr>
        <w:t xml:space="preserve">Hegemony to Empire: The Development of the Roman Imperium in the East from 148 to 62 B.C.</w:t>
      </w:r>
      <w:r w:rsidDel="00000000" w:rsidR="00000000" w:rsidRPr="00000000">
        <w:rPr>
          <w:rFonts w:ascii="Arial" w:cs="Arial" w:eastAsia="Arial" w:hAnsi="Arial"/>
          <w:sz w:val="22"/>
          <w:szCs w:val="22"/>
          <w:rtl w:val="0"/>
        </w:rPr>
        <w:t xml:space="preserve">, Berkely, Los Angeles, Oxford; University of California Press</w:t>
      </w:r>
      <w:r w:rsidDel="00000000" w:rsidR="00000000" w:rsidRPr="00000000">
        <w:rPr>
          <w:rtl w:val="0"/>
        </w:rPr>
      </w:r>
    </w:p>
    <w:p w:rsidR="00000000" w:rsidDel="00000000" w:rsidP="00000000" w:rsidRDefault="00000000" w:rsidRPr="00000000" w14:paraId="00000188">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89">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Kolendo, J. (1980) </w:t>
      </w:r>
      <w:r w:rsidDel="00000000" w:rsidR="00000000" w:rsidRPr="00000000">
        <w:rPr>
          <w:rFonts w:ascii="Arial" w:cs="Arial" w:eastAsia="Arial" w:hAnsi="Arial"/>
          <w:i w:val="1"/>
          <w:sz w:val="22"/>
          <w:szCs w:val="22"/>
          <w:rtl w:val="0"/>
        </w:rPr>
        <w:t xml:space="preserve">L’agricoltura nell’Italia romana: tecniche agrarie e progresso economico dalla tarda repubblica al principato</w:t>
      </w:r>
      <w:r w:rsidDel="00000000" w:rsidR="00000000" w:rsidRPr="00000000">
        <w:rPr>
          <w:rFonts w:ascii="Arial" w:cs="Arial" w:eastAsia="Arial" w:hAnsi="Arial"/>
          <w:sz w:val="22"/>
          <w:szCs w:val="22"/>
          <w:rtl w:val="0"/>
        </w:rPr>
        <w:t xml:space="preserve">. Rome.</w:t>
      </w:r>
    </w:p>
    <w:p w:rsidR="00000000" w:rsidDel="00000000" w:rsidP="00000000" w:rsidRDefault="00000000" w:rsidRPr="00000000" w14:paraId="0000018A">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8B">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Kron, G. (2005) ‘Anthropometry, physical anthropology, and the reconstruction of ancient health, nutrition, and living standards,’ </w:t>
      </w:r>
      <w:r w:rsidDel="00000000" w:rsidR="00000000" w:rsidRPr="00000000">
        <w:rPr>
          <w:rFonts w:ascii="Arial" w:cs="Arial" w:eastAsia="Arial" w:hAnsi="Arial"/>
          <w:i w:val="1"/>
          <w:sz w:val="22"/>
          <w:szCs w:val="22"/>
          <w:rtl w:val="0"/>
        </w:rPr>
        <w:t xml:space="preserve">Historia</w:t>
      </w:r>
      <w:r w:rsidDel="00000000" w:rsidR="00000000" w:rsidRPr="00000000">
        <w:rPr>
          <w:rFonts w:ascii="Arial" w:cs="Arial" w:eastAsia="Arial" w:hAnsi="Arial"/>
          <w:sz w:val="22"/>
          <w:szCs w:val="22"/>
          <w:rtl w:val="0"/>
        </w:rPr>
        <w:t xml:space="preserve"> 54: 68–83.</w:t>
      </w:r>
    </w:p>
    <w:p w:rsidR="00000000" w:rsidDel="00000000" w:rsidP="00000000" w:rsidRDefault="00000000" w:rsidRPr="00000000" w14:paraId="0000018C">
      <w:pPr>
        <w:shd w:fill="ffffff" w:val="clear"/>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D">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Kron, G. (2008) ‘The much maligned peasant: comparative perspectives on the productivity of the small farmer in classical antiquity,’ in De Ligt, L. and Northwood, S. J. (eds.) (2008) </w:t>
      </w:r>
      <w:r w:rsidDel="00000000" w:rsidR="00000000" w:rsidRPr="00000000">
        <w:rPr>
          <w:rFonts w:ascii="Arial" w:cs="Arial" w:eastAsia="Arial" w:hAnsi="Arial"/>
          <w:i w:val="1"/>
          <w:sz w:val="22"/>
          <w:szCs w:val="22"/>
          <w:rtl w:val="0"/>
        </w:rPr>
        <w:t xml:space="preserve">People, Land, and Politics: Demographic Developments and the Transformation of Roman Italy, 300 BC – AD 14</w:t>
      </w:r>
      <w:r w:rsidDel="00000000" w:rsidR="00000000" w:rsidRPr="00000000">
        <w:rPr>
          <w:rFonts w:ascii="Arial" w:cs="Arial" w:eastAsia="Arial" w:hAnsi="Arial"/>
          <w:sz w:val="22"/>
          <w:szCs w:val="22"/>
          <w:rtl w:val="0"/>
        </w:rPr>
        <w:t xml:space="preserve">. Leiden. pp. 71–119.</w:t>
      </w:r>
    </w:p>
    <w:p w:rsidR="00000000" w:rsidDel="00000000" w:rsidP="00000000" w:rsidRDefault="00000000" w:rsidRPr="00000000" w14:paraId="0000018E">
      <w:pPr>
        <w:shd w:fill="ffffff" w:val="clear"/>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F">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90">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Lattey, C. (1917) ‘The Diadochi and the Rise of King-Worship’. </w:t>
      </w:r>
      <w:r w:rsidDel="00000000" w:rsidR="00000000" w:rsidRPr="00000000">
        <w:rPr>
          <w:rFonts w:ascii="Arial" w:cs="Arial" w:eastAsia="Arial" w:hAnsi="Arial"/>
          <w:i w:val="1"/>
          <w:sz w:val="22"/>
          <w:szCs w:val="22"/>
          <w:rtl w:val="0"/>
        </w:rPr>
        <w:t xml:space="preserve">The English Historical Review,</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32</w:t>
      </w:r>
      <w:r w:rsidDel="00000000" w:rsidR="00000000" w:rsidRPr="00000000">
        <w:rPr>
          <w:rFonts w:ascii="Arial" w:cs="Arial" w:eastAsia="Arial" w:hAnsi="Arial"/>
          <w:sz w:val="22"/>
          <w:szCs w:val="22"/>
          <w:rtl w:val="0"/>
        </w:rPr>
        <w:t xml:space="preserve">(127), 321-334</w:t>
      </w:r>
    </w:p>
    <w:p w:rsidR="00000000" w:rsidDel="00000000" w:rsidP="00000000" w:rsidRDefault="00000000" w:rsidRPr="00000000" w14:paraId="00000191">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92">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Lefebvre, G. (1908) ‘Inscription grecque de Ashmunein' in </w:t>
      </w:r>
      <w:r w:rsidDel="00000000" w:rsidR="00000000" w:rsidRPr="00000000">
        <w:rPr>
          <w:rFonts w:ascii="Arial" w:cs="Arial" w:eastAsia="Arial" w:hAnsi="Arial"/>
          <w:i w:val="1"/>
          <w:sz w:val="22"/>
          <w:szCs w:val="22"/>
          <w:rtl w:val="0"/>
        </w:rPr>
        <w:t xml:space="preserve">Bulletin de la Société royale d'Archéologie d’Alexandrie </w:t>
      </w:r>
      <w:r w:rsidDel="00000000" w:rsidR="00000000" w:rsidRPr="00000000">
        <w:rPr>
          <w:rFonts w:ascii="Arial" w:cs="Arial" w:eastAsia="Arial" w:hAnsi="Arial"/>
          <w:sz w:val="22"/>
          <w:szCs w:val="22"/>
          <w:rtl w:val="0"/>
        </w:rPr>
        <w:t xml:space="preserve">10, 1908 pp. 187-195</w:t>
      </w:r>
    </w:p>
    <w:p w:rsidR="00000000" w:rsidDel="00000000" w:rsidP="00000000" w:rsidRDefault="00000000" w:rsidRPr="00000000" w14:paraId="00000193">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94">
      <w:pPr>
        <w:widowControl w:val="0"/>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Lendon, J. E. (2005) </w:t>
      </w:r>
      <w:r w:rsidDel="00000000" w:rsidR="00000000" w:rsidRPr="00000000">
        <w:rPr>
          <w:rFonts w:ascii="Arial" w:cs="Arial" w:eastAsia="Arial" w:hAnsi="Arial"/>
          <w:i w:val="1"/>
          <w:sz w:val="22"/>
          <w:szCs w:val="22"/>
          <w:highlight w:val="yellow"/>
          <w:rtl w:val="0"/>
        </w:rPr>
        <w:t xml:space="preserve">Soldiers and Ghosts: A History of battle in Classical Antiquity</w:t>
      </w:r>
      <w:r w:rsidDel="00000000" w:rsidR="00000000" w:rsidRPr="00000000">
        <w:rPr>
          <w:rFonts w:ascii="Arial" w:cs="Arial" w:eastAsia="Arial" w:hAnsi="Arial"/>
          <w:sz w:val="22"/>
          <w:szCs w:val="22"/>
          <w:highlight w:val="yellow"/>
          <w:rtl w:val="0"/>
        </w:rPr>
        <w:t xml:space="preserve">, New Haven &amp; London, Yale University Press</w:t>
      </w:r>
    </w:p>
    <w:p w:rsidR="00000000" w:rsidDel="00000000" w:rsidP="00000000" w:rsidRDefault="00000000" w:rsidRPr="00000000" w14:paraId="00000195">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96">
      <w:pPr>
        <w:widowControl w:val="0"/>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Levick, B. (2004) The Roman Economy: Trade in Asia Minor and the Niche Market. Greece &amp; Rome, 51(2), 180-198. Retrieved November 28, 2020, from http://www.jstor.org.ezproxy.uwtsd.ac.uk/stable/3567810</w:t>
      </w:r>
    </w:p>
    <w:p w:rsidR="00000000" w:rsidDel="00000000" w:rsidP="00000000" w:rsidRDefault="00000000" w:rsidRPr="00000000" w14:paraId="00000197">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98">
      <w:pPr>
        <w:widowControl w:val="0"/>
        <w:spacing w:line="276" w:lineRule="auto"/>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Lewis, D.M. (1987) ‘The King’s dinner (Polyaenus IV 3,32)’ in Sancisi-Weerdenburg and Kuhrt (eds. 1987), </w:t>
      </w:r>
      <w:r w:rsidDel="00000000" w:rsidR="00000000" w:rsidRPr="00000000">
        <w:rPr>
          <w:rFonts w:ascii="Arial" w:cs="Arial" w:eastAsia="Arial" w:hAnsi="Arial"/>
          <w:i w:val="1"/>
          <w:sz w:val="22"/>
          <w:szCs w:val="22"/>
          <w:rtl w:val="0"/>
        </w:rPr>
        <w:t xml:space="preserve">Achaemenid History II – the Greek source</w:t>
      </w:r>
      <w:r w:rsidDel="00000000" w:rsidR="00000000" w:rsidRPr="00000000">
        <w:rPr>
          <w:rFonts w:ascii="Arial" w:cs="Arial" w:eastAsia="Arial" w:hAnsi="Arial"/>
          <w:sz w:val="22"/>
          <w:szCs w:val="22"/>
          <w:rtl w:val="0"/>
        </w:rPr>
        <w:t xml:space="preserve">s (Leiden) 79–87.</w:t>
      </w:r>
    </w:p>
    <w:p w:rsidR="00000000" w:rsidDel="00000000" w:rsidP="00000000" w:rsidRDefault="00000000" w:rsidRPr="00000000" w14:paraId="00000199">
      <w:pPr>
        <w:widowControl w:val="0"/>
        <w:spacing w:line="276" w:lineRule="auto"/>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A">
      <w:pPr>
        <w:widowControl w:val="0"/>
        <w:spacing w:line="276" w:lineRule="auto"/>
        <w:ind w:left="566.9291338582675" w:hanging="566.9291338582675"/>
        <w:rPr>
          <w:rFonts w:ascii="Arial" w:cs="Arial" w:eastAsia="Arial" w:hAnsi="Arial"/>
          <w:color w:val="231f20"/>
          <w:sz w:val="22"/>
          <w:szCs w:val="22"/>
        </w:rPr>
      </w:pPr>
      <w:r w:rsidDel="00000000" w:rsidR="00000000" w:rsidRPr="00000000">
        <w:rPr>
          <w:rFonts w:ascii="Arial" w:cs="Arial" w:eastAsia="Arial" w:hAnsi="Arial"/>
          <w:color w:val="231f20"/>
          <w:sz w:val="22"/>
          <w:szCs w:val="22"/>
          <w:rtl w:val="0"/>
        </w:rPr>
        <w:t xml:space="preserve">Lloyd, A. B. (2002) “The Egyptian elite in the early Ptolemaic period: some hieroglyphic evidence,” in </w:t>
      </w:r>
      <w:r w:rsidDel="00000000" w:rsidR="00000000" w:rsidRPr="00000000">
        <w:rPr>
          <w:rFonts w:ascii="Arial" w:cs="Arial" w:eastAsia="Arial" w:hAnsi="Arial"/>
          <w:i w:val="1"/>
          <w:color w:val="231f20"/>
          <w:sz w:val="22"/>
          <w:szCs w:val="22"/>
          <w:rtl w:val="0"/>
        </w:rPr>
        <w:t xml:space="preserve">The Hellenistic World: New Perspectives</w:t>
      </w:r>
      <w:r w:rsidDel="00000000" w:rsidR="00000000" w:rsidRPr="00000000">
        <w:rPr>
          <w:rFonts w:ascii="Arial" w:cs="Arial" w:eastAsia="Arial" w:hAnsi="Arial"/>
          <w:color w:val="231f20"/>
          <w:sz w:val="22"/>
          <w:szCs w:val="22"/>
          <w:rtl w:val="0"/>
        </w:rPr>
        <w:t xml:space="preserve">, ed.</w:t>
      </w:r>
    </w:p>
    <w:p w:rsidR="00000000" w:rsidDel="00000000" w:rsidP="00000000" w:rsidRDefault="00000000" w:rsidRPr="00000000" w14:paraId="0000019B">
      <w:pPr>
        <w:widowControl w:val="0"/>
        <w:spacing w:line="276" w:lineRule="auto"/>
        <w:ind w:left="566.9291338582675" w:hanging="566.9291338582675"/>
        <w:rPr>
          <w:rFonts w:ascii="Arial" w:cs="Arial" w:eastAsia="Arial" w:hAnsi="Arial"/>
          <w:sz w:val="22"/>
          <w:szCs w:val="22"/>
        </w:rPr>
      </w:pPr>
      <w:r w:rsidDel="00000000" w:rsidR="00000000" w:rsidRPr="00000000">
        <w:rPr>
          <w:rFonts w:ascii="Arial" w:cs="Arial" w:eastAsia="Arial" w:hAnsi="Arial"/>
          <w:color w:val="231f20"/>
          <w:sz w:val="22"/>
          <w:szCs w:val="22"/>
          <w:rtl w:val="0"/>
        </w:rPr>
        <w:t xml:space="preserve">D. Ogden. London: 117–36.</w:t>
      </w:r>
      <w:r w:rsidDel="00000000" w:rsidR="00000000" w:rsidRPr="00000000">
        <w:rPr>
          <w:rtl w:val="0"/>
        </w:rPr>
      </w:r>
    </w:p>
    <w:p w:rsidR="00000000" w:rsidDel="00000000" w:rsidP="00000000" w:rsidRDefault="00000000" w:rsidRPr="00000000" w14:paraId="0000019C">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9D">
      <w:pPr>
        <w:widowControl w:val="0"/>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Ma, J. (1999) </w:t>
      </w:r>
      <w:r w:rsidDel="00000000" w:rsidR="00000000" w:rsidRPr="00000000">
        <w:rPr>
          <w:rFonts w:ascii="Arial" w:cs="Arial" w:eastAsia="Arial" w:hAnsi="Arial"/>
          <w:i w:val="1"/>
          <w:sz w:val="22"/>
          <w:szCs w:val="22"/>
          <w:rtl w:val="0"/>
        </w:rPr>
        <w:t xml:space="preserve">Antiochos III and the Cities of Asia Minor</w:t>
      </w:r>
      <w:r w:rsidDel="00000000" w:rsidR="00000000" w:rsidRPr="00000000">
        <w:rPr>
          <w:rFonts w:ascii="Arial" w:cs="Arial" w:eastAsia="Arial" w:hAnsi="Arial"/>
          <w:sz w:val="22"/>
          <w:szCs w:val="22"/>
          <w:rtl w:val="0"/>
        </w:rPr>
        <w:t xml:space="preserve">, Oxford University Press</w:t>
      </w:r>
    </w:p>
    <w:p w:rsidR="00000000" w:rsidDel="00000000" w:rsidP="00000000" w:rsidRDefault="00000000" w:rsidRPr="00000000" w14:paraId="0000019E">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9F">
      <w:pPr>
        <w:widowControl w:val="0"/>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Maddox, G. (1983). The Economic Causes of the Lex Hortensia. </w:t>
      </w:r>
      <w:r w:rsidDel="00000000" w:rsidR="00000000" w:rsidRPr="00000000">
        <w:rPr>
          <w:rFonts w:ascii="Arial" w:cs="Arial" w:eastAsia="Arial" w:hAnsi="Arial"/>
          <w:i w:val="1"/>
          <w:sz w:val="22"/>
          <w:szCs w:val="22"/>
          <w:rtl w:val="0"/>
        </w:rPr>
        <w:t xml:space="preserve">Latomus,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42</w:t>
      </w:r>
      <w:r w:rsidDel="00000000" w:rsidR="00000000" w:rsidRPr="00000000">
        <w:rPr>
          <w:rFonts w:ascii="Arial" w:cs="Arial" w:eastAsia="Arial" w:hAnsi="Arial"/>
          <w:sz w:val="22"/>
          <w:szCs w:val="22"/>
          <w:rtl w:val="0"/>
        </w:rPr>
        <w:t xml:space="preserve">(2), 277-286. Retrieved November 27, 2020, from </w:t>
      </w:r>
      <w:r w:rsidDel="00000000" w:rsidR="00000000" w:rsidRPr="00000000">
        <w:rPr>
          <w:rFonts w:ascii="Arial" w:cs="Arial" w:eastAsia="Arial" w:hAnsi="Arial"/>
          <w:sz w:val="22"/>
          <w:szCs w:val="22"/>
          <w:rtl w:val="0"/>
        </w:rPr>
        <w:t xml:space="preserve">http://www.jstor.org/stable/41532825</w:t>
      </w:r>
    </w:p>
    <w:p w:rsidR="00000000" w:rsidDel="00000000" w:rsidP="00000000" w:rsidRDefault="00000000" w:rsidRPr="00000000" w14:paraId="000001A0">
      <w:pPr>
        <w:widowControl w:val="0"/>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1">
      <w:pPr>
        <w:widowControl w:val="0"/>
        <w:spacing w:line="276" w:lineRule="auto"/>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Malay, H. (1983) Ά Royal Document from Aigai in Aiolis', Greek, Roman and Byzantine Studies 24: 349-53</w:t>
      </w:r>
      <w:r w:rsidDel="00000000" w:rsidR="00000000" w:rsidRPr="00000000">
        <w:rPr>
          <w:rtl w:val="0"/>
        </w:rPr>
      </w:r>
    </w:p>
    <w:p w:rsidR="00000000" w:rsidDel="00000000" w:rsidP="00000000" w:rsidRDefault="00000000" w:rsidRPr="00000000" w14:paraId="000001A2">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A3">
      <w:pPr>
        <w:widowControl w:val="0"/>
        <w:spacing w:line="276" w:lineRule="auto"/>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Marcone, A. (1997) </w:t>
      </w:r>
      <w:r w:rsidDel="00000000" w:rsidR="00000000" w:rsidRPr="00000000">
        <w:rPr>
          <w:rFonts w:ascii="Arial" w:cs="Arial" w:eastAsia="Arial" w:hAnsi="Arial"/>
          <w:i w:val="1"/>
          <w:sz w:val="22"/>
          <w:szCs w:val="22"/>
          <w:rtl w:val="0"/>
        </w:rPr>
        <w:t xml:space="preserve">Storia dell’agricoltura romana: dal mondo arcaico all'età imperiale</w:t>
      </w:r>
      <w:r w:rsidDel="00000000" w:rsidR="00000000" w:rsidRPr="00000000">
        <w:rPr>
          <w:rFonts w:ascii="Arial" w:cs="Arial" w:eastAsia="Arial" w:hAnsi="Arial"/>
          <w:sz w:val="22"/>
          <w:szCs w:val="22"/>
          <w:rtl w:val="0"/>
        </w:rPr>
        <w:t xml:space="preserve">. Rome.</w:t>
      </w:r>
    </w:p>
    <w:p w:rsidR="00000000" w:rsidDel="00000000" w:rsidP="00000000" w:rsidRDefault="00000000" w:rsidRPr="00000000" w14:paraId="000001A4">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A5">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Martin, T.R. (1996) Ancient Greece – From Prehistoric to Hellenistic Times, Yale Nota Bene, New Haven &amp; London, Yale University Press </w:t>
      </w:r>
    </w:p>
    <w:p w:rsidR="00000000" w:rsidDel="00000000" w:rsidP="00000000" w:rsidRDefault="00000000" w:rsidRPr="00000000" w14:paraId="000001A6">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A7">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Matthaei, L. (1907). On the Classification of Roman Allies. </w:t>
      </w:r>
      <w:r w:rsidDel="00000000" w:rsidR="00000000" w:rsidRPr="00000000">
        <w:rPr>
          <w:rFonts w:ascii="Arial" w:cs="Arial" w:eastAsia="Arial" w:hAnsi="Arial"/>
          <w:i w:val="1"/>
          <w:sz w:val="22"/>
          <w:szCs w:val="22"/>
          <w:rtl w:val="0"/>
        </w:rPr>
        <w:t xml:space="preserve">The Classical Quarterly,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w:t>
      </w:r>
      <w:r w:rsidDel="00000000" w:rsidR="00000000" w:rsidRPr="00000000">
        <w:rPr>
          <w:rFonts w:ascii="Arial" w:cs="Arial" w:eastAsia="Arial" w:hAnsi="Arial"/>
          <w:sz w:val="22"/>
          <w:szCs w:val="22"/>
          <w:rtl w:val="0"/>
        </w:rPr>
        <w:t xml:space="preserve">(2/3), 182-204. Retrieved December 12, 2020, from </w:t>
      </w:r>
      <w:r w:rsidDel="00000000" w:rsidR="00000000" w:rsidRPr="00000000">
        <w:rPr>
          <w:rFonts w:ascii="Arial" w:cs="Arial" w:eastAsia="Arial" w:hAnsi="Arial"/>
          <w:sz w:val="22"/>
          <w:szCs w:val="22"/>
          <w:rtl w:val="0"/>
        </w:rPr>
        <w:t xml:space="preserve">http://www.jstor.org/stable/635836</w:t>
      </w:r>
    </w:p>
    <w:p w:rsidR="00000000" w:rsidDel="00000000" w:rsidP="00000000" w:rsidRDefault="00000000" w:rsidRPr="00000000" w14:paraId="000001A8">
      <w:pPr>
        <w:shd w:fill="ffffff" w:val="clear"/>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9">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McCall, J. (2002) </w:t>
      </w:r>
      <w:r w:rsidDel="00000000" w:rsidR="00000000" w:rsidRPr="00000000">
        <w:rPr>
          <w:rFonts w:ascii="Arial" w:cs="Arial" w:eastAsia="Arial" w:hAnsi="Arial"/>
          <w:i w:val="1"/>
          <w:sz w:val="22"/>
          <w:szCs w:val="22"/>
          <w:rtl w:val="0"/>
        </w:rPr>
        <w:t xml:space="preserve">The Cavalry of the Roman Republic</w:t>
      </w:r>
      <w:r w:rsidDel="00000000" w:rsidR="00000000" w:rsidRPr="00000000">
        <w:rPr>
          <w:rFonts w:ascii="Arial" w:cs="Arial" w:eastAsia="Arial" w:hAnsi="Arial"/>
          <w:sz w:val="22"/>
          <w:szCs w:val="22"/>
          <w:rtl w:val="0"/>
        </w:rPr>
        <w:t xml:space="preserve">, Routledge, London and New York</w:t>
      </w:r>
      <w:r w:rsidDel="00000000" w:rsidR="00000000" w:rsidRPr="00000000">
        <w:rPr>
          <w:rtl w:val="0"/>
        </w:rPr>
      </w:r>
    </w:p>
    <w:p w:rsidR="00000000" w:rsidDel="00000000" w:rsidP="00000000" w:rsidRDefault="00000000" w:rsidRPr="00000000" w14:paraId="000001AA">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AB">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McNab, C. (ed) (2010) </w:t>
      </w:r>
      <w:r w:rsidDel="00000000" w:rsidR="00000000" w:rsidRPr="00000000">
        <w:rPr>
          <w:rFonts w:ascii="Arial" w:cs="Arial" w:eastAsia="Arial" w:hAnsi="Arial"/>
          <w:i w:val="1"/>
          <w:sz w:val="22"/>
          <w:szCs w:val="22"/>
          <w:rtl w:val="0"/>
        </w:rPr>
        <w:t xml:space="preserve">The Roman Army: The Greatest War Machine of the Ancient World</w:t>
      </w:r>
      <w:r w:rsidDel="00000000" w:rsidR="00000000" w:rsidRPr="00000000">
        <w:rPr>
          <w:rFonts w:ascii="Arial" w:cs="Arial" w:eastAsia="Arial" w:hAnsi="Arial"/>
          <w:sz w:val="22"/>
          <w:szCs w:val="22"/>
          <w:rtl w:val="0"/>
        </w:rPr>
        <w:t xml:space="preserve">, Osprey Publishing, Oxford</w:t>
      </w:r>
    </w:p>
    <w:p w:rsidR="00000000" w:rsidDel="00000000" w:rsidP="00000000" w:rsidRDefault="00000000" w:rsidRPr="00000000" w14:paraId="000001AC">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AD">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Millar, F. (2006) </w:t>
      </w:r>
      <w:r w:rsidDel="00000000" w:rsidR="00000000" w:rsidRPr="00000000">
        <w:rPr>
          <w:rFonts w:ascii="Arial" w:cs="Arial" w:eastAsia="Arial" w:hAnsi="Arial"/>
          <w:i w:val="1"/>
          <w:sz w:val="22"/>
          <w:szCs w:val="22"/>
          <w:rtl w:val="0"/>
        </w:rPr>
        <w:t xml:space="preserve">Rome, the Greek World, and the East, Volume 3, The Greek World, The Jews, and the East, </w:t>
      </w:r>
      <w:r w:rsidDel="00000000" w:rsidR="00000000" w:rsidRPr="00000000">
        <w:rPr>
          <w:rFonts w:ascii="Arial" w:cs="Arial" w:eastAsia="Arial" w:hAnsi="Arial"/>
          <w:sz w:val="22"/>
          <w:szCs w:val="22"/>
          <w:rtl w:val="0"/>
        </w:rPr>
        <w:t xml:space="preserve">The University of North Carolina Press, Chapel Hill</w:t>
      </w:r>
    </w:p>
    <w:p w:rsidR="00000000" w:rsidDel="00000000" w:rsidP="00000000" w:rsidRDefault="00000000" w:rsidRPr="00000000" w14:paraId="000001AE">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AF">
      <w:pPr>
        <w:shd w:fill="ffffff" w:val="clea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Millett, P (2010) The Political Economy of Macedonia in Roisman, J. and Worthington, I. (eds) (2010) </w:t>
      </w:r>
      <w:r w:rsidDel="00000000" w:rsidR="00000000" w:rsidRPr="00000000">
        <w:rPr>
          <w:rFonts w:ascii="Arial" w:cs="Arial" w:eastAsia="Arial" w:hAnsi="Arial"/>
          <w:i w:val="1"/>
          <w:sz w:val="22"/>
          <w:szCs w:val="22"/>
          <w:rtl w:val="0"/>
        </w:rPr>
        <w:t xml:space="preserve">A Companion to Ancient Macedonia</w:t>
      </w:r>
      <w:r w:rsidDel="00000000" w:rsidR="00000000" w:rsidRPr="00000000">
        <w:rPr>
          <w:rFonts w:ascii="Arial" w:cs="Arial" w:eastAsia="Arial" w:hAnsi="Arial"/>
          <w:sz w:val="22"/>
          <w:szCs w:val="22"/>
          <w:rtl w:val="0"/>
        </w:rPr>
        <w:t xml:space="preserve">, Wiley Blackwell, Oxford</w:t>
      </w:r>
      <w:r w:rsidDel="00000000" w:rsidR="00000000" w:rsidRPr="00000000">
        <w:rPr>
          <w:rtl w:val="0"/>
        </w:rPr>
      </w:r>
    </w:p>
    <w:p w:rsidR="00000000" w:rsidDel="00000000" w:rsidP="00000000" w:rsidRDefault="00000000" w:rsidRPr="00000000" w14:paraId="000001B0">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B1">
      <w:pPr>
        <w:shd w:fill="ffffff" w:val="clea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Mommsen, T. (1903) </w:t>
      </w:r>
      <w:r w:rsidDel="00000000" w:rsidR="00000000" w:rsidRPr="00000000">
        <w:rPr>
          <w:rFonts w:ascii="Arial" w:cs="Arial" w:eastAsia="Arial" w:hAnsi="Arial"/>
          <w:i w:val="1"/>
          <w:sz w:val="22"/>
          <w:szCs w:val="22"/>
          <w:highlight w:val="yellow"/>
          <w:rtl w:val="0"/>
        </w:rPr>
        <w:t xml:space="preserve">Römische Geschichte I</w:t>
      </w:r>
      <w:r w:rsidDel="00000000" w:rsidR="00000000" w:rsidRPr="00000000">
        <w:rPr>
          <w:rFonts w:ascii="Arial" w:cs="Arial" w:eastAsia="Arial" w:hAnsi="Arial"/>
          <w:sz w:val="22"/>
          <w:szCs w:val="22"/>
          <w:highlight w:val="yellow"/>
          <w:rtl w:val="0"/>
        </w:rPr>
        <w:t xml:space="preserve">, 9th ed. Berlin.</w:t>
      </w:r>
    </w:p>
    <w:p w:rsidR="00000000" w:rsidDel="00000000" w:rsidP="00000000" w:rsidRDefault="00000000" w:rsidRPr="00000000" w14:paraId="000001B2">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B3">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Monson, A. (2015) Hellenistic States, in Scheidel, W. and Monson, A (eds.) (2015) </w:t>
      </w:r>
      <w:r w:rsidDel="00000000" w:rsidR="00000000" w:rsidRPr="00000000">
        <w:rPr>
          <w:rFonts w:ascii="Arial" w:cs="Arial" w:eastAsia="Arial" w:hAnsi="Arial"/>
          <w:i w:val="1"/>
          <w:sz w:val="22"/>
          <w:szCs w:val="22"/>
          <w:rtl w:val="0"/>
        </w:rPr>
        <w:t xml:space="preserve">Fiscal Regimes and the Political Economy of Premodern States</w:t>
      </w:r>
      <w:r w:rsidDel="00000000" w:rsidR="00000000" w:rsidRPr="00000000">
        <w:rPr>
          <w:rFonts w:ascii="Arial" w:cs="Arial" w:eastAsia="Arial" w:hAnsi="Arial"/>
          <w:sz w:val="22"/>
          <w:szCs w:val="22"/>
          <w:rtl w:val="0"/>
        </w:rPr>
        <w:t xml:space="preserve">, Cambridge University Press</w:t>
      </w:r>
    </w:p>
    <w:p w:rsidR="00000000" w:rsidDel="00000000" w:rsidP="00000000" w:rsidRDefault="00000000" w:rsidRPr="00000000" w14:paraId="000001B4">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B5">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Mouritsen, H. (2017) </w:t>
      </w:r>
      <w:r w:rsidDel="00000000" w:rsidR="00000000" w:rsidRPr="00000000">
        <w:rPr>
          <w:rFonts w:ascii="Arial" w:cs="Arial" w:eastAsia="Arial" w:hAnsi="Arial"/>
          <w:i w:val="1"/>
          <w:sz w:val="22"/>
          <w:szCs w:val="22"/>
          <w:highlight w:val="yellow"/>
          <w:rtl w:val="0"/>
        </w:rPr>
        <w:t xml:space="preserve">Politics in the Roman Republic</w:t>
      </w:r>
      <w:r w:rsidDel="00000000" w:rsidR="00000000" w:rsidRPr="00000000">
        <w:rPr>
          <w:rFonts w:ascii="Arial" w:cs="Arial" w:eastAsia="Arial" w:hAnsi="Arial"/>
          <w:sz w:val="22"/>
          <w:szCs w:val="22"/>
          <w:highlight w:val="yellow"/>
          <w:rtl w:val="0"/>
        </w:rPr>
        <w:t xml:space="preserve">, Cambridge University Press</w:t>
      </w:r>
    </w:p>
    <w:p w:rsidR="00000000" w:rsidDel="00000000" w:rsidP="00000000" w:rsidRDefault="00000000" w:rsidRPr="00000000" w14:paraId="000001B6">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B7">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Mouritsen, H. (2011) </w:t>
      </w:r>
      <w:r w:rsidDel="00000000" w:rsidR="00000000" w:rsidRPr="00000000">
        <w:rPr>
          <w:rFonts w:ascii="Arial" w:cs="Arial" w:eastAsia="Arial" w:hAnsi="Arial"/>
          <w:i w:val="1"/>
          <w:sz w:val="22"/>
          <w:szCs w:val="22"/>
          <w:highlight w:val="yellow"/>
          <w:rtl w:val="0"/>
        </w:rPr>
        <w:t xml:space="preserve">The Freedman in the Roman World</w:t>
      </w:r>
      <w:r w:rsidDel="00000000" w:rsidR="00000000" w:rsidRPr="00000000">
        <w:rPr>
          <w:rFonts w:ascii="Arial" w:cs="Arial" w:eastAsia="Arial" w:hAnsi="Arial"/>
          <w:sz w:val="22"/>
          <w:szCs w:val="22"/>
          <w:highlight w:val="yellow"/>
          <w:rtl w:val="0"/>
        </w:rPr>
        <w:t xml:space="preserve">, Cambridge University Press</w:t>
      </w:r>
    </w:p>
    <w:p w:rsidR="00000000" w:rsidDel="00000000" w:rsidP="00000000" w:rsidRDefault="00000000" w:rsidRPr="00000000" w14:paraId="000001B8">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B9">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Mouritsen, H. (2014) </w:t>
      </w:r>
      <w:r w:rsidDel="00000000" w:rsidR="00000000" w:rsidRPr="00000000">
        <w:rPr>
          <w:rFonts w:ascii="Arial" w:cs="Arial" w:eastAsia="Arial" w:hAnsi="Arial"/>
          <w:i w:val="1"/>
          <w:sz w:val="22"/>
          <w:szCs w:val="22"/>
          <w:highlight w:val="yellow"/>
          <w:rtl w:val="0"/>
        </w:rPr>
        <w:t xml:space="preserve">Plebs and Politics in the Late Roman Republic</w:t>
      </w:r>
      <w:r w:rsidDel="00000000" w:rsidR="00000000" w:rsidRPr="00000000">
        <w:rPr>
          <w:rFonts w:ascii="Arial" w:cs="Arial" w:eastAsia="Arial" w:hAnsi="Arial"/>
          <w:sz w:val="22"/>
          <w:szCs w:val="22"/>
          <w:highlight w:val="yellow"/>
          <w:rtl w:val="0"/>
        </w:rPr>
        <w:t xml:space="preserve">, Cambridge University Press</w:t>
      </w:r>
    </w:p>
    <w:p w:rsidR="00000000" w:rsidDel="00000000" w:rsidP="00000000" w:rsidRDefault="00000000" w:rsidRPr="00000000" w14:paraId="000001BA">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BB">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North, J. (1990a). ‘Democratic Politics in Republican Rome’, </w:t>
      </w:r>
      <w:r w:rsidDel="00000000" w:rsidR="00000000" w:rsidRPr="00000000">
        <w:rPr>
          <w:rFonts w:ascii="Arial" w:cs="Arial" w:eastAsia="Arial" w:hAnsi="Arial"/>
          <w:i w:val="1"/>
          <w:sz w:val="22"/>
          <w:szCs w:val="22"/>
          <w:highlight w:val="yellow"/>
          <w:rtl w:val="0"/>
        </w:rPr>
        <w:t xml:space="preserve">Past &amp; Present,</w:t>
      </w:r>
      <w:r w:rsidDel="00000000" w:rsidR="00000000" w:rsidRPr="00000000">
        <w:rPr>
          <w:rFonts w:ascii="Arial" w:cs="Arial" w:eastAsia="Arial" w:hAnsi="Arial"/>
          <w:sz w:val="22"/>
          <w:szCs w:val="22"/>
          <w:highlight w:val="yellow"/>
          <w:rtl w:val="0"/>
        </w:rPr>
        <w:t xml:space="preserve"> (126), 3-21</w:t>
      </w:r>
    </w:p>
    <w:p w:rsidR="00000000" w:rsidDel="00000000" w:rsidP="00000000" w:rsidRDefault="00000000" w:rsidRPr="00000000" w14:paraId="000001BC">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BD">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North, J. (1990b) ‘Politics and Aristocracy in the Roman Republic’, </w:t>
      </w:r>
      <w:r w:rsidDel="00000000" w:rsidR="00000000" w:rsidRPr="00000000">
        <w:rPr>
          <w:rFonts w:ascii="Arial" w:cs="Arial" w:eastAsia="Arial" w:hAnsi="Arial"/>
          <w:i w:val="1"/>
          <w:sz w:val="22"/>
          <w:szCs w:val="22"/>
          <w:highlight w:val="yellow"/>
          <w:rtl w:val="0"/>
        </w:rPr>
        <w:t xml:space="preserve">Classical Philology,</w:t>
      </w:r>
      <w:r w:rsidDel="00000000" w:rsidR="00000000" w:rsidRPr="00000000">
        <w:rPr>
          <w:rFonts w:ascii="Arial" w:cs="Arial" w:eastAsia="Arial" w:hAnsi="Arial"/>
          <w:sz w:val="22"/>
          <w:szCs w:val="22"/>
          <w:highlight w:val="yellow"/>
          <w:rtl w:val="0"/>
        </w:rPr>
        <w:t xml:space="preserve"> </w:t>
      </w:r>
      <w:r w:rsidDel="00000000" w:rsidR="00000000" w:rsidRPr="00000000">
        <w:rPr>
          <w:rFonts w:ascii="Arial" w:cs="Arial" w:eastAsia="Arial" w:hAnsi="Arial"/>
          <w:i w:val="1"/>
          <w:sz w:val="22"/>
          <w:szCs w:val="22"/>
          <w:highlight w:val="yellow"/>
          <w:rtl w:val="0"/>
        </w:rPr>
        <w:t xml:space="preserve">85</w:t>
      </w:r>
      <w:r w:rsidDel="00000000" w:rsidR="00000000" w:rsidRPr="00000000">
        <w:rPr>
          <w:rFonts w:ascii="Arial" w:cs="Arial" w:eastAsia="Arial" w:hAnsi="Arial"/>
          <w:sz w:val="22"/>
          <w:szCs w:val="22"/>
          <w:highlight w:val="yellow"/>
          <w:rtl w:val="0"/>
        </w:rPr>
        <w:t xml:space="preserve">(4), 277-287 </w:t>
      </w:r>
    </w:p>
    <w:p w:rsidR="00000000" w:rsidDel="00000000" w:rsidP="00000000" w:rsidRDefault="00000000" w:rsidRPr="00000000" w14:paraId="000001BE">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BF">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North, J. A. The Constitution of the Roman Republic. In Rosenstein, N. and Morstein-Marx, R. (Eds.) (2006) </w:t>
      </w:r>
      <w:r w:rsidDel="00000000" w:rsidR="00000000" w:rsidRPr="00000000">
        <w:rPr>
          <w:rFonts w:ascii="Arial" w:cs="Arial" w:eastAsia="Arial" w:hAnsi="Arial"/>
          <w:i w:val="1"/>
          <w:sz w:val="22"/>
          <w:szCs w:val="22"/>
          <w:highlight w:val="yellow"/>
          <w:rtl w:val="0"/>
        </w:rPr>
        <w:t xml:space="preserve">A Companion to the Roman Republic</w:t>
      </w:r>
      <w:r w:rsidDel="00000000" w:rsidR="00000000" w:rsidRPr="00000000">
        <w:rPr>
          <w:rFonts w:ascii="Arial" w:cs="Arial" w:eastAsia="Arial" w:hAnsi="Arial"/>
          <w:sz w:val="22"/>
          <w:szCs w:val="22"/>
          <w:highlight w:val="yellow"/>
          <w:rtl w:val="0"/>
        </w:rPr>
        <w:t xml:space="preserve">, Blackwell Publishing</w:t>
      </w:r>
    </w:p>
    <w:p w:rsidR="00000000" w:rsidDel="00000000" w:rsidP="00000000" w:rsidRDefault="00000000" w:rsidRPr="00000000" w14:paraId="000001C0">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C1">
      <w:pPr>
        <w:shd w:fill="ffffff" w:val="clear"/>
        <w:ind w:left="566.9291338582675" w:hanging="566.9291338582675"/>
        <w:rPr>
          <w:rFonts w:ascii="Arial" w:cs="Arial" w:eastAsia="Arial" w:hAnsi="Arial"/>
          <w:color w:val="111111"/>
          <w:sz w:val="22"/>
          <w:szCs w:val="22"/>
        </w:rPr>
      </w:pPr>
      <w:r w:rsidDel="00000000" w:rsidR="00000000" w:rsidRPr="00000000">
        <w:rPr>
          <w:rFonts w:ascii="Arial" w:cs="Arial" w:eastAsia="Arial" w:hAnsi="Arial"/>
          <w:sz w:val="22"/>
          <w:szCs w:val="22"/>
          <w:rtl w:val="0"/>
        </w:rPr>
        <w:t xml:space="preserve">Ogden, D. Seleucid Dynastic Foundation Myths: Antioch and Seleuceia-in-Pieria. In Erickson, K. and Ramsey, G. (2011) </w:t>
      </w:r>
      <w:r w:rsidDel="00000000" w:rsidR="00000000" w:rsidRPr="00000000">
        <w:rPr>
          <w:rFonts w:ascii="Arial" w:cs="Arial" w:eastAsia="Arial" w:hAnsi="Arial"/>
          <w:i w:val="1"/>
          <w:sz w:val="22"/>
          <w:szCs w:val="22"/>
          <w:rtl w:val="0"/>
        </w:rPr>
        <w:t xml:space="preserve">Seleukid Dissolution: the Sinking of the Anchor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color w:val="111111"/>
          <w:sz w:val="22"/>
          <w:szCs w:val="22"/>
          <w:rtl w:val="0"/>
        </w:rPr>
        <w:t xml:space="preserve">Philippika: Marburger Altertumskundliche Abhandlungen</w:t>
      </w:r>
    </w:p>
    <w:p w:rsidR="00000000" w:rsidDel="00000000" w:rsidP="00000000" w:rsidRDefault="00000000" w:rsidRPr="00000000" w14:paraId="000001C2">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C3">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O'Neil, J. (2000) ‘Royal Authority and City Law under Alexander and His Hellenistic Successors’, </w:t>
      </w:r>
      <w:r w:rsidDel="00000000" w:rsidR="00000000" w:rsidRPr="00000000">
        <w:rPr>
          <w:rFonts w:ascii="Arial" w:cs="Arial" w:eastAsia="Arial" w:hAnsi="Arial"/>
          <w:i w:val="1"/>
          <w:sz w:val="22"/>
          <w:szCs w:val="22"/>
          <w:rtl w:val="0"/>
        </w:rPr>
        <w:t xml:space="preserve">The Classical Quarterly,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50</w:t>
      </w:r>
      <w:r w:rsidDel="00000000" w:rsidR="00000000" w:rsidRPr="00000000">
        <w:rPr>
          <w:rFonts w:ascii="Arial" w:cs="Arial" w:eastAsia="Arial" w:hAnsi="Arial"/>
          <w:sz w:val="22"/>
          <w:szCs w:val="22"/>
          <w:rtl w:val="0"/>
        </w:rPr>
        <w:t xml:space="preserve">(2), 424-431 </w:t>
      </w:r>
    </w:p>
    <w:p w:rsidR="00000000" w:rsidDel="00000000" w:rsidP="00000000" w:rsidRDefault="00000000" w:rsidRPr="00000000" w14:paraId="000001C4">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C5">
      <w:pPr>
        <w:shd w:fill="ffffff" w:val="clear"/>
        <w:spacing w:after="380" w:line="312" w:lineRule="auto"/>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Orwell, G., Pimlott, B., &amp; Davison, P. H. (1989). </w:t>
      </w:r>
      <w:r w:rsidDel="00000000" w:rsidR="00000000" w:rsidRPr="00000000">
        <w:rPr>
          <w:rFonts w:ascii="Arial" w:cs="Arial" w:eastAsia="Arial" w:hAnsi="Arial"/>
          <w:i w:val="1"/>
          <w:sz w:val="22"/>
          <w:szCs w:val="22"/>
          <w:rtl w:val="0"/>
        </w:rPr>
        <w:t xml:space="preserve">Nineteen eighty-four</w:t>
      </w:r>
      <w:r w:rsidDel="00000000" w:rsidR="00000000" w:rsidRPr="00000000">
        <w:rPr>
          <w:rFonts w:ascii="Arial" w:cs="Arial" w:eastAsia="Arial" w:hAnsi="Arial"/>
          <w:sz w:val="22"/>
          <w:szCs w:val="22"/>
          <w:rtl w:val="0"/>
        </w:rPr>
        <w:t xml:space="preserve">. London: Penguin Books in association with Secker &amp; Warburg.</w:t>
      </w:r>
    </w:p>
    <w:p w:rsidR="00000000" w:rsidDel="00000000" w:rsidP="00000000" w:rsidRDefault="00000000" w:rsidRPr="00000000" w14:paraId="000001C6">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Pfeiffer, S. The God Serapis, His Cult and the Beginnings of the Ruler Cult in Ptolemaic Egypt. In McKechnie, P. and Guillaume, P. (eds.) (2008) </w:t>
      </w:r>
      <w:r w:rsidDel="00000000" w:rsidR="00000000" w:rsidRPr="00000000">
        <w:rPr>
          <w:rFonts w:ascii="Arial" w:cs="Arial" w:eastAsia="Arial" w:hAnsi="Arial"/>
          <w:i w:val="1"/>
          <w:sz w:val="22"/>
          <w:szCs w:val="22"/>
          <w:rtl w:val="0"/>
        </w:rPr>
        <w:t xml:space="preserve">Ptolemy II Philadephus and his World</w:t>
      </w:r>
      <w:r w:rsidDel="00000000" w:rsidR="00000000" w:rsidRPr="00000000">
        <w:rPr>
          <w:rFonts w:ascii="Arial" w:cs="Arial" w:eastAsia="Arial" w:hAnsi="Arial"/>
          <w:sz w:val="22"/>
          <w:szCs w:val="22"/>
          <w:rtl w:val="0"/>
        </w:rPr>
        <w:t xml:space="preserve">, Leiden &amp; Boston, Brill</w:t>
      </w:r>
    </w:p>
    <w:p w:rsidR="00000000" w:rsidDel="00000000" w:rsidP="00000000" w:rsidRDefault="00000000" w:rsidRPr="00000000" w14:paraId="000001C7">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C8">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Pleket, H. (1990) ‘Wirtschaft,’ in </w:t>
      </w:r>
      <w:r w:rsidDel="00000000" w:rsidR="00000000" w:rsidRPr="00000000">
        <w:rPr>
          <w:rFonts w:ascii="Arial" w:cs="Arial" w:eastAsia="Arial" w:hAnsi="Arial"/>
          <w:i w:val="1"/>
          <w:sz w:val="22"/>
          <w:szCs w:val="22"/>
          <w:rtl w:val="0"/>
        </w:rPr>
        <w:t xml:space="preserve">Handbuch der Europäischen Wirtschafts- und Sozialgeschichte: Europäische Wirtschafts- und Sozialgeschichte in der Kaiserzeit</w:t>
      </w:r>
      <w:r w:rsidDel="00000000" w:rsidR="00000000" w:rsidRPr="00000000">
        <w:rPr>
          <w:rFonts w:ascii="Arial" w:cs="Arial" w:eastAsia="Arial" w:hAnsi="Arial"/>
          <w:sz w:val="22"/>
          <w:szCs w:val="22"/>
          <w:rtl w:val="0"/>
        </w:rPr>
        <w:t xml:space="preserve">, ed. F. Vittinghoff. Stuttgart: 25–160.</w:t>
      </w:r>
    </w:p>
    <w:p w:rsidR="00000000" w:rsidDel="00000000" w:rsidP="00000000" w:rsidRDefault="00000000" w:rsidRPr="00000000" w14:paraId="000001C9">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CA">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Rawson, E. (1989) ‘Roman Tradition in the Greek World’ in Astin A. E., Walbank, F. B. A., Fredricksen, M. W., and Ogilvie, R. M. (eds) </w:t>
      </w:r>
      <w:r w:rsidDel="00000000" w:rsidR="00000000" w:rsidRPr="00000000">
        <w:rPr>
          <w:rFonts w:ascii="Arial" w:cs="Arial" w:eastAsia="Arial" w:hAnsi="Arial"/>
          <w:i w:val="1"/>
          <w:sz w:val="22"/>
          <w:szCs w:val="22"/>
          <w:rtl w:val="0"/>
        </w:rPr>
        <w:t xml:space="preserve">The Cambridge Ancient History</w:t>
      </w:r>
      <w:r w:rsidDel="00000000" w:rsidR="00000000" w:rsidRPr="00000000">
        <w:rPr>
          <w:rFonts w:ascii="Arial" w:cs="Arial" w:eastAsia="Arial" w:hAnsi="Arial"/>
          <w:sz w:val="22"/>
          <w:szCs w:val="22"/>
          <w:rtl w:val="0"/>
        </w:rPr>
        <w:t xml:space="preserve">, Second Edition, Volume VIII: Rome and the Mediterranean to 133 B.C. (Seventh Printing) Cambridge University Press </w:t>
      </w:r>
    </w:p>
    <w:p w:rsidR="00000000" w:rsidDel="00000000" w:rsidP="00000000" w:rsidRDefault="00000000" w:rsidRPr="00000000" w14:paraId="000001CB">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CC">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Richardson, J. (1979) ‘Polybius’ View of the Roman Empire’, </w:t>
      </w:r>
      <w:r w:rsidDel="00000000" w:rsidR="00000000" w:rsidRPr="00000000">
        <w:rPr>
          <w:rFonts w:ascii="Arial" w:cs="Arial" w:eastAsia="Arial" w:hAnsi="Arial"/>
          <w:i w:val="1"/>
          <w:sz w:val="22"/>
          <w:szCs w:val="22"/>
          <w:rtl w:val="0"/>
        </w:rPr>
        <w:t xml:space="preserve">Papers of the British School at Rome</w:t>
      </w:r>
      <w:r w:rsidDel="00000000" w:rsidR="00000000" w:rsidRPr="00000000">
        <w:rPr>
          <w:rFonts w:ascii="Arial" w:cs="Arial" w:eastAsia="Arial" w:hAnsi="Arial"/>
          <w:sz w:val="22"/>
          <w:szCs w:val="22"/>
          <w:rtl w:val="0"/>
        </w:rPr>
        <w:t xml:space="preserve">, Vol 47, pp. 1-11  </w:t>
      </w:r>
    </w:p>
    <w:p w:rsidR="00000000" w:rsidDel="00000000" w:rsidP="00000000" w:rsidRDefault="00000000" w:rsidRPr="00000000" w14:paraId="000001CD">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CE">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white"/>
          <w:rtl w:val="0"/>
        </w:rPr>
        <w:t xml:space="preserve">Richardson, J. (1976). The Spanish Mines and the Development of Provincial Taxation in the Second Century B.C. </w:t>
      </w:r>
      <w:r w:rsidDel="00000000" w:rsidR="00000000" w:rsidRPr="00000000">
        <w:rPr>
          <w:rFonts w:ascii="Arial" w:cs="Arial" w:eastAsia="Arial" w:hAnsi="Arial"/>
          <w:i w:val="1"/>
          <w:sz w:val="22"/>
          <w:szCs w:val="22"/>
          <w:highlight w:val="white"/>
          <w:rtl w:val="0"/>
        </w:rPr>
        <w:t xml:space="preserve">The Journal of Roman Studies,</w:t>
      </w:r>
      <w:r w:rsidDel="00000000" w:rsidR="00000000" w:rsidRPr="00000000">
        <w:rPr>
          <w:rFonts w:ascii="Arial" w:cs="Arial" w:eastAsia="Arial" w:hAnsi="Arial"/>
          <w:sz w:val="22"/>
          <w:szCs w:val="22"/>
          <w:highlight w:val="white"/>
          <w:rtl w:val="0"/>
        </w:rPr>
        <w:t xml:space="preserve"> </w:t>
      </w:r>
      <w:r w:rsidDel="00000000" w:rsidR="00000000" w:rsidRPr="00000000">
        <w:rPr>
          <w:rFonts w:ascii="Arial" w:cs="Arial" w:eastAsia="Arial" w:hAnsi="Arial"/>
          <w:i w:val="1"/>
          <w:sz w:val="22"/>
          <w:szCs w:val="22"/>
          <w:highlight w:val="white"/>
          <w:rtl w:val="0"/>
        </w:rPr>
        <w:t xml:space="preserve">66</w:t>
      </w:r>
      <w:r w:rsidDel="00000000" w:rsidR="00000000" w:rsidRPr="00000000">
        <w:rPr>
          <w:rFonts w:ascii="Arial" w:cs="Arial" w:eastAsia="Arial" w:hAnsi="Arial"/>
          <w:sz w:val="22"/>
          <w:szCs w:val="22"/>
          <w:highlight w:val="white"/>
          <w:rtl w:val="0"/>
        </w:rPr>
        <w:t xml:space="preserve">, 139-152. doi:10.2307/299785</w:t>
      </w:r>
      <w:r w:rsidDel="00000000" w:rsidR="00000000" w:rsidRPr="00000000">
        <w:rPr>
          <w:rtl w:val="0"/>
        </w:rPr>
      </w:r>
    </w:p>
    <w:p w:rsidR="00000000" w:rsidDel="00000000" w:rsidP="00000000" w:rsidRDefault="00000000" w:rsidRPr="00000000" w14:paraId="000001CF">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D0">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white"/>
          <w:rtl w:val="0"/>
        </w:rPr>
        <w:t xml:space="preserve">Rickard, T. (1928) The Mining of the Romans in Spain. </w:t>
      </w:r>
      <w:r w:rsidDel="00000000" w:rsidR="00000000" w:rsidRPr="00000000">
        <w:rPr>
          <w:rFonts w:ascii="Arial" w:cs="Arial" w:eastAsia="Arial" w:hAnsi="Arial"/>
          <w:i w:val="1"/>
          <w:sz w:val="22"/>
          <w:szCs w:val="22"/>
          <w:highlight w:val="white"/>
          <w:rtl w:val="0"/>
        </w:rPr>
        <w:t xml:space="preserve">The Journal of Roman Studies,</w:t>
      </w:r>
      <w:r w:rsidDel="00000000" w:rsidR="00000000" w:rsidRPr="00000000">
        <w:rPr>
          <w:rFonts w:ascii="Arial" w:cs="Arial" w:eastAsia="Arial" w:hAnsi="Arial"/>
          <w:sz w:val="22"/>
          <w:szCs w:val="22"/>
          <w:highlight w:val="white"/>
          <w:rtl w:val="0"/>
        </w:rPr>
        <w:t xml:space="preserve"> </w:t>
      </w:r>
      <w:r w:rsidDel="00000000" w:rsidR="00000000" w:rsidRPr="00000000">
        <w:rPr>
          <w:rFonts w:ascii="Arial" w:cs="Arial" w:eastAsia="Arial" w:hAnsi="Arial"/>
          <w:i w:val="1"/>
          <w:sz w:val="22"/>
          <w:szCs w:val="22"/>
          <w:highlight w:val="white"/>
          <w:rtl w:val="0"/>
        </w:rPr>
        <w:t xml:space="preserve">18</w:t>
      </w:r>
      <w:r w:rsidDel="00000000" w:rsidR="00000000" w:rsidRPr="00000000">
        <w:rPr>
          <w:rFonts w:ascii="Arial" w:cs="Arial" w:eastAsia="Arial" w:hAnsi="Arial"/>
          <w:sz w:val="22"/>
          <w:szCs w:val="22"/>
          <w:highlight w:val="white"/>
          <w:rtl w:val="0"/>
        </w:rPr>
        <w:t xml:space="preserve">, 129-143. doi:10.2307/296070</w:t>
      </w:r>
      <w:r w:rsidDel="00000000" w:rsidR="00000000" w:rsidRPr="00000000">
        <w:rPr>
          <w:rtl w:val="0"/>
        </w:rPr>
      </w:r>
    </w:p>
    <w:p w:rsidR="00000000" w:rsidDel="00000000" w:rsidP="00000000" w:rsidRDefault="00000000" w:rsidRPr="00000000" w14:paraId="000001D1">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D2">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Robert, L. (1967) ‘Encore une inscription grecque de l'Iran’, Comptes rendus des séances de l'Académie des Inscriptions et Belles-Lettres Année 1967 111-2 pp. 281-297. Retrieved October 30, 2020, from </w:t>
      </w:r>
      <w:hyperlink r:id="rId9">
        <w:r w:rsidDel="00000000" w:rsidR="00000000" w:rsidRPr="00000000">
          <w:rPr>
            <w:rFonts w:ascii="Arial" w:cs="Arial" w:eastAsia="Arial" w:hAnsi="Arial"/>
            <w:color w:val="1155cc"/>
            <w:sz w:val="22"/>
            <w:szCs w:val="22"/>
            <w:u w:val="single"/>
            <w:rtl w:val="0"/>
          </w:rPr>
          <w:t xml:space="preserve">https://www.persee.fr/doc/crai_0065-0536_1967_num_111_2_12117</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D3">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D4">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Robert, J., &amp; Robert, L. (1976) BULLETIN ÉPIGRAPHIQUE. </w:t>
      </w:r>
      <w:r w:rsidDel="00000000" w:rsidR="00000000" w:rsidRPr="00000000">
        <w:rPr>
          <w:rFonts w:ascii="Arial" w:cs="Arial" w:eastAsia="Arial" w:hAnsi="Arial"/>
          <w:i w:val="1"/>
          <w:sz w:val="22"/>
          <w:szCs w:val="22"/>
          <w:highlight w:val="yellow"/>
          <w:rtl w:val="0"/>
        </w:rPr>
        <w:t xml:space="preserve">Revue Des Études Grecques,</w:t>
      </w:r>
      <w:r w:rsidDel="00000000" w:rsidR="00000000" w:rsidRPr="00000000">
        <w:rPr>
          <w:rFonts w:ascii="Arial" w:cs="Arial" w:eastAsia="Arial" w:hAnsi="Arial"/>
          <w:sz w:val="22"/>
          <w:szCs w:val="22"/>
          <w:highlight w:val="yellow"/>
          <w:rtl w:val="0"/>
        </w:rPr>
        <w:t xml:space="preserve"> </w:t>
      </w:r>
      <w:r w:rsidDel="00000000" w:rsidR="00000000" w:rsidRPr="00000000">
        <w:rPr>
          <w:rFonts w:ascii="Arial" w:cs="Arial" w:eastAsia="Arial" w:hAnsi="Arial"/>
          <w:i w:val="1"/>
          <w:sz w:val="22"/>
          <w:szCs w:val="22"/>
          <w:highlight w:val="yellow"/>
          <w:rtl w:val="0"/>
        </w:rPr>
        <w:t xml:space="preserve">89</w:t>
      </w:r>
      <w:r w:rsidDel="00000000" w:rsidR="00000000" w:rsidRPr="00000000">
        <w:rPr>
          <w:rFonts w:ascii="Arial" w:cs="Arial" w:eastAsia="Arial" w:hAnsi="Arial"/>
          <w:sz w:val="22"/>
          <w:szCs w:val="22"/>
          <w:highlight w:val="yellow"/>
          <w:rtl w:val="0"/>
        </w:rPr>
        <w:t xml:space="preserve">(426/427), 415-595. Retrieved October 30, 2020, from </w:t>
      </w:r>
      <w:hyperlink r:id="rId10">
        <w:r w:rsidDel="00000000" w:rsidR="00000000" w:rsidRPr="00000000">
          <w:rPr>
            <w:rFonts w:ascii="Arial" w:cs="Arial" w:eastAsia="Arial" w:hAnsi="Arial"/>
            <w:color w:val="1155cc"/>
            <w:sz w:val="22"/>
            <w:szCs w:val="22"/>
            <w:highlight w:val="yellow"/>
            <w:u w:val="single"/>
            <w:rtl w:val="0"/>
          </w:rPr>
          <w:t xml:space="preserve">http://www.jstor.org/stable/44277754</w:t>
        </w:r>
      </w:hyperlink>
      <w:r w:rsidDel="00000000" w:rsidR="00000000" w:rsidRPr="00000000">
        <w:rPr>
          <w:rFonts w:ascii="Arial" w:cs="Arial" w:eastAsia="Arial" w:hAnsi="Arial"/>
          <w:sz w:val="22"/>
          <w:szCs w:val="22"/>
          <w:highlight w:val="yellow"/>
          <w:rtl w:val="0"/>
        </w:rPr>
        <w:t xml:space="preserve"> </w:t>
      </w:r>
    </w:p>
    <w:p w:rsidR="00000000" w:rsidDel="00000000" w:rsidP="00000000" w:rsidRDefault="00000000" w:rsidRPr="00000000" w14:paraId="000001D5">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D6">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Roisman, J. and Worthington, I. (eds) (2010) </w:t>
      </w:r>
      <w:r w:rsidDel="00000000" w:rsidR="00000000" w:rsidRPr="00000000">
        <w:rPr>
          <w:rFonts w:ascii="Arial" w:cs="Arial" w:eastAsia="Arial" w:hAnsi="Arial"/>
          <w:i w:val="1"/>
          <w:sz w:val="22"/>
          <w:szCs w:val="22"/>
          <w:rtl w:val="0"/>
        </w:rPr>
        <w:t xml:space="preserve">A Companion to Ancient Macedonia</w:t>
      </w:r>
      <w:r w:rsidDel="00000000" w:rsidR="00000000" w:rsidRPr="00000000">
        <w:rPr>
          <w:rFonts w:ascii="Arial" w:cs="Arial" w:eastAsia="Arial" w:hAnsi="Arial"/>
          <w:sz w:val="22"/>
          <w:szCs w:val="22"/>
          <w:rtl w:val="0"/>
        </w:rPr>
        <w:t xml:space="preserve">, Wiley Blackwell, Oxford</w:t>
      </w:r>
    </w:p>
    <w:p w:rsidR="00000000" w:rsidDel="00000000" w:rsidP="00000000" w:rsidRDefault="00000000" w:rsidRPr="00000000" w14:paraId="000001D7">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D8">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Rosenstein, N (2004) </w:t>
      </w:r>
      <w:r w:rsidDel="00000000" w:rsidR="00000000" w:rsidRPr="00000000">
        <w:rPr>
          <w:rFonts w:ascii="Arial" w:cs="Arial" w:eastAsia="Arial" w:hAnsi="Arial"/>
          <w:i w:val="1"/>
          <w:sz w:val="22"/>
          <w:szCs w:val="22"/>
          <w:rtl w:val="0"/>
        </w:rPr>
        <w:t xml:space="preserve">Rome at War – Farms, Families and Death in the Middle Republic</w:t>
      </w:r>
      <w:r w:rsidDel="00000000" w:rsidR="00000000" w:rsidRPr="00000000">
        <w:rPr>
          <w:rFonts w:ascii="Arial" w:cs="Arial" w:eastAsia="Arial" w:hAnsi="Arial"/>
          <w:sz w:val="22"/>
          <w:szCs w:val="22"/>
          <w:rtl w:val="0"/>
        </w:rPr>
        <w:t xml:space="preserve">, The University of North Carolina Press, Chapel Hill and London</w:t>
      </w:r>
    </w:p>
    <w:p w:rsidR="00000000" w:rsidDel="00000000" w:rsidP="00000000" w:rsidRDefault="00000000" w:rsidRPr="00000000" w14:paraId="000001D9">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DA">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Rowan, C. (2013) ‘The Profits of War and Cultural Capital: Silver and Society in Republican Rome’, </w:t>
      </w:r>
      <w:r w:rsidDel="00000000" w:rsidR="00000000" w:rsidRPr="00000000">
        <w:rPr>
          <w:rFonts w:ascii="Arial" w:cs="Arial" w:eastAsia="Arial" w:hAnsi="Arial"/>
          <w:i w:val="1"/>
          <w:sz w:val="22"/>
          <w:szCs w:val="22"/>
          <w:highlight w:val="yellow"/>
          <w:rtl w:val="0"/>
        </w:rPr>
        <w:t xml:space="preserve">Historia: Zeitschrift Für Alte Geschichte,</w:t>
      </w:r>
      <w:r w:rsidDel="00000000" w:rsidR="00000000" w:rsidRPr="00000000">
        <w:rPr>
          <w:rFonts w:ascii="Arial" w:cs="Arial" w:eastAsia="Arial" w:hAnsi="Arial"/>
          <w:sz w:val="22"/>
          <w:szCs w:val="22"/>
          <w:highlight w:val="yellow"/>
          <w:rtl w:val="0"/>
        </w:rPr>
        <w:t xml:space="preserve"> </w:t>
      </w:r>
      <w:r w:rsidDel="00000000" w:rsidR="00000000" w:rsidRPr="00000000">
        <w:rPr>
          <w:rFonts w:ascii="Arial" w:cs="Arial" w:eastAsia="Arial" w:hAnsi="Arial"/>
          <w:i w:val="1"/>
          <w:sz w:val="22"/>
          <w:szCs w:val="22"/>
          <w:highlight w:val="yellow"/>
          <w:rtl w:val="0"/>
        </w:rPr>
        <w:t xml:space="preserve">62</w:t>
      </w:r>
      <w:r w:rsidDel="00000000" w:rsidR="00000000" w:rsidRPr="00000000">
        <w:rPr>
          <w:rFonts w:ascii="Arial" w:cs="Arial" w:eastAsia="Arial" w:hAnsi="Arial"/>
          <w:sz w:val="22"/>
          <w:szCs w:val="22"/>
          <w:highlight w:val="yellow"/>
          <w:rtl w:val="0"/>
        </w:rPr>
        <w:t xml:space="preserve">(3), 361-386 </w:t>
      </w:r>
    </w:p>
    <w:p w:rsidR="00000000" w:rsidDel="00000000" w:rsidP="00000000" w:rsidRDefault="00000000" w:rsidRPr="00000000" w14:paraId="000001DB">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DC">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Rostoftzeff, M. (1936) The Hellenistic World and its Economic Development, The American Historical Review, Vol. 41, No. 2 (Jan., 1936), pp. 231-252</w:t>
      </w:r>
      <w:r w:rsidDel="00000000" w:rsidR="00000000" w:rsidRPr="00000000">
        <w:rPr>
          <w:rtl w:val="0"/>
        </w:rPr>
      </w:r>
    </w:p>
    <w:p w:rsidR="00000000" w:rsidDel="00000000" w:rsidP="00000000" w:rsidRDefault="00000000" w:rsidRPr="00000000" w14:paraId="000001DD">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DE">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Rostovtzeff, M. (1941a) The Near East in the Hellenistic and Roman Times. </w:t>
      </w:r>
      <w:r w:rsidDel="00000000" w:rsidR="00000000" w:rsidRPr="00000000">
        <w:rPr>
          <w:rFonts w:ascii="Arial" w:cs="Arial" w:eastAsia="Arial" w:hAnsi="Arial"/>
          <w:i w:val="1"/>
          <w:sz w:val="22"/>
          <w:szCs w:val="22"/>
          <w:rtl w:val="0"/>
        </w:rPr>
        <w:t xml:space="preserve">Dumbarton Oaks Papers,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w:t>
      </w:r>
      <w:r w:rsidDel="00000000" w:rsidR="00000000" w:rsidRPr="00000000">
        <w:rPr>
          <w:rFonts w:ascii="Arial" w:cs="Arial" w:eastAsia="Arial" w:hAnsi="Arial"/>
          <w:sz w:val="22"/>
          <w:szCs w:val="22"/>
          <w:rtl w:val="0"/>
        </w:rPr>
        <w:t xml:space="preserve">, 25-40</w:t>
      </w:r>
    </w:p>
    <w:p w:rsidR="00000000" w:rsidDel="00000000" w:rsidP="00000000" w:rsidRDefault="00000000" w:rsidRPr="00000000" w14:paraId="000001DF">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E0">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Rostovtzeff, M. (1941b) </w:t>
      </w:r>
      <w:r w:rsidDel="00000000" w:rsidR="00000000" w:rsidRPr="00000000">
        <w:rPr>
          <w:rFonts w:ascii="Arial" w:cs="Arial" w:eastAsia="Arial" w:hAnsi="Arial"/>
          <w:i w:val="1"/>
          <w:sz w:val="22"/>
          <w:szCs w:val="22"/>
          <w:rtl w:val="0"/>
        </w:rPr>
        <w:t xml:space="preserve">The Social and Economic History of the Hellenistic World vols. 1 &amp; 2</w:t>
      </w:r>
      <w:r w:rsidDel="00000000" w:rsidR="00000000" w:rsidRPr="00000000">
        <w:rPr>
          <w:rFonts w:ascii="Arial" w:cs="Arial" w:eastAsia="Arial" w:hAnsi="Arial"/>
          <w:sz w:val="22"/>
          <w:szCs w:val="22"/>
          <w:rtl w:val="0"/>
        </w:rPr>
        <w:t xml:space="preserve">, Oxford University Press </w:t>
      </w:r>
    </w:p>
    <w:p w:rsidR="00000000" w:rsidDel="00000000" w:rsidP="00000000" w:rsidRDefault="00000000" w:rsidRPr="00000000" w14:paraId="000001E1">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E2">
      <w:pPr>
        <w:ind w:left="566.9291338582675" w:hanging="566.9291338582675"/>
        <w:rPr>
          <w:rFonts w:ascii="Arial" w:cs="Arial" w:eastAsia="Arial" w:hAnsi="Arial"/>
          <w:i w:val="1"/>
          <w:color w:val="202122"/>
          <w:sz w:val="22"/>
          <w:szCs w:val="22"/>
        </w:rPr>
      </w:pPr>
      <w:r w:rsidDel="00000000" w:rsidR="00000000" w:rsidRPr="00000000">
        <w:rPr>
          <w:rFonts w:ascii="Arial" w:cs="Arial" w:eastAsia="Arial" w:hAnsi="Arial"/>
          <w:color w:val="202122"/>
          <w:sz w:val="22"/>
          <w:szCs w:val="22"/>
          <w:rtl w:val="0"/>
        </w:rPr>
        <w:t xml:space="preserve">Rutherford, H. T. (1934) ‘The Public School of Sparta’ </w:t>
      </w:r>
      <w:r w:rsidDel="00000000" w:rsidR="00000000" w:rsidRPr="00000000">
        <w:rPr>
          <w:rFonts w:ascii="Arial" w:cs="Arial" w:eastAsia="Arial" w:hAnsi="Arial"/>
          <w:i w:val="1"/>
          <w:color w:val="202122"/>
          <w:sz w:val="22"/>
          <w:szCs w:val="22"/>
          <w:rtl w:val="0"/>
        </w:rPr>
        <w:t xml:space="preserve">Greece &amp; Rome, Vol. 3, No. 9 (May 1934) pp. 129-139.</w:t>
      </w:r>
    </w:p>
    <w:p w:rsidR="00000000" w:rsidDel="00000000" w:rsidP="00000000" w:rsidRDefault="00000000" w:rsidRPr="00000000" w14:paraId="000001E3">
      <w:pPr>
        <w:ind w:left="566.9291338582675" w:hanging="566.9291338582675"/>
        <w:rPr>
          <w:rFonts w:ascii="Arial" w:cs="Arial" w:eastAsia="Arial" w:hAnsi="Arial"/>
          <w:i w:val="1"/>
          <w:color w:val="202122"/>
          <w:sz w:val="22"/>
          <w:szCs w:val="22"/>
        </w:rPr>
      </w:pPr>
      <w:r w:rsidDel="00000000" w:rsidR="00000000" w:rsidRPr="00000000">
        <w:rPr>
          <w:rtl w:val="0"/>
        </w:rPr>
      </w:r>
    </w:p>
    <w:p w:rsidR="00000000" w:rsidDel="00000000" w:rsidP="00000000" w:rsidRDefault="00000000" w:rsidRPr="00000000" w14:paraId="000001E4">
      <w:pPr>
        <w:spacing w:line="276" w:lineRule="auto"/>
        <w:ind w:left="566.9291338582675" w:hanging="566.9291338582675"/>
        <w:rPr>
          <w:rFonts w:ascii="Arial" w:cs="Arial" w:eastAsia="Arial" w:hAnsi="Arial"/>
          <w:color w:val="202122"/>
          <w:sz w:val="22"/>
          <w:szCs w:val="22"/>
        </w:rPr>
      </w:pPr>
      <w:r w:rsidDel="00000000" w:rsidR="00000000" w:rsidRPr="00000000">
        <w:rPr>
          <w:rFonts w:ascii="Arial" w:cs="Arial" w:eastAsia="Arial" w:hAnsi="Arial"/>
          <w:color w:val="202122"/>
          <w:sz w:val="22"/>
          <w:szCs w:val="22"/>
          <w:rtl w:val="0"/>
        </w:rPr>
        <w:t xml:space="preserve">Sancisi-Weerdenburg, H. (1989) ‘Gifts in the Persian empire’ in Briant and Herrenschmidt (1989), </w:t>
      </w:r>
      <w:r w:rsidDel="00000000" w:rsidR="00000000" w:rsidRPr="00000000">
        <w:rPr>
          <w:rFonts w:ascii="Arial" w:cs="Arial" w:eastAsia="Arial" w:hAnsi="Arial"/>
          <w:i w:val="1"/>
          <w:color w:val="202122"/>
          <w:sz w:val="22"/>
          <w:szCs w:val="22"/>
          <w:rtl w:val="0"/>
        </w:rPr>
        <w:t xml:space="preserve">Le tribut dans l’empire perse</w:t>
      </w:r>
      <w:r w:rsidDel="00000000" w:rsidR="00000000" w:rsidRPr="00000000">
        <w:rPr>
          <w:rFonts w:ascii="Arial" w:cs="Arial" w:eastAsia="Arial" w:hAnsi="Arial"/>
          <w:color w:val="202122"/>
          <w:sz w:val="22"/>
          <w:szCs w:val="22"/>
          <w:rtl w:val="0"/>
        </w:rPr>
        <w:t xml:space="preserve"> (Paris).</w:t>
      </w:r>
    </w:p>
    <w:p w:rsidR="00000000" w:rsidDel="00000000" w:rsidP="00000000" w:rsidRDefault="00000000" w:rsidRPr="00000000" w14:paraId="000001E5">
      <w:pPr>
        <w:ind w:left="566.9291338582675" w:hanging="566.9291338582675"/>
        <w:rPr>
          <w:rFonts w:ascii="Arial" w:cs="Arial" w:eastAsia="Arial" w:hAnsi="Arial"/>
          <w:i w:val="1"/>
          <w:color w:val="202122"/>
          <w:sz w:val="22"/>
          <w:szCs w:val="22"/>
        </w:rPr>
      </w:pPr>
      <w:r w:rsidDel="00000000" w:rsidR="00000000" w:rsidRPr="00000000">
        <w:rPr>
          <w:rtl w:val="0"/>
        </w:rPr>
      </w:r>
    </w:p>
    <w:p w:rsidR="00000000" w:rsidDel="00000000" w:rsidP="00000000" w:rsidRDefault="00000000" w:rsidRPr="00000000" w14:paraId="000001E6">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E7">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color w:val="202122"/>
          <w:sz w:val="22"/>
          <w:szCs w:val="22"/>
          <w:highlight w:val="yellow"/>
          <w:rtl w:val="0"/>
        </w:rPr>
        <w:t xml:space="preserve">Sarikakis, T. (1974). Το Βασίλειο των Σελευκιδών και η Ρώμη [The Seleucid Kingdom and Rome]. In Christopoulos, Georgios A. &amp; Bastias, I. K. (eds.). </w:t>
      </w:r>
      <w:r w:rsidDel="00000000" w:rsidR="00000000" w:rsidRPr="00000000">
        <w:rPr>
          <w:rFonts w:ascii="Arial" w:cs="Arial" w:eastAsia="Arial" w:hAnsi="Arial"/>
          <w:i w:val="1"/>
          <w:color w:val="202122"/>
          <w:sz w:val="22"/>
          <w:szCs w:val="22"/>
          <w:highlight w:val="yellow"/>
          <w:rtl w:val="0"/>
        </w:rPr>
        <w:t xml:space="preserve">Ιστορία του Ελληνικού Έθνους, Τόμος Ε΄: Ελληνιστικοί Χρόνοι</w:t>
      </w:r>
      <w:r w:rsidDel="00000000" w:rsidR="00000000" w:rsidRPr="00000000">
        <w:rPr>
          <w:rFonts w:ascii="Arial" w:cs="Arial" w:eastAsia="Arial" w:hAnsi="Arial"/>
          <w:color w:val="202122"/>
          <w:sz w:val="22"/>
          <w:szCs w:val="22"/>
          <w:highlight w:val="yellow"/>
          <w:rtl w:val="0"/>
        </w:rPr>
        <w:t xml:space="preserve"> [</w:t>
      </w:r>
      <w:r w:rsidDel="00000000" w:rsidR="00000000" w:rsidRPr="00000000">
        <w:rPr>
          <w:rFonts w:ascii="Arial" w:cs="Arial" w:eastAsia="Arial" w:hAnsi="Arial"/>
          <w:i w:val="1"/>
          <w:color w:val="202122"/>
          <w:sz w:val="22"/>
          <w:szCs w:val="22"/>
          <w:highlight w:val="yellow"/>
          <w:rtl w:val="0"/>
        </w:rPr>
        <w:t xml:space="preserve">History of the Greek Nation, Volume V: Hellenistic Period</w:t>
      </w:r>
      <w:r w:rsidDel="00000000" w:rsidR="00000000" w:rsidRPr="00000000">
        <w:rPr>
          <w:rFonts w:ascii="Arial" w:cs="Arial" w:eastAsia="Arial" w:hAnsi="Arial"/>
          <w:color w:val="202122"/>
          <w:sz w:val="22"/>
          <w:szCs w:val="22"/>
          <w:highlight w:val="yellow"/>
          <w:rtl w:val="0"/>
        </w:rPr>
        <w:t xml:space="preserve">] (in Greek). Athens: Ekdotiki Athinon. pp. 55–91</w:t>
      </w:r>
      <w:r w:rsidDel="00000000" w:rsidR="00000000" w:rsidRPr="00000000">
        <w:rPr>
          <w:rtl w:val="0"/>
        </w:rPr>
      </w:r>
    </w:p>
    <w:p w:rsidR="00000000" w:rsidDel="00000000" w:rsidP="00000000" w:rsidRDefault="00000000" w:rsidRPr="00000000" w14:paraId="000001E8">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E9">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Scheidel, W. (2004). Demographic and Economic Development in the Ancient Mediterranean World. Journal of Institutional and Theoretical Economics (JITE) / Zeitschrift Für Die Gesamte Staatswissenschaft, 160(4), 743-757. Retrieved December 10, 2020, from </w:t>
      </w:r>
      <w:hyperlink r:id="rId11">
        <w:r w:rsidDel="00000000" w:rsidR="00000000" w:rsidRPr="00000000">
          <w:rPr>
            <w:rFonts w:ascii="Arial" w:cs="Arial" w:eastAsia="Arial" w:hAnsi="Arial"/>
            <w:color w:val="1155cc"/>
            <w:sz w:val="22"/>
            <w:szCs w:val="22"/>
            <w:highlight w:val="yellow"/>
            <w:u w:val="single"/>
            <w:rtl w:val="0"/>
          </w:rPr>
          <w:t xml:space="preserve">http://www.jstor.org.ezproxy.uwtsd.ac.uk/stable/40752488</w:t>
        </w:r>
      </w:hyperlink>
      <w:r w:rsidDel="00000000" w:rsidR="00000000" w:rsidRPr="00000000">
        <w:rPr>
          <w:rtl w:val="0"/>
        </w:rPr>
      </w:r>
    </w:p>
    <w:p w:rsidR="00000000" w:rsidDel="00000000" w:rsidP="00000000" w:rsidRDefault="00000000" w:rsidRPr="00000000" w14:paraId="000001EA">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EB">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Scheidel, W. (ed.) (2012) </w:t>
      </w:r>
      <w:r w:rsidDel="00000000" w:rsidR="00000000" w:rsidRPr="00000000">
        <w:rPr>
          <w:rFonts w:ascii="Arial" w:cs="Arial" w:eastAsia="Arial" w:hAnsi="Arial"/>
          <w:i w:val="1"/>
          <w:sz w:val="22"/>
          <w:szCs w:val="22"/>
          <w:rtl w:val="0"/>
        </w:rPr>
        <w:t xml:space="preserve">The Cambridge Companion to the Roman Economy</w:t>
      </w:r>
      <w:r w:rsidDel="00000000" w:rsidR="00000000" w:rsidRPr="00000000">
        <w:rPr>
          <w:rFonts w:ascii="Arial" w:cs="Arial" w:eastAsia="Arial" w:hAnsi="Arial"/>
          <w:sz w:val="22"/>
          <w:szCs w:val="22"/>
          <w:rtl w:val="0"/>
        </w:rPr>
        <w:t xml:space="preserve">, Cambridge University Press</w:t>
      </w:r>
    </w:p>
    <w:p w:rsidR="00000000" w:rsidDel="00000000" w:rsidP="00000000" w:rsidRDefault="00000000" w:rsidRPr="00000000" w14:paraId="000001EC">
      <w:pPr>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D">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Scheidel, W. and Monson, A (eds.) (2015) </w:t>
      </w:r>
      <w:r w:rsidDel="00000000" w:rsidR="00000000" w:rsidRPr="00000000">
        <w:rPr>
          <w:rFonts w:ascii="Arial" w:cs="Arial" w:eastAsia="Arial" w:hAnsi="Arial"/>
          <w:i w:val="1"/>
          <w:sz w:val="22"/>
          <w:szCs w:val="22"/>
          <w:rtl w:val="0"/>
        </w:rPr>
        <w:t xml:space="preserve">Fiscal Regimes and the Political Economy of Premodern States</w:t>
      </w:r>
      <w:r w:rsidDel="00000000" w:rsidR="00000000" w:rsidRPr="00000000">
        <w:rPr>
          <w:rFonts w:ascii="Arial" w:cs="Arial" w:eastAsia="Arial" w:hAnsi="Arial"/>
          <w:sz w:val="22"/>
          <w:szCs w:val="22"/>
          <w:rtl w:val="0"/>
        </w:rPr>
        <w:t xml:space="preserve">, Cambridge University Press</w:t>
      </w:r>
    </w:p>
    <w:p w:rsidR="00000000" w:rsidDel="00000000" w:rsidP="00000000" w:rsidRDefault="00000000" w:rsidRPr="00000000" w14:paraId="000001EE">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EF">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Schumpeter, J. A. (1951) </w:t>
      </w:r>
      <w:r w:rsidDel="00000000" w:rsidR="00000000" w:rsidRPr="00000000">
        <w:rPr>
          <w:rFonts w:ascii="Arial" w:cs="Arial" w:eastAsia="Arial" w:hAnsi="Arial"/>
          <w:i w:val="1"/>
          <w:sz w:val="22"/>
          <w:szCs w:val="22"/>
          <w:highlight w:val="yellow"/>
          <w:rtl w:val="0"/>
        </w:rPr>
        <w:t xml:space="preserve">Imperialism and Social Classes</w:t>
      </w:r>
      <w:r w:rsidDel="00000000" w:rsidR="00000000" w:rsidRPr="00000000">
        <w:rPr>
          <w:rFonts w:ascii="Arial" w:cs="Arial" w:eastAsia="Arial" w:hAnsi="Arial"/>
          <w:sz w:val="22"/>
          <w:szCs w:val="22"/>
          <w:highlight w:val="yellow"/>
          <w:rtl w:val="0"/>
        </w:rPr>
        <w:t xml:space="preserve"> (1974 English edition), Trans. H. Norden. Cleveland &amp; New York: Meridian Books.  </w:t>
      </w:r>
    </w:p>
    <w:p w:rsidR="00000000" w:rsidDel="00000000" w:rsidP="00000000" w:rsidRDefault="00000000" w:rsidRPr="00000000" w14:paraId="000001F0">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F1">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Sekunda N. (1995) </w:t>
      </w:r>
      <w:r w:rsidDel="00000000" w:rsidR="00000000" w:rsidRPr="00000000">
        <w:rPr>
          <w:rFonts w:ascii="Arial" w:cs="Arial" w:eastAsia="Arial" w:hAnsi="Arial"/>
          <w:i w:val="1"/>
          <w:sz w:val="22"/>
          <w:szCs w:val="22"/>
          <w:rtl w:val="0"/>
        </w:rPr>
        <w:t xml:space="preserve">Selukid and Ptolemaic Reformed Armies</w:t>
      </w:r>
      <w:r w:rsidDel="00000000" w:rsidR="00000000" w:rsidRPr="00000000">
        <w:rPr>
          <w:rFonts w:ascii="Arial" w:cs="Arial" w:eastAsia="Arial" w:hAnsi="Arial"/>
          <w:sz w:val="22"/>
          <w:szCs w:val="22"/>
          <w:rtl w:val="0"/>
        </w:rPr>
        <w:t xml:space="preserve"> 168-145 BC, Monvert Publications, Stockport</w:t>
      </w:r>
    </w:p>
    <w:p w:rsidR="00000000" w:rsidDel="00000000" w:rsidP="00000000" w:rsidRDefault="00000000" w:rsidRPr="00000000" w14:paraId="000001F2">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F3">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Sekunda, N. (2010) The Macedonian Army, in Roisman, J. and Worthington, I. (eds) (2010) </w:t>
      </w:r>
      <w:r w:rsidDel="00000000" w:rsidR="00000000" w:rsidRPr="00000000">
        <w:rPr>
          <w:rFonts w:ascii="Arial" w:cs="Arial" w:eastAsia="Arial" w:hAnsi="Arial"/>
          <w:i w:val="1"/>
          <w:sz w:val="22"/>
          <w:szCs w:val="22"/>
          <w:rtl w:val="0"/>
        </w:rPr>
        <w:t xml:space="preserve">A Companion to Ancient Macedonia</w:t>
      </w:r>
      <w:r w:rsidDel="00000000" w:rsidR="00000000" w:rsidRPr="00000000">
        <w:rPr>
          <w:rFonts w:ascii="Arial" w:cs="Arial" w:eastAsia="Arial" w:hAnsi="Arial"/>
          <w:sz w:val="22"/>
          <w:szCs w:val="22"/>
          <w:rtl w:val="0"/>
        </w:rPr>
        <w:t xml:space="preserve">, Wiley Blackwell, Oxford pp. 446-471 </w:t>
      </w:r>
    </w:p>
    <w:p w:rsidR="00000000" w:rsidDel="00000000" w:rsidP="00000000" w:rsidRDefault="00000000" w:rsidRPr="00000000" w14:paraId="000001F4">
      <w:pPr>
        <w:spacing w:line="240" w:lineRule="auto"/>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F5">
      <w:pPr>
        <w:spacing w:line="240" w:lineRule="auto"/>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Serrati, J. (2020). Agōn Sikelia: The Hannibalic War and the (Re)Organization of Roman Sicily. In Serrati J., Reid H., &amp; Sorg T. (Eds.), Conflict and Competition: Agon in Western Greece: Selected Essays from the 2019 Symposium on the Heritage of Western Greece (pp. 67-92). Iowa USA: Parnassos Press – Fonte Aretusa. doi:10.2307/j.ctv15tt78p.9</w:t>
      </w:r>
    </w:p>
    <w:p w:rsidR="00000000" w:rsidDel="00000000" w:rsidP="00000000" w:rsidRDefault="00000000" w:rsidRPr="00000000" w14:paraId="000001F6">
      <w:pPr>
        <w:spacing w:line="240" w:lineRule="auto"/>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F7">
      <w:pPr>
        <w:spacing w:line="240" w:lineRule="auto"/>
        <w:ind w:left="566.9291338582675" w:hanging="566.9291338582675"/>
        <w:rPr>
          <w:rFonts w:ascii="Arial" w:cs="Arial" w:eastAsia="Arial" w:hAnsi="Arial"/>
          <w:sz w:val="22"/>
          <w:szCs w:val="22"/>
        </w:rPr>
      </w:pPr>
      <w:r w:rsidDel="00000000" w:rsidR="00000000" w:rsidRPr="00000000">
        <w:rPr>
          <w:rFonts w:ascii="Arial" w:cs="Arial" w:eastAsia="Arial" w:hAnsi="Arial"/>
          <w:color w:val="231f20"/>
          <w:sz w:val="22"/>
          <w:szCs w:val="22"/>
          <w:rtl w:val="0"/>
        </w:rPr>
        <w:t xml:space="preserve">Serrati, J. (2007) “Warfare and the state,” in The Cambridge History of Greek and Roman Warfare, vol. I, </w:t>
      </w:r>
      <w:r w:rsidDel="00000000" w:rsidR="00000000" w:rsidRPr="00000000">
        <w:rPr>
          <w:rFonts w:ascii="Arial" w:cs="Arial" w:eastAsia="Arial" w:hAnsi="Arial"/>
          <w:i w:val="1"/>
          <w:color w:val="231f20"/>
          <w:sz w:val="22"/>
          <w:szCs w:val="22"/>
          <w:rtl w:val="0"/>
        </w:rPr>
        <w:t xml:space="preserve">Greece, the Hellenistic World and the Rise of Rome</w:t>
      </w:r>
      <w:r w:rsidDel="00000000" w:rsidR="00000000" w:rsidRPr="00000000">
        <w:rPr>
          <w:rFonts w:ascii="Arial" w:cs="Arial" w:eastAsia="Arial" w:hAnsi="Arial"/>
          <w:color w:val="231f20"/>
          <w:sz w:val="22"/>
          <w:szCs w:val="22"/>
          <w:rtl w:val="0"/>
        </w:rPr>
        <w:t xml:space="preserve">, ed. P. Sabin, H. van Wees, and M. Whitby. Cambridge: 461–97.</w:t>
      </w:r>
      <w:r w:rsidDel="00000000" w:rsidR="00000000" w:rsidRPr="00000000">
        <w:rPr>
          <w:rtl w:val="0"/>
        </w:rPr>
      </w:r>
    </w:p>
    <w:p w:rsidR="00000000" w:rsidDel="00000000" w:rsidP="00000000" w:rsidRDefault="00000000" w:rsidRPr="00000000" w14:paraId="000001F8">
      <w:pPr>
        <w:spacing w:line="240" w:lineRule="auto"/>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9">
      <w:pPr>
        <w:spacing w:line="240" w:lineRule="auto"/>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Sherwin-White, S. and Kuhrt, A. (1993) </w:t>
      </w:r>
      <w:r w:rsidDel="00000000" w:rsidR="00000000" w:rsidRPr="00000000">
        <w:rPr>
          <w:rFonts w:ascii="Arial" w:cs="Arial" w:eastAsia="Arial" w:hAnsi="Arial"/>
          <w:i w:val="1"/>
          <w:sz w:val="22"/>
          <w:szCs w:val="22"/>
          <w:rtl w:val="0"/>
        </w:rPr>
        <w:t xml:space="preserve">From Samarkhand to Sardis: A New Approach to the Seleukid Empire</w:t>
      </w:r>
      <w:r w:rsidDel="00000000" w:rsidR="00000000" w:rsidRPr="00000000">
        <w:rPr>
          <w:rFonts w:ascii="Arial" w:cs="Arial" w:eastAsia="Arial" w:hAnsi="Arial"/>
          <w:sz w:val="22"/>
          <w:szCs w:val="22"/>
          <w:rtl w:val="0"/>
        </w:rPr>
        <w:t xml:space="preserve">, Berkely, Los Angeles; University of California Press</w:t>
      </w:r>
    </w:p>
    <w:p w:rsidR="00000000" w:rsidDel="00000000" w:rsidP="00000000" w:rsidRDefault="00000000" w:rsidRPr="00000000" w14:paraId="000001FA">
      <w:pPr>
        <w:spacing w:line="240" w:lineRule="auto"/>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FB">
      <w:pPr>
        <w:spacing w:line="240" w:lineRule="auto"/>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Southern, P. (2006) </w:t>
      </w:r>
      <w:r w:rsidDel="00000000" w:rsidR="00000000" w:rsidRPr="00000000">
        <w:rPr>
          <w:rFonts w:ascii="Arial" w:cs="Arial" w:eastAsia="Arial" w:hAnsi="Arial"/>
          <w:i w:val="1"/>
          <w:sz w:val="22"/>
          <w:szCs w:val="22"/>
          <w:rtl w:val="0"/>
        </w:rPr>
        <w:t xml:space="preserve">The Roman Army, A Social and Institutional History</w:t>
      </w:r>
      <w:r w:rsidDel="00000000" w:rsidR="00000000" w:rsidRPr="00000000">
        <w:rPr>
          <w:rFonts w:ascii="Arial" w:cs="Arial" w:eastAsia="Arial" w:hAnsi="Arial"/>
          <w:sz w:val="22"/>
          <w:szCs w:val="22"/>
          <w:rtl w:val="0"/>
        </w:rPr>
        <w:t xml:space="preserve">, ABC Clio, Oxford</w:t>
      </w:r>
    </w:p>
    <w:p w:rsidR="00000000" w:rsidDel="00000000" w:rsidP="00000000" w:rsidRDefault="00000000" w:rsidRPr="00000000" w14:paraId="000001FC">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FD">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Stavely, E. S. Rome and Italy in the Early Third Century. In Walbank, F. W., Astin, A. E., Fredericksen, M. W. and Ogilvie, R. M. eds. (1989) </w:t>
      </w:r>
      <w:r w:rsidDel="00000000" w:rsidR="00000000" w:rsidRPr="00000000">
        <w:rPr>
          <w:rFonts w:ascii="Arial" w:cs="Arial" w:eastAsia="Arial" w:hAnsi="Arial"/>
          <w:i w:val="1"/>
          <w:sz w:val="22"/>
          <w:szCs w:val="22"/>
          <w:rtl w:val="0"/>
        </w:rPr>
        <w:t xml:space="preserve">The Cambridge Ancient History Volume VII, Part 2 – The Rise of Rome to 220 B.C.</w:t>
      </w:r>
      <w:r w:rsidDel="00000000" w:rsidR="00000000" w:rsidRPr="00000000">
        <w:rPr>
          <w:rFonts w:ascii="Arial" w:cs="Arial" w:eastAsia="Arial" w:hAnsi="Arial"/>
          <w:sz w:val="22"/>
          <w:szCs w:val="22"/>
          <w:rtl w:val="0"/>
        </w:rPr>
        <w:t xml:space="preserve">, Cambridge University Press </w:t>
      </w:r>
    </w:p>
    <w:p w:rsidR="00000000" w:rsidDel="00000000" w:rsidP="00000000" w:rsidRDefault="00000000" w:rsidRPr="00000000" w14:paraId="000001FE">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1FF">
      <w:pPr>
        <w:shd w:fill="ffffff" w:val="clear"/>
        <w:ind w:left="566.9291338582675" w:hanging="566.9291338582675"/>
        <w:rPr>
          <w:rFonts w:ascii="Arial" w:cs="Arial" w:eastAsia="Arial" w:hAnsi="Arial"/>
          <w:color w:val="111111"/>
          <w:sz w:val="22"/>
          <w:szCs w:val="22"/>
        </w:rPr>
      </w:pPr>
      <w:r w:rsidDel="00000000" w:rsidR="00000000" w:rsidRPr="00000000">
        <w:rPr>
          <w:rFonts w:ascii="Arial" w:cs="Arial" w:eastAsia="Arial" w:hAnsi="Arial"/>
          <w:sz w:val="22"/>
          <w:szCs w:val="22"/>
          <w:rtl w:val="0"/>
        </w:rPr>
        <w:t xml:space="preserve">Strootman, R. (2014) </w:t>
      </w:r>
      <w:r w:rsidDel="00000000" w:rsidR="00000000" w:rsidRPr="00000000">
        <w:rPr>
          <w:rFonts w:ascii="Arial" w:cs="Arial" w:eastAsia="Arial" w:hAnsi="Arial"/>
          <w:i w:val="1"/>
          <w:color w:val="111111"/>
          <w:sz w:val="22"/>
          <w:szCs w:val="22"/>
          <w:rtl w:val="0"/>
        </w:rPr>
        <w:t xml:space="preserve">Courts and Elites in the Hellenistic Empires: The Near East After the Achaemenids</w:t>
      </w:r>
      <w:r w:rsidDel="00000000" w:rsidR="00000000" w:rsidRPr="00000000">
        <w:rPr>
          <w:rFonts w:ascii="Arial" w:cs="Arial" w:eastAsia="Arial" w:hAnsi="Arial"/>
          <w:color w:val="111111"/>
          <w:sz w:val="22"/>
          <w:szCs w:val="22"/>
          <w:rtl w:val="0"/>
        </w:rPr>
        <w:t xml:space="preserve">, c. 330 to 30 BCE, Edinburgh University Press</w:t>
      </w:r>
    </w:p>
    <w:p w:rsidR="00000000" w:rsidDel="00000000" w:rsidP="00000000" w:rsidRDefault="00000000" w:rsidRPr="00000000" w14:paraId="00000200">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01">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Syme, R. (1939) </w:t>
      </w:r>
      <w:r w:rsidDel="00000000" w:rsidR="00000000" w:rsidRPr="00000000">
        <w:rPr>
          <w:rFonts w:ascii="Arial" w:cs="Arial" w:eastAsia="Arial" w:hAnsi="Arial"/>
          <w:i w:val="1"/>
          <w:sz w:val="22"/>
          <w:szCs w:val="22"/>
          <w:rtl w:val="0"/>
        </w:rPr>
        <w:t xml:space="preserve">The Roman Revolution</w:t>
      </w:r>
      <w:r w:rsidDel="00000000" w:rsidR="00000000" w:rsidRPr="00000000">
        <w:rPr>
          <w:rFonts w:ascii="Arial" w:cs="Arial" w:eastAsia="Arial" w:hAnsi="Arial"/>
          <w:sz w:val="22"/>
          <w:szCs w:val="22"/>
          <w:rtl w:val="0"/>
        </w:rPr>
        <w:t xml:space="preserve">, Oxford University Press</w:t>
      </w:r>
    </w:p>
    <w:p w:rsidR="00000000" w:rsidDel="00000000" w:rsidP="00000000" w:rsidRDefault="00000000" w:rsidRPr="00000000" w14:paraId="00000202">
      <w:pPr>
        <w:ind w:left="566.9291338582675" w:hanging="566.9291338582675"/>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3">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Syme, R. (1957) The Greeks under Roman Rule. </w:t>
      </w:r>
      <w:r w:rsidDel="00000000" w:rsidR="00000000" w:rsidRPr="00000000">
        <w:rPr>
          <w:rFonts w:ascii="Arial" w:cs="Arial" w:eastAsia="Arial" w:hAnsi="Arial"/>
          <w:i w:val="1"/>
          <w:sz w:val="22"/>
          <w:szCs w:val="22"/>
          <w:rtl w:val="0"/>
        </w:rPr>
        <w:t xml:space="preserve">Proceedings of the Massachusetts Historical Society,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72</w:t>
      </w:r>
      <w:r w:rsidDel="00000000" w:rsidR="00000000" w:rsidRPr="00000000">
        <w:rPr>
          <w:rFonts w:ascii="Arial" w:cs="Arial" w:eastAsia="Arial" w:hAnsi="Arial"/>
          <w:sz w:val="22"/>
          <w:szCs w:val="22"/>
          <w:rtl w:val="0"/>
        </w:rPr>
        <w:t xml:space="preserve">, 3-20 </w:t>
      </w:r>
    </w:p>
    <w:p w:rsidR="00000000" w:rsidDel="00000000" w:rsidP="00000000" w:rsidRDefault="00000000" w:rsidRPr="00000000" w14:paraId="00000204">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05">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Tarn, W. W. (1952) </w:t>
      </w:r>
      <w:r w:rsidDel="00000000" w:rsidR="00000000" w:rsidRPr="00000000">
        <w:rPr>
          <w:rFonts w:ascii="Arial" w:cs="Arial" w:eastAsia="Arial" w:hAnsi="Arial"/>
          <w:i w:val="1"/>
          <w:sz w:val="22"/>
          <w:szCs w:val="22"/>
          <w:rtl w:val="0"/>
        </w:rPr>
        <w:t xml:space="preserve">Hellenistic Civilization</w:t>
      </w:r>
      <w:r w:rsidDel="00000000" w:rsidR="00000000" w:rsidRPr="00000000">
        <w:rPr>
          <w:rFonts w:ascii="Arial" w:cs="Arial" w:eastAsia="Arial" w:hAnsi="Arial"/>
          <w:sz w:val="22"/>
          <w:szCs w:val="22"/>
          <w:rtl w:val="0"/>
        </w:rPr>
        <w:t xml:space="preserve">, Meridien Books, Cleveland &amp; New York, The World Publishing Company</w:t>
      </w:r>
    </w:p>
    <w:p w:rsidR="00000000" w:rsidDel="00000000" w:rsidP="00000000" w:rsidRDefault="00000000" w:rsidRPr="00000000" w14:paraId="00000206">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07">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Tenney, F. (2004) </w:t>
      </w:r>
      <w:r w:rsidDel="00000000" w:rsidR="00000000" w:rsidRPr="00000000">
        <w:rPr>
          <w:rFonts w:ascii="Arial" w:cs="Arial" w:eastAsia="Arial" w:hAnsi="Arial"/>
          <w:i w:val="1"/>
          <w:sz w:val="22"/>
          <w:szCs w:val="22"/>
          <w:rtl w:val="0"/>
        </w:rPr>
        <w:t xml:space="preserve">An Economic History of Rome</w:t>
      </w:r>
      <w:r w:rsidDel="00000000" w:rsidR="00000000" w:rsidRPr="00000000">
        <w:rPr>
          <w:rFonts w:ascii="Arial" w:cs="Arial" w:eastAsia="Arial" w:hAnsi="Arial"/>
          <w:sz w:val="22"/>
          <w:szCs w:val="22"/>
          <w:rtl w:val="0"/>
        </w:rPr>
        <w:t xml:space="preserve">, Batoche Books, Kitchener. </w:t>
      </w:r>
    </w:p>
    <w:p w:rsidR="00000000" w:rsidDel="00000000" w:rsidP="00000000" w:rsidRDefault="00000000" w:rsidRPr="00000000" w14:paraId="00000208">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09">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Tilly, C. (1990) </w:t>
      </w:r>
      <w:r w:rsidDel="00000000" w:rsidR="00000000" w:rsidRPr="00000000">
        <w:rPr>
          <w:rFonts w:ascii="Arial" w:cs="Arial" w:eastAsia="Arial" w:hAnsi="Arial"/>
          <w:i w:val="1"/>
          <w:sz w:val="22"/>
          <w:szCs w:val="22"/>
          <w:rtl w:val="0"/>
        </w:rPr>
        <w:t xml:space="preserve">Coercion, Capital and European States A.D. 990-1990, </w:t>
      </w:r>
      <w:r w:rsidDel="00000000" w:rsidR="00000000" w:rsidRPr="00000000">
        <w:rPr>
          <w:rFonts w:ascii="Arial" w:cs="Arial" w:eastAsia="Arial" w:hAnsi="Arial"/>
          <w:sz w:val="22"/>
          <w:szCs w:val="22"/>
          <w:rtl w:val="0"/>
        </w:rPr>
        <w:t xml:space="preserve">Basil Blackwell, Oxford</w:t>
      </w:r>
    </w:p>
    <w:p w:rsidR="00000000" w:rsidDel="00000000" w:rsidP="00000000" w:rsidRDefault="00000000" w:rsidRPr="00000000" w14:paraId="0000020A">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0B">
      <w:pPr>
        <w:ind w:left="566.9291338582675" w:hanging="566.9291338582675"/>
        <w:rPr>
          <w:rFonts w:ascii="Arial" w:cs="Arial" w:eastAsia="Arial" w:hAnsi="Arial"/>
          <w:color w:val="202122"/>
          <w:sz w:val="22"/>
          <w:szCs w:val="22"/>
        </w:rPr>
      </w:pPr>
      <w:r w:rsidDel="00000000" w:rsidR="00000000" w:rsidRPr="00000000">
        <w:rPr>
          <w:rFonts w:ascii="Arial" w:cs="Arial" w:eastAsia="Arial" w:hAnsi="Arial"/>
          <w:color w:val="202122"/>
          <w:sz w:val="22"/>
          <w:szCs w:val="22"/>
          <w:rtl w:val="0"/>
        </w:rPr>
        <w:t xml:space="preserve">Thorley, J. (2005) </w:t>
      </w:r>
      <w:r w:rsidDel="00000000" w:rsidR="00000000" w:rsidRPr="00000000">
        <w:rPr>
          <w:rFonts w:ascii="Arial" w:cs="Arial" w:eastAsia="Arial" w:hAnsi="Arial"/>
          <w:i w:val="1"/>
          <w:color w:val="202122"/>
          <w:sz w:val="22"/>
          <w:szCs w:val="22"/>
          <w:rtl w:val="0"/>
        </w:rPr>
        <w:t xml:space="preserve">Athenian Democracy</w:t>
      </w:r>
      <w:r w:rsidDel="00000000" w:rsidR="00000000" w:rsidRPr="00000000">
        <w:rPr>
          <w:rFonts w:ascii="Arial" w:cs="Arial" w:eastAsia="Arial" w:hAnsi="Arial"/>
          <w:color w:val="202122"/>
          <w:sz w:val="22"/>
          <w:szCs w:val="22"/>
          <w:rtl w:val="0"/>
        </w:rPr>
        <w:t xml:space="preserve">, Routledge</w:t>
      </w:r>
    </w:p>
    <w:p w:rsidR="00000000" w:rsidDel="00000000" w:rsidP="00000000" w:rsidRDefault="00000000" w:rsidRPr="00000000" w14:paraId="0000020C">
      <w:pPr>
        <w:ind w:left="566.9291338582675" w:hanging="566.9291338582675"/>
        <w:rPr>
          <w:rFonts w:ascii="Arial" w:cs="Arial" w:eastAsia="Arial" w:hAnsi="Arial"/>
          <w:color w:val="202122"/>
          <w:sz w:val="22"/>
          <w:szCs w:val="22"/>
        </w:rPr>
      </w:pPr>
      <w:r w:rsidDel="00000000" w:rsidR="00000000" w:rsidRPr="00000000">
        <w:rPr>
          <w:rtl w:val="0"/>
        </w:rPr>
      </w:r>
    </w:p>
    <w:p w:rsidR="00000000" w:rsidDel="00000000" w:rsidP="00000000" w:rsidRDefault="00000000" w:rsidRPr="00000000" w14:paraId="0000020D">
      <w:pPr>
        <w:spacing w:line="276" w:lineRule="auto"/>
        <w:ind w:left="566.9291338582675" w:hanging="566.9291338582675"/>
        <w:rPr>
          <w:rFonts w:ascii="Arial" w:cs="Arial" w:eastAsia="Arial" w:hAnsi="Arial"/>
          <w:color w:val="202122"/>
          <w:sz w:val="22"/>
          <w:szCs w:val="22"/>
        </w:rPr>
      </w:pPr>
      <w:r w:rsidDel="00000000" w:rsidR="00000000" w:rsidRPr="00000000">
        <w:rPr>
          <w:rFonts w:ascii="Arial" w:cs="Arial" w:eastAsia="Arial" w:hAnsi="Arial"/>
          <w:color w:val="202122"/>
          <w:sz w:val="22"/>
          <w:szCs w:val="22"/>
          <w:rtl w:val="0"/>
        </w:rPr>
        <w:t xml:space="preserve">Van Beek, G.W. (1982) ‘A population estimate for Marib: a contemporary Tell village in N.Yemen’, Bulletin of the American Schools of Oriental Research, 248: 61–8.</w:t>
      </w:r>
    </w:p>
    <w:p w:rsidR="00000000" w:rsidDel="00000000" w:rsidP="00000000" w:rsidRDefault="00000000" w:rsidRPr="00000000" w14:paraId="0000020E">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0F">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Walbank, F. W (2006) </w:t>
      </w:r>
      <w:r w:rsidDel="00000000" w:rsidR="00000000" w:rsidRPr="00000000">
        <w:rPr>
          <w:rFonts w:ascii="Arial" w:cs="Arial" w:eastAsia="Arial" w:hAnsi="Arial"/>
          <w:i w:val="1"/>
          <w:sz w:val="22"/>
          <w:szCs w:val="22"/>
          <w:rtl w:val="0"/>
        </w:rPr>
        <w:t xml:space="preserve">Polybius, Rome and the Hellenistic World: Essays and Reflections 1st Edition</w:t>
      </w:r>
      <w:r w:rsidDel="00000000" w:rsidR="00000000" w:rsidRPr="00000000">
        <w:rPr>
          <w:rFonts w:ascii="Arial" w:cs="Arial" w:eastAsia="Arial" w:hAnsi="Arial"/>
          <w:sz w:val="22"/>
          <w:szCs w:val="22"/>
          <w:rtl w:val="0"/>
        </w:rPr>
        <w:t xml:space="preserve">, Cambridge University Press</w:t>
      </w:r>
    </w:p>
    <w:p w:rsidR="00000000" w:rsidDel="00000000" w:rsidP="00000000" w:rsidRDefault="00000000" w:rsidRPr="00000000" w14:paraId="00000210">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11">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Walbank, F. W. (1979) </w:t>
      </w:r>
      <w:r w:rsidDel="00000000" w:rsidR="00000000" w:rsidRPr="00000000">
        <w:rPr>
          <w:rFonts w:ascii="Arial" w:cs="Arial" w:eastAsia="Arial" w:hAnsi="Arial"/>
          <w:i w:val="1"/>
          <w:sz w:val="22"/>
          <w:szCs w:val="22"/>
          <w:rtl w:val="0"/>
        </w:rPr>
        <w:t xml:space="preserve">A Historical Commentary on Polybius, Volume III: COmmentary on Books XIX-XL</w:t>
      </w:r>
      <w:r w:rsidDel="00000000" w:rsidR="00000000" w:rsidRPr="00000000">
        <w:rPr>
          <w:rFonts w:ascii="Arial" w:cs="Arial" w:eastAsia="Arial" w:hAnsi="Arial"/>
          <w:sz w:val="22"/>
          <w:szCs w:val="22"/>
          <w:rtl w:val="0"/>
        </w:rPr>
        <w:t xml:space="preserve">, Oxford</w:t>
      </w:r>
    </w:p>
    <w:p w:rsidR="00000000" w:rsidDel="00000000" w:rsidP="00000000" w:rsidRDefault="00000000" w:rsidRPr="00000000" w14:paraId="00000212">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13">
      <w:pPr>
        <w:ind w:left="566.9291338582675" w:hanging="566.9291338582675"/>
        <w:rPr>
          <w:rFonts w:ascii="Arial" w:cs="Arial" w:eastAsia="Arial" w:hAnsi="Arial"/>
          <w:b w:val="1"/>
          <w:sz w:val="22"/>
          <w:szCs w:val="22"/>
        </w:rPr>
      </w:pPr>
      <w:r w:rsidDel="00000000" w:rsidR="00000000" w:rsidRPr="00000000">
        <w:rPr>
          <w:rFonts w:ascii="Arial" w:cs="Arial" w:eastAsia="Arial" w:hAnsi="Arial"/>
          <w:sz w:val="22"/>
          <w:szCs w:val="22"/>
          <w:rtl w:val="0"/>
        </w:rPr>
        <w:t xml:space="preserve">Walbank, F. W. Monarchies and Monarchic Ideas. In Walbank, F. W., Astin, A. E., Fredericksen, M. W. and Ogilvie, R. M. eds. (1989) </w:t>
      </w:r>
      <w:r w:rsidDel="00000000" w:rsidR="00000000" w:rsidRPr="00000000">
        <w:rPr>
          <w:rFonts w:ascii="Arial" w:cs="Arial" w:eastAsia="Arial" w:hAnsi="Arial"/>
          <w:i w:val="1"/>
          <w:sz w:val="22"/>
          <w:szCs w:val="22"/>
          <w:rtl w:val="0"/>
        </w:rPr>
        <w:t xml:space="preserve">The Cambridge Ancient History Volume VII, Part 1 – The Hellenistic World</w:t>
      </w:r>
      <w:r w:rsidDel="00000000" w:rsidR="00000000" w:rsidRPr="00000000">
        <w:rPr>
          <w:rFonts w:ascii="Arial" w:cs="Arial" w:eastAsia="Arial" w:hAnsi="Arial"/>
          <w:sz w:val="22"/>
          <w:szCs w:val="22"/>
          <w:rtl w:val="0"/>
        </w:rPr>
        <w:t xml:space="preserve">, Cambridge University Press </w:t>
      </w:r>
      <w:r w:rsidDel="00000000" w:rsidR="00000000" w:rsidRPr="00000000">
        <w:rPr>
          <w:rtl w:val="0"/>
        </w:rPr>
      </w:r>
    </w:p>
    <w:p w:rsidR="00000000" w:rsidDel="00000000" w:rsidP="00000000" w:rsidRDefault="00000000" w:rsidRPr="00000000" w14:paraId="00000214">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15">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Waterfield, R. (2014) </w:t>
      </w:r>
      <w:r w:rsidDel="00000000" w:rsidR="00000000" w:rsidRPr="00000000">
        <w:rPr>
          <w:rFonts w:ascii="Arial" w:cs="Arial" w:eastAsia="Arial" w:hAnsi="Arial"/>
          <w:i w:val="1"/>
          <w:sz w:val="22"/>
          <w:szCs w:val="22"/>
          <w:rtl w:val="0"/>
        </w:rPr>
        <w:t xml:space="preserve">Taken at the Flood: The Roman Conquest of Greece</w:t>
      </w:r>
      <w:r w:rsidDel="00000000" w:rsidR="00000000" w:rsidRPr="00000000">
        <w:rPr>
          <w:rFonts w:ascii="Arial" w:cs="Arial" w:eastAsia="Arial" w:hAnsi="Arial"/>
          <w:sz w:val="22"/>
          <w:szCs w:val="22"/>
          <w:rtl w:val="0"/>
        </w:rPr>
        <w:t xml:space="preserve">, Oxford University Press</w:t>
      </w:r>
    </w:p>
    <w:p w:rsidR="00000000" w:rsidDel="00000000" w:rsidP="00000000" w:rsidRDefault="00000000" w:rsidRPr="00000000" w14:paraId="00000216">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17">
      <w:pPr>
        <w:shd w:fill="ffffff" w:val="clea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White, K.D. (1967) </w:t>
      </w:r>
      <w:r w:rsidDel="00000000" w:rsidR="00000000" w:rsidRPr="00000000">
        <w:rPr>
          <w:rFonts w:ascii="Arial" w:cs="Arial" w:eastAsia="Arial" w:hAnsi="Arial"/>
          <w:i w:val="1"/>
          <w:sz w:val="22"/>
          <w:szCs w:val="22"/>
          <w:highlight w:val="yellow"/>
          <w:rtl w:val="0"/>
        </w:rPr>
        <w:t xml:space="preserve">Agricultural Implements of the Roman World</w:t>
      </w:r>
      <w:r w:rsidDel="00000000" w:rsidR="00000000" w:rsidRPr="00000000">
        <w:rPr>
          <w:rFonts w:ascii="Arial" w:cs="Arial" w:eastAsia="Arial" w:hAnsi="Arial"/>
          <w:sz w:val="22"/>
          <w:szCs w:val="22"/>
          <w:highlight w:val="yellow"/>
          <w:rtl w:val="0"/>
        </w:rPr>
        <w:t xml:space="preserve">. Cambridge.</w:t>
      </w:r>
    </w:p>
    <w:p w:rsidR="00000000" w:rsidDel="00000000" w:rsidP="00000000" w:rsidRDefault="00000000" w:rsidRPr="00000000" w14:paraId="00000218">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19">
      <w:pPr>
        <w:shd w:fill="ffffff" w:val="clea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Westerman, W.L. (1955) </w:t>
      </w:r>
      <w:r w:rsidDel="00000000" w:rsidR="00000000" w:rsidRPr="00000000">
        <w:rPr>
          <w:rFonts w:ascii="Arial" w:cs="Arial" w:eastAsia="Arial" w:hAnsi="Arial"/>
          <w:i w:val="1"/>
          <w:sz w:val="22"/>
          <w:szCs w:val="22"/>
          <w:rtl w:val="0"/>
        </w:rPr>
        <w:t xml:space="preserve">The Slave Systems of Greek and Roman Antiquity, </w:t>
      </w:r>
      <w:r w:rsidDel="00000000" w:rsidR="00000000" w:rsidRPr="00000000">
        <w:rPr>
          <w:rFonts w:ascii="Arial" w:cs="Arial" w:eastAsia="Arial" w:hAnsi="Arial"/>
          <w:sz w:val="22"/>
          <w:szCs w:val="22"/>
          <w:rtl w:val="0"/>
        </w:rPr>
        <w:t xml:space="preserve">Philadelphia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1A">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1B">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Witcher, R. Globalisation and Roman imperialism: perspectives on identities in Roman Italy’ in Edward Herring and Kathryn Lomas (eds.), </w:t>
      </w:r>
      <w:r w:rsidDel="00000000" w:rsidR="00000000" w:rsidRPr="00000000">
        <w:rPr>
          <w:rFonts w:ascii="Arial" w:cs="Arial" w:eastAsia="Arial" w:hAnsi="Arial"/>
          <w:i w:val="1"/>
          <w:sz w:val="22"/>
          <w:szCs w:val="22"/>
          <w:rtl w:val="0"/>
        </w:rPr>
        <w:t xml:space="preserve">The emergence of state identities in Italy in the first millennium BC</w:t>
      </w:r>
      <w:r w:rsidDel="00000000" w:rsidR="00000000" w:rsidRPr="00000000">
        <w:rPr>
          <w:rFonts w:ascii="Arial" w:cs="Arial" w:eastAsia="Arial" w:hAnsi="Arial"/>
          <w:sz w:val="22"/>
          <w:szCs w:val="22"/>
          <w:rtl w:val="0"/>
        </w:rPr>
        <w:t xml:space="preserve">, London: Accordia, pp. 213-25.</w:t>
      </w:r>
    </w:p>
    <w:p w:rsidR="00000000" w:rsidDel="00000000" w:rsidP="00000000" w:rsidRDefault="00000000" w:rsidRPr="00000000" w14:paraId="0000021C">
      <w:pPr>
        <w:shd w:fill="ffffff" w:val="clea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1D">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Worthington, I (2015) </w:t>
      </w:r>
      <w:r w:rsidDel="00000000" w:rsidR="00000000" w:rsidRPr="00000000">
        <w:rPr>
          <w:rFonts w:ascii="Arial" w:cs="Arial" w:eastAsia="Arial" w:hAnsi="Arial"/>
          <w:i w:val="1"/>
          <w:sz w:val="22"/>
          <w:szCs w:val="22"/>
          <w:rtl w:val="0"/>
        </w:rPr>
        <w:t xml:space="preserve">By the Spear – Philip II, Alexander the Great and the Rise and Fall of the Macedonian Empire</w:t>
      </w:r>
      <w:r w:rsidDel="00000000" w:rsidR="00000000" w:rsidRPr="00000000">
        <w:rPr>
          <w:rFonts w:ascii="Arial" w:cs="Arial" w:eastAsia="Arial" w:hAnsi="Arial"/>
          <w:sz w:val="22"/>
          <w:szCs w:val="22"/>
          <w:rtl w:val="0"/>
        </w:rPr>
        <w:t xml:space="preserve">, Oxford University Press</w:t>
      </w:r>
    </w:p>
    <w:p w:rsidR="00000000" w:rsidDel="00000000" w:rsidP="00000000" w:rsidRDefault="00000000" w:rsidRPr="00000000" w14:paraId="0000021E">
      <w:pPr>
        <w:widowControl w:val="0"/>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1F">
      <w:pPr>
        <w:ind w:left="566.9291338582675" w:hanging="566.9291338582675"/>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Yakobson, A. Public Opinion, Foreign Policy and ‘Just War’ in the Late Republic. In Eilers, C. (ed.) (2009) </w:t>
      </w:r>
      <w:r w:rsidDel="00000000" w:rsidR="00000000" w:rsidRPr="00000000">
        <w:rPr>
          <w:rFonts w:ascii="Arial" w:cs="Arial" w:eastAsia="Arial" w:hAnsi="Arial"/>
          <w:i w:val="1"/>
          <w:sz w:val="22"/>
          <w:szCs w:val="22"/>
          <w:highlight w:val="yellow"/>
          <w:rtl w:val="0"/>
        </w:rPr>
        <w:t xml:space="preserve">Diplomats and Diplomacy in the Roman World</w:t>
      </w:r>
      <w:r w:rsidDel="00000000" w:rsidR="00000000" w:rsidRPr="00000000">
        <w:rPr>
          <w:rFonts w:ascii="Arial" w:cs="Arial" w:eastAsia="Arial" w:hAnsi="Arial"/>
          <w:sz w:val="22"/>
          <w:szCs w:val="22"/>
          <w:highlight w:val="yellow"/>
          <w:rtl w:val="0"/>
        </w:rPr>
        <w:t xml:space="preserve">, Leiden and Boston, Brill</w:t>
      </w:r>
    </w:p>
    <w:p w:rsidR="00000000" w:rsidDel="00000000" w:rsidP="00000000" w:rsidRDefault="00000000" w:rsidRPr="00000000" w14:paraId="00000220">
      <w:pPr>
        <w:ind w:left="566.9291338582675" w:hanging="566.9291338582675"/>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221">
      <w:pPr>
        <w:ind w:left="566.9291338582675" w:hanging="566.9291338582675"/>
        <w:rPr>
          <w:rFonts w:ascii="Arial" w:cs="Arial" w:eastAsia="Arial" w:hAnsi="Arial"/>
          <w:sz w:val="22"/>
          <w:szCs w:val="22"/>
        </w:rPr>
      </w:pPr>
      <w:r w:rsidDel="00000000" w:rsidR="00000000" w:rsidRPr="00000000">
        <w:rPr>
          <w:rFonts w:ascii="Arial" w:cs="Arial" w:eastAsia="Arial" w:hAnsi="Arial"/>
          <w:sz w:val="22"/>
          <w:szCs w:val="22"/>
          <w:rtl w:val="0"/>
        </w:rPr>
        <w:t xml:space="preserve">Yarshalter, E. (2006) The Cambridge history of Iran. Vol. 3. 1, Seleucid, Parthian and Sasanian periods, 4th Edition, Cambridge University Press</w:t>
      </w:r>
    </w:p>
    <w:p w:rsidR="00000000" w:rsidDel="00000000" w:rsidP="00000000" w:rsidRDefault="00000000" w:rsidRPr="00000000" w14:paraId="00000222">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23">
      <w:pPr>
        <w:pBdr>
          <w:top w:space="0" w:sz="0" w:val="nil"/>
          <w:left w:space="0" w:sz="0" w:val="nil"/>
          <w:bottom w:space="0" w:sz="0" w:val="nil"/>
          <w:right w:space="0" w:sz="0" w:val="nil"/>
          <w:between w:space="0" w:sz="0" w:val="nil"/>
        </w:pBdr>
        <w:spacing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224">
      <w:pPr>
        <w:rPr/>
      </w:pPr>
      <w:r w:rsidDel="00000000" w:rsidR="00000000" w:rsidRPr="00000000">
        <w:rPr>
          <w:rtl w:val="0"/>
        </w:rPr>
      </w:r>
    </w:p>
    <w:p w:rsidR="00000000" w:rsidDel="00000000" w:rsidP="00000000" w:rsidRDefault="00000000" w:rsidRPr="00000000" w14:paraId="00000225">
      <w:pPr>
        <w:rPr/>
      </w:pPr>
      <w:r w:rsidDel="00000000" w:rsidR="00000000" w:rsidRPr="00000000">
        <w:rPr>
          <w:rtl w:val="0"/>
        </w:rPr>
      </w:r>
    </w:p>
    <w:p w:rsidR="00000000" w:rsidDel="00000000" w:rsidP="00000000" w:rsidRDefault="00000000" w:rsidRPr="00000000" w14:paraId="00000226">
      <w:pPr>
        <w:rPr/>
      </w:pPr>
      <w:r w:rsidDel="00000000" w:rsidR="00000000" w:rsidRPr="00000000">
        <w:rPr>
          <w:rtl w:val="0"/>
        </w:rPr>
      </w:r>
    </w:p>
    <w:p w:rsidR="00000000" w:rsidDel="00000000" w:rsidP="00000000" w:rsidRDefault="00000000" w:rsidRPr="00000000" w14:paraId="00000227">
      <w:pPr>
        <w:rPr/>
      </w:pPr>
      <w:r w:rsidDel="00000000" w:rsidR="00000000" w:rsidRPr="00000000">
        <w:rPr>
          <w:rtl w:val="0"/>
        </w:rPr>
      </w:r>
    </w:p>
    <w:p w:rsidR="00000000" w:rsidDel="00000000" w:rsidP="00000000" w:rsidRDefault="00000000" w:rsidRPr="00000000" w14:paraId="00000228">
      <w:pPr>
        <w:rPr/>
      </w:pPr>
      <w:r w:rsidDel="00000000" w:rsidR="00000000" w:rsidRPr="00000000">
        <w:rPr>
          <w:rtl w:val="0"/>
        </w:rPr>
      </w:r>
    </w:p>
    <w:p w:rsidR="00000000" w:rsidDel="00000000" w:rsidP="00000000" w:rsidRDefault="00000000" w:rsidRPr="00000000" w14:paraId="00000229">
      <w:pPr>
        <w:rPr/>
      </w:pPr>
      <w:r w:rsidDel="00000000" w:rsidR="00000000" w:rsidRPr="00000000">
        <w:rPr>
          <w:rtl w:val="0"/>
        </w:rPr>
      </w:r>
    </w:p>
    <w:p w:rsidR="00000000" w:rsidDel="00000000" w:rsidP="00000000" w:rsidRDefault="00000000" w:rsidRPr="00000000" w14:paraId="0000022A">
      <w:pPr>
        <w:rPr/>
      </w:pPr>
      <w:r w:rsidDel="00000000" w:rsidR="00000000" w:rsidRPr="00000000">
        <w:rPr>
          <w:rtl w:val="0"/>
        </w:rPr>
      </w:r>
    </w:p>
    <w:p w:rsidR="00000000" w:rsidDel="00000000" w:rsidP="00000000" w:rsidRDefault="00000000" w:rsidRPr="00000000" w14:paraId="0000022B">
      <w:pPr>
        <w:rPr/>
      </w:pPr>
      <w:r w:rsidDel="00000000" w:rsidR="00000000" w:rsidRPr="00000000">
        <w:rPr>
          <w:rtl w:val="0"/>
        </w:rPr>
      </w:r>
    </w:p>
    <w:p w:rsidR="00000000" w:rsidDel="00000000" w:rsidP="00000000" w:rsidRDefault="00000000" w:rsidRPr="00000000" w14:paraId="0000022C">
      <w:pPr>
        <w:rPr/>
      </w:pPr>
      <w:r w:rsidDel="00000000" w:rsidR="00000000" w:rsidRPr="00000000">
        <w:rPr>
          <w:rtl w:val="0"/>
        </w:rPr>
      </w:r>
    </w:p>
    <w:p w:rsidR="00000000" w:rsidDel="00000000" w:rsidP="00000000" w:rsidRDefault="00000000" w:rsidRPr="00000000" w14:paraId="0000022D">
      <w:pPr>
        <w:rPr/>
      </w:pPr>
      <w:r w:rsidDel="00000000" w:rsidR="00000000" w:rsidRPr="00000000">
        <w:rPr>
          <w:rtl w:val="0"/>
        </w:rPr>
      </w:r>
    </w:p>
    <w:sectPr>
      <w:footerReference r:id="rId12" w:type="default"/>
      <w:pgSz w:h="16840" w:w="11900" w:orient="portrait"/>
      <w:pgMar w:bottom="1440" w:top="1440" w:left="1800" w:right="180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2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22F">
      <w:pPr>
        <w:rPr>
          <w:rFonts w:ascii="Arial" w:cs="Arial" w:eastAsia="Arial" w:hAnsi="Arial"/>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Cato the Elder was one such opponent, with his stern reservations around Greek language and culture covered in Plutarch </w:t>
      </w:r>
      <w:r w:rsidDel="00000000" w:rsidR="00000000" w:rsidRPr="00000000">
        <w:rPr>
          <w:rFonts w:ascii="Arial" w:cs="Arial" w:eastAsia="Arial" w:hAnsi="Arial"/>
          <w:i w:val="1"/>
          <w:sz w:val="20"/>
          <w:szCs w:val="20"/>
          <w:rtl w:val="0"/>
        </w:rPr>
        <w:t xml:space="preserve">Cato 22 and 23</w:t>
      </w:r>
    </w:p>
  </w:footnote>
  <w:footnote w:id="3">
    <w:p w:rsidR="00000000" w:rsidDel="00000000" w:rsidP="00000000" w:rsidRDefault="00000000" w:rsidRPr="00000000" w14:paraId="0000023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Witcher (2000) pp. 213-225</w:t>
      </w:r>
    </w:p>
  </w:footnote>
  <w:footnote w:id="4">
    <w:p w:rsidR="00000000" w:rsidDel="00000000" w:rsidP="00000000" w:rsidRDefault="00000000" w:rsidRPr="00000000" w14:paraId="0000023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rtl w:val="0"/>
        </w:rPr>
        <w:t xml:space="preserve"> </w:t>
      </w:r>
      <w:r w:rsidDel="00000000" w:rsidR="00000000" w:rsidRPr="00000000">
        <w:rPr>
          <w:rFonts w:ascii="Arial" w:cs="Arial" w:eastAsia="Arial" w:hAnsi="Arial"/>
          <w:sz w:val="20"/>
          <w:szCs w:val="20"/>
          <w:rtl w:val="0"/>
        </w:rPr>
        <w:t xml:space="preserve">Stavely (1989) Chapter 9, p. 420 onwards</w:t>
      </w:r>
    </w:p>
  </w:footnote>
  <w:footnote w:id="5">
    <w:p w:rsidR="00000000" w:rsidDel="00000000" w:rsidP="00000000" w:rsidRDefault="00000000" w:rsidRPr="00000000" w14:paraId="0000023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The </w:t>
      </w:r>
      <w:r w:rsidDel="00000000" w:rsidR="00000000" w:rsidRPr="00000000">
        <w:rPr>
          <w:rFonts w:ascii="Arial" w:cs="Arial" w:eastAsia="Arial" w:hAnsi="Arial"/>
          <w:i w:val="1"/>
          <w:sz w:val="20"/>
          <w:szCs w:val="20"/>
          <w:rtl w:val="0"/>
        </w:rPr>
        <w:t xml:space="preserve">Histories</w:t>
      </w:r>
      <w:r w:rsidDel="00000000" w:rsidR="00000000" w:rsidRPr="00000000">
        <w:rPr>
          <w:rFonts w:ascii="Arial" w:cs="Arial" w:eastAsia="Arial" w:hAnsi="Arial"/>
          <w:sz w:val="20"/>
          <w:szCs w:val="20"/>
          <w:rtl w:val="0"/>
        </w:rPr>
        <w:t xml:space="preserve">, 1:62</w:t>
      </w:r>
    </w:p>
  </w:footnote>
  <w:footnote w:id="6">
    <w:p w:rsidR="00000000" w:rsidDel="00000000" w:rsidP="00000000" w:rsidRDefault="00000000" w:rsidRPr="00000000" w14:paraId="0000023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Appian, </w:t>
      </w:r>
      <w:r w:rsidDel="00000000" w:rsidR="00000000" w:rsidRPr="00000000">
        <w:rPr>
          <w:rFonts w:ascii="Arial" w:cs="Arial" w:eastAsia="Arial" w:hAnsi="Arial"/>
          <w:i w:val="1"/>
          <w:sz w:val="20"/>
          <w:szCs w:val="20"/>
          <w:rtl w:val="0"/>
        </w:rPr>
        <w:t xml:space="preserve">Syriaca</w:t>
      </w:r>
      <w:r w:rsidDel="00000000" w:rsidR="00000000" w:rsidRPr="00000000">
        <w:rPr>
          <w:rFonts w:ascii="Arial" w:cs="Arial" w:eastAsia="Arial" w:hAnsi="Arial"/>
          <w:sz w:val="20"/>
          <w:szCs w:val="20"/>
          <w:rtl w:val="0"/>
        </w:rPr>
        <w:t xml:space="preserve">, 8:49; Diodorus Siculus, 40:1a-b</w:t>
      </w:r>
    </w:p>
  </w:footnote>
  <w:footnote w:id="7">
    <w:p w:rsidR="00000000" w:rsidDel="00000000" w:rsidP="00000000" w:rsidRDefault="00000000" w:rsidRPr="00000000" w14:paraId="0000023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Cassius Dio, 33.1-8</w:t>
      </w:r>
    </w:p>
  </w:footnote>
  <w:footnote w:id="8">
    <w:p w:rsidR="00000000" w:rsidDel="00000000" w:rsidP="00000000" w:rsidRDefault="00000000" w:rsidRPr="00000000" w14:paraId="0000023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Eckstein A. M. (2006 &amp; 2009)</w:t>
      </w:r>
    </w:p>
  </w:footnote>
  <w:footnote w:id="9">
    <w:p w:rsidR="00000000" w:rsidDel="00000000" w:rsidP="00000000" w:rsidRDefault="00000000" w:rsidRPr="00000000" w14:paraId="0000023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Eckstein, A.M. (2006) p.1</w:t>
      </w:r>
    </w:p>
  </w:footnote>
  <w:footnote w:id="10">
    <w:p w:rsidR="00000000" w:rsidDel="00000000" w:rsidP="00000000" w:rsidRDefault="00000000" w:rsidRPr="00000000" w14:paraId="0000023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w:t>
      </w:r>
      <w:r w:rsidDel="00000000" w:rsidR="00000000" w:rsidRPr="00000000">
        <w:rPr>
          <w:rFonts w:ascii="Arial" w:cs="Arial" w:eastAsia="Arial" w:hAnsi="Arial"/>
          <w:i w:val="1"/>
          <w:sz w:val="20"/>
          <w:szCs w:val="20"/>
          <w:rtl w:val="0"/>
        </w:rPr>
        <w:t xml:space="preserve">The Histories</w:t>
      </w:r>
      <w:r w:rsidDel="00000000" w:rsidR="00000000" w:rsidRPr="00000000">
        <w:rPr>
          <w:rFonts w:ascii="Arial" w:cs="Arial" w:eastAsia="Arial" w:hAnsi="Arial"/>
          <w:sz w:val="20"/>
          <w:szCs w:val="20"/>
          <w:rtl w:val="0"/>
        </w:rPr>
        <w:t xml:space="preserve"> 3.4.2 and 6.2.2 and explored by J.S. Richardson (1979)</w:t>
      </w:r>
    </w:p>
  </w:footnote>
  <w:footnote w:id="11">
    <w:p w:rsidR="00000000" w:rsidDel="00000000" w:rsidP="00000000" w:rsidRDefault="00000000" w:rsidRPr="00000000" w14:paraId="0000023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Livy, 22.7.2-4 gives the number of Roman dead as 15,000</w:t>
      </w:r>
    </w:p>
  </w:footnote>
  <w:footnote w:id="12">
    <w:p w:rsidR="00000000" w:rsidDel="00000000" w:rsidP="00000000" w:rsidRDefault="00000000" w:rsidRPr="00000000" w14:paraId="0000023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Livy, 21-30; Polybius, </w:t>
      </w:r>
      <w:r w:rsidDel="00000000" w:rsidR="00000000" w:rsidRPr="00000000">
        <w:rPr>
          <w:rFonts w:ascii="Arial" w:cs="Arial" w:eastAsia="Arial" w:hAnsi="Arial"/>
          <w:i w:val="1"/>
          <w:sz w:val="20"/>
          <w:szCs w:val="20"/>
          <w:rtl w:val="0"/>
        </w:rPr>
        <w:t xml:space="preserve">The Histories</w:t>
      </w:r>
      <w:r w:rsidDel="00000000" w:rsidR="00000000" w:rsidRPr="00000000">
        <w:rPr>
          <w:rFonts w:ascii="Arial" w:cs="Arial" w:eastAsia="Arial" w:hAnsi="Arial"/>
          <w:sz w:val="20"/>
          <w:szCs w:val="20"/>
          <w:rtl w:val="0"/>
        </w:rPr>
        <w:t xml:space="preserve">, 15; Appian, </w:t>
      </w:r>
      <w:r w:rsidDel="00000000" w:rsidR="00000000" w:rsidRPr="00000000">
        <w:rPr>
          <w:rFonts w:ascii="Arial" w:cs="Arial" w:eastAsia="Arial" w:hAnsi="Arial"/>
          <w:i w:val="1"/>
          <w:sz w:val="20"/>
          <w:szCs w:val="20"/>
          <w:rtl w:val="0"/>
        </w:rPr>
        <w:t xml:space="preserve">The Punic Wars,</w:t>
      </w:r>
      <w:r w:rsidDel="00000000" w:rsidR="00000000" w:rsidRPr="00000000">
        <w:rPr>
          <w:rFonts w:ascii="Arial" w:cs="Arial" w:eastAsia="Arial" w:hAnsi="Arial"/>
          <w:sz w:val="20"/>
          <w:szCs w:val="20"/>
          <w:rtl w:val="0"/>
        </w:rPr>
        <w:t xml:space="preserve"> Book 8</w:t>
      </w:r>
    </w:p>
  </w:footnote>
  <w:footnote w:id="13">
    <w:p w:rsidR="00000000" w:rsidDel="00000000" w:rsidP="00000000" w:rsidRDefault="00000000" w:rsidRPr="00000000" w14:paraId="0000023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Plutarch, </w:t>
      </w:r>
      <w:r w:rsidDel="00000000" w:rsidR="00000000" w:rsidRPr="00000000">
        <w:rPr>
          <w:rFonts w:ascii="Arial" w:cs="Arial" w:eastAsia="Arial" w:hAnsi="Arial"/>
          <w:i w:val="1"/>
          <w:sz w:val="20"/>
          <w:szCs w:val="20"/>
          <w:rtl w:val="0"/>
        </w:rPr>
        <w:t xml:space="preserve">Life of Marius</w:t>
      </w:r>
      <w:r w:rsidDel="00000000" w:rsidR="00000000" w:rsidRPr="00000000">
        <w:rPr>
          <w:rFonts w:ascii="Arial" w:cs="Arial" w:eastAsia="Arial" w:hAnsi="Arial"/>
          <w:sz w:val="20"/>
          <w:szCs w:val="20"/>
          <w:rtl w:val="0"/>
        </w:rPr>
        <w:t xml:space="preserve">, 11-27, Diodorus Siculus, 37.1</w:t>
      </w:r>
    </w:p>
  </w:footnote>
  <w:footnote w:id="14">
    <w:p w:rsidR="00000000" w:rsidDel="00000000" w:rsidP="00000000" w:rsidRDefault="00000000" w:rsidRPr="00000000" w14:paraId="0000023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Appian, </w:t>
      </w:r>
      <w:r w:rsidDel="00000000" w:rsidR="00000000" w:rsidRPr="00000000">
        <w:rPr>
          <w:rFonts w:ascii="Arial" w:cs="Arial" w:eastAsia="Arial" w:hAnsi="Arial"/>
          <w:i w:val="1"/>
          <w:sz w:val="20"/>
          <w:szCs w:val="20"/>
          <w:rtl w:val="0"/>
        </w:rPr>
        <w:t xml:space="preserve">The Civil Wars</w:t>
      </w:r>
      <w:r w:rsidDel="00000000" w:rsidR="00000000" w:rsidRPr="00000000">
        <w:rPr>
          <w:rFonts w:ascii="Arial" w:cs="Arial" w:eastAsia="Arial" w:hAnsi="Arial"/>
          <w:sz w:val="20"/>
          <w:szCs w:val="20"/>
          <w:rtl w:val="0"/>
        </w:rPr>
        <w:t xml:space="preserve">, 1.5-9</w:t>
      </w:r>
    </w:p>
  </w:footnote>
  <w:footnote w:id="15">
    <w:p w:rsidR="00000000" w:rsidDel="00000000" w:rsidP="00000000" w:rsidRDefault="00000000" w:rsidRPr="00000000" w14:paraId="0000023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Appian, </w:t>
      </w:r>
      <w:r w:rsidDel="00000000" w:rsidR="00000000" w:rsidRPr="00000000">
        <w:rPr>
          <w:rFonts w:ascii="Arial" w:cs="Arial" w:eastAsia="Arial" w:hAnsi="Arial"/>
          <w:i w:val="1"/>
          <w:sz w:val="20"/>
          <w:szCs w:val="20"/>
          <w:rtl w:val="0"/>
        </w:rPr>
        <w:t xml:space="preserve">The Mithridatic Wars</w:t>
      </w:r>
      <w:r w:rsidDel="00000000" w:rsidR="00000000" w:rsidRPr="00000000">
        <w:rPr>
          <w:rFonts w:ascii="Arial" w:cs="Arial" w:eastAsia="Arial" w:hAnsi="Arial"/>
          <w:sz w:val="20"/>
          <w:szCs w:val="20"/>
          <w:rtl w:val="0"/>
        </w:rPr>
        <w:t xml:space="preserve">, 12.16,111, Dio Cassius, 37.13</w:t>
      </w:r>
    </w:p>
  </w:footnote>
  <w:footnote w:id="16">
    <w:p w:rsidR="00000000" w:rsidDel="00000000" w:rsidP="00000000" w:rsidRDefault="00000000" w:rsidRPr="00000000" w14:paraId="0000023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Appian, </w:t>
      </w:r>
      <w:r w:rsidDel="00000000" w:rsidR="00000000" w:rsidRPr="00000000">
        <w:rPr>
          <w:rFonts w:ascii="Arial" w:cs="Arial" w:eastAsia="Arial" w:hAnsi="Arial"/>
          <w:i w:val="1"/>
          <w:sz w:val="20"/>
          <w:szCs w:val="20"/>
          <w:rtl w:val="0"/>
        </w:rPr>
        <w:t xml:space="preserve">The Civil Wars</w:t>
      </w:r>
      <w:r w:rsidDel="00000000" w:rsidR="00000000" w:rsidRPr="00000000">
        <w:rPr>
          <w:rFonts w:ascii="Arial" w:cs="Arial" w:eastAsia="Arial" w:hAnsi="Arial"/>
          <w:sz w:val="20"/>
          <w:szCs w:val="20"/>
          <w:rtl w:val="0"/>
        </w:rPr>
        <w:t xml:space="preserve">, 1.14</w:t>
      </w:r>
    </w:p>
  </w:footnote>
  <w:footnote w:id="17">
    <w:p w:rsidR="00000000" w:rsidDel="00000000" w:rsidP="00000000" w:rsidRDefault="00000000" w:rsidRPr="00000000" w14:paraId="0000023E">
      <w:pPr>
        <w:rPr>
          <w:rFonts w:ascii="Cambria" w:cs="Cambria" w:eastAsia="Cambria" w:hAnsi="Cambria"/>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At the battle of Cannae in 216 B.C.E Polybius 3.117 reported 70,000 dead among the Romans, Livy (Book 22:49.183) had the number as just over 47,000.  At the Battle of Arausio in 105 B.C.E. Livy (book 67 fragment) numbered the dead at 80,000 soldiers and 40,000 camp followers. </w:t>
      </w:r>
      <w:r w:rsidDel="00000000" w:rsidR="00000000" w:rsidRPr="00000000">
        <w:rPr>
          <w:rtl w:val="0"/>
        </w:rPr>
      </w:r>
    </w:p>
  </w:footnote>
  <w:footnote w:id="18">
    <w:p w:rsidR="00000000" w:rsidDel="00000000" w:rsidP="00000000" w:rsidRDefault="00000000" w:rsidRPr="00000000" w14:paraId="0000023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w:t>
      </w:r>
      <w:r w:rsidDel="00000000" w:rsidR="00000000" w:rsidRPr="00000000">
        <w:rPr>
          <w:rFonts w:ascii="Arial" w:cs="Arial" w:eastAsia="Arial" w:hAnsi="Arial"/>
          <w:i w:val="1"/>
          <w:sz w:val="20"/>
          <w:szCs w:val="20"/>
          <w:rtl w:val="0"/>
        </w:rPr>
        <w:t xml:space="preserve">The Histories</w:t>
      </w:r>
      <w:r w:rsidDel="00000000" w:rsidR="00000000" w:rsidRPr="00000000">
        <w:rPr>
          <w:rFonts w:ascii="Arial" w:cs="Arial" w:eastAsia="Arial" w:hAnsi="Arial"/>
          <w:sz w:val="20"/>
          <w:szCs w:val="20"/>
          <w:rtl w:val="0"/>
        </w:rPr>
        <w:t xml:space="preserve">, 1.1</w:t>
      </w:r>
    </w:p>
  </w:footnote>
  <w:footnote w:id="19">
    <w:p w:rsidR="00000000" w:rsidDel="00000000" w:rsidP="00000000" w:rsidRDefault="00000000" w:rsidRPr="00000000" w14:paraId="0000024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Cornell, T.J. </w:t>
      </w:r>
      <w:r w:rsidDel="00000000" w:rsidR="00000000" w:rsidRPr="00000000">
        <w:rPr>
          <w:rFonts w:ascii="Arial" w:cs="Arial" w:eastAsia="Arial" w:hAnsi="Arial"/>
          <w:i w:val="1"/>
          <w:sz w:val="20"/>
          <w:szCs w:val="20"/>
          <w:rtl w:val="0"/>
        </w:rPr>
        <w:t xml:space="preserve">Cambridge Ancient History Vol. VII Part 2</w:t>
      </w:r>
      <w:r w:rsidDel="00000000" w:rsidR="00000000" w:rsidRPr="00000000">
        <w:rPr>
          <w:rFonts w:ascii="Arial" w:cs="Arial" w:eastAsia="Arial" w:hAnsi="Arial"/>
          <w:sz w:val="20"/>
          <w:szCs w:val="20"/>
          <w:rtl w:val="0"/>
        </w:rPr>
        <w:t xml:space="preserve"> p.262 and Livy 2.1.9: “To begin with, when the people were still jealous of their new freedom, he obliged them to swear an oath that they would suffer no man to be king in Rome”.</w:t>
      </w:r>
    </w:p>
  </w:footnote>
  <w:footnote w:id="20">
    <w:p w:rsidR="00000000" w:rsidDel="00000000" w:rsidP="00000000" w:rsidRDefault="00000000" w:rsidRPr="00000000" w14:paraId="00000241">
      <w:pPr>
        <w:rPr>
          <w:rFonts w:ascii="Cambria" w:cs="Cambria" w:eastAsia="Cambria" w:hAnsi="Cambria"/>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w:t>
      </w:r>
      <w:r w:rsidDel="00000000" w:rsidR="00000000" w:rsidRPr="00000000">
        <w:rPr>
          <w:rFonts w:ascii="Arial" w:cs="Arial" w:eastAsia="Arial" w:hAnsi="Arial"/>
          <w:i w:val="1"/>
          <w:sz w:val="20"/>
          <w:szCs w:val="20"/>
          <w:rtl w:val="0"/>
        </w:rPr>
        <w:t xml:space="preserve">The Histories</w:t>
      </w:r>
      <w:r w:rsidDel="00000000" w:rsidR="00000000" w:rsidRPr="00000000">
        <w:rPr>
          <w:rFonts w:ascii="Arial" w:cs="Arial" w:eastAsia="Arial" w:hAnsi="Arial"/>
          <w:sz w:val="20"/>
          <w:szCs w:val="20"/>
          <w:rtl w:val="0"/>
        </w:rPr>
        <w:t xml:space="preserve">, 6:10-11 and Hankins (2010) p. 455</w:t>
      </w:r>
      <w:r w:rsidDel="00000000" w:rsidR="00000000" w:rsidRPr="00000000">
        <w:rPr>
          <w:rtl w:val="0"/>
        </w:rPr>
      </w:r>
    </w:p>
  </w:footnote>
  <w:footnote w:id="21">
    <w:p w:rsidR="00000000" w:rsidDel="00000000" w:rsidP="00000000" w:rsidRDefault="00000000" w:rsidRPr="00000000" w14:paraId="0000024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Aristotle, </w:t>
      </w:r>
      <w:r w:rsidDel="00000000" w:rsidR="00000000" w:rsidRPr="00000000">
        <w:rPr>
          <w:rFonts w:ascii="Arial" w:cs="Arial" w:eastAsia="Arial" w:hAnsi="Arial"/>
          <w:i w:val="1"/>
          <w:sz w:val="20"/>
          <w:szCs w:val="20"/>
          <w:rtl w:val="0"/>
        </w:rPr>
        <w:t xml:space="preserve">Politics</w:t>
      </w:r>
      <w:r w:rsidDel="00000000" w:rsidR="00000000" w:rsidRPr="00000000">
        <w:rPr>
          <w:rFonts w:ascii="Arial" w:cs="Arial" w:eastAsia="Arial" w:hAnsi="Arial"/>
          <w:sz w:val="20"/>
          <w:szCs w:val="20"/>
          <w:rtl w:val="0"/>
        </w:rPr>
        <w:t xml:space="preserve">, 4:2 and expanded in O’Neil (2000) p. 424</w:t>
      </w:r>
    </w:p>
  </w:footnote>
  <w:footnote w:id="22">
    <w:p w:rsidR="00000000" w:rsidDel="00000000" w:rsidP="00000000" w:rsidRDefault="00000000" w:rsidRPr="00000000" w14:paraId="0000024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Waterfield (2011) p. 86</w:t>
      </w:r>
    </w:p>
  </w:footnote>
  <w:footnote w:id="23">
    <w:p w:rsidR="00000000" w:rsidDel="00000000" w:rsidP="00000000" w:rsidRDefault="00000000" w:rsidRPr="00000000" w14:paraId="0000024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Arrian, </w:t>
      </w:r>
      <w:r w:rsidDel="00000000" w:rsidR="00000000" w:rsidRPr="00000000">
        <w:rPr>
          <w:rFonts w:ascii="Arial" w:cs="Arial" w:eastAsia="Arial" w:hAnsi="Arial"/>
          <w:i w:val="1"/>
          <w:sz w:val="20"/>
          <w:szCs w:val="20"/>
          <w:rtl w:val="0"/>
        </w:rPr>
        <w:t xml:space="preserve">Anabasis</w:t>
      </w:r>
      <w:r w:rsidDel="00000000" w:rsidR="00000000" w:rsidRPr="00000000">
        <w:rPr>
          <w:rFonts w:ascii="Arial" w:cs="Arial" w:eastAsia="Arial" w:hAnsi="Arial"/>
          <w:sz w:val="20"/>
          <w:szCs w:val="20"/>
          <w:rtl w:val="0"/>
        </w:rPr>
        <w:t xml:space="preserve"> 7.26.3 – ‘Some however recorded that his companions asked him to whom he left his kingdom; and he replied, “to the best”; others relate that he added to this, that he saw there would be a great funeral contest on his death.’</w:t>
      </w:r>
    </w:p>
  </w:footnote>
  <w:footnote w:id="24">
    <w:p w:rsidR="00000000" w:rsidDel="00000000" w:rsidP="00000000" w:rsidRDefault="00000000" w:rsidRPr="00000000" w14:paraId="0000024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Justin, 17:2.1</w:t>
      </w:r>
    </w:p>
  </w:footnote>
  <w:footnote w:id="25">
    <w:p w:rsidR="00000000" w:rsidDel="00000000" w:rsidP="00000000" w:rsidRDefault="00000000" w:rsidRPr="00000000" w14:paraId="0000024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Tarn (1952) p. 47</w:t>
      </w:r>
    </w:p>
  </w:footnote>
  <w:footnote w:id="26">
    <w:p w:rsidR="00000000" w:rsidDel="00000000" w:rsidP="00000000" w:rsidRDefault="00000000" w:rsidRPr="00000000" w14:paraId="0000024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Greenwalt (2015) p. 338</w:t>
      </w:r>
    </w:p>
  </w:footnote>
  <w:footnote w:id="27">
    <w:p w:rsidR="00000000" w:rsidDel="00000000" w:rsidP="00000000" w:rsidRDefault="00000000" w:rsidRPr="00000000" w14:paraId="0000024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Walbank, (1989) </w:t>
      </w:r>
      <w:r w:rsidDel="00000000" w:rsidR="00000000" w:rsidRPr="00000000">
        <w:rPr>
          <w:rFonts w:ascii="Arial" w:cs="Arial" w:eastAsia="Arial" w:hAnsi="Arial"/>
          <w:i w:val="1"/>
          <w:sz w:val="20"/>
          <w:szCs w:val="20"/>
          <w:rtl w:val="0"/>
        </w:rPr>
        <w:t xml:space="preserve">The Cambridge Ancient History Vol. VII Part I</w:t>
      </w:r>
      <w:r w:rsidDel="00000000" w:rsidR="00000000" w:rsidRPr="00000000">
        <w:rPr>
          <w:rFonts w:ascii="Arial" w:cs="Arial" w:eastAsia="Arial" w:hAnsi="Arial"/>
          <w:sz w:val="20"/>
          <w:szCs w:val="20"/>
          <w:rtl w:val="0"/>
        </w:rPr>
        <w:t xml:space="preserve">, pp. 64-65</w:t>
      </w:r>
    </w:p>
  </w:footnote>
  <w:footnote w:id="28">
    <w:p w:rsidR="00000000" w:rsidDel="00000000" w:rsidP="00000000" w:rsidRDefault="00000000" w:rsidRPr="00000000" w14:paraId="0000024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Cartledge (2009) p.237</w:t>
      </w:r>
    </w:p>
  </w:footnote>
  <w:footnote w:id="29">
    <w:p w:rsidR="00000000" w:rsidDel="00000000" w:rsidP="00000000" w:rsidRDefault="00000000" w:rsidRPr="00000000" w14:paraId="0000024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Christesen, P. and Murray S.C. </w:t>
      </w:r>
      <w:r w:rsidDel="00000000" w:rsidR="00000000" w:rsidRPr="00000000">
        <w:rPr>
          <w:rFonts w:ascii="Arial" w:cs="Arial" w:eastAsia="Arial" w:hAnsi="Arial"/>
          <w:i w:val="1"/>
          <w:sz w:val="20"/>
          <w:szCs w:val="20"/>
          <w:rtl w:val="0"/>
        </w:rPr>
        <w:t xml:space="preserve">A Companion to Ancient Macedonia</w:t>
      </w:r>
      <w:r w:rsidDel="00000000" w:rsidR="00000000" w:rsidRPr="00000000">
        <w:rPr>
          <w:rFonts w:ascii="Arial" w:cs="Arial" w:eastAsia="Arial" w:hAnsi="Arial"/>
          <w:sz w:val="20"/>
          <w:szCs w:val="20"/>
          <w:rtl w:val="0"/>
        </w:rPr>
        <w:t xml:space="preserve">, pp. 435-6</w:t>
      </w:r>
    </w:p>
  </w:footnote>
  <w:footnote w:id="30">
    <w:p w:rsidR="00000000" w:rsidDel="00000000" w:rsidP="00000000" w:rsidRDefault="00000000" w:rsidRPr="00000000" w14:paraId="0000024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Howgego (1995) pp. 51-54</w:t>
      </w:r>
    </w:p>
  </w:footnote>
  <w:footnote w:id="31">
    <w:p w:rsidR="00000000" w:rsidDel="00000000" w:rsidP="00000000" w:rsidRDefault="00000000" w:rsidRPr="00000000" w14:paraId="0000024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Billows (1997) p.7, 149</w:t>
      </w:r>
    </w:p>
  </w:footnote>
  <w:footnote w:id="32">
    <w:p w:rsidR="00000000" w:rsidDel="00000000" w:rsidP="00000000" w:rsidRDefault="00000000" w:rsidRPr="00000000" w14:paraId="0000024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Erickson (2013) pp.109-129</w:t>
      </w:r>
    </w:p>
  </w:footnote>
  <w:footnote w:id="33">
    <w:p w:rsidR="00000000" w:rsidDel="00000000" w:rsidP="00000000" w:rsidRDefault="00000000" w:rsidRPr="00000000" w14:paraId="0000024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Ogden, D (2011) p. 155. See also Lattey (1917)</w:t>
      </w:r>
    </w:p>
  </w:footnote>
  <w:footnote w:id="34">
    <w:p w:rsidR="00000000" w:rsidDel="00000000" w:rsidP="00000000" w:rsidRDefault="00000000" w:rsidRPr="00000000" w14:paraId="0000024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Ma, J. (2003) p.180 in Erskine, </w:t>
      </w:r>
      <w:r w:rsidDel="00000000" w:rsidR="00000000" w:rsidRPr="00000000">
        <w:rPr>
          <w:rFonts w:ascii="Arial" w:cs="Arial" w:eastAsia="Arial" w:hAnsi="Arial"/>
          <w:i w:val="1"/>
          <w:sz w:val="20"/>
          <w:szCs w:val="20"/>
          <w:rtl w:val="0"/>
        </w:rPr>
        <w:t xml:space="preserve">A Companion to the Hellenistic World</w:t>
      </w:r>
      <w:r w:rsidDel="00000000" w:rsidR="00000000" w:rsidRPr="00000000">
        <w:rPr>
          <w:rFonts w:ascii="Arial" w:cs="Arial" w:eastAsia="Arial" w:hAnsi="Arial"/>
          <w:sz w:val="20"/>
          <w:szCs w:val="20"/>
          <w:rtl w:val="0"/>
        </w:rPr>
        <w:t xml:space="preserve">, see also Pfeiffer (2008) p.387 in </w:t>
      </w:r>
      <w:r w:rsidDel="00000000" w:rsidR="00000000" w:rsidRPr="00000000">
        <w:rPr>
          <w:rFonts w:ascii="Arial" w:cs="Arial" w:eastAsia="Arial" w:hAnsi="Arial"/>
          <w:i w:val="1"/>
          <w:sz w:val="20"/>
          <w:szCs w:val="20"/>
          <w:rtl w:val="0"/>
        </w:rPr>
        <w:t xml:space="preserve">Ptolemy II Philadelphus and His World</w:t>
      </w:r>
      <w:r w:rsidDel="00000000" w:rsidR="00000000" w:rsidRPr="00000000">
        <w:rPr>
          <w:rtl w:val="0"/>
        </w:rPr>
      </w:r>
    </w:p>
  </w:footnote>
  <w:footnote w:id="35">
    <w:p w:rsidR="00000000" w:rsidDel="00000000" w:rsidP="00000000" w:rsidRDefault="00000000" w:rsidRPr="00000000" w14:paraId="0000025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Martin (1996) p. 199</w:t>
      </w:r>
    </w:p>
  </w:footnote>
  <w:footnote w:id="36">
    <w:p w:rsidR="00000000" w:rsidDel="00000000" w:rsidP="00000000" w:rsidRDefault="00000000" w:rsidRPr="00000000" w14:paraId="0000025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The expression is used in Diodorus Siculus 17.17 2</w:t>
      </w:r>
    </w:p>
  </w:footnote>
  <w:footnote w:id="37">
    <w:p w:rsidR="00000000" w:rsidDel="00000000" w:rsidP="00000000" w:rsidRDefault="00000000" w:rsidRPr="00000000" w14:paraId="0000025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Arrian</w:t>
      </w:r>
      <w:r w:rsidDel="00000000" w:rsidR="00000000" w:rsidRPr="00000000">
        <w:rPr>
          <w:rFonts w:ascii="Arial" w:cs="Arial" w:eastAsia="Arial" w:hAnsi="Arial"/>
          <w:i w:val="1"/>
          <w:sz w:val="20"/>
          <w:szCs w:val="20"/>
          <w:rtl w:val="0"/>
        </w:rPr>
        <w:t xml:space="preserve">, Anabasis of Alexander,</w:t>
      </w:r>
      <w:r w:rsidDel="00000000" w:rsidR="00000000" w:rsidRPr="00000000">
        <w:rPr>
          <w:rFonts w:ascii="Arial" w:cs="Arial" w:eastAsia="Arial" w:hAnsi="Arial"/>
          <w:sz w:val="20"/>
          <w:szCs w:val="20"/>
          <w:rtl w:val="0"/>
        </w:rPr>
        <w:t xml:space="preserve"> 2:14, cited in Austin (1986), p. 9</w:t>
      </w:r>
    </w:p>
  </w:footnote>
  <w:footnote w:id="38">
    <w:p w:rsidR="00000000" w:rsidDel="00000000" w:rsidP="00000000" w:rsidRDefault="00000000" w:rsidRPr="00000000" w14:paraId="0000025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Diodorus Siculus, </w:t>
      </w:r>
      <w:r w:rsidDel="00000000" w:rsidR="00000000" w:rsidRPr="00000000">
        <w:rPr>
          <w:rFonts w:ascii="Arial" w:cs="Arial" w:eastAsia="Arial" w:hAnsi="Arial"/>
          <w:i w:val="1"/>
          <w:sz w:val="20"/>
          <w:szCs w:val="20"/>
          <w:rtl w:val="0"/>
        </w:rPr>
        <w:t xml:space="preserve">Bibliotheca Historica,</w:t>
      </w:r>
      <w:r w:rsidDel="00000000" w:rsidR="00000000" w:rsidRPr="00000000">
        <w:rPr>
          <w:rFonts w:ascii="Arial" w:cs="Arial" w:eastAsia="Arial" w:hAnsi="Arial"/>
          <w:sz w:val="20"/>
          <w:szCs w:val="20"/>
          <w:rtl w:val="0"/>
        </w:rPr>
        <w:t xml:space="preserve"> 19.92.5</w:t>
      </w:r>
    </w:p>
  </w:footnote>
  <w:footnote w:id="39">
    <w:p w:rsidR="00000000" w:rsidDel="00000000" w:rsidP="00000000" w:rsidRDefault="00000000" w:rsidRPr="00000000" w14:paraId="000002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After his successful anabasis to the east, Antiochus III took the title of </w:t>
      </w:r>
      <w:r w:rsidDel="00000000" w:rsidR="00000000" w:rsidRPr="00000000">
        <w:rPr>
          <w:rFonts w:ascii="Arial" w:cs="Arial" w:eastAsia="Arial" w:hAnsi="Arial"/>
          <w:i w:val="1"/>
          <w:sz w:val="20"/>
          <w:szCs w:val="20"/>
          <w:rtl w:val="0"/>
        </w:rPr>
        <w:t xml:space="preserve">βασιλεύς</w:t>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μέγας</w:t>
      </w:r>
      <w:r w:rsidDel="00000000" w:rsidR="00000000" w:rsidRPr="00000000">
        <w:rPr>
          <w:rtl w:val="0"/>
        </w:rPr>
      </w:r>
    </w:p>
    <w:p w:rsidR="00000000" w:rsidDel="00000000" w:rsidP="00000000" w:rsidRDefault="00000000" w:rsidRPr="00000000" w14:paraId="00000255">
      <w:pPr>
        <w:rPr>
          <w:rFonts w:ascii="Arial" w:cs="Arial" w:eastAsia="Arial" w:hAnsi="Arial"/>
          <w:sz w:val="20"/>
          <w:szCs w:val="20"/>
        </w:rPr>
      </w:pPr>
      <w:r w:rsidDel="00000000" w:rsidR="00000000" w:rsidRPr="00000000">
        <w:rPr>
          <w:rFonts w:ascii="Arial" w:cs="Arial" w:eastAsia="Arial" w:hAnsi="Arial"/>
          <w:sz w:val="20"/>
          <w:szCs w:val="20"/>
          <w:rtl w:val="0"/>
        </w:rPr>
        <w:t xml:space="preserve"> – a Persian title that Bevan, E. R. (1902) deems secondary to the plain </w:t>
      </w:r>
      <w:r w:rsidDel="00000000" w:rsidR="00000000" w:rsidRPr="00000000">
        <w:rPr>
          <w:rFonts w:ascii="Arial" w:cs="Arial" w:eastAsia="Arial" w:hAnsi="Arial"/>
          <w:i w:val="1"/>
          <w:sz w:val="20"/>
          <w:szCs w:val="20"/>
          <w:rtl w:val="0"/>
        </w:rPr>
        <w:t xml:space="preserve">βασιλεύς</w:t>
      </w:r>
      <w:r w:rsidDel="00000000" w:rsidR="00000000" w:rsidRPr="00000000">
        <w:rPr>
          <w:rFonts w:ascii="Arial" w:cs="Arial" w:eastAsia="Arial" w:hAnsi="Arial"/>
          <w:sz w:val="20"/>
          <w:szCs w:val="20"/>
          <w:rtl w:val="0"/>
        </w:rPr>
        <w:t xml:space="preserve">. though one that Rostovtzeff (1941b, pp. 65-66) argued placed him beyond the need to link his royal and divine status to that of Alexander.</w:t>
      </w:r>
    </w:p>
  </w:footnote>
  <w:footnote w:id="40">
    <w:p w:rsidR="00000000" w:rsidDel="00000000" w:rsidP="00000000" w:rsidRDefault="00000000" w:rsidRPr="00000000" w14:paraId="0000025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Worthington (2015) p. 299</w:t>
      </w:r>
    </w:p>
  </w:footnote>
  <w:footnote w:id="41">
    <w:p w:rsidR="00000000" w:rsidDel="00000000" w:rsidP="00000000" w:rsidRDefault="00000000" w:rsidRPr="00000000" w14:paraId="0000025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2.2.1 and Grainger (2017) pp. 28-29</w:t>
      </w:r>
    </w:p>
  </w:footnote>
  <w:footnote w:id="42">
    <w:p w:rsidR="00000000" w:rsidDel="00000000" w:rsidP="00000000" w:rsidRDefault="00000000" w:rsidRPr="00000000" w14:paraId="0000025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Eckstein (2008) p. 5</w:t>
      </w:r>
    </w:p>
  </w:footnote>
  <w:footnote w:id="43">
    <w:p w:rsidR="00000000" w:rsidDel="00000000" w:rsidP="00000000" w:rsidRDefault="00000000" w:rsidRPr="00000000" w14:paraId="0000025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Errington (2008) in CAH Vol. 8 p. 81</w:t>
      </w:r>
    </w:p>
  </w:footnote>
  <w:footnote w:id="44">
    <w:p w:rsidR="00000000" w:rsidDel="00000000" w:rsidP="00000000" w:rsidRDefault="00000000" w:rsidRPr="00000000" w14:paraId="0000025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Dionysius of Halicarnassus</w:t>
      </w:r>
      <w:r w:rsidDel="00000000" w:rsidR="00000000" w:rsidRPr="00000000">
        <w:rPr>
          <w:rFonts w:ascii="Arial" w:cs="Arial" w:eastAsia="Arial" w:hAnsi="Arial"/>
          <w:i w:val="1"/>
          <w:color w:val="202122"/>
          <w:sz w:val="21"/>
          <w:szCs w:val="21"/>
          <w:highlight w:val="white"/>
          <w:rtl w:val="0"/>
        </w:rPr>
        <w:t xml:space="preserve">,</w:t>
      </w:r>
      <w:r w:rsidDel="00000000" w:rsidR="00000000" w:rsidRPr="00000000">
        <w:rPr>
          <w:rFonts w:ascii="Arial" w:cs="Arial" w:eastAsia="Arial" w:hAnsi="Arial"/>
          <w:sz w:val="20"/>
          <w:szCs w:val="20"/>
          <w:rtl w:val="0"/>
        </w:rPr>
        <w:t xml:space="preserve"> 20</w:t>
      </w:r>
      <w:hyperlink r:id="rId1">
        <w:r w:rsidDel="00000000" w:rsidR="00000000" w:rsidRPr="00000000">
          <w:rPr>
            <w:rFonts w:ascii="Arial" w:cs="Arial" w:eastAsia="Arial" w:hAnsi="Arial"/>
            <w:color w:val="1155cc"/>
            <w:sz w:val="20"/>
            <w:szCs w:val="20"/>
            <w:u w:val="single"/>
            <w:rtl w:val="0"/>
          </w:rPr>
          <w:t xml:space="preserve">.1</w:t>
        </w:r>
      </w:hyperlink>
      <w:r w:rsidDel="00000000" w:rsidR="00000000" w:rsidRPr="00000000">
        <w:rPr>
          <w:rFonts w:ascii="Arial" w:cs="Arial" w:eastAsia="Arial" w:hAnsi="Arial"/>
          <w:sz w:val="20"/>
          <w:szCs w:val="20"/>
          <w:rtl w:val="0"/>
        </w:rPr>
        <w:t xml:space="preserve">4</w:t>
      </w:r>
    </w:p>
  </w:footnote>
  <w:footnote w:id="45">
    <w:p w:rsidR="00000000" w:rsidDel="00000000" w:rsidP="00000000" w:rsidRDefault="00000000" w:rsidRPr="00000000" w14:paraId="0000025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hyperlink r:id="rId2">
        <w:r w:rsidDel="00000000" w:rsidR="00000000" w:rsidRPr="00000000">
          <w:rPr>
            <w:rFonts w:ascii="Arial" w:cs="Arial" w:eastAsia="Arial" w:hAnsi="Arial"/>
            <w:color w:val="1155cc"/>
            <w:sz w:val="20"/>
            <w:szCs w:val="20"/>
            <w:u w:val="single"/>
            <w:rtl w:val="0"/>
          </w:rPr>
          <w:t xml:space="preserve">Valerius Maximus, 6.6.5</w:t>
        </w:r>
      </w:hyperlink>
      <w:r w:rsidDel="00000000" w:rsidR="00000000" w:rsidRPr="00000000">
        <w:rPr>
          <w:rtl w:val="0"/>
        </w:rPr>
      </w:r>
    </w:p>
  </w:footnote>
  <w:footnote w:id="46">
    <w:p w:rsidR="00000000" w:rsidDel="00000000" w:rsidP="00000000" w:rsidRDefault="00000000" w:rsidRPr="00000000" w14:paraId="0000025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hyperlink r:id="rId3">
        <w:r w:rsidDel="00000000" w:rsidR="00000000" w:rsidRPr="00000000">
          <w:rPr>
            <w:rFonts w:ascii="Arial" w:cs="Arial" w:eastAsia="Arial" w:hAnsi="Arial"/>
            <w:color w:val="1155cc"/>
            <w:sz w:val="20"/>
            <w:szCs w:val="20"/>
            <w:u w:val="single"/>
            <w:rtl w:val="0"/>
          </w:rPr>
          <w:t xml:space="preserve">Polybius 30.5.6-8</w:t>
        </w:r>
      </w:hyperlink>
      <w:r w:rsidDel="00000000" w:rsidR="00000000" w:rsidRPr="00000000">
        <w:rPr>
          <w:rFonts w:ascii="Arial" w:cs="Arial" w:eastAsia="Arial" w:hAnsi="Arial"/>
          <w:sz w:val="20"/>
          <w:szCs w:val="20"/>
          <w:rtl w:val="0"/>
        </w:rPr>
        <w:t xml:space="preserve">, and discussed by Errington (1989) in CAH Vol. 8 (2nd Ed.) Ch. 4, p. 84</w:t>
      </w:r>
    </w:p>
  </w:footnote>
  <w:footnote w:id="47">
    <w:p w:rsidR="00000000" w:rsidDel="00000000" w:rsidP="00000000" w:rsidRDefault="00000000" w:rsidRPr="00000000" w14:paraId="0000025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hyperlink r:id="rId4">
        <w:r w:rsidDel="00000000" w:rsidR="00000000" w:rsidRPr="00000000">
          <w:rPr>
            <w:rFonts w:ascii="Arial" w:cs="Arial" w:eastAsia="Arial" w:hAnsi="Arial"/>
            <w:color w:val="1155cc"/>
            <w:sz w:val="20"/>
            <w:szCs w:val="20"/>
            <w:u w:val="single"/>
            <w:rtl w:val="0"/>
          </w:rPr>
          <w:t xml:space="preserve">Justin 28.1.1-2.14</w:t>
        </w:r>
      </w:hyperlink>
      <w:r w:rsidDel="00000000" w:rsidR="00000000" w:rsidRPr="00000000">
        <w:rPr>
          <w:rtl w:val="0"/>
        </w:rPr>
      </w:r>
    </w:p>
  </w:footnote>
  <w:footnote w:id="48">
    <w:p w:rsidR="00000000" w:rsidDel="00000000" w:rsidP="00000000" w:rsidRDefault="00000000" w:rsidRPr="00000000" w14:paraId="0000025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Errington (1989) p. 88 discusses this in more detail </w:t>
      </w:r>
    </w:p>
  </w:footnote>
  <w:footnote w:id="49">
    <w:p w:rsidR="00000000" w:rsidDel="00000000" w:rsidP="00000000" w:rsidRDefault="00000000" w:rsidRPr="00000000" w14:paraId="0000025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Kallet-Marx (1996) p. 331 provides a good overview of how this process unfolded. </w:t>
      </w:r>
    </w:p>
  </w:footnote>
  <w:footnote w:id="52">
    <w:p w:rsidR="00000000" w:rsidDel="00000000" w:rsidP="00000000" w:rsidRDefault="00000000" w:rsidRPr="00000000" w14:paraId="0000026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Rosenstein (2004) p. 7, 11</w:t>
      </w:r>
    </w:p>
  </w:footnote>
  <w:footnote w:id="53">
    <w:p w:rsidR="00000000" w:rsidDel="00000000" w:rsidP="00000000" w:rsidRDefault="00000000" w:rsidRPr="00000000" w14:paraId="0000026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Brunt (1987) p. 61</w:t>
      </w:r>
    </w:p>
  </w:footnote>
  <w:footnote w:id="55">
    <w:p w:rsidR="00000000" w:rsidDel="00000000" w:rsidP="00000000" w:rsidRDefault="00000000" w:rsidRPr="00000000" w14:paraId="0000026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Thorley (2005) p. 59</w:t>
      </w:r>
    </w:p>
  </w:footnote>
  <w:footnote w:id="56">
    <w:p w:rsidR="00000000" w:rsidDel="00000000" w:rsidP="00000000" w:rsidRDefault="00000000" w:rsidRPr="00000000" w14:paraId="0000026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Rutherford (1934) p.130</w:t>
      </w:r>
    </w:p>
  </w:footnote>
  <w:footnote w:id="57">
    <w:p w:rsidR="00000000" w:rsidDel="00000000" w:rsidP="00000000" w:rsidRDefault="00000000" w:rsidRPr="00000000" w14:paraId="0000026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Dittenberger &amp; HIller (1915) pp. 27-40</w:t>
      </w:r>
    </w:p>
  </w:footnote>
  <w:footnote w:id="59">
    <w:p w:rsidR="00000000" w:rsidDel="00000000" w:rsidP="00000000" w:rsidRDefault="00000000" w:rsidRPr="00000000" w14:paraId="0000026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1.9</w:t>
      </w:r>
    </w:p>
  </w:footnote>
  <w:footnote w:id="60">
    <w:p w:rsidR="00000000" w:rsidDel="00000000" w:rsidP="00000000" w:rsidRDefault="00000000" w:rsidRPr="00000000" w14:paraId="0000026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2.54</w:t>
      </w:r>
    </w:p>
  </w:footnote>
  <w:footnote w:id="61">
    <w:p w:rsidR="00000000" w:rsidDel="00000000" w:rsidP="00000000" w:rsidRDefault="00000000" w:rsidRPr="00000000" w14:paraId="0000026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6.42</w:t>
      </w:r>
    </w:p>
  </w:footnote>
  <w:footnote w:id="62">
    <w:p w:rsidR="00000000" w:rsidDel="00000000" w:rsidP="00000000" w:rsidRDefault="00000000" w:rsidRPr="00000000" w14:paraId="0000026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Abbott (1901) p. 41</w:t>
      </w:r>
    </w:p>
  </w:footnote>
  <w:footnote w:id="63">
    <w:p w:rsidR="00000000" w:rsidDel="00000000" w:rsidP="00000000" w:rsidRDefault="00000000" w:rsidRPr="00000000" w14:paraId="0000026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Badian (1968) pp. 17-18</w:t>
      </w:r>
    </w:p>
  </w:footnote>
  <w:footnote w:id="65">
    <w:p w:rsidR="00000000" w:rsidDel="00000000" w:rsidP="00000000" w:rsidRDefault="00000000" w:rsidRPr="00000000" w14:paraId="0000026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1.1.17 </w:t>
      </w:r>
    </w:p>
  </w:footnote>
  <w:footnote w:id="66">
    <w:p w:rsidR="00000000" w:rsidDel="00000000" w:rsidP="00000000" w:rsidRDefault="00000000" w:rsidRPr="00000000" w14:paraId="0000026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1.20.11-13, 37.7-10</w:t>
      </w:r>
    </w:p>
  </w:footnote>
  <w:footnote w:id="67">
    <w:p w:rsidR="00000000" w:rsidDel="00000000" w:rsidP="00000000" w:rsidRDefault="00000000" w:rsidRPr="00000000" w14:paraId="0000026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Rawson (1989) CAH Chapter 12, pp.422-3; Polybius, </w:t>
      </w:r>
      <w:r w:rsidDel="00000000" w:rsidR="00000000" w:rsidRPr="00000000">
        <w:rPr>
          <w:rFonts w:ascii="Arial" w:cs="Arial" w:eastAsia="Arial" w:hAnsi="Arial"/>
          <w:i w:val="1"/>
          <w:sz w:val="20"/>
          <w:szCs w:val="20"/>
          <w:rtl w:val="0"/>
        </w:rPr>
        <w:t xml:space="preserve">Life of Marcellus, </w:t>
      </w:r>
      <w:r w:rsidDel="00000000" w:rsidR="00000000" w:rsidRPr="00000000">
        <w:rPr>
          <w:rFonts w:ascii="Arial" w:cs="Arial" w:eastAsia="Arial" w:hAnsi="Arial"/>
          <w:sz w:val="20"/>
          <w:szCs w:val="20"/>
          <w:rtl w:val="0"/>
        </w:rPr>
        <w:t xml:space="preserve">21.5, Gruen (1992)    </w:t>
      </w:r>
    </w:p>
    <w:p w:rsidR="00000000" w:rsidDel="00000000" w:rsidP="00000000" w:rsidRDefault="00000000" w:rsidRPr="00000000" w14:paraId="0000026D">
      <w:pPr>
        <w:rPr>
          <w:rFonts w:ascii="Arial" w:cs="Arial" w:eastAsia="Arial" w:hAnsi="Arial"/>
          <w:sz w:val="20"/>
          <w:szCs w:val="20"/>
        </w:rPr>
      </w:pPr>
      <w:r w:rsidDel="00000000" w:rsidR="00000000" w:rsidRPr="00000000">
        <w:rPr>
          <w:rFonts w:ascii="Arial" w:cs="Arial" w:eastAsia="Arial" w:hAnsi="Arial"/>
          <w:sz w:val="20"/>
          <w:szCs w:val="20"/>
          <w:rtl w:val="0"/>
        </w:rPr>
        <w:t xml:space="preserve">   p. 223</w:t>
      </w:r>
    </w:p>
  </w:footnote>
  <w:footnote w:id="68">
    <w:p w:rsidR="00000000" w:rsidDel="00000000" w:rsidP="00000000" w:rsidRDefault="00000000" w:rsidRPr="00000000" w14:paraId="0000026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Plutarch, </w:t>
      </w:r>
      <w:r w:rsidDel="00000000" w:rsidR="00000000" w:rsidRPr="00000000">
        <w:rPr>
          <w:rFonts w:ascii="Arial" w:cs="Arial" w:eastAsia="Arial" w:hAnsi="Arial"/>
          <w:i w:val="1"/>
          <w:sz w:val="20"/>
          <w:szCs w:val="20"/>
          <w:rtl w:val="0"/>
        </w:rPr>
        <w:t xml:space="preserve">Life of Pyrrhus,</w:t>
      </w:r>
      <w:r w:rsidDel="00000000" w:rsidR="00000000" w:rsidRPr="00000000">
        <w:rPr>
          <w:rFonts w:ascii="Arial" w:cs="Arial" w:eastAsia="Arial" w:hAnsi="Arial"/>
          <w:sz w:val="20"/>
          <w:szCs w:val="20"/>
          <w:rtl w:val="0"/>
        </w:rPr>
        <w:t xml:space="preserve"> 16.5</w:t>
      </w:r>
    </w:p>
  </w:footnote>
  <w:footnote w:id="70">
    <w:p w:rsidR="00000000" w:rsidDel="00000000" w:rsidP="00000000" w:rsidRDefault="00000000" w:rsidRPr="00000000" w14:paraId="0000026F">
      <w:pPr>
        <w:rPr>
          <w:rFonts w:ascii="Arial" w:cs="Arial" w:eastAsia="Arial" w:hAnsi="Arial"/>
          <w:sz w:val="20"/>
          <w:szCs w:val="20"/>
          <w:highlight w:val="yellow"/>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Green (1990) </w:t>
      </w:r>
      <w:r w:rsidDel="00000000" w:rsidR="00000000" w:rsidRPr="00000000">
        <w:rPr>
          <w:rFonts w:ascii="Arial" w:cs="Arial" w:eastAsia="Arial" w:hAnsi="Arial"/>
          <w:sz w:val="20"/>
          <w:szCs w:val="20"/>
          <w:highlight w:val="yellow"/>
          <w:rtl w:val="0"/>
        </w:rPr>
        <w:t xml:space="preserve">PAGE TO BE ADDED</w:t>
      </w:r>
    </w:p>
  </w:footnote>
  <w:footnote w:id="71">
    <w:p w:rsidR="00000000" w:rsidDel="00000000" w:rsidP="00000000" w:rsidRDefault="00000000" w:rsidRPr="00000000" w14:paraId="0000027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Millan, F. (2006) p. 94</w:t>
      </w:r>
    </w:p>
  </w:footnote>
  <w:footnote w:id="72">
    <w:p w:rsidR="00000000" w:rsidDel="00000000" w:rsidP="00000000" w:rsidRDefault="00000000" w:rsidRPr="00000000" w14:paraId="0000027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Gruen (1992) p.223</w:t>
      </w:r>
    </w:p>
  </w:footnote>
  <w:footnote w:id="73">
    <w:p w:rsidR="00000000" w:rsidDel="00000000" w:rsidP="00000000" w:rsidRDefault="00000000" w:rsidRPr="00000000" w14:paraId="0000027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p224</w:t>
      </w:r>
    </w:p>
  </w:footnote>
  <w:footnote w:id="75">
    <w:p w:rsidR="00000000" w:rsidDel="00000000" w:rsidP="00000000" w:rsidRDefault="00000000" w:rsidRPr="00000000" w14:paraId="0000027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Horace, Book II, Epistle I</w:t>
      </w:r>
    </w:p>
  </w:footnote>
  <w:footnote w:id="76">
    <w:p w:rsidR="00000000" w:rsidDel="00000000" w:rsidP="00000000" w:rsidRDefault="00000000" w:rsidRPr="00000000" w14:paraId="00000274">
      <w:pPr>
        <w:rPr>
          <w:rFonts w:ascii="Arial" w:cs="Arial" w:eastAsia="Arial" w:hAnsi="Arial"/>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Strootman (2013) p. 39 in </w:t>
      </w:r>
      <w:r w:rsidDel="00000000" w:rsidR="00000000" w:rsidRPr="00000000">
        <w:rPr>
          <w:rFonts w:ascii="Arial" w:cs="Arial" w:eastAsia="Arial" w:hAnsi="Arial"/>
          <w:i w:val="1"/>
          <w:sz w:val="20"/>
          <w:szCs w:val="20"/>
          <w:rtl w:val="0"/>
        </w:rPr>
        <w:t xml:space="preserve">A Companion to Ancient Greek Government</w:t>
      </w:r>
    </w:p>
  </w:footnote>
  <w:footnote w:id="77">
    <w:p w:rsidR="00000000" w:rsidDel="00000000" w:rsidP="00000000" w:rsidRDefault="00000000" w:rsidRPr="00000000" w14:paraId="0000027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Diodorus Siculus, 15.51.1-4</w:t>
      </w:r>
    </w:p>
  </w:footnote>
  <w:footnote w:id="78">
    <w:p w:rsidR="00000000" w:rsidDel="00000000" w:rsidP="00000000" w:rsidRDefault="00000000" w:rsidRPr="00000000" w14:paraId="0000027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Arrian 4.8. Note - Arrian’s opinion of the murder was that it was the right course of action, due to a king deserving nothing but total respect. It appears that he was less informed of the historical form of Macedonian kingship.</w:t>
      </w:r>
    </w:p>
  </w:footnote>
  <w:footnote w:id="79">
    <w:p w:rsidR="00000000" w:rsidDel="00000000" w:rsidP="00000000" w:rsidRDefault="00000000" w:rsidRPr="00000000" w14:paraId="0000027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Arrian 4.9</w:t>
      </w:r>
    </w:p>
  </w:footnote>
  <w:footnote w:id="81">
    <w:p w:rsidR="00000000" w:rsidDel="00000000" w:rsidP="00000000" w:rsidRDefault="00000000" w:rsidRPr="00000000" w14:paraId="0000027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Arrian 7.4.4-8</w:t>
      </w:r>
    </w:p>
  </w:footnote>
  <w:footnote w:id="82">
    <w:p w:rsidR="00000000" w:rsidDel="00000000" w:rsidP="00000000" w:rsidRDefault="00000000" w:rsidRPr="00000000" w14:paraId="0000027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Archibald et al (2011) p. 45 </w:t>
      </w:r>
    </w:p>
  </w:footnote>
  <w:footnote w:id="83">
    <w:p w:rsidR="00000000" w:rsidDel="00000000" w:rsidP="00000000" w:rsidRDefault="00000000" w:rsidRPr="00000000" w14:paraId="0000027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Apud</w:t>
      </w:r>
      <w:r w:rsidDel="00000000" w:rsidR="00000000" w:rsidRPr="00000000">
        <w:rPr>
          <w:rFonts w:ascii="Arial" w:cs="Arial" w:eastAsia="Arial" w:hAnsi="Arial"/>
          <w:sz w:val="20"/>
          <w:szCs w:val="20"/>
          <w:rtl w:val="0"/>
        </w:rPr>
        <w:t xml:space="preserve"> Yarshater (1983), Robert (1967) p. 289</w:t>
      </w:r>
    </w:p>
  </w:footnote>
  <w:footnote w:id="84">
    <w:p w:rsidR="00000000" w:rsidDel="00000000" w:rsidP="00000000" w:rsidRDefault="00000000" w:rsidRPr="00000000" w14:paraId="0000027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Yarshalter (2006) p. 15</w:t>
      </w:r>
    </w:p>
  </w:footnote>
  <w:footnote w:id="85">
    <w:p w:rsidR="00000000" w:rsidDel="00000000" w:rsidP="00000000" w:rsidRDefault="00000000" w:rsidRPr="00000000" w14:paraId="0000027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Rostovtzeff (1941a) pp. 515-6</w:t>
      </w:r>
    </w:p>
  </w:footnote>
  <w:footnote w:id="87">
    <w:p w:rsidR="00000000" w:rsidDel="00000000" w:rsidP="00000000" w:rsidRDefault="00000000" w:rsidRPr="00000000" w14:paraId="0000027D">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Yarshater (2006) pp. 17-18</w:t>
      </w:r>
      <w:r w:rsidDel="00000000" w:rsidR="00000000" w:rsidRPr="00000000">
        <w:rPr>
          <w:rtl w:val="0"/>
        </w:rPr>
      </w:r>
    </w:p>
  </w:footnote>
  <w:footnote w:id="89">
    <w:p w:rsidR="00000000" w:rsidDel="00000000" w:rsidP="00000000" w:rsidRDefault="00000000" w:rsidRPr="00000000" w14:paraId="0000027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Green (2007) p. 73</w:t>
      </w:r>
    </w:p>
  </w:footnote>
  <w:footnote w:id="90">
    <w:p w:rsidR="00000000" w:rsidDel="00000000" w:rsidP="00000000" w:rsidRDefault="00000000" w:rsidRPr="00000000" w14:paraId="0000027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Burkhalter (2012) p. 311</w:t>
      </w:r>
    </w:p>
  </w:footnote>
  <w:footnote w:id="91">
    <w:p w:rsidR="00000000" w:rsidDel="00000000" w:rsidP="00000000" w:rsidRDefault="00000000" w:rsidRPr="00000000" w14:paraId="0000028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Ellis (1994) pp. 27-28</w:t>
      </w:r>
    </w:p>
  </w:footnote>
  <w:footnote w:id="94">
    <w:p w:rsidR="00000000" w:rsidDel="00000000" w:rsidP="00000000" w:rsidRDefault="00000000" w:rsidRPr="00000000" w14:paraId="0000028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30.25.5, 30.26.1 and Livy 41.20.9</w:t>
      </w:r>
    </w:p>
  </w:footnote>
  <w:footnote w:id="95">
    <w:p w:rsidR="00000000" w:rsidDel="00000000" w:rsidP="00000000" w:rsidRDefault="00000000" w:rsidRPr="00000000" w14:paraId="0000028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Apud</w:t>
      </w:r>
      <w:r w:rsidDel="00000000" w:rsidR="00000000" w:rsidRPr="00000000">
        <w:rPr>
          <w:rFonts w:ascii="Arial" w:cs="Arial" w:eastAsia="Arial" w:hAnsi="Arial"/>
          <w:sz w:val="20"/>
          <w:szCs w:val="20"/>
          <w:rtl w:val="0"/>
        </w:rPr>
        <w:t xml:space="preserve"> Sekunda (1995) p. 4, Walbank (1979) p. 286</w:t>
      </w:r>
    </w:p>
  </w:footnote>
  <w:footnote w:id="99">
    <w:p w:rsidR="00000000" w:rsidDel="00000000" w:rsidP="00000000" w:rsidRDefault="00000000" w:rsidRPr="00000000" w14:paraId="0000028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Southern (2006) p. 1</w:t>
      </w:r>
    </w:p>
  </w:footnote>
  <w:footnote w:id="100">
    <w:p w:rsidR="00000000" w:rsidDel="00000000" w:rsidP="00000000" w:rsidRDefault="00000000" w:rsidRPr="00000000" w14:paraId="0000028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Polybius 1.22.3, though Tarn (1907) was sceptical that the device as imagined by moderns never existed due to the weight and imbalance that this would cause to the vessel</w:t>
      </w:r>
    </w:p>
  </w:footnote>
  <w:footnote w:id="101">
    <w:p w:rsidR="00000000" w:rsidDel="00000000" w:rsidP="00000000" w:rsidRDefault="00000000" w:rsidRPr="00000000" w14:paraId="0000028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Plutarch, </w:t>
      </w:r>
      <w:r w:rsidDel="00000000" w:rsidR="00000000" w:rsidRPr="00000000">
        <w:rPr>
          <w:rFonts w:ascii="Arial" w:cs="Arial" w:eastAsia="Arial" w:hAnsi="Arial"/>
          <w:i w:val="1"/>
          <w:sz w:val="20"/>
          <w:szCs w:val="20"/>
          <w:rtl w:val="0"/>
        </w:rPr>
        <w:t xml:space="preserve">Life of Fabius</w:t>
      </w:r>
      <w:r w:rsidDel="00000000" w:rsidR="00000000" w:rsidRPr="00000000">
        <w:rPr>
          <w:rFonts w:ascii="Arial" w:cs="Arial" w:eastAsia="Arial" w:hAnsi="Arial"/>
          <w:sz w:val="20"/>
          <w:szCs w:val="20"/>
          <w:rtl w:val="0"/>
        </w:rPr>
        <w:t xml:space="preserve"> 5.1-3 on the strategy of avoidance and 5.1.4 on how this approach was to the large displeasure of his Magister Equitum and the wider body of soldiers. </w:t>
      </w:r>
    </w:p>
  </w:footnote>
  <w:footnote w:id="102">
    <w:p w:rsidR="00000000" w:rsidDel="00000000" w:rsidP="00000000" w:rsidRDefault="00000000" w:rsidRPr="00000000" w14:paraId="00000286">
      <w:pPr>
        <w:rPr>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3.65.3; cf. Livy. 21.46.6–7, </w:t>
      </w:r>
      <w:r w:rsidDel="00000000" w:rsidR="00000000" w:rsidRPr="00000000">
        <w:rPr>
          <w:rFonts w:ascii="Arial" w:cs="Arial" w:eastAsia="Arial" w:hAnsi="Arial"/>
          <w:i w:val="1"/>
          <w:sz w:val="20"/>
          <w:szCs w:val="20"/>
          <w:rtl w:val="0"/>
        </w:rPr>
        <w:t xml:space="preserve">apud</w:t>
      </w:r>
      <w:r w:rsidDel="00000000" w:rsidR="00000000" w:rsidRPr="00000000">
        <w:rPr>
          <w:rFonts w:ascii="Arial" w:cs="Arial" w:eastAsia="Arial" w:hAnsi="Arial"/>
          <w:sz w:val="20"/>
          <w:szCs w:val="20"/>
          <w:rtl w:val="0"/>
        </w:rPr>
        <w:t xml:space="preserve"> McCall (2002) p. 69</w:t>
      </w:r>
      <w:r w:rsidDel="00000000" w:rsidR="00000000" w:rsidRPr="00000000">
        <w:rPr>
          <w:rtl w:val="0"/>
        </w:rPr>
      </w:r>
    </w:p>
  </w:footnote>
  <w:footnote w:id="103">
    <w:p w:rsidR="00000000" w:rsidDel="00000000" w:rsidP="00000000" w:rsidRDefault="00000000" w:rsidRPr="00000000" w14:paraId="0000028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11.21.4</w:t>
      </w:r>
    </w:p>
  </w:footnote>
  <w:footnote w:id="104">
    <w:p w:rsidR="00000000" w:rsidDel="00000000" w:rsidP="00000000" w:rsidRDefault="00000000" w:rsidRPr="00000000" w14:paraId="0000028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Livy, 31.35.5</w:t>
      </w:r>
    </w:p>
  </w:footnote>
  <w:footnote w:id="105">
    <w:p w:rsidR="00000000" w:rsidDel="00000000" w:rsidP="00000000" w:rsidRDefault="00000000" w:rsidRPr="00000000" w14:paraId="0000028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McCall (2002) p. 98-99 makes the assertion that the Roman cavalry was at the least, a match for those they faced across the Mediterranean at this time. I make the assertion that the success or failure of their cavalry units was largely dependent on those other factors that affect the outcomes of battles such as total troop numbers, skill of the generals and the terrain to be fought on. </w:t>
      </w:r>
    </w:p>
  </w:footnote>
  <w:footnote w:id="106">
    <w:p w:rsidR="00000000" w:rsidDel="00000000" w:rsidP="00000000" w:rsidRDefault="00000000" w:rsidRPr="00000000" w14:paraId="0000028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Hill (1952) p. 26 </w:t>
      </w:r>
      <w:r w:rsidDel="00000000" w:rsidR="00000000" w:rsidRPr="00000000">
        <w:rPr>
          <w:rFonts w:ascii="Arial" w:cs="Arial" w:eastAsia="Arial" w:hAnsi="Arial"/>
          <w:i w:val="1"/>
          <w:sz w:val="20"/>
          <w:szCs w:val="20"/>
          <w:rtl w:val="0"/>
        </w:rPr>
        <w:t xml:space="preserve">apud</w:t>
      </w:r>
      <w:r w:rsidDel="00000000" w:rsidR="00000000" w:rsidRPr="00000000">
        <w:rPr>
          <w:rFonts w:ascii="Arial" w:cs="Arial" w:eastAsia="Arial" w:hAnsi="Arial"/>
          <w:sz w:val="20"/>
          <w:szCs w:val="20"/>
          <w:rtl w:val="0"/>
        </w:rPr>
        <w:t xml:space="preserve"> McCall (2002) p. 100</w:t>
      </w:r>
    </w:p>
  </w:footnote>
  <w:footnote w:id="107">
    <w:p w:rsidR="00000000" w:rsidDel="00000000" w:rsidP="00000000" w:rsidRDefault="00000000" w:rsidRPr="00000000" w14:paraId="0000028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6.20.9</w:t>
      </w:r>
    </w:p>
  </w:footnote>
  <w:footnote w:id="109">
    <w:p w:rsidR="00000000" w:rsidDel="00000000" w:rsidP="00000000" w:rsidRDefault="00000000" w:rsidRPr="00000000" w14:paraId="0000028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An apt contrast to Jugurtha’s opinion of Rome as ‘a city for sale’ (Sallust </w:t>
      </w:r>
      <w:r w:rsidDel="00000000" w:rsidR="00000000" w:rsidRPr="00000000">
        <w:rPr>
          <w:rFonts w:ascii="Arial" w:cs="Arial" w:eastAsia="Arial" w:hAnsi="Arial"/>
          <w:i w:val="1"/>
          <w:sz w:val="20"/>
          <w:szCs w:val="20"/>
          <w:rtl w:val="0"/>
        </w:rPr>
        <w:t xml:space="preserve">Jugurtha </w:t>
      </w:r>
      <w:r w:rsidDel="00000000" w:rsidR="00000000" w:rsidRPr="00000000">
        <w:rPr>
          <w:rFonts w:ascii="Arial" w:cs="Arial" w:eastAsia="Arial" w:hAnsi="Arial"/>
          <w:sz w:val="20"/>
          <w:szCs w:val="20"/>
          <w:rtl w:val="0"/>
        </w:rPr>
        <w:t xml:space="preserve">35.10) is the behaviour of Gaius Fabricius Luscinus when Pyrrhus tried to bribe him during the negotiations after the battle of Heraclea, a battle that the Romans lost. Fabricius is described by Plutarch (</w:t>
      </w:r>
      <w:r w:rsidDel="00000000" w:rsidR="00000000" w:rsidRPr="00000000">
        <w:rPr>
          <w:rFonts w:ascii="Arial" w:cs="Arial" w:eastAsia="Arial" w:hAnsi="Arial"/>
          <w:i w:val="1"/>
          <w:sz w:val="20"/>
          <w:szCs w:val="20"/>
          <w:rtl w:val="0"/>
        </w:rPr>
        <w:t xml:space="preserve">Life of Pyrrhus</w:t>
      </w:r>
      <w:r w:rsidDel="00000000" w:rsidR="00000000" w:rsidRPr="00000000">
        <w:rPr>
          <w:rFonts w:ascii="Arial" w:cs="Arial" w:eastAsia="Arial" w:hAnsi="Arial"/>
          <w:sz w:val="20"/>
          <w:szCs w:val="20"/>
          <w:rtl w:val="0"/>
        </w:rPr>
        <w:t xml:space="preserve"> 20.4-5) as refusing the bribe and thus earning the king’s respect.</w:t>
      </w:r>
    </w:p>
  </w:footnote>
  <w:footnote w:id="111">
    <w:p w:rsidR="00000000" w:rsidDel="00000000" w:rsidP="00000000" w:rsidRDefault="00000000" w:rsidRPr="00000000" w14:paraId="0000028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Plutarch </w:t>
      </w:r>
      <w:r w:rsidDel="00000000" w:rsidR="00000000" w:rsidRPr="00000000">
        <w:rPr>
          <w:rFonts w:ascii="Arial" w:cs="Arial" w:eastAsia="Arial" w:hAnsi="Arial"/>
          <w:i w:val="1"/>
          <w:sz w:val="20"/>
          <w:szCs w:val="20"/>
          <w:rtl w:val="0"/>
        </w:rPr>
        <w:t xml:space="preserve">Life of Marius</w:t>
      </w:r>
      <w:r w:rsidDel="00000000" w:rsidR="00000000" w:rsidRPr="00000000">
        <w:rPr>
          <w:rFonts w:ascii="Arial" w:cs="Arial" w:eastAsia="Arial" w:hAnsi="Arial"/>
          <w:sz w:val="20"/>
          <w:szCs w:val="20"/>
          <w:rtl w:val="0"/>
        </w:rPr>
        <w:t xml:space="preserve"> 9.1., and these soldiers were drawn from geographically further afield too, as stated by Sallust </w:t>
      </w:r>
      <w:r w:rsidDel="00000000" w:rsidR="00000000" w:rsidRPr="00000000">
        <w:rPr>
          <w:rFonts w:ascii="Arial" w:cs="Arial" w:eastAsia="Arial" w:hAnsi="Arial"/>
          <w:i w:val="1"/>
          <w:sz w:val="20"/>
          <w:szCs w:val="20"/>
          <w:rtl w:val="0"/>
        </w:rPr>
        <w:t xml:space="preserve">Bellum Jugurthinum </w:t>
      </w:r>
      <w:r w:rsidDel="00000000" w:rsidR="00000000" w:rsidRPr="00000000">
        <w:rPr>
          <w:rFonts w:ascii="Arial" w:cs="Arial" w:eastAsia="Arial" w:hAnsi="Arial"/>
          <w:sz w:val="20"/>
          <w:szCs w:val="20"/>
          <w:rtl w:val="0"/>
        </w:rPr>
        <w:t xml:space="preserve">84.2, where Marius would only take ‘the bravest soldiers from the Latin towns’</w:t>
      </w:r>
    </w:p>
  </w:footnote>
  <w:footnote w:id="112">
    <w:p w:rsidR="00000000" w:rsidDel="00000000" w:rsidP="00000000" w:rsidRDefault="00000000" w:rsidRPr="00000000" w14:paraId="0000028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13.1</w:t>
      </w:r>
    </w:p>
  </w:footnote>
  <w:footnote w:id="113">
    <w:p w:rsidR="00000000" w:rsidDel="00000000" w:rsidP="00000000" w:rsidRDefault="00000000" w:rsidRPr="00000000" w14:paraId="0000028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Potter (2014) p. 70 in </w:t>
      </w:r>
      <w:r w:rsidDel="00000000" w:rsidR="00000000" w:rsidRPr="00000000">
        <w:rPr>
          <w:rFonts w:ascii="Arial" w:cs="Arial" w:eastAsia="Arial" w:hAnsi="Arial"/>
          <w:i w:val="1"/>
          <w:sz w:val="20"/>
          <w:szCs w:val="20"/>
          <w:rtl w:val="0"/>
        </w:rPr>
        <w:t xml:space="preserve">Cambridge Companion to the Roman Republic 2nd Ed</w:t>
      </w:r>
      <w:r w:rsidDel="00000000" w:rsidR="00000000" w:rsidRPr="00000000">
        <w:rPr>
          <w:rFonts w:ascii="Arial" w:cs="Arial" w:eastAsia="Arial" w:hAnsi="Arial"/>
          <w:sz w:val="20"/>
          <w:szCs w:val="20"/>
          <w:rtl w:val="0"/>
        </w:rPr>
        <w:t xml:space="preserve">.  </w:t>
      </w:r>
    </w:p>
  </w:footnote>
  <w:footnote w:id="114">
    <w:p w:rsidR="00000000" w:rsidDel="00000000" w:rsidP="00000000" w:rsidRDefault="00000000" w:rsidRPr="00000000" w14:paraId="0000029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Specific examples cited by Eckstein (1987) include Appius Claudius Caudex’s decision to instigate full-scale military operations against Syracuse and Carthage in 264 B.C.E. and T. Quinctius Flamininus’s influence over the Greek states in 198-194</w:t>
      </w:r>
    </w:p>
  </w:footnote>
  <w:footnote w:id="115">
    <w:p w:rsidR="00000000" w:rsidDel="00000000" w:rsidP="00000000" w:rsidRDefault="00000000" w:rsidRPr="00000000" w14:paraId="0000029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Plutarch </w:t>
      </w:r>
      <w:r w:rsidDel="00000000" w:rsidR="00000000" w:rsidRPr="00000000">
        <w:rPr>
          <w:rFonts w:ascii="Arial" w:cs="Arial" w:eastAsia="Arial" w:hAnsi="Arial"/>
          <w:i w:val="1"/>
          <w:sz w:val="20"/>
          <w:szCs w:val="20"/>
          <w:rtl w:val="0"/>
        </w:rPr>
        <w:t xml:space="preserve">Life of Tiberius Gracchus </w:t>
      </w:r>
      <w:r w:rsidDel="00000000" w:rsidR="00000000" w:rsidRPr="00000000">
        <w:rPr>
          <w:rFonts w:ascii="Arial" w:cs="Arial" w:eastAsia="Arial" w:hAnsi="Arial"/>
          <w:sz w:val="20"/>
          <w:szCs w:val="20"/>
          <w:rtl w:val="0"/>
        </w:rPr>
        <w:t xml:space="preserve">7.3</w:t>
      </w:r>
    </w:p>
  </w:footnote>
  <w:footnote w:id="117">
    <w:p w:rsidR="00000000" w:rsidDel="00000000" w:rsidP="00000000" w:rsidRDefault="00000000" w:rsidRPr="00000000" w14:paraId="0000029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Yarshater (1983) p. 10</w:t>
      </w:r>
    </w:p>
  </w:footnote>
  <w:footnote w:id="118">
    <w:p w:rsidR="00000000" w:rsidDel="00000000" w:rsidP="00000000" w:rsidRDefault="00000000" w:rsidRPr="00000000" w14:paraId="0000029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Diodorus Siculus, 29.21.3</w:t>
      </w:r>
    </w:p>
  </w:footnote>
  <w:footnote w:id="147">
    <w:p w:rsidR="00000000" w:rsidDel="00000000" w:rsidP="00000000" w:rsidRDefault="00000000" w:rsidRPr="00000000" w14:paraId="0000029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Austin (1986) p. 451</w:t>
      </w:r>
    </w:p>
  </w:footnote>
  <w:footnote w:id="148">
    <w:p w:rsidR="00000000" w:rsidDel="00000000" w:rsidP="00000000" w:rsidRDefault="00000000" w:rsidRPr="00000000" w14:paraId="0000029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Rostovtzeff (1957) SEHHW - find the page and source. Note that while Rostovtzeff does mention the significance of war to the detriment of the Heelenistic economies, Austin (1986) p. 451 does criticise the fact that the importance of booty to the victors is only a point briefly made, and does not offer sources.</w:t>
      </w:r>
    </w:p>
  </w:footnote>
  <w:footnote w:id="150">
    <w:p w:rsidR="00000000" w:rsidDel="00000000" w:rsidP="00000000" w:rsidRDefault="00000000" w:rsidRPr="00000000" w14:paraId="0000029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Chamoux (2002) p. 256</w:t>
      </w:r>
    </w:p>
  </w:footnote>
  <w:footnote w:id="151">
    <w:p w:rsidR="00000000" w:rsidDel="00000000" w:rsidP="00000000" w:rsidRDefault="00000000" w:rsidRPr="00000000" w14:paraId="0000029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Chaniotis (2005) p. 115</w:t>
      </w:r>
    </w:p>
  </w:footnote>
  <w:footnote w:id="152">
    <w:p w:rsidR="00000000" w:rsidDel="00000000" w:rsidP="00000000" w:rsidRDefault="00000000" w:rsidRPr="00000000" w14:paraId="0000029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Ellis (1994) p. 27</w:t>
      </w:r>
    </w:p>
  </w:footnote>
  <w:footnote w:id="153">
    <w:p w:rsidR="00000000" w:rsidDel="00000000" w:rsidP="00000000" w:rsidRDefault="00000000" w:rsidRPr="00000000" w14:paraId="0000029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i w:val="1"/>
          <w:sz w:val="20"/>
          <w:szCs w:val="20"/>
          <w:rtl w:val="0"/>
        </w:rPr>
        <w:t xml:space="preserve">Apud</w:t>
      </w:r>
      <w:r w:rsidDel="00000000" w:rsidR="00000000" w:rsidRPr="00000000">
        <w:rPr>
          <w:rFonts w:ascii="Arial" w:cs="Arial" w:eastAsia="Arial" w:hAnsi="Arial"/>
          <w:sz w:val="20"/>
          <w:szCs w:val="20"/>
          <w:rtl w:val="0"/>
        </w:rPr>
        <w:t xml:space="preserve"> Burkhalter (2012) p. 310, Bogaert (1998)</w:t>
      </w:r>
    </w:p>
  </w:footnote>
  <w:footnote w:id="154">
    <w:p w:rsidR="00000000" w:rsidDel="00000000" w:rsidP="00000000" w:rsidRDefault="00000000" w:rsidRPr="00000000" w14:paraId="0000029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Kehoe (2010) in CAE Vol. 1, p. 309</w:t>
      </w:r>
    </w:p>
  </w:footnote>
  <w:footnote w:id="155">
    <w:p w:rsidR="00000000" w:rsidDel="00000000" w:rsidP="00000000" w:rsidRDefault="00000000" w:rsidRPr="00000000" w14:paraId="0000029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Kehoe (2010) in CAE Vol. 1, p. 310</w:t>
      </w:r>
    </w:p>
  </w:footnote>
  <w:footnote w:id="156">
    <w:p w:rsidR="00000000" w:rsidDel="00000000" w:rsidP="00000000" w:rsidRDefault="00000000" w:rsidRPr="00000000" w14:paraId="0000029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Foxhall and Forbes (1982) pp. 41-90; Horden and Purcell (2000)</w:t>
      </w:r>
    </w:p>
  </w:footnote>
  <w:footnote w:id="157">
    <w:p w:rsidR="00000000" w:rsidDel="00000000" w:rsidP="00000000" w:rsidRDefault="00000000" w:rsidRPr="00000000" w14:paraId="0000029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Bagnall (1993) pp. 17-18, 21-3; Manning (2007) pp. 438-9</w:t>
      </w:r>
    </w:p>
  </w:footnote>
  <w:footnote w:id="158">
    <w:p w:rsidR="00000000" w:rsidDel="00000000" w:rsidP="00000000" w:rsidRDefault="00000000" w:rsidRPr="00000000" w14:paraId="0000029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Rostovtzeff (1941) SEHHW Vol. I, p. 297</w:t>
      </w:r>
    </w:p>
  </w:footnote>
  <w:footnote w:id="159">
    <w:p w:rsidR="00000000" w:rsidDel="00000000" w:rsidP="00000000" w:rsidRDefault="00000000" w:rsidRPr="00000000" w14:paraId="0000029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Préaux, C. (1939) </w:t>
      </w:r>
      <w:r w:rsidDel="00000000" w:rsidR="00000000" w:rsidRPr="00000000">
        <w:rPr>
          <w:rFonts w:ascii="Arial" w:cs="Arial" w:eastAsia="Arial" w:hAnsi="Arial"/>
          <w:i w:val="1"/>
          <w:sz w:val="20"/>
          <w:szCs w:val="20"/>
          <w:rtl w:val="0"/>
        </w:rPr>
        <w:t xml:space="preserve">L’économie royale des Lagides </w:t>
      </w:r>
      <w:r w:rsidDel="00000000" w:rsidR="00000000" w:rsidRPr="00000000">
        <w:rPr>
          <w:rFonts w:ascii="Arial" w:cs="Arial" w:eastAsia="Arial" w:hAnsi="Arial"/>
          <w:sz w:val="20"/>
          <w:szCs w:val="20"/>
          <w:rtl w:val="0"/>
        </w:rPr>
        <w:t xml:space="preserve">(Brussels)</w:t>
      </w:r>
    </w:p>
  </w:footnote>
  <w:footnote w:id="160">
    <w:p w:rsidR="00000000" w:rsidDel="00000000" w:rsidP="00000000" w:rsidRDefault="00000000" w:rsidRPr="00000000" w14:paraId="000002A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Hennig (2003) p. 162. Also </w:t>
      </w:r>
      <w:r w:rsidDel="00000000" w:rsidR="00000000" w:rsidRPr="00000000">
        <w:rPr>
          <w:rFonts w:ascii="Arial" w:cs="Arial" w:eastAsia="Arial" w:hAnsi="Arial"/>
          <w:i w:val="1"/>
          <w:sz w:val="20"/>
          <w:szCs w:val="20"/>
          <w:rtl w:val="0"/>
        </w:rPr>
        <w:t xml:space="preserve">Apud</w:t>
      </w:r>
      <w:r w:rsidDel="00000000" w:rsidR="00000000" w:rsidRPr="00000000">
        <w:rPr>
          <w:rFonts w:ascii="Arial" w:cs="Arial" w:eastAsia="Arial" w:hAnsi="Arial"/>
          <w:sz w:val="20"/>
          <w:szCs w:val="20"/>
          <w:rtl w:val="0"/>
        </w:rPr>
        <w:t xml:space="preserve"> p. 169; El-Abbadi 1960, pp. 279–293.</w:t>
      </w:r>
    </w:p>
  </w:footnote>
  <w:footnote w:id="161">
    <w:p w:rsidR="00000000" w:rsidDel="00000000" w:rsidP="00000000" w:rsidRDefault="00000000" w:rsidRPr="00000000" w14:paraId="000002A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Apud</w:t>
      </w:r>
      <w:r w:rsidDel="00000000" w:rsidR="00000000" w:rsidRPr="00000000">
        <w:rPr>
          <w:rFonts w:ascii="Arial" w:cs="Arial" w:eastAsia="Arial" w:hAnsi="Arial"/>
          <w:sz w:val="20"/>
          <w:szCs w:val="20"/>
          <w:rtl w:val="0"/>
        </w:rPr>
        <w:t xml:space="preserve"> Strabo 17.1.12; Polybius 34.14.6.</w:t>
      </w:r>
    </w:p>
  </w:footnote>
  <w:footnote w:id="162">
    <w:p w:rsidR="00000000" w:rsidDel="00000000" w:rsidP="00000000" w:rsidRDefault="00000000" w:rsidRPr="00000000" w14:paraId="000002A2">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Rostovtzeff (1941) SEHHW Vol. I, p. 275</w:t>
      </w:r>
      <w:r w:rsidDel="00000000" w:rsidR="00000000" w:rsidRPr="00000000">
        <w:rPr>
          <w:rtl w:val="0"/>
        </w:rPr>
      </w:r>
    </w:p>
  </w:footnote>
  <w:footnote w:id="164">
    <w:p w:rsidR="00000000" w:rsidDel="00000000" w:rsidP="00000000" w:rsidRDefault="00000000" w:rsidRPr="00000000" w14:paraId="000002A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Arrian 7.4 and 8.8; Plutarch </w:t>
      </w:r>
      <w:r w:rsidDel="00000000" w:rsidR="00000000" w:rsidRPr="00000000">
        <w:rPr>
          <w:rFonts w:ascii="Arial" w:cs="Arial" w:eastAsia="Arial" w:hAnsi="Arial"/>
          <w:i w:val="1"/>
          <w:sz w:val="20"/>
          <w:szCs w:val="20"/>
          <w:rtl w:val="0"/>
        </w:rPr>
        <w:t xml:space="preserve">Alexander</w:t>
      </w:r>
      <w:r w:rsidDel="00000000" w:rsidR="00000000" w:rsidRPr="00000000">
        <w:rPr>
          <w:rFonts w:ascii="Arial" w:cs="Arial" w:eastAsia="Arial" w:hAnsi="Arial"/>
          <w:sz w:val="20"/>
          <w:szCs w:val="20"/>
          <w:rtl w:val="0"/>
        </w:rPr>
        <w:t xml:space="preserve"> 70.3 and 71.1</w:t>
      </w:r>
    </w:p>
  </w:footnote>
  <w:footnote w:id="165">
    <w:p w:rsidR="00000000" w:rsidDel="00000000" w:rsidP="00000000" w:rsidRDefault="00000000" w:rsidRPr="00000000" w14:paraId="000002A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Aperghis (2004) pp. 56-58 and Serrati (2007) pp. 476-7</w:t>
      </w:r>
    </w:p>
  </w:footnote>
  <w:footnote w:id="166">
    <w:p w:rsidR="00000000" w:rsidDel="00000000" w:rsidP="00000000" w:rsidRDefault="00000000" w:rsidRPr="00000000" w14:paraId="000002A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Yarshater (1983) p. 11</w:t>
      </w:r>
    </w:p>
  </w:footnote>
  <w:footnote w:id="167">
    <w:p w:rsidR="00000000" w:rsidDel="00000000" w:rsidP="00000000" w:rsidRDefault="00000000" w:rsidRPr="00000000" w14:paraId="000002A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Robert (1967) p. 557</w:t>
      </w:r>
    </w:p>
  </w:footnote>
  <w:footnote w:id="180">
    <w:p w:rsidR="00000000" w:rsidDel="00000000" w:rsidP="00000000" w:rsidRDefault="00000000" w:rsidRPr="00000000" w14:paraId="000002A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Kosmin (2014) p254</w:t>
      </w:r>
    </w:p>
  </w:footnote>
  <w:footnote w:id="181">
    <w:p w:rsidR="00000000" w:rsidDel="00000000" w:rsidP="00000000" w:rsidRDefault="00000000" w:rsidRPr="00000000" w14:paraId="000002A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Holt (1999) p. 19, Diodotus I of Bactria seceded from the Seleucid Empire by 245 BCE with Justin 41.1 as a key source though the exact timing is difficult to establish due to inconsistencies and inaccuracies in accounts aso given by Strabo 11.9.3,  ; while Arcases founded the Partian Kingdom at approximately the same time after defeating another secessionist satrap, Andragoras (Justin 41.5). </w:t>
      </w:r>
    </w:p>
  </w:footnote>
  <w:footnote w:id="0">
    <w:p w:rsidR="00000000" w:rsidDel="00000000" w:rsidP="00000000" w:rsidRDefault="00000000" w:rsidRPr="00000000" w14:paraId="000002A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Grafton &amp; Swerdlow (1985) have carried out a thorough study of the date of origin of the city as derived by Titus Pomponius Atticus, and adopted my Marcus Terentius Varro</w:t>
      </w:r>
    </w:p>
  </w:footnote>
  <w:footnote w:id="1">
    <w:p w:rsidR="00000000" w:rsidDel="00000000" w:rsidP="00000000" w:rsidRDefault="00000000" w:rsidRPr="00000000" w14:paraId="000002A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This date is under dispute based on whether one regards the last emperor of the west as Romulus Augustulus (478 C.E.) or Julius Nepos (480 C.E.)</w:t>
      </w:r>
    </w:p>
  </w:footnote>
  <w:footnote w:id="51">
    <w:p w:rsidR="00000000" w:rsidDel="00000000" w:rsidP="00000000" w:rsidRDefault="00000000" w:rsidRPr="00000000" w14:paraId="000002A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Yemen, Syria and Libya have been mired in civil conflict fuelled by external actors since the ‘Arab Spring’ of 2011, while Somalia has been without a fully functioning central government across the historical borders since the overthrow of Siad Barre in 1991. </w:t>
      </w:r>
    </w:p>
  </w:footnote>
  <w:footnote w:id="50">
    <w:p w:rsidR="00000000" w:rsidDel="00000000" w:rsidP="00000000" w:rsidRDefault="00000000" w:rsidRPr="00000000" w14:paraId="000002A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GDP per capita in Singapore is ranked 6th globally and Denmark 7th as per the IMF’s report from October 2020, available at: "World Economic Outlook Database, October 2020". World Economic Outlook. International Monetary Fund. October 2020. Retrieved 13 October 2020.</w:t>
      </w:r>
    </w:p>
  </w:footnote>
  <w:footnote w:id="54">
    <w:p w:rsidR="00000000" w:rsidDel="00000000" w:rsidP="00000000" w:rsidRDefault="00000000" w:rsidRPr="00000000" w14:paraId="000002AD">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Brunt (1987) p. 69</w:t>
      </w:r>
      <w:r w:rsidDel="00000000" w:rsidR="00000000" w:rsidRPr="00000000">
        <w:rPr>
          <w:rtl w:val="0"/>
        </w:rPr>
      </w:r>
    </w:p>
  </w:footnote>
  <w:footnote w:id="58">
    <w:p w:rsidR="00000000" w:rsidDel="00000000" w:rsidP="00000000" w:rsidRDefault="00000000" w:rsidRPr="00000000" w14:paraId="000002A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Livy 1.8</w:t>
      </w:r>
    </w:p>
  </w:footnote>
  <w:footnote w:id="64">
    <w:p w:rsidR="00000000" w:rsidDel="00000000" w:rsidP="00000000" w:rsidRDefault="00000000" w:rsidRPr="00000000" w14:paraId="000002A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We know with hindsight that this was not the case, as is seen by the huge threat posed by the Cimbri from 108 B.C.E.</w:t>
      </w:r>
    </w:p>
  </w:footnote>
  <w:footnote w:id="69">
    <w:p w:rsidR="00000000" w:rsidDel="00000000" w:rsidP="00000000" w:rsidRDefault="00000000" w:rsidRPr="00000000" w14:paraId="000002B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Plutarch, </w:t>
      </w:r>
      <w:r w:rsidDel="00000000" w:rsidR="00000000" w:rsidRPr="00000000">
        <w:rPr>
          <w:rFonts w:ascii="Arial" w:cs="Arial" w:eastAsia="Arial" w:hAnsi="Arial"/>
          <w:i w:val="1"/>
          <w:sz w:val="20"/>
          <w:szCs w:val="20"/>
          <w:rtl w:val="0"/>
        </w:rPr>
        <w:t xml:space="preserve">Life of Cato, </w:t>
      </w:r>
      <w:r w:rsidDel="00000000" w:rsidR="00000000" w:rsidRPr="00000000">
        <w:rPr>
          <w:rFonts w:ascii="Arial" w:cs="Arial" w:eastAsia="Arial" w:hAnsi="Arial"/>
          <w:sz w:val="20"/>
          <w:szCs w:val="20"/>
          <w:rtl w:val="0"/>
        </w:rPr>
        <w:t xml:space="preserve">22.3-5, 23</w:t>
      </w:r>
    </w:p>
  </w:footnote>
  <w:footnote w:id="74">
    <w:p w:rsidR="00000000" w:rsidDel="00000000" w:rsidP="00000000" w:rsidRDefault="00000000" w:rsidRPr="00000000" w14:paraId="000002B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Diodorus 28</w:t>
      </w:r>
      <w:hyperlink r:id="rId5">
        <w:r w:rsidDel="00000000" w:rsidR="00000000" w:rsidRPr="00000000">
          <w:rPr>
            <w:rFonts w:ascii="Arial" w:cs="Arial" w:eastAsia="Arial" w:hAnsi="Arial"/>
            <w:color w:val="1155cc"/>
            <w:sz w:val="20"/>
            <w:szCs w:val="20"/>
            <w:u w:val="single"/>
            <w:rtl w:val="0"/>
          </w:rPr>
          <w:t xml:space="preserve">.7.1</w:t>
        </w:r>
      </w:hyperlink>
      <w:r w:rsidDel="00000000" w:rsidR="00000000" w:rsidRPr="00000000">
        <w:rPr>
          <w:rtl w:val="0"/>
        </w:rPr>
      </w:r>
    </w:p>
  </w:footnote>
  <w:footnote w:id="80">
    <w:p w:rsidR="00000000" w:rsidDel="00000000" w:rsidP="00000000" w:rsidRDefault="00000000" w:rsidRPr="00000000" w14:paraId="000002B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Orwell (1989) 1984 Book 1 Chapter III</w:t>
      </w:r>
    </w:p>
  </w:footnote>
  <w:footnote w:id="86">
    <w:p w:rsidR="00000000" w:rsidDel="00000000" w:rsidP="00000000" w:rsidRDefault="00000000" w:rsidRPr="00000000" w14:paraId="000002B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Herodotus 1.135</w:t>
      </w:r>
    </w:p>
  </w:footnote>
  <w:footnote w:id="88">
    <w:p w:rsidR="00000000" w:rsidDel="00000000" w:rsidP="00000000" w:rsidRDefault="00000000" w:rsidRPr="00000000" w14:paraId="000002B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Chrubasik (2016) provides a detailed study of the different threats to the Seleucid kings from rivals within; while across the third century B.C.E. Bactria, Sogdiana, Cappadocia, Parthia and Pergamum all achieved first a greater level of autonomy, then de facto independence from Seleucid control</w:t>
      </w:r>
    </w:p>
  </w:footnote>
  <w:footnote w:id="92">
    <w:p w:rsidR="00000000" w:rsidDel="00000000" w:rsidP="00000000" w:rsidRDefault="00000000" w:rsidRPr="00000000" w14:paraId="000002B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Ellis (1994) p52</w:t>
      </w:r>
    </w:p>
  </w:footnote>
  <w:footnote w:id="96">
    <w:p w:rsidR="00000000" w:rsidDel="00000000" w:rsidP="00000000" w:rsidRDefault="00000000" w:rsidRPr="00000000" w14:paraId="000002B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Livy 2.32-33</w:t>
      </w:r>
    </w:p>
  </w:footnote>
  <w:footnote w:id="97">
    <w:p w:rsidR="00000000" w:rsidDel="00000000" w:rsidP="00000000" w:rsidRDefault="00000000" w:rsidRPr="00000000" w14:paraId="000002B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Maddox (1983) pp. 277-286</w:t>
      </w:r>
    </w:p>
  </w:footnote>
  <w:footnote w:id="98">
    <w:p w:rsidR="00000000" w:rsidDel="00000000" w:rsidP="00000000" w:rsidRDefault="00000000" w:rsidRPr="00000000" w14:paraId="000002B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Matthaei (1907) p. 200</w:t>
      </w:r>
    </w:p>
  </w:footnote>
  <w:footnote w:id="108">
    <w:p w:rsidR="00000000" w:rsidDel="00000000" w:rsidP="00000000" w:rsidRDefault="00000000" w:rsidRPr="00000000" w14:paraId="000002B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Varro was one of the Roman commanders during the catastrophic defeat to Hannibal at Cannae; Scipio Africanus was the victor over Hannibal at Zama in 202 B.C.E.; Mancinus surrendered to the Numantines in Spain and Scipio Aemelianus oversaw the final defeat and destruction of Carthage in the third Punic war in 146 B.C.E.</w:t>
      </w:r>
    </w:p>
  </w:footnote>
  <w:footnote w:id="110">
    <w:p w:rsidR="00000000" w:rsidDel="00000000" w:rsidP="00000000" w:rsidRDefault="00000000" w:rsidRPr="00000000" w14:paraId="000002B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The </w:t>
      </w:r>
      <w:r w:rsidDel="00000000" w:rsidR="00000000" w:rsidRPr="00000000">
        <w:rPr>
          <w:rFonts w:ascii="Arial" w:cs="Arial" w:eastAsia="Arial" w:hAnsi="Arial"/>
          <w:i w:val="1"/>
          <w:sz w:val="20"/>
          <w:szCs w:val="20"/>
          <w:rtl w:val="0"/>
        </w:rPr>
        <w:t xml:space="preserve">capite censi</w:t>
      </w:r>
      <w:r w:rsidDel="00000000" w:rsidR="00000000" w:rsidRPr="00000000">
        <w:rPr>
          <w:rFonts w:ascii="Arial" w:cs="Arial" w:eastAsia="Arial" w:hAnsi="Arial"/>
          <w:sz w:val="20"/>
          <w:szCs w:val="20"/>
          <w:rtl w:val="0"/>
        </w:rPr>
        <w:t xml:space="preserve">, and even slaves, had been called into service before Marius, in the aftermath of the catastrophic defeats to Hannibal at Lake Trasimene, Trebia and Cannae. But this was the first time that they had been called into the army for an external-facing war of aggression, and not a critical war of defence. This was indeed a process that had been legal for a century but one that the senate had failed to implement. For more information see McNab (2010) pp. 85-86  </w:t>
      </w:r>
    </w:p>
  </w:footnote>
  <w:footnote w:id="116">
    <w:p w:rsidR="00000000" w:rsidDel="00000000" w:rsidP="00000000" w:rsidRDefault="00000000" w:rsidRPr="00000000" w14:paraId="000002B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Eckstein (1987) pp. 323-4; gives examples from ancient texts where this trust between senate and commanders can be seen in Livy 26.31.10 and 33.5-6 (210 B.C.E.); Livy 30.23.4 (202 B.C.E.); Livy 31.47.6-48.12 (200 B.C.E.); Polybius 18.42.1-5 (196 B.C.E.)</w:t>
      </w:r>
    </w:p>
  </w:footnote>
  <w:footnote w:id="119">
    <w:p w:rsidR="00000000" w:rsidDel="00000000" w:rsidP="00000000" w:rsidRDefault="00000000" w:rsidRPr="00000000" w14:paraId="000002B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5.107.1-3, and in 5.65.9; 5.82.6 he numbers this force at 20,000</w:t>
      </w:r>
    </w:p>
  </w:footnote>
  <w:footnote w:id="120">
    <w:p w:rsidR="00000000" w:rsidDel="00000000" w:rsidP="00000000" w:rsidRDefault="00000000" w:rsidRPr="00000000" w14:paraId="000002B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color w:val="202122"/>
          <w:sz w:val="20"/>
          <w:szCs w:val="20"/>
          <w:highlight w:val="white"/>
          <w:rtl w:val="0"/>
        </w:rPr>
        <w:t xml:space="preserve">Hölbl (2001) pp. 153-154</w:t>
      </w:r>
      <w:r w:rsidDel="00000000" w:rsidR="00000000" w:rsidRPr="00000000">
        <w:rPr>
          <w:rtl w:val="0"/>
        </w:rPr>
      </w:r>
    </w:p>
  </w:footnote>
  <w:footnote w:id="121">
    <w:p w:rsidR="00000000" w:rsidDel="00000000" w:rsidP="00000000" w:rsidRDefault="00000000" w:rsidRPr="00000000" w14:paraId="000002B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Sekunda (2010) p. 463 refers to Plutarch in </w:t>
      </w:r>
      <w:r w:rsidDel="00000000" w:rsidR="00000000" w:rsidRPr="00000000">
        <w:rPr>
          <w:rFonts w:ascii="Arial" w:cs="Arial" w:eastAsia="Arial" w:hAnsi="Arial"/>
          <w:i w:val="1"/>
          <w:sz w:val="20"/>
          <w:szCs w:val="20"/>
          <w:rtl w:val="0"/>
        </w:rPr>
        <w:t xml:space="preserve">Life of Cleomenes </w:t>
      </w:r>
      <w:r w:rsidDel="00000000" w:rsidR="00000000" w:rsidRPr="00000000">
        <w:rPr>
          <w:rFonts w:ascii="Arial" w:cs="Arial" w:eastAsia="Arial" w:hAnsi="Arial"/>
          <w:sz w:val="20"/>
          <w:szCs w:val="20"/>
          <w:rtl w:val="0"/>
        </w:rPr>
        <w:t xml:space="preserve">11.2</w:t>
      </w:r>
      <w:r w:rsidDel="00000000" w:rsidR="00000000" w:rsidRPr="00000000">
        <w:rPr>
          <w:rFonts w:ascii="Arial" w:cs="Arial" w:eastAsia="Arial" w:hAnsi="Arial"/>
          <w:sz w:val="20"/>
          <w:szCs w:val="20"/>
          <w:rtl w:val="0"/>
        </w:rPr>
        <w:t xml:space="preserve"> making mention of the fact that in that year, and following the lead of the Macedonians, Cleomenes III of Sparta had finally adopted this formation as a successor to the classical hoplites with their shield wall. </w:t>
      </w:r>
    </w:p>
  </w:footnote>
  <w:footnote w:id="122">
    <w:p w:rsidR="00000000" w:rsidDel="00000000" w:rsidP="00000000" w:rsidRDefault="00000000" w:rsidRPr="00000000" w14:paraId="000002B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Livy 33.19.3</w:t>
      </w:r>
    </w:p>
  </w:footnote>
  <w:footnote w:id="123">
    <w:p w:rsidR="00000000" w:rsidDel="00000000" w:rsidP="00000000" w:rsidRDefault="00000000" w:rsidRPr="00000000" w14:paraId="000002C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18.27.6 and Livy 33.10.7</w:t>
      </w:r>
    </w:p>
  </w:footnote>
  <w:footnote w:id="124">
    <w:p w:rsidR="00000000" w:rsidDel="00000000" w:rsidP="00000000" w:rsidRDefault="00000000" w:rsidRPr="00000000" w14:paraId="000002C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Sekunda (1994) pp. 16-19</w:t>
      </w:r>
    </w:p>
  </w:footnote>
  <w:footnote w:id="125">
    <w:p w:rsidR="00000000" w:rsidDel="00000000" w:rsidP="00000000" w:rsidRDefault="00000000" w:rsidRPr="00000000" w14:paraId="000002C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6.20.8</w:t>
      </w:r>
    </w:p>
  </w:footnote>
  <w:footnote w:id="126">
    <w:p w:rsidR="00000000" w:rsidDel="00000000" w:rsidP="00000000" w:rsidRDefault="00000000" w:rsidRPr="00000000" w14:paraId="000002C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Apud</w:t>
      </w:r>
      <w:r w:rsidDel="00000000" w:rsidR="00000000" w:rsidRPr="00000000">
        <w:rPr>
          <w:rFonts w:ascii="Arial" w:cs="Arial" w:eastAsia="Arial" w:hAnsi="Arial"/>
          <w:sz w:val="20"/>
          <w:szCs w:val="20"/>
          <w:rtl w:val="0"/>
        </w:rPr>
        <w:t xml:space="preserve"> Bar-Kochva (1976) pp. 163-173</w:t>
      </w:r>
    </w:p>
  </w:footnote>
  <w:footnote w:id="127">
    <w:p w:rsidR="00000000" w:rsidDel="00000000" w:rsidP="00000000" w:rsidRDefault="00000000" w:rsidRPr="00000000" w14:paraId="000002C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Sirikakis (1974) p. 81</w:t>
      </w:r>
    </w:p>
  </w:footnote>
  <w:footnote w:id="128">
    <w:p w:rsidR="00000000" w:rsidDel="00000000" w:rsidP="00000000" w:rsidRDefault="00000000" w:rsidRPr="00000000" w14:paraId="000002C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color w:val="202122"/>
          <w:sz w:val="20"/>
          <w:szCs w:val="20"/>
          <w:highlight w:val="white"/>
          <w:rtl w:val="0"/>
        </w:rPr>
        <w:t xml:space="preserve">Hölbl</w:t>
      </w:r>
      <w:r w:rsidDel="00000000" w:rsidR="00000000" w:rsidRPr="00000000">
        <w:rPr>
          <w:rFonts w:ascii="Arial" w:cs="Arial" w:eastAsia="Arial" w:hAnsi="Arial"/>
          <w:sz w:val="20"/>
          <w:szCs w:val="20"/>
          <w:rtl w:val="0"/>
        </w:rPr>
        <w:t xml:space="preserve"> (2001) p. 55</w:t>
      </w:r>
    </w:p>
  </w:footnote>
  <w:footnote w:id="129">
    <w:p w:rsidR="00000000" w:rsidDel="00000000" w:rsidP="00000000" w:rsidRDefault="00000000" w:rsidRPr="00000000" w14:paraId="000002C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131</w:t>
      </w:r>
    </w:p>
  </w:footnote>
  <w:footnote w:id="131">
    <w:p w:rsidR="00000000" w:rsidDel="00000000" w:rsidP="00000000" w:rsidRDefault="00000000" w:rsidRPr="00000000" w14:paraId="000002C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Livy 36.4.1-3 and 37.3.9-11</w:t>
      </w:r>
    </w:p>
  </w:footnote>
  <w:footnote w:id="130">
    <w:p w:rsidR="00000000" w:rsidDel="00000000" w:rsidP="00000000" w:rsidRDefault="00000000" w:rsidRPr="00000000" w14:paraId="000002C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Sekunda (1995) p. 4</w:t>
      </w:r>
    </w:p>
  </w:footnote>
  <w:footnote w:id="136">
    <w:p w:rsidR="00000000" w:rsidDel="00000000" w:rsidP="00000000" w:rsidRDefault="00000000" w:rsidRPr="00000000" w14:paraId="000002C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Aubert (2014) p. 168</w:t>
      </w:r>
    </w:p>
  </w:footnote>
  <w:footnote w:id="137">
    <w:p w:rsidR="00000000" w:rsidDel="00000000" w:rsidP="00000000" w:rsidRDefault="00000000" w:rsidRPr="00000000" w14:paraId="000002C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Bradley (1994), Westerman (1955) and Hopkins (1978) p. 1-115 amongst others, </w:t>
      </w:r>
      <w:r w:rsidDel="00000000" w:rsidR="00000000" w:rsidRPr="00000000">
        <w:rPr>
          <w:rFonts w:ascii="Arial" w:cs="Arial" w:eastAsia="Arial" w:hAnsi="Arial"/>
          <w:i w:val="1"/>
          <w:sz w:val="20"/>
          <w:szCs w:val="20"/>
          <w:rtl w:val="0"/>
        </w:rPr>
        <w:t xml:space="preserve">apud </w:t>
      </w:r>
      <w:r w:rsidDel="00000000" w:rsidR="00000000" w:rsidRPr="00000000">
        <w:rPr>
          <w:rFonts w:ascii="Arial" w:cs="Arial" w:eastAsia="Arial" w:hAnsi="Arial"/>
          <w:sz w:val="20"/>
          <w:szCs w:val="20"/>
          <w:rtl w:val="0"/>
        </w:rPr>
        <w:t xml:space="preserve">Scheidel (2012) p. 89</w:t>
      </w:r>
    </w:p>
  </w:footnote>
  <w:footnote w:id="138">
    <w:p w:rsidR="00000000" w:rsidDel="00000000" w:rsidP="00000000" w:rsidRDefault="00000000" w:rsidRPr="00000000" w14:paraId="000002C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Kron (2005) pp. 68-83</w:t>
      </w:r>
    </w:p>
  </w:footnote>
  <w:footnote w:id="139">
    <w:p w:rsidR="00000000" w:rsidDel="00000000" w:rsidP="00000000" w:rsidRDefault="00000000" w:rsidRPr="00000000" w14:paraId="000002C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See, e.g., Kolendo (1980); Pleket 1990; Marcone 1997; Forni and Marcone 2002.</w:t>
      </w:r>
    </w:p>
  </w:footnote>
  <w:footnote w:id="140">
    <w:p w:rsidR="00000000" w:rsidDel="00000000" w:rsidP="00000000" w:rsidRDefault="00000000" w:rsidRPr="00000000" w14:paraId="000002CD">
      <w:pPr>
        <w:rPr>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White (1967) pp. 110–140, p. 202; Kron  2008: 73–5; Ciaraldi (2007) pp. 84–5, pp. 158–9</w:t>
      </w:r>
      <w:r w:rsidDel="00000000" w:rsidR="00000000" w:rsidRPr="00000000">
        <w:rPr>
          <w:rtl w:val="0"/>
        </w:rPr>
      </w:r>
    </w:p>
  </w:footnote>
  <w:footnote w:id="142">
    <w:p w:rsidR="00000000" w:rsidDel="00000000" w:rsidP="00000000" w:rsidRDefault="00000000" w:rsidRPr="00000000" w14:paraId="000002C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Polybius 3.24</w:t>
      </w:r>
    </w:p>
  </w:footnote>
  <w:footnote w:id="141">
    <w:p w:rsidR="00000000" w:rsidDel="00000000" w:rsidP="00000000" w:rsidRDefault="00000000" w:rsidRPr="00000000" w14:paraId="000002C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Tenney (2004) pp. 62-66</w:t>
      </w:r>
    </w:p>
  </w:footnote>
  <w:footnote w:id="144">
    <w:p w:rsidR="00000000" w:rsidDel="00000000" w:rsidP="00000000" w:rsidRDefault="00000000" w:rsidRPr="00000000" w14:paraId="000002D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Cicero </w:t>
      </w:r>
      <w:r w:rsidDel="00000000" w:rsidR="00000000" w:rsidRPr="00000000">
        <w:rPr>
          <w:rFonts w:ascii="Arial" w:cs="Arial" w:eastAsia="Arial" w:hAnsi="Arial"/>
          <w:i w:val="1"/>
          <w:sz w:val="20"/>
          <w:szCs w:val="20"/>
          <w:rtl w:val="0"/>
        </w:rPr>
        <w:t xml:space="preserve">Pro Lege Manilia </w:t>
      </w:r>
      <w:r w:rsidDel="00000000" w:rsidR="00000000" w:rsidRPr="00000000">
        <w:rPr>
          <w:rFonts w:ascii="Arial" w:cs="Arial" w:eastAsia="Arial" w:hAnsi="Arial"/>
          <w:sz w:val="20"/>
          <w:szCs w:val="20"/>
          <w:rtl w:val="0"/>
        </w:rPr>
        <w:t xml:space="preserve">14</w:t>
      </w:r>
    </w:p>
  </w:footnote>
  <w:footnote w:id="143">
    <w:p w:rsidR="00000000" w:rsidDel="00000000" w:rsidP="00000000" w:rsidRDefault="00000000" w:rsidRPr="00000000" w14:paraId="000002D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Duncan-Jones (1990) 39 ff</w:t>
      </w:r>
    </w:p>
  </w:footnote>
  <w:footnote w:id="146">
    <w:p w:rsidR="00000000" w:rsidDel="00000000" w:rsidP="00000000" w:rsidRDefault="00000000" w:rsidRPr="00000000" w14:paraId="000002D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Levick (2004) p. 181</w:t>
      </w:r>
    </w:p>
  </w:footnote>
  <w:footnote w:id="145">
    <w:p w:rsidR="00000000" w:rsidDel="00000000" w:rsidP="00000000" w:rsidRDefault="00000000" w:rsidRPr="00000000" w14:paraId="000002D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Hong </w:t>
      </w:r>
      <w:r w:rsidDel="00000000" w:rsidR="00000000" w:rsidRPr="00000000">
        <w:rPr>
          <w:rFonts w:ascii="Arial" w:cs="Arial" w:eastAsia="Arial" w:hAnsi="Arial"/>
          <w:i w:val="1"/>
          <w:sz w:val="20"/>
          <w:szCs w:val="20"/>
          <w:rtl w:val="0"/>
        </w:rPr>
        <w:t xml:space="preserve">et al</w:t>
      </w:r>
      <w:r w:rsidDel="00000000" w:rsidR="00000000" w:rsidRPr="00000000">
        <w:rPr>
          <w:rFonts w:ascii="Arial" w:cs="Arial" w:eastAsia="Arial" w:hAnsi="Arial"/>
          <w:sz w:val="20"/>
          <w:szCs w:val="20"/>
          <w:rtl w:val="0"/>
        </w:rPr>
        <w:t xml:space="preserve"> (1994) pp. 1841-3</w:t>
      </w:r>
    </w:p>
  </w:footnote>
  <w:footnote w:id="132">
    <w:p w:rsidR="00000000" w:rsidDel="00000000" w:rsidP="00000000" w:rsidRDefault="00000000" w:rsidRPr="00000000" w14:paraId="000002D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Tilley (1990) pp. 87-91</w:t>
      </w:r>
    </w:p>
  </w:footnote>
  <w:footnote w:id="135">
    <w:p w:rsidR="00000000" w:rsidDel="00000000" w:rsidP="00000000" w:rsidRDefault="00000000" w:rsidRPr="00000000" w14:paraId="000002D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Ibid</w:t>
      </w:r>
      <w:r w:rsidDel="00000000" w:rsidR="00000000" w:rsidRPr="00000000">
        <w:rPr>
          <w:rFonts w:ascii="Arial" w:cs="Arial" w:eastAsia="Arial" w:hAnsi="Arial"/>
          <w:sz w:val="20"/>
          <w:szCs w:val="20"/>
          <w:rtl w:val="0"/>
        </w:rPr>
        <w:t xml:space="preserve"> p. 26</w:t>
      </w:r>
    </w:p>
  </w:footnote>
  <w:footnote w:id="134">
    <w:p w:rsidR="00000000" w:rsidDel="00000000" w:rsidP="00000000" w:rsidRDefault="00000000" w:rsidRPr="00000000" w14:paraId="000002D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Rosenstein (2004) p. 64</w:t>
      </w:r>
    </w:p>
  </w:footnote>
  <w:footnote w:id="149">
    <w:p w:rsidR="00000000" w:rsidDel="00000000" w:rsidP="00000000" w:rsidRDefault="00000000" w:rsidRPr="00000000" w14:paraId="000002D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Ogden (2002) p. 31</w:t>
      </w:r>
    </w:p>
  </w:footnote>
  <w:footnote w:id="163">
    <w:p w:rsidR="00000000" w:rsidDel="00000000" w:rsidP="00000000" w:rsidRDefault="00000000" w:rsidRPr="00000000" w14:paraId="000002D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Sherwin-White and Kuhrt (1993) p. 63 cites that the Seleucids had access to silver mines in Cilicia and gold mines in Bactria, both of which were under Seleucid influence until the mid third century B.C.E. Rickard (1928) and Richardson (1976) provide more detail on the productivity of the Spanish silver mines that Rome acquired in the wake of the second Punic war</w:t>
      </w:r>
    </w:p>
  </w:footnote>
  <w:footnote w:id="168">
    <w:p w:rsidR="00000000" w:rsidDel="00000000" w:rsidP="00000000" w:rsidRDefault="00000000" w:rsidRPr="00000000" w14:paraId="000002D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Van Beek (1982) pp. 64-65 apud Archibald (2001) p.51</w:t>
      </w:r>
    </w:p>
  </w:footnote>
  <w:footnote w:id="169">
    <w:p w:rsidR="00000000" w:rsidDel="00000000" w:rsidP="00000000" w:rsidRDefault="00000000" w:rsidRPr="00000000" w14:paraId="000002D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Archibald (2001) p. 54</w:t>
      </w:r>
    </w:p>
  </w:footnote>
  <w:footnote w:id="171">
    <w:p w:rsidR="00000000" w:rsidDel="00000000" w:rsidP="00000000" w:rsidRDefault="00000000" w:rsidRPr="00000000" w14:paraId="000002D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color w:val="202122"/>
          <w:sz w:val="20"/>
          <w:szCs w:val="20"/>
          <w:rtl w:val="0"/>
        </w:rPr>
        <w:t xml:space="preserve">Sancisi-Weerdenburg (1989) pp. 133-134 and Lewis (1987) </w:t>
      </w:r>
      <w:r w:rsidDel="00000000" w:rsidR="00000000" w:rsidRPr="00000000">
        <w:rPr>
          <w:rFonts w:ascii="Arial" w:cs="Arial" w:eastAsia="Arial" w:hAnsi="Arial"/>
          <w:i w:val="1"/>
          <w:color w:val="202122"/>
          <w:sz w:val="20"/>
          <w:szCs w:val="20"/>
          <w:rtl w:val="0"/>
        </w:rPr>
        <w:t xml:space="preserve">apud </w:t>
      </w:r>
      <w:r w:rsidDel="00000000" w:rsidR="00000000" w:rsidRPr="00000000">
        <w:rPr>
          <w:rFonts w:ascii="Arial" w:cs="Arial" w:eastAsia="Arial" w:hAnsi="Arial"/>
          <w:color w:val="202122"/>
          <w:sz w:val="20"/>
          <w:szCs w:val="20"/>
          <w:rtl w:val="0"/>
        </w:rPr>
        <w:t xml:space="preserve">Archibald (2001) p. 57</w:t>
      </w:r>
      <w:r w:rsidDel="00000000" w:rsidR="00000000" w:rsidRPr="00000000">
        <w:rPr>
          <w:rtl w:val="0"/>
        </w:rPr>
      </w:r>
    </w:p>
  </w:footnote>
  <w:footnote w:id="133">
    <w:p w:rsidR="00000000" w:rsidDel="00000000" w:rsidP="00000000" w:rsidRDefault="00000000" w:rsidRPr="00000000" w14:paraId="000002D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Garland (1976) p. 183</w:t>
      </w:r>
    </w:p>
  </w:footnote>
  <w:footnote w:id="172">
    <w:p w:rsidR="00000000" w:rsidDel="00000000" w:rsidP="00000000" w:rsidRDefault="00000000" w:rsidRPr="00000000" w14:paraId="000002D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Gauthier (1989) p. 28 </w:t>
      </w:r>
      <w:r w:rsidDel="00000000" w:rsidR="00000000" w:rsidRPr="00000000">
        <w:rPr>
          <w:rFonts w:ascii="Arial" w:cs="Arial" w:eastAsia="Arial" w:hAnsi="Arial"/>
          <w:i w:val="1"/>
          <w:sz w:val="20"/>
          <w:szCs w:val="20"/>
          <w:rtl w:val="0"/>
        </w:rPr>
        <w:t xml:space="preserve">apud </w:t>
      </w:r>
      <w:r w:rsidDel="00000000" w:rsidR="00000000" w:rsidRPr="00000000">
        <w:rPr>
          <w:rFonts w:ascii="Arial" w:cs="Arial" w:eastAsia="Arial" w:hAnsi="Arial"/>
          <w:sz w:val="20"/>
          <w:szCs w:val="20"/>
          <w:rtl w:val="0"/>
        </w:rPr>
        <w:t xml:space="preserve">Ma (1999) p. 131</w:t>
      </w:r>
    </w:p>
  </w:footnote>
  <w:footnote w:id="173">
    <w:p w:rsidR="00000000" w:rsidDel="00000000" w:rsidP="00000000" w:rsidRDefault="00000000" w:rsidRPr="00000000" w14:paraId="000002D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Malay (1983) pp. 349-53</w:t>
      </w:r>
    </w:p>
  </w:footnote>
  <w:footnote w:id="174">
    <w:p w:rsidR="00000000" w:rsidDel="00000000" w:rsidP="00000000" w:rsidRDefault="00000000" w:rsidRPr="00000000" w14:paraId="000002D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Rostovtzeff (1936) pp. 241-242</w:t>
      </w:r>
    </w:p>
  </w:footnote>
  <w:footnote w:id="170">
    <w:p w:rsidR="00000000" w:rsidDel="00000000" w:rsidP="00000000" w:rsidRDefault="00000000" w:rsidRPr="00000000" w14:paraId="000002E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Scheidel &amp; Monson (2015) p. 170</w:t>
      </w:r>
    </w:p>
  </w:footnote>
  <w:footnote w:id="93">
    <w:p w:rsidR="00000000" w:rsidDel="00000000" w:rsidP="00000000" w:rsidRDefault="00000000" w:rsidRPr="00000000" w14:paraId="000002E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Lloyd (2002) pp. 120-131 </w:t>
      </w:r>
      <w:r w:rsidDel="00000000" w:rsidR="00000000" w:rsidRPr="00000000">
        <w:rPr>
          <w:rFonts w:ascii="Arial" w:cs="Arial" w:eastAsia="Arial" w:hAnsi="Arial"/>
          <w:i w:val="1"/>
          <w:sz w:val="20"/>
          <w:szCs w:val="20"/>
          <w:rtl w:val="0"/>
        </w:rPr>
        <w:t xml:space="preserve">apud </w:t>
      </w:r>
      <w:r w:rsidDel="00000000" w:rsidR="00000000" w:rsidRPr="00000000">
        <w:rPr>
          <w:rFonts w:ascii="Arial" w:cs="Arial" w:eastAsia="Arial" w:hAnsi="Arial"/>
          <w:sz w:val="20"/>
          <w:szCs w:val="20"/>
          <w:rtl w:val="0"/>
        </w:rPr>
        <w:t xml:space="preserve">Scheidel &amp; Monson (2015) p. 179</w:t>
      </w:r>
    </w:p>
  </w:footnote>
  <w:footnote w:id="175">
    <w:p w:rsidR="00000000" w:rsidDel="00000000" w:rsidP="00000000" w:rsidRDefault="00000000" w:rsidRPr="00000000" w14:paraId="000002E2">
      <w:pPr>
        <w:rPr>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color w:val="231f20"/>
          <w:sz w:val="20"/>
          <w:szCs w:val="20"/>
          <w:rtl w:val="0"/>
        </w:rPr>
        <w:t xml:space="preserve">Capdetrey (2007) p. 36</w:t>
      </w:r>
      <w:r w:rsidDel="00000000" w:rsidR="00000000" w:rsidRPr="00000000">
        <w:rPr>
          <w:rtl w:val="0"/>
        </w:rPr>
      </w:r>
    </w:p>
  </w:footnote>
  <w:footnote w:id="176">
    <w:p w:rsidR="00000000" w:rsidDel="00000000" w:rsidP="00000000" w:rsidRDefault="00000000" w:rsidRPr="00000000" w14:paraId="000002E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Millett (2010) p. 477</w:t>
      </w:r>
    </w:p>
  </w:footnote>
  <w:footnote w:id="177">
    <w:p w:rsidR="00000000" w:rsidDel="00000000" w:rsidP="00000000" w:rsidRDefault="00000000" w:rsidRPr="00000000" w14:paraId="000002E4">
      <w:pPr>
        <w:rPr>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Hammond (1989), pp. 10, 94, 159–60, 195. </w:t>
      </w:r>
      <w:r w:rsidDel="00000000" w:rsidR="00000000" w:rsidRPr="00000000">
        <w:rPr>
          <w:rFonts w:ascii="Arial" w:cs="Arial" w:eastAsia="Arial" w:hAnsi="Arial"/>
          <w:i w:val="1"/>
          <w:sz w:val="20"/>
          <w:szCs w:val="20"/>
          <w:rtl w:val="0"/>
        </w:rPr>
        <w:t xml:space="preserve">apud </w:t>
      </w:r>
      <w:r w:rsidDel="00000000" w:rsidR="00000000" w:rsidRPr="00000000">
        <w:rPr>
          <w:rFonts w:ascii="Arial" w:cs="Arial" w:eastAsia="Arial" w:hAnsi="Arial"/>
          <w:sz w:val="20"/>
          <w:szCs w:val="20"/>
          <w:rtl w:val="0"/>
        </w:rPr>
        <w:t xml:space="preserve">Millett (2010) p. 478. </w:t>
      </w:r>
      <w:r w:rsidDel="00000000" w:rsidR="00000000" w:rsidRPr="00000000">
        <w:rPr>
          <w:rFonts w:ascii="Arial" w:cs="Arial" w:eastAsia="Arial" w:hAnsi="Arial"/>
          <w:sz w:val="20"/>
          <w:szCs w:val="20"/>
          <w:rtl w:val="0"/>
        </w:rPr>
        <w:t xml:space="preserve">Hammond is insistent that ‘it was essentially a free society (there being no trace in Macedonia of the slave base on which Greek city-states rested)’</w:t>
      </w:r>
      <w:r w:rsidDel="00000000" w:rsidR="00000000" w:rsidRPr="00000000">
        <w:rPr>
          <w:rtl w:val="0"/>
        </w:rPr>
      </w:r>
    </w:p>
  </w:footnote>
  <w:footnote w:id="178">
    <w:p w:rsidR="00000000" w:rsidDel="00000000" w:rsidP="00000000" w:rsidRDefault="00000000" w:rsidRPr="00000000" w14:paraId="000002E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Millett (2010) p. 484</w:t>
      </w:r>
    </w:p>
  </w:footnote>
  <w:footnote w:id="179">
    <w:p w:rsidR="00000000" w:rsidDel="00000000" w:rsidP="00000000" w:rsidRDefault="00000000" w:rsidRPr="00000000" w14:paraId="000002E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Rostovtzeff (1941) pp. 632-3</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Arial" w:cs="Arial" w:eastAsia="Arial" w:hAnsi="Arial"/>
      <w:b w:val="1"/>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Arial" w:cs="Arial" w:eastAsia="Arial" w:hAnsi="Arial"/>
      <w:b w:val="1"/>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paragraph" w:styleId="Heading1">
    <w:name w:val="heading 1"/>
    <w:basedOn w:val="Normal"/>
    <w:next w:val="Normal"/>
    <w:pPr>
      <w:keepNext w:val="1"/>
      <w:spacing w:after="60" w:before="240"/>
      <w:outlineLvl w:val="0"/>
    </w:pPr>
    <w:rPr>
      <w:rFonts w:ascii="Arial" w:cs="Arial" w:eastAsia="Arial" w:hAnsi="Arial"/>
      <w:b w:val="1"/>
      <w:sz w:val="32"/>
      <w:szCs w:val="32"/>
    </w:rPr>
  </w:style>
  <w:style w:type="paragraph" w:styleId="Heading2">
    <w:name w:val="heading 2"/>
    <w:basedOn w:val="Normal"/>
    <w:next w:val="Normal"/>
    <w:pPr>
      <w:keepNext w:val="1"/>
      <w:keepLines w:val="1"/>
      <w:spacing w:after="80" w:before="360"/>
      <w:outlineLvl w:val="1"/>
    </w:pPr>
    <w:rPr>
      <w:b w:val="1"/>
      <w:sz w:val="36"/>
      <w:szCs w:val="36"/>
    </w:rPr>
  </w:style>
  <w:style w:type="paragraph" w:styleId="Heading3">
    <w:name w:val="heading 3"/>
    <w:basedOn w:val="Normal"/>
    <w:next w:val="Normal"/>
    <w:pPr>
      <w:keepNext w:val="1"/>
      <w:keepLines w:val="1"/>
      <w:spacing w:after="80" w:before="280"/>
      <w:outlineLvl w:val="2"/>
    </w:pPr>
    <w:rPr>
      <w:b w:val="1"/>
      <w:sz w:val="28"/>
      <w:szCs w:val="28"/>
    </w:rPr>
  </w:style>
  <w:style w:type="paragraph" w:styleId="Heading4">
    <w:name w:val="heading 4"/>
    <w:basedOn w:val="Normal"/>
    <w:next w:val="Normal"/>
    <w:pPr>
      <w:keepNext w:val="1"/>
      <w:keepLines w:val="1"/>
      <w:spacing w:after="40" w:before="240"/>
      <w:outlineLvl w:val="3"/>
    </w:pPr>
    <w:rPr>
      <w:b w:val="1"/>
    </w:rPr>
  </w:style>
  <w:style w:type="paragraph" w:styleId="Heading5">
    <w:name w:val="heading 5"/>
    <w:basedOn w:val="Normal"/>
    <w:next w:val="Normal"/>
    <w:pPr>
      <w:keepNext w:val="1"/>
      <w:keepLines w:val="1"/>
      <w:spacing w:after="40" w:before="220"/>
      <w:outlineLvl w:val="4"/>
    </w:pPr>
    <w:rPr>
      <w:b w:val="1"/>
      <w:sz w:val="22"/>
      <w:szCs w:val="22"/>
    </w:rPr>
  </w:style>
  <w:style w:type="paragraph" w:styleId="Heading6">
    <w:name w:val="heading 6"/>
    <w:basedOn w:val="Normal"/>
    <w:next w:val="Normal"/>
    <w:pPr>
      <w:keepNext w:val="1"/>
      <w:keepLines w:val="1"/>
      <w:spacing w:after="40" w:before="200"/>
      <w:outlineLvl w:val="5"/>
    </w:pPr>
    <w:rPr>
      <w:b w:val="1"/>
      <w:sz w:val="20"/>
      <w:szCs w:val="20"/>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120" w:before="480"/>
    </w:pPr>
    <w:rPr>
      <w:b w:val="1"/>
      <w:sz w:val="72"/>
      <w:szCs w:val="72"/>
    </w:rPr>
  </w:style>
  <w:style w:type="paragraph" w:styleId="Subtitle">
    <w:name w:val="Subtitle"/>
    <w:basedOn w:val="Normal"/>
    <w:next w:val="Normal"/>
    <w:pPr>
      <w:keepNext w:val="1"/>
      <w:keepLines w:val="1"/>
      <w:spacing w:after="80" w:before="360"/>
    </w:pPr>
    <w:rPr>
      <w:rFonts w:ascii="Georgia" w:cs="Georgia" w:eastAsia="Georgia" w:hAnsi="Georgia"/>
      <w:i w:val="1"/>
      <w:color w:val="666666"/>
      <w:sz w:val="48"/>
      <w:szCs w:val="48"/>
    </w:rPr>
  </w:style>
  <w:style w:type="character" w:styleId="CommentReference">
    <w:name w:val="annotation reference"/>
    <w:basedOn w:val="DefaultParagraphFont"/>
    <w:uiPriority w:val="99"/>
    <w:semiHidden w:val="1"/>
    <w:unhideWhenUsed w:val="1"/>
    <w:rsid w:val="0097291B"/>
    <w:rPr>
      <w:sz w:val="16"/>
      <w:szCs w:val="16"/>
    </w:rPr>
  </w:style>
  <w:style w:type="paragraph" w:styleId="CommentText">
    <w:name w:val="annotation text"/>
    <w:basedOn w:val="Normal"/>
    <w:link w:val="CommentTextChar"/>
    <w:uiPriority w:val="99"/>
    <w:semiHidden w:val="1"/>
    <w:unhideWhenUsed w:val="1"/>
    <w:rsid w:val="0097291B"/>
    <w:rPr>
      <w:sz w:val="20"/>
      <w:szCs w:val="20"/>
    </w:rPr>
  </w:style>
  <w:style w:type="character" w:styleId="CommentTextChar" w:customStyle="1">
    <w:name w:val="Comment Text Char"/>
    <w:basedOn w:val="DefaultParagraphFont"/>
    <w:link w:val="CommentText"/>
    <w:uiPriority w:val="99"/>
    <w:semiHidden w:val="1"/>
    <w:rsid w:val="0097291B"/>
    <w:rPr>
      <w:sz w:val="20"/>
      <w:szCs w:val="20"/>
    </w:rPr>
  </w:style>
  <w:style w:type="paragraph" w:styleId="CommentSubject">
    <w:name w:val="annotation subject"/>
    <w:basedOn w:val="CommentText"/>
    <w:next w:val="CommentText"/>
    <w:link w:val="CommentSubjectChar"/>
    <w:uiPriority w:val="99"/>
    <w:semiHidden w:val="1"/>
    <w:unhideWhenUsed w:val="1"/>
    <w:rsid w:val="0097291B"/>
    <w:rPr>
      <w:b w:val="1"/>
      <w:bCs w:val="1"/>
    </w:rPr>
  </w:style>
  <w:style w:type="character" w:styleId="CommentSubjectChar" w:customStyle="1">
    <w:name w:val="Comment Subject Char"/>
    <w:basedOn w:val="CommentTextChar"/>
    <w:link w:val="CommentSubject"/>
    <w:uiPriority w:val="99"/>
    <w:semiHidden w:val="1"/>
    <w:rsid w:val="0097291B"/>
    <w:rPr>
      <w:b w:val="1"/>
      <w:bCs w:val="1"/>
      <w:sz w:val="20"/>
      <w:szCs w:val="20"/>
    </w:rPr>
  </w:style>
  <w:style w:type="paragraph" w:styleId="BalloonText">
    <w:name w:val="Balloon Text"/>
    <w:basedOn w:val="Normal"/>
    <w:link w:val="BalloonTextChar"/>
    <w:uiPriority w:val="99"/>
    <w:semiHidden w:val="1"/>
    <w:unhideWhenUsed w:val="1"/>
    <w:rsid w:val="0097291B"/>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97291B"/>
    <w:rPr>
      <w:rFonts w:ascii="Segoe UI" w:cs="Segoe UI" w:hAnsi="Segoe UI"/>
      <w:sz w:val="18"/>
      <w:szCs w:val="1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yperlink" Target="http://www.jstor.org.ezproxy.uwtsd.ac.uk/stable/40752488" TargetMode="External"/><Relationship Id="rId10" Type="http://schemas.openxmlformats.org/officeDocument/2006/relationships/hyperlink" Target="http://www.jstor.org/stable/44277754" TargetMode="External"/><Relationship Id="rId12" Type="http://schemas.openxmlformats.org/officeDocument/2006/relationships/footer" Target="footer1.xml"/><Relationship Id="rId9" Type="http://schemas.openxmlformats.org/officeDocument/2006/relationships/hyperlink" Target="https://www.persee.fr/doc/crai_0065-0536_1967_num_111_2_12117"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hyperlink" Target="https://publishing.cdlib.org/ucpressebooks/view?docId=ft1x0nb0dk&amp;chunk.id=d0e25350&amp;toc.depth=1&amp;toc.id=&amp;brand=ucpress"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penelope.uchicago.edu/Thayer/E/Roman/Texts/Dionysius_of_Halicarnassus/20*.html" TargetMode="External"/><Relationship Id="rId2" Type="http://schemas.openxmlformats.org/officeDocument/2006/relationships/hyperlink" Target="http://penelope.uchicago.edu/Thayer/l/roman/texts/Valerius_Maximus/6*.html" TargetMode="External"/><Relationship Id="rId3" Type="http://schemas.openxmlformats.org/officeDocument/2006/relationships/hyperlink" Target="http://penelope.uchicago.edu/Thayer/E/Roman/Texts/Polybius/30*.html" TargetMode="External"/><Relationship Id="rId4" Type="http://schemas.openxmlformats.org/officeDocument/2006/relationships/hyperlink" Target="http://www.attalus.org/translate/justin4.html#28.1" TargetMode="External"/><Relationship Id="rId5" Type="http://schemas.openxmlformats.org/officeDocument/2006/relationships/hyperlink" Target="https://penelope.uchicago.edu/Thayer/E/Roman/Texts/Diodorus_Siculus/18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ZuiADD8TTvUbHzZ4IrBCQtAtDmQ==">AMUW2mVDMpHJes+VTjx4DlKzhZN/Z14d/Ou2OFoOyMrCiMmo1XCK3ue0wdvLgEosBPZvK78vGSPtzjNihoMGNAY4ybAmlOAl5G02CyH34qwS1gNmiDDnWs4=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2020-08-12T08:11:00Z</dcterms:created>
  <dc:creator>Matthew Cobb</dc:creator>
</cp:coreProperties>
</file>