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8D7503" w14:textId="77777777" w:rsidR="00FD33CB" w:rsidRDefault="00FD33CB">
      <w:pPr>
        <w:spacing w:line="360" w:lineRule="auto"/>
        <w:jc w:val="both"/>
        <w:rPr>
          <w:rFonts w:ascii="Arial" w:eastAsia="Arial" w:hAnsi="Arial" w:cs="Arial"/>
          <w:b/>
          <w:u w:val="single"/>
        </w:rPr>
      </w:pPr>
    </w:p>
    <w:p w14:paraId="4DCEB248" w14:textId="77777777" w:rsidR="00FD33CB" w:rsidRDefault="00FD33CB">
      <w:pPr>
        <w:spacing w:line="360" w:lineRule="auto"/>
        <w:jc w:val="both"/>
        <w:rPr>
          <w:rFonts w:ascii="Arial" w:eastAsia="Arial" w:hAnsi="Arial" w:cs="Arial"/>
          <w:b/>
          <w:u w:val="single"/>
        </w:rPr>
      </w:pPr>
    </w:p>
    <w:p w14:paraId="0D9A44DC" w14:textId="77777777" w:rsidR="00FD33CB" w:rsidRDefault="00FD33CB">
      <w:pPr>
        <w:spacing w:line="360" w:lineRule="auto"/>
        <w:jc w:val="both"/>
        <w:rPr>
          <w:rFonts w:ascii="Arial" w:eastAsia="Arial" w:hAnsi="Arial" w:cs="Arial"/>
          <w:b/>
          <w:u w:val="single"/>
        </w:rPr>
      </w:pPr>
    </w:p>
    <w:p w14:paraId="72505C8C" w14:textId="77777777" w:rsidR="00FD33CB" w:rsidRDefault="00F95DC7">
      <w:pPr>
        <w:spacing w:line="360" w:lineRule="auto"/>
        <w:jc w:val="both"/>
        <w:rPr>
          <w:rFonts w:ascii="Arial" w:eastAsia="Arial" w:hAnsi="Arial" w:cs="Arial"/>
          <w:b/>
          <w:u w:val="single"/>
        </w:rPr>
      </w:pPr>
      <w:r>
        <w:rPr>
          <w:rFonts w:ascii="Arial" w:eastAsia="Arial" w:hAnsi="Arial" w:cs="Arial"/>
          <w:b/>
          <w:u w:val="single"/>
        </w:rPr>
        <w:t>LEVEL 4 – Student Journal (750 words)</w:t>
      </w:r>
    </w:p>
    <w:p w14:paraId="0FFB62A5" w14:textId="77777777" w:rsidR="00FD33CB" w:rsidRDefault="00FD33CB">
      <w:pPr>
        <w:spacing w:line="360" w:lineRule="auto"/>
        <w:jc w:val="both"/>
        <w:rPr>
          <w:rFonts w:ascii="Arial" w:eastAsia="Arial" w:hAnsi="Arial" w:cs="Arial"/>
          <w:b/>
          <w:u w:val="single"/>
        </w:rPr>
      </w:pPr>
    </w:p>
    <w:p w14:paraId="3A040A1E" w14:textId="77777777" w:rsidR="00FD33CB" w:rsidRDefault="00FD33CB">
      <w:pPr>
        <w:spacing w:line="360" w:lineRule="auto"/>
        <w:jc w:val="both"/>
        <w:rPr>
          <w:rFonts w:ascii="Arial" w:eastAsia="Arial" w:hAnsi="Arial" w:cs="Arial"/>
        </w:rPr>
      </w:pPr>
    </w:p>
    <w:tbl>
      <w:tblPr>
        <w:tblStyle w:val="a"/>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987"/>
        <w:gridCol w:w="7195"/>
      </w:tblGrid>
      <w:tr w:rsidR="00FD33CB" w14:paraId="471BE74F" w14:textId="77777777">
        <w:tc>
          <w:tcPr>
            <w:tcW w:w="3987" w:type="dxa"/>
            <w:shd w:val="clear" w:color="auto" w:fill="8DB3E2"/>
          </w:tcPr>
          <w:p w14:paraId="4804E0E3" w14:textId="3E120001" w:rsidR="00FD33CB" w:rsidRDefault="00F95DC7">
            <w:pPr>
              <w:spacing w:line="360" w:lineRule="auto"/>
              <w:jc w:val="both"/>
              <w:rPr>
                <w:rFonts w:ascii="Arial" w:eastAsia="Arial" w:hAnsi="Arial" w:cs="Arial"/>
                <w:b/>
              </w:rPr>
            </w:pPr>
            <w:r>
              <w:rPr>
                <w:rFonts w:ascii="Arial" w:eastAsia="Arial" w:hAnsi="Arial" w:cs="Arial"/>
                <w:b/>
              </w:rPr>
              <w:t>Student Name: Muhammed Azizur Rahman</w:t>
            </w:r>
          </w:p>
          <w:p w14:paraId="7E3442F2" w14:textId="77777777" w:rsidR="00FD33CB" w:rsidRDefault="00FD33CB">
            <w:pPr>
              <w:spacing w:line="360" w:lineRule="auto"/>
              <w:jc w:val="both"/>
              <w:rPr>
                <w:rFonts w:ascii="Arial" w:eastAsia="Arial" w:hAnsi="Arial" w:cs="Arial"/>
                <w:b/>
              </w:rPr>
            </w:pPr>
          </w:p>
          <w:p w14:paraId="35F93FFE" w14:textId="77777777" w:rsidR="00FD33CB" w:rsidRDefault="00F95DC7">
            <w:pPr>
              <w:spacing w:line="360" w:lineRule="auto"/>
              <w:jc w:val="both"/>
              <w:rPr>
                <w:rFonts w:ascii="Arial" w:eastAsia="Arial" w:hAnsi="Arial" w:cs="Arial"/>
                <w:b/>
              </w:rPr>
            </w:pPr>
            <w:r>
              <w:rPr>
                <w:rFonts w:ascii="Arial" w:eastAsia="Arial" w:hAnsi="Arial" w:cs="Arial"/>
                <w:b/>
              </w:rPr>
              <w:t>Student Number: 2107283</w:t>
            </w:r>
          </w:p>
          <w:p w14:paraId="3618B357" w14:textId="77777777" w:rsidR="00FD33CB" w:rsidRDefault="00FD33CB">
            <w:pPr>
              <w:spacing w:line="360" w:lineRule="auto"/>
              <w:jc w:val="both"/>
              <w:rPr>
                <w:rFonts w:ascii="Arial" w:eastAsia="Arial" w:hAnsi="Arial" w:cs="Arial"/>
                <w:b/>
              </w:rPr>
            </w:pPr>
          </w:p>
        </w:tc>
        <w:tc>
          <w:tcPr>
            <w:tcW w:w="7195" w:type="dxa"/>
            <w:shd w:val="clear" w:color="auto" w:fill="8DB3E2"/>
          </w:tcPr>
          <w:p w14:paraId="6CA4CFB1" w14:textId="77777777" w:rsidR="00FD33CB" w:rsidRDefault="00F95DC7">
            <w:pPr>
              <w:spacing w:line="360" w:lineRule="auto"/>
              <w:jc w:val="both"/>
              <w:rPr>
                <w:rFonts w:ascii="Arial" w:eastAsia="Arial" w:hAnsi="Arial" w:cs="Arial"/>
                <w:b/>
              </w:rPr>
            </w:pPr>
            <w:r>
              <w:rPr>
                <w:rFonts w:ascii="Arial" w:eastAsia="Arial" w:hAnsi="Arial" w:cs="Arial"/>
                <w:b/>
              </w:rPr>
              <w:t>Module: BMIH4002</w:t>
            </w:r>
          </w:p>
          <w:p w14:paraId="09C0B742" w14:textId="77777777" w:rsidR="00FD33CB" w:rsidRDefault="00FD33CB">
            <w:pPr>
              <w:spacing w:line="360" w:lineRule="auto"/>
              <w:jc w:val="both"/>
              <w:rPr>
                <w:rFonts w:ascii="Arial" w:eastAsia="Arial" w:hAnsi="Arial" w:cs="Arial"/>
                <w:b/>
              </w:rPr>
            </w:pPr>
          </w:p>
          <w:p w14:paraId="41431F7D" w14:textId="6A64754E" w:rsidR="00FD33CB" w:rsidRDefault="00F95DC7">
            <w:pPr>
              <w:spacing w:line="360" w:lineRule="auto"/>
              <w:jc w:val="both"/>
              <w:rPr>
                <w:rFonts w:ascii="Arial" w:eastAsia="Arial" w:hAnsi="Arial" w:cs="Arial"/>
                <w:b/>
              </w:rPr>
            </w:pPr>
            <w:r>
              <w:rPr>
                <w:rFonts w:ascii="Arial" w:eastAsia="Arial" w:hAnsi="Arial" w:cs="Arial"/>
                <w:b/>
              </w:rPr>
              <w:t>Lecturer: Lynsey Hooper</w:t>
            </w:r>
            <w:r w:rsidR="00DD2CE4">
              <w:rPr>
                <w:rFonts w:ascii="Arial" w:eastAsia="Arial" w:hAnsi="Arial" w:cs="Arial"/>
                <w:b/>
              </w:rPr>
              <w:t>.</w:t>
            </w:r>
          </w:p>
        </w:tc>
      </w:tr>
    </w:tbl>
    <w:p w14:paraId="1485A6EE" w14:textId="77777777" w:rsidR="00FD33CB" w:rsidRDefault="00FD33CB">
      <w:pPr>
        <w:spacing w:line="360" w:lineRule="auto"/>
        <w:jc w:val="both"/>
        <w:rPr>
          <w:rFonts w:ascii="Arial" w:eastAsia="Arial" w:hAnsi="Arial" w:cs="Arial"/>
        </w:rPr>
      </w:pPr>
    </w:p>
    <w:tbl>
      <w:tblPr>
        <w:tblStyle w:val="a0"/>
        <w:tblW w:w="1105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983"/>
        <w:gridCol w:w="7069"/>
      </w:tblGrid>
      <w:tr w:rsidR="00FD33CB" w14:paraId="38BCB073" w14:textId="77777777">
        <w:tc>
          <w:tcPr>
            <w:tcW w:w="3983" w:type="dxa"/>
            <w:shd w:val="clear" w:color="auto" w:fill="FBD5B5"/>
          </w:tcPr>
          <w:p w14:paraId="6661BB25" w14:textId="77777777" w:rsidR="00FD33CB" w:rsidRDefault="00F95DC7">
            <w:pPr>
              <w:spacing w:line="360" w:lineRule="auto"/>
              <w:jc w:val="both"/>
              <w:rPr>
                <w:rFonts w:ascii="Arial" w:eastAsia="Arial" w:hAnsi="Arial" w:cs="Arial"/>
                <w:b/>
              </w:rPr>
            </w:pPr>
            <w:r>
              <w:rPr>
                <w:rFonts w:ascii="Arial" w:eastAsia="Arial" w:hAnsi="Arial" w:cs="Arial"/>
                <w:b/>
              </w:rPr>
              <w:t xml:space="preserve">The topic of Choice: </w:t>
            </w:r>
          </w:p>
        </w:tc>
        <w:tc>
          <w:tcPr>
            <w:tcW w:w="7069" w:type="dxa"/>
            <w:shd w:val="clear" w:color="auto" w:fill="FBD5B5"/>
          </w:tcPr>
          <w:p w14:paraId="4E556D9B" w14:textId="77777777" w:rsidR="00FD33CB" w:rsidRDefault="00F95DC7">
            <w:pPr>
              <w:spacing w:line="360" w:lineRule="auto"/>
              <w:jc w:val="both"/>
              <w:rPr>
                <w:rFonts w:ascii="Arial" w:eastAsia="Arial" w:hAnsi="Arial" w:cs="Arial"/>
                <w:b/>
              </w:rPr>
            </w:pPr>
            <w:r>
              <w:rPr>
                <w:rFonts w:ascii="Arial" w:eastAsia="Arial" w:hAnsi="Arial" w:cs="Arial"/>
                <w:b/>
              </w:rPr>
              <w:t xml:space="preserve">Importance of the Food and Beverage industry </w:t>
            </w:r>
          </w:p>
          <w:p w14:paraId="3E5AB41E" w14:textId="77777777" w:rsidR="00FD33CB" w:rsidRDefault="00FD33CB">
            <w:pPr>
              <w:spacing w:line="360" w:lineRule="auto"/>
              <w:jc w:val="both"/>
              <w:rPr>
                <w:rFonts w:ascii="Arial" w:eastAsia="Arial" w:hAnsi="Arial" w:cs="Arial"/>
                <w:b/>
              </w:rPr>
            </w:pPr>
          </w:p>
        </w:tc>
      </w:tr>
      <w:tr w:rsidR="00FD33CB" w14:paraId="1E5E50A1" w14:textId="77777777">
        <w:trPr>
          <w:trHeight w:val="2494"/>
        </w:trPr>
        <w:tc>
          <w:tcPr>
            <w:tcW w:w="11052" w:type="dxa"/>
            <w:gridSpan w:val="2"/>
          </w:tcPr>
          <w:p w14:paraId="39CA058B" w14:textId="77777777" w:rsidR="00FD33CB" w:rsidRDefault="00FD33CB">
            <w:pPr>
              <w:spacing w:line="360" w:lineRule="auto"/>
              <w:jc w:val="both"/>
              <w:rPr>
                <w:rFonts w:ascii="Arial" w:eastAsia="Arial" w:hAnsi="Arial" w:cs="Arial"/>
              </w:rPr>
            </w:pPr>
          </w:p>
          <w:p w14:paraId="16437034" w14:textId="77777777" w:rsidR="00FD33CB" w:rsidRDefault="00F95DC7">
            <w:pPr>
              <w:spacing w:line="360" w:lineRule="auto"/>
              <w:jc w:val="both"/>
              <w:rPr>
                <w:rFonts w:ascii="Arial" w:eastAsia="Arial" w:hAnsi="Arial" w:cs="Arial"/>
              </w:rPr>
            </w:pPr>
            <w:r>
              <w:rPr>
                <w:rFonts w:ascii="Arial" w:eastAsia="Arial" w:hAnsi="Arial" w:cs="Arial"/>
              </w:rPr>
              <w:t xml:space="preserve">Food and beverage operation has a multi-diverse activity that includes many functional systems which can be done in many stages. Activities like engaging with the right staff for the production, managing different events and also determining business outcomes to decide the future conditions and policies of the company. Food and beverage service is an important sector in the hospitality sector as it contributes a great effort in making profits </w:t>
            </w:r>
            <w:r>
              <w:rPr>
                <w:rFonts w:ascii="Arial" w:eastAsia="Arial" w:hAnsi="Arial" w:cs="Arial"/>
                <w:color w:val="000000"/>
                <w:highlight w:val="white"/>
              </w:rPr>
              <w:t>(Charles, 2016)</w:t>
            </w:r>
            <w:r>
              <w:rPr>
                <w:rFonts w:ascii="Arial" w:eastAsia="Arial" w:hAnsi="Arial" w:cs="Arial"/>
              </w:rPr>
              <w:t>. The professionals in this criterion try to build up the customer experiences through different effective services so that the customers can avail a better service.</w:t>
            </w:r>
          </w:p>
          <w:p w14:paraId="3434320A" w14:textId="77777777" w:rsidR="00FD33CB" w:rsidRDefault="00F95DC7">
            <w:pPr>
              <w:spacing w:line="360" w:lineRule="auto"/>
              <w:jc w:val="both"/>
              <w:rPr>
                <w:rFonts w:ascii="Arial" w:eastAsia="Arial" w:hAnsi="Arial" w:cs="Arial"/>
              </w:rPr>
            </w:pPr>
            <w:r>
              <w:rPr>
                <w:rFonts w:ascii="Arial" w:eastAsia="Arial" w:hAnsi="Arial" w:cs="Arial"/>
              </w:rPr>
              <w:t xml:space="preserve">The whole process can be reflected using the Gibbs Reflective Cycle where there are six stages to identify the whole process. </w:t>
            </w:r>
          </w:p>
          <w:p w14:paraId="5170777C" w14:textId="77777777" w:rsidR="00FD33CB" w:rsidRDefault="00F95DC7">
            <w:pPr>
              <w:spacing w:line="360" w:lineRule="auto"/>
              <w:jc w:val="both"/>
              <w:rPr>
                <w:rFonts w:ascii="Arial" w:eastAsia="Arial" w:hAnsi="Arial" w:cs="Arial"/>
              </w:rPr>
            </w:pPr>
            <w:r>
              <w:rPr>
                <w:rFonts w:ascii="Arial" w:eastAsia="Arial" w:hAnsi="Arial" w:cs="Arial"/>
              </w:rPr>
              <w:t xml:space="preserve">Food and beverage is a wide industry that is served in restaurants, cafeterias, campus cafeterias, food joints, catering businesses, and so on. There are activities like packaging, transporting, and serving food and beverage in the company. the food and average industry are large, diverse, and full of efficient inventories. Food and beverage is the oldest industry that is making new and relevant production techniques and providing the best possible price for the customers. </w:t>
            </w:r>
          </w:p>
          <w:p w14:paraId="62A49F52" w14:textId="77777777" w:rsidR="00FD33CB" w:rsidRDefault="00F95DC7">
            <w:pPr>
              <w:spacing w:line="360" w:lineRule="auto"/>
              <w:jc w:val="both"/>
              <w:rPr>
                <w:rFonts w:ascii="Arial" w:eastAsia="Arial" w:hAnsi="Arial" w:cs="Arial"/>
              </w:rPr>
            </w:pPr>
            <w:r>
              <w:rPr>
                <w:rFonts w:ascii="Arial" w:eastAsia="Arial" w:hAnsi="Arial" w:cs="Arial"/>
              </w:rPr>
              <w:t xml:space="preserve">It is important to know different sectors in the food and beverage industry and it is not only surrounded by production only. Skills like upgrading customer and personal service, fluency in talking, knowing sales and marketing, food production, dependability, self-control, adaptability, social orientation, and so on are needed to adjust in this field. Working in this sector there is also important to listen to what people are saying and making appropriate questions to that one can get a clear vision of what the customer wants </w:t>
            </w:r>
            <w:r>
              <w:rPr>
                <w:rFonts w:ascii="Arial" w:eastAsia="Arial" w:hAnsi="Arial" w:cs="Arial"/>
                <w:color w:val="000000"/>
                <w:highlight w:val="white"/>
              </w:rPr>
              <w:t>(Leavy, 2016)</w:t>
            </w:r>
          </w:p>
          <w:p w14:paraId="6080ED5F" w14:textId="77777777" w:rsidR="00FD33CB" w:rsidRDefault="00F95DC7">
            <w:pPr>
              <w:spacing w:line="360" w:lineRule="auto"/>
              <w:jc w:val="both"/>
              <w:rPr>
                <w:rFonts w:ascii="Arial" w:eastAsia="Arial" w:hAnsi="Arial" w:cs="Arial"/>
              </w:rPr>
            </w:pPr>
            <w:r>
              <w:rPr>
                <w:rFonts w:ascii="Arial" w:eastAsia="Arial" w:hAnsi="Arial" w:cs="Arial"/>
              </w:rPr>
              <w:lastRenderedPageBreak/>
              <w:t xml:space="preserve"> The food industry has faced remarkable changes due to different industrial revolutions that have altered the dynamics of the company due to different factors. There is a new phase of advancement and automation that enables innovation more sufficiently and builds the process as well. so time to time as the new skills requirements are arriving it is important to gain knowledge about the advancement and gathers a proactive strategy before entering into the industry. This will determine to achieve a successful digital transformation in this sector. So that it is important to focus on the gain the key skills and competencies which will be related to the food industry. there are different evaluations in the food industries that will draw a general portrait of the future food industry. The people working in this industry are more skilled in managing the complexity, such as processing the higher cognitive skills and technological skills </w:t>
            </w:r>
            <w:r>
              <w:rPr>
                <w:rFonts w:ascii="Arial" w:eastAsia="Arial" w:hAnsi="Arial" w:cs="Arial"/>
                <w:color w:val="000000"/>
                <w:highlight w:val="white"/>
              </w:rPr>
              <w:t>(Hager, 2013)</w:t>
            </w:r>
            <w:r>
              <w:rPr>
                <w:rFonts w:ascii="Arial" w:eastAsia="Arial" w:hAnsi="Arial" w:cs="Arial"/>
              </w:rPr>
              <w:t xml:space="preserve">. As the industry is expanding there is a high demand for skilful workers with a continuous update for the food industry to adapt to the digital transformation and alteration in the production processes to introduce new patterns and structures. So it can be said that the main prospect of this industry is that there is continuous skill update in the workforce which is used to make the employees well-organised, train the education programs, and redesign the work process. </w:t>
            </w:r>
          </w:p>
          <w:p w14:paraId="4D1F3485" w14:textId="77777777" w:rsidR="00FD33CB" w:rsidRDefault="00F95DC7">
            <w:pPr>
              <w:spacing w:line="360" w:lineRule="auto"/>
              <w:jc w:val="both"/>
              <w:rPr>
                <w:rFonts w:ascii="Arial" w:eastAsia="Arial" w:hAnsi="Arial" w:cs="Arial"/>
              </w:rPr>
            </w:pPr>
            <w:r>
              <w:rPr>
                <w:rFonts w:ascii="Arial" w:eastAsia="Arial" w:hAnsi="Arial" w:cs="Arial"/>
              </w:rPr>
              <w:t xml:space="preserve">The food industry is popular as it incorporates all the companies in processing, producing, transporting and distributing the food </w:t>
            </w:r>
            <w:r>
              <w:rPr>
                <w:rFonts w:ascii="Arial" w:eastAsia="Arial" w:hAnsi="Arial" w:cs="Arial"/>
                <w:color w:val="000000"/>
                <w:highlight w:val="white"/>
              </w:rPr>
              <w:t>(Leavy, 2016)</w:t>
            </w:r>
            <w:r>
              <w:rPr>
                <w:rFonts w:ascii="Arial" w:eastAsia="Arial" w:hAnsi="Arial" w:cs="Arial"/>
              </w:rPr>
              <w:t xml:space="preserve">. Again, this sector of industry holds the most revenue and workers. F&amp;B management education is essential for any kind of hospitality course and the higher educators are challenged in sourcing different kinds of approaches so that the learners can get to learn effective learning tools. </w:t>
            </w:r>
          </w:p>
          <w:p w14:paraId="412EB872" w14:textId="77777777" w:rsidR="00FD33CB" w:rsidRDefault="00F95DC7">
            <w:pPr>
              <w:spacing w:line="360" w:lineRule="auto"/>
              <w:jc w:val="both"/>
              <w:rPr>
                <w:rFonts w:ascii="Arial" w:eastAsia="Arial" w:hAnsi="Arial" w:cs="Arial"/>
              </w:rPr>
            </w:pPr>
            <w:r>
              <w:rPr>
                <w:rFonts w:ascii="Arial" w:eastAsia="Arial" w:hAnsi="Arial" w:cs="Arial"/>
              </w:rPr>
              <w:t xml:space="preserve">The importance of F&amp;B is immense as it is the most fast-moving and exciting business. Consumers, these days are more concerned, and maintaining the quality of the food is more critical so the issues should be taken into high consideration and set a proper action plan to be successful in this sector. A restaurant’s food quality is determined to be standardised and customer behaviour intentions should also be effective so that the food key chain stays consistent </w:t>
            </w:r>
            <w:r>
              <w:rPr>
                <w:rFonts w:ascii="Arial" w:eastAsia="Arial" w:hAnsi="Arial" w:cs="Arial"/>
                <w:color w:val="000000"/>
                <w:highlight w:val="white"/>
              </w:rPr>
              <w:t>(Harcourt, 2011)</w:t>
            </w:r>
            <w:r>
              <w:rPr>
                <w:rFonts w:ascii="Arial" w:eastAsia="Arial" w:hAnsi="Arial" w:cs="Arial"/>
              </w:rPr>
              <w:t xml:space="preserve">. There are different types of sectors and quality components which are needed to be taken into consideration in determining a smooth process in this industry because every sector is dependent on one another. </w:t>
            </w:r>
          </w:p>
          <w:p w14:paraId="3866B6FF" w14:textId="77777777" w:rsidR="00FD33CB" w:rsidRDefault="00F95DC7">
            <w:pPr>
              <w:spacing w:line="360" w:lineRule="auto"/>
              <w:jc w:val="both"/>
              <w:rPr>
                <w:rFonts w:ascii="Arial" w:eastAsia="Arial" w:hAnsi="Arial" w:cs="Arial"/>
              </w:rPr>
            </w:pPr>
            <w:r>
              <w:rPr>
                <w:rFonts w:ascii="Arial" w:eastAsia="Arial" w:hAnsi="Arial" w:cs="Arial"/>
              </w:rPr>
              <w:t xml:space="preserve">There are different sizes, locations, and markets where there is catering job is done. From a roadside tea stall to the exclusive restaurant all the food operations are needed to be done under the F&amp;B conditions. It is important to classify the factors for a better understanding of the operations. this sector can be classified with a bigger perception according to the priority of the food and beverage industry. The number of people availing of this kind of service is increasing and it is essential to hold the satisfaction of the consumer so that it can satisfy the need. </w:t>
            </w:r>
          </w:p>
          <w:p w14:paraId="57871659" w14:textId="77777777" w:rsidR="00FD33CB" w:rsidRDefault="00FD33CB">
            <w:pPr>
              <w:spacing w:line="360" w:lineRule="auto"/>
              <w:jc w:val="both"/>
              <w:rPr>
                <w:rFonts w:ascii="Arial" w:eastAsia="Arial" w:hAnsi="Arial" w:cs="Arial"/>
              </w:rPr>
            </w:pPr>
          </w:p>
          <w:p w14:paraId="747139A2" w14:textId="77777777" w:rsidR="00FD33CB" w:rsidRDefault="00FD33CB">
            <w:pPr>
              <w:spacing w:line="360" w:lineRule="auto"/>
              <w:jc w:val="both"/>
              <w:rPr>
                <w:rFonts w:ascii="Arial" w:eastAsia="Arial" w:hAnsi="Arial" w:cs="Arial"/>
              </w:rPr>
            </w:pPr>
          </w:p>
          <w:p w14:paraId="36BCEBDF" w14:textId="77777777" w:rsidR="00FD33CB" w:rsidRDefault="00FD33CB">
            <w:pPr>
              <w:spacing w:line="360" w:lineRule="auto"/>
              <w:jc w:val="both"/>
              <w:rPr>
                <w:rFonts w:ascii="Arial" w:eastAsia="Arial" w:hAnsi="Arial" w:cs="Arial"/>
              </w:rPr>
            </w:pPr>
          </w:p>
          <w:p w14:paraId="08B192C5" w14:textId="77777777" w:rsidR="00FD33CB" w:rsidRDefault="00FD33CB">
            <w:pPr>
              <w:spacing w:line="360" w:lineRule="auto"/>
              <w:jc w:val="both"/>
              <w:rPr>
                <w:rFonts w:ascii="Arial" w:eastAsia="Arial" w:hAnsi="Arial" w:cs="Arial"/>
              </w:rPr>
            </w:pPr>
          </w:p>
          <w:p w14:paraId="1F58515B" w14:textId="77777777" w:rsidR="00FD33CB" w:rsidRDefault="00FD33CB">
            <w:pPr>
              <w:spacing w:line="360" w:lineRule="auto"/>
              <w:jc w:val="both"/>
              <w:rPr>
                <w:rFonts w:ascii="Arial" w:eastAsia="Arial" w:hAnsi="Arial" w:cs="Arial"/>
              </w:rPr>
            </w:pPr>
          </w:p>
          <w:p w14:paraId="1A35D5F8" w14:textId="77777777" w:rsidR="00FD33CB" w:rsidRDefault="00FD33CB">
            <w:pPr>
              <w:spacing w:line="360" w:lineRule="auto"/>
              <w:jc w:val="both"/>
              <w:rPr>
                <w:rFonts w:ascii="Arial" w:eastAsia="Arial" w:hAnsi="Arial" w:cs="Arial"/>
              </w:rPr>
            </w:pPr>
          </w:p>
        </w:tc>
      </w:tr>
    </w:tbl>
    <w:p w14:paraId="2347F98C" w14:textId="77777777" w:rsidR="00FD33CB" w:rsidRDefault="00FD33CB">
      <w:pPr>
        <w:spacing w:line="360" w:lineRule="auto"/>
        <w:jc w:val="both"/>
        <w:rPr>
          <w:rFonts w:ascii="Arial" w:eastAsia="Arial" w:hAnsi="Arial" w:cs="Arial"/>
          <w:b/>
        </w:rPr>
      </w:pPr>
    </w:p>
    <w:tbl>
      <w:tblPr>
        <w:tblStyle w:val="a1"/>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910"/>
        <w:gridCol w:w="272"/>
      </w:tblGrid>
      <w:tr w:rsidR="00FD33CB" w14:paraId="7210169E" w14:textId="77777777">
        <w:tc>
          <w:tcPr>
            <w:tcW w:w="10910" w:type="dxa"/>
            <w:shd w:val="clear" w:color="auto" w:fill="FBD5B5"/>
          </w:tcPr>
          <w:p w14:paraId="1B3D2729" w14:textId="77777777" w:rsidR="00FD33CB" w:rsidRDefault="00F95DC7">
            <w:pPr>
              <w:spacing w:line="360" w:lineRule="auto"/>
              <w:jc w:val="both"/>
              <w:rPr>
                <w:rFonts w:ascii="Arial" w:eastAsia="Arial" w:hAnsi="Arial" w:cs="Arial"/>
                <w:b/>
              </w:rPr>
            </w:pPr>
            <w:r>
              <w:rPr>
                <w:rFonts w:ascii="Arial" w:eastAsia="Arial" w:hAnsi="Arial" w:cs="Arial"/>
                <w:b/>
              </w:rPr>
              <w:t>REFERENCE LIST (not included in word count)</w:t>
            </w:r>
          </w:p>
        </w:tc>
        <w:tc>
          <w:tcPr>
            <w:tcW w:w="272" w:type="dxa"/>
            <w:shd w:val="clear" w:color="auto" w:fill="FBD5B5"/>
          </w:tcPr>
          <w:p w14:paraId="14140552" w14:textId="77777777" w:rsidR="00FD33CB" w:rsidRDefault="00FD33CB">
            <w:pPr>
              <w:spacing w:line="360" w:lineRule="auto"/>
              <w:jc w:val="both"/>
              <w:rPr>
                <w:rFonts w:ascii="Arial" w:eastAsia="Arial" w:hAnsi="Arial" w:cs="Arial"/>
                <w:b/>
              </w:rPr>
            </w:pPr>
          </w:p>
          <w:p w14:paraId="5F1CE1D2" w14:textId="77777777" w:rsidR="00FD33CB" w:rsidRDefault="00FD33CB">
            <w:pPr>
              <w:spacing w:line="360" w:lineRule="auto"/>
              <w:jc w:val="both"/>
              <w:rPr>
                <w:rFonts w:ascii="Arial" w:eastAsia="Arial" w:hAnsi="Arial" w:cs="Arial"/>
                <w:b/>
              </w:rPr>
            </w:pPr>
          </w:p>
        </w:tc>
      </w:tr>
      <w:tr w:rsidR="00FD33CB" w14:paraId="5487F599" w14:textId="77777777">
        <w:trPr>
          <w:trHeight w:val="2494"/>
        </w:trPr>
        <w:tc>
          <w:tcPr>
            <w:tcW w:w="11182" w:type="dxa"/>
            <w:gridSpan w:val="2"/>
          </w:tcPr>
          <w:p w14:paraId="6E40A9BA" w14:textId="77777777" w:rsidR="00FD33CB" w:rsidRDefault="00FD33CB">
            <w:pPr>
              <w:spacing w:line="360" w:lineRule="auto"/>
              <w:jc w:val="both"/>
              <w:rPr>
                <w:rFonts w:ascii="Arial" w:eastAsia="Arial" w:hAnsi="Arial" w:cs="Arial"/>
              </w:rPr>
            </w:pPr>
          </w:p>
          <w:p w14:paraId="41BC2800" w14:textId="77777777" w:rsidR="00FD33CB" w:rsidRDefault="00F95DC7">
            <w:pPr>
              <w:spacing w:after="280" w:line="360" w:lineRule="auto"/>
              <w:jc w:val="both"/>
              <w:rPr>
                <w:rFonts w:ascii="Arial" w:eastAsia="Arial" w:hAnsi="Arial" w:cs="Arial"/>
                <w:b/>
                <w:color w:val="000000"/>
              </w:rPr>
            </w:pPr>
            <w:r>
              <w:rPr>
                <w:rFonts w:ascii="Arial" w:eastAsia="Arial" w:hAnsi="Arial" w:cs="Arial"/>
                <w:b/>
                <w:color w:val="000000"/>
              </w:rPr>
              <w:t>References</w:t>
            </w:r>
          </w:p>
          <w:p w14:paraId="6A576356" w14:textId="77777777" w:rsidR="00FD33CB" w:rsidRDefault="00F95DC7">
            <w:pPr>
              <w:spacing w:after="180" w:line="360" w:lineRule="auto"/>
              <w:jc w:val="both"/>
              <w:rPr>
                <w:rFonts w:ascii="Arial" w:eastAsia="Arial" w:hAnsi="Arial" w:cs="Arial"/>
                <w:color w:val="000000"/>
              </w:rPr>
            </w:pPr>
            <w:r>
              <w:rPr>
                <w:rFonts w:ascii="Arial" w:eastAsia="Arial" w:hAnsi="Arial" w:cs="Arial"/>
                <w:color w:val="000000"/>
              </w:rPr>
              <w:t>Charles, J., 2016. </w:t>
            </w:r>
            <w:r>
              <w:rPr>
                <w:rFonts w:ascii="Arial" w:eastAsia="Arial" w:hAnsi="Arial" w:cs="Arial"/>
                <w:i/>
                <w:color w:val="000000"/>
              </w:rPr>
              <w:t>Food and bevarage services</w:t>
            </w:r>
            <w:r>
              <w:rPr>
                <w:rFonts w:ascii="Arial" w:eastAsia="Arial" w:hAnsi="Arial" w:cs="Arial"/>
                <w:color w:val="000000"/>
              </w:rPr>
              <w:t>. United Arab Emirates: 3G Elearning.</w:t>
            </w:r>
          </w:p>
          <w:p w14:paraId="358AC431" w14:textId="77777777" w:rsidR="00FD33CB" w:rsidRDefault="00F95DC7">
            <w:pPr>
              <w:spacing w:after="180" w:line="360" w:lineRule="auto"/>
              <w:jc w:val="both"/>
              <w:rPr>
                <w:rFonts w:ascii="Arial" w:eastAsia="Arial" w:hAnsi="Arial" w:cs="Arial"/>
                <w:color w:val="000000"/>
              </w:rPr>
            </w:pPr>
            <w:r>
              <w:rPr>
                <w:rFonts w:ascii="Arial" w:eastAsia="Arial" w:hAnsi="Arial" w:cs="Arial"/>
                <w:color w:val="000000"/>
              </w:rPr>
              <w:t>Doman, A. and Glucksman, M., 2011. The dynamics of managing a life insurance company. </w:t>
            </w:r>
            <w:r>
              <w:rPr>
                <w:rFonts w:ascii="Arial" w:eastAsia="Arial" w:hAnsi="Arial" w:cs="Arial"/>
                <w:i/>
                <w:color w:val="000000"/>
              </w:rPr>
              <w:t>System Dynamics Review</w:t>
            </w:r>
            <w:r>
              <w:rPr>
                <w:rFonts w:ascii="Arial" w:eastAsia="Arial" w:hAnsi="Arial" w:cs="Arial"/>
                <w:color w:val="000000"/>
              </w:rPr>
              <w:t>, 11(3), pp.219-232.</w:t>
            </w:r>
          </w:p>
          <w:p w14:paraId="27955F7F" w14:textId="77777777" w:rsidR="00FD33CB" w:rsidRDefault="00F95DC7">
            <w:pPr>
              <w:spacing w:after="180" w:line="360" w:lineRule="auto"/>
              <w:jc w:val="both"/>
              <w:rPr>
                <w:rFonts w:ascii="Arial" w:eastAsia="Arial" w:hAnsi="Arial" w:cs="Arial"/>
                <w:color w:val="000000"/>
              </w:rPr>
            </w:pPr>
            <w:r>
              <w:rPr>
                <w:rFonts w:ascii="Arial" w:eastAsia="Arial" w:hAnsi="Arial" w:cs="Arial"/>
                <w:color w:val="000000"/>
              </w:rPr>
              <w:t>Hager, P., 2013. The fundamentals of workplace learning: understanding how people learn in working life. </w:t>
            </w:r>
            <w:r>
              <w:rPr>
                <w:rFonts w:ascii="Arial" w:eastAsia="Arial" w:hAnsi="Arial" w:cs="Arial"/>
                <w:i/>
                <w:color w:val="000000"/>
              </w:rPr>
              <w:t>Studies in Continuing Education</w:t>
            </w:r>
            <w:r>
              <w:rPr>
                <w:rFonts w:ascii="Arial" w:eastAsia="Arial" w:hAnsi="Arial" w:cs="Arial"/>
                <w:color w:val="000000"/>
              </w:rPr>
              <w:t>, 35(1), pp.122-124.</w:t>
            </w:r>
          </w:p>
          <w:p w14:paraId="287D60DB" w14:textId="77777777" w:rsidR="00FD33CB" w:rsidRDefault="00F95DC7">
            <w:pPr>
              <w:spacing w:after="180" w:line="360" w:lineRule="auto"/>
              <w:jc w:val="both"/>
              <w:rPr>
                <w:rFonts w:ascii="Arial" w:eastAsia="Arial" w:hAnsi="Arial" w:cs="Arial"/>
                <w:color w:val="000000"/>
              </w:rPr>
            </w:pPr>
            <w:r>
              <w:rPr>
                <w:rFonts w:ascii="Arial" w:eastAsia="Arial" w:hAnsi="Arial" w:cs="Arial"/>
                <w:color w:val="000000"/>
              </w:rPr>
              <w:t>Harcourt, D., 2011. Waste in the food value chain. </w:t>
            </w:r>
            <w:r>
              <w:rPr>
                <w:rFonts w:ascii="Arial" w:eastAsia="Arial" w:hAnsi="Arial" w:cs="Arial"/>
                <w:i/>
                <w:color w:val="000000"/>
              </w:rPr>
              <w:t>Food Chain</w:t>
            </w:r>
            <w:r>
              <w:rPr>
                <w:rFonts w:ascii="Arial" w:eastAsia="Arial" w:hAnsi="Arial" w:cs="Arial"/>
                <w:color w:val="000000"/>
              </w:rPr>
              <w:t>, 1(2), pp.235-249.</w:t>
            </w:r>
          </w:p>
          <w:p w14:paraId="6CF9839A" w14:textId="77777777" w:rsidR="00FD33CB" w:rsidRDefault="00F95DC7">
            <w:pPr>
              <w:spacing w:after="180" w:line="360" w:lineRule="auto"/>
              <w:jc w:val="both"/>
              <w:rPr>
                <w:rFonts w:ascii="Arial" w:eastAsia="Arial" w:hAnsi="Arial" w:cs="Arial"/>
                <w:color w:val="000000"/>
              </w:rPr>
            </w:pPr>
            <w:r>
              <w:rPr>
                <w:rFonts w:ascii="Arial" w:eastAsia="Arial" w:hAnsi="Arial" w:cs="Arial"/>
                <w:color w:val="000000"/>
              </w:rPr>
              <w:t>Leavy, B., 2016. Collaborative strategies for getting and staying ahead. </w:t>
            </w:r>
            <w:r>
              <w:rPr>
                <w:rFonts w:ascii="Arial" w:eastAsia="Arial" w:hAnsi="Arial" w:cs="Arial"/>
                <w:i/>
                <w:color w:val="000000"/>
              </w:rPr>
              <w:t>Strategy &amp;amp; Leadership</w:t>
            </w:r>
            <w:r>
              <w:rPr>
                <w:rFonts w:ascii="Arial" w:eastAsia="Arial" w:hAnsi="Arial" w:cs="Arial"/>
                <w:color w:val="000000"/>
              </w:rPr>
              <w:t>, 33(6).</w:t>
            </w:r>
          </w:p>
          <w:p w14:paraId="3B3AA72D" w14:textId="77777777" w:rsidR="00FD33CB" w:rsidRDefault="00FD33CB">
            <w:pPr>
              <w:spacing w:line="360" w:lineRule="auto"/>
              <w:jc w:val="both"/>
              <w:rPr>
                <w:rFonts w:ascii="Arial" w:eastAsia="Arial" w:hAnsi="Arial" w:cs="Arial"/>
              </w:rPr>
            </w:pPr>
          </w:p>
          <w:p w14:paraId="542C497B" w14:textId="77777777" w:rsidR="00FD33CB" w:rsidRDefault="00FD33CB">
            <w:pPr>
              <w:spacing w:line="360" w:lineRule="auto"/>
              <w:jc w:val="both"/>
              <w:rPr>
                <w:rFonts w:ascii="Arial" w:eastAsia="Arial" w:hAnsi="Arial" w:cs="Arial"/>
              </w:rPr>
            </w:pPr>
          </w:p>
          <w:p w14:paraId="420BCF3F" w14:textId="77777777" w:rsidR="00FD33CB" w:rsidRDefault="00FD33CB">
            <w:pPr>
              <w:spacing w:line="360" w:lineRule="auto"/>
              <w:jc w:val="both"/>
              <w:rPr>
                <w:rFonts w:ascii="Arial" w:eastAsia="Arial" w:hAnsi="Arial" w:cs="Arial"/>
              </w:rPr>
            </w:pPr>
          </w:p>
          <w:p w14:paraId="5A1A7C60" w14:textId="77777777" w:rsidR="00FD33CB" w:rsidRDefault="00FD33CB">
            <w:pPr>
              <w:spacing w:line="360" w:lineRule="auto"/>
              <w:jc w:val="both"/>
              <w:rPr>
                <w:rFonts w:ascii="Arial" w:eastAsia="Arial" w:hAnsi="Arial" w:cs="Arial"/>
              </w:rPr>
            </w:pPr>
          </w:p>
          <w:p w14:paraId="45225C92" w14:textId="77777777" w:rsidR="00FD33CB" w:rsidRDefault="00FD33CB">
            <w:pPr>
              <w:spacing w:line="360" w:lineRule="auto"/>
              <w:jc w:val="both"/>
              <w:rPr>
                <w:rFonts w:ascii="Arial" w:eastAsia="Arial" w:hAnsi="Arial" w:cs="Arial"/>
              </w:rPr>
            </w:pPr>
          </w:p>
          <w:p w14:paraId="524623E1" w14:textId="77777777" w:rsidR="00FD33CB" w:rsidRDefault="00FD33CB">
            <w:pPr>
              <w:spacing w:line="360" w:lineRule="auto"/>
              <w:jc w:val="both"/>
              <w:rPr>
                <w:rFonts w:ascii="Arial" w:eastAsia="Arial" w:hAnsi="Arial" w:cs="Arial"/>
              </w:rPr>
            </w:pPr>
          </w:p>
          <w:p w14:paraId="67DB5C95" w14:textId="77777777" w:rsidR="00FD33CB" w:rsidRDefault="00FD33CB">
            <w:pPr>
              <w:spacing w:line="360" w:lineRule="auto"/>
              <w:jc w:val="both"/>
              <w:rPr>
                <w:rFonts w:ascii="Arial" w:eastAsia="Arial" w:hAnsi="Arial" w:cs="Arial"/>
              </w:rPr>
            </w:pPr>
          </w:p>
          <w:p w14:paraId="657BA4E8" w14:textId="77777777" w:rsidR="00FD33CB" w:rsidRDefault="00FD33CB">
            <w:pPr>
              <w:spacing w:line="360" w:lineRule="auto"/>
              <w:jc w:val="both"/>
              <w:rPr>
                <w:rFonts w:ascii="Arial" w:eastAsia="Arial" w:hAnsi="Arial" w:cs="Arial"/>
              </w:rPr>
            </w:pPr>
          </w:p>
          <w:p w14:paraId="53723DE2" w14:textId="77777777" w:rsidR="00FD33CB" w:rsidRDefault="00FD33CB">
            <w:pPr>
              <w:spacing w:line="360" w:lineRule="auto"/>
              <w:jc w:val="both"/>
              <w:rPr>
                <w:rFonts w:ascii="Arial" w:eastAsia="Arial" w:hAnsi="Arial" w:cs="Arial"/>
              </w:rPr>
            </w:pPr>
          </w:p>
          <w:p w14:paraId="60BCECA1" w14:textId="77777777" w:rsidR="00FD33CB" w:rsidRDefault="00FD33CB">
            <w:pPr>
              <w:spacing w:line="360" w:lineRule="auto"/>
              <w:jc w:val="both"/>
              <w:rPr>
                <w:rFonts w:ascii="Arial" w:eastAsia="Arial" w:hAnsi="Arial" w:cs="Arial"/>
              </w:rPr>
            </w:pPr>
          </w:p>
          <w:p w14:paraId="4ACEBB0C" w14:textId="77777777" w:rsidR="00FD33CB" w:rsidRDefault="00FD33CB">
            <w:pPr>
              <w:spacing w:line="360" w:lineRule="auto"/>
              <w:jc w:val="both"/>
              <w:rPr>
                <w:rFonts w:ascii="Arial" w:eastAsia="Arial" w:hAnsi="Arial" w:cs="Arial"/>
              </w:rPr>
            </w:pPr>
          </w:p>
          <w:p w14:paraId="77EA9E09" w14:textId="77777777" w:rsidR="00FD33CB" w:rsidRDefault="00FD33CB">
            <w:pPr>
              <w:spacing w:line="360" w:lineRule="auto"/>
              <w:jc w:val="both"/>
              <w:rPr>
                <w:rFonts w:ascii="Arial" w:eastAsia="Arial" w:hAnsi="Arial" w:cs="Arial"/>
              </w:rPr>
            </w:pPr>
          </w:p>
          <w:p w14:paraId="7EBDC7EF" w14:textId="77777777" w:rsidR="00FD33CB" w:rsidRDefault="00FD33CB">
            <w:pPr>
              <w:spacing w:line="360" w:lineRule="auto"/>
              <w:jc w:val="both"/>
              <w:rPr>
                <w:rFonts w:ascii="Arial" w:eastAsia="Arial" w:hAnsi="Arial" w:cs="Arial"/>
              </w:rPr>
            </w:pPr>
          </w:p>
          <w:p w14:paraId="51AC2804" w14:textId="77777777" w:rsidR="00FD33CB" w:rsidRDefault="00FD33CB">
            <w:pPr>
              <w:spacing w:line="360" w:lineRule="auto"/>
              <w:jc w:val="both"/>
              <w:rPr>
                <w:rFonts w:ascii="Arial" w:eastAsia="Arial" w:hAnsi="Arial" w:cs="Arial"/>
              </w:rPr>
            </w:pPr>
          </w:p>
        </w:tc>
      </w:tr>
    </w:tbl>
    <w:p w14:paraId="7EE5C7BE" w14:textId="77777777" w:rsidR="00FD33CB" w:rsidRDefault="00FD33CB">
      <w:pPr>
        <w:spacing w:line="360" w:lineRule="auto"/>
        <w:jc w:val="both"/>
        <w:rPr>
          <w:rFonts w:ascii="Arial" w:eastAsia="Arial" w:hAnsi="Arial" w:cs="Arial"/>
          <w:b/>
        </w:rPr>
      </w:pPr>
    </w:p>
    <w:p w14:paraId="502CCA12" w14:textId="77777777" w:rsidR="00FD33CB" w:rsidRDefault="00FD33CB">
      <w:pPr>
        <w:spacing w:line="360" w:lineRule="auto"/>
        <w:jc w:val="both"/>
        <w:rPr>
          <w:rFonts w:ascii="Arial" w:eastAsia="Arial" w:hAnsi="Arial" w:cs="Arial"/>
          <w:b/>
        </w:rPr>
      </w:pPr>
    </w:p>
    <w:p w14:paraId="6150ECBA" w14:textId="77777777" w:rsidR="00FD33CB" w:rsidRDefault="00FD33CB">
      <w:pPr>
        <w:spacing w:line="360" w:lineRule="auto"/>
        <w:jc w:val="both"/>
        <w:rPr>
          <w:rFonts w:ascii="Arial" w:eastAsia="Arial" w:hAnsi="Arial" w:cs="Arial"/>
          <w:b/>
        </w:rPr>
      </w:pPr>
    </w:p>
    <w:p w14:paraId="789693C1" w14:textId="77777777" w:rsidR="00FD33CB" w:rsidRDefault="00FD33CB">
      <w:pPr>
        <w:spacing w:line="360" w:lineRule="auto"/>
        <w:jc w:val="both"/>
        <w:rPr>
          <w:rFonts w:ascii="Arial" w:eastAsia="Arial" w:hAnsi="Arial" w:cs="Arial"/>
          <w:b/>
        </w:rPr>
      </w:pPr>
    </w:p>
    <w:p w14:paraId="43AF3A71" w14:textId="77777777" w:rsidR="00FD33CB" w:rsidRDefault="00FD33CB">
      <w:pPr>
        <w:spacing w:line="360" w:lineRule="auto"/>
        <w:jc w:val="both"/>
        <w:rPr>
          <w:rFonts w:ascii="Arial" w:eastAsia="Arial" w:hAnsi="Arial" w:cs="Arial"/>
          <w:b/>
        </w:rPr>
      </w:pPr>
    </w:p>
    <w:p w14:paraId="3461C71C" w14:textId="77777777" w:rsidR="00FD33CB" w:rsidRDefault="00FD33CB">
      <w:pPr>
        <w:spacing w:line="360" w:lineRule="auto"/>
        <w:jc w:val="both"/>
        <w:rPr>
          <w:rFonts w:ascii="Arial" w:eastAsia="Arial" w:hAnsi="Arial" w:cs="Arial"/>
          <w:b/>
        </w:rPr>
      </w:pPr>
    </w:p>
    <w:p w14:paraId="262050A5" w14:textId="77777777" w:rsidR="00FD33CB" w:rsidRDefault="00FD33CB">
      <w:pPr>
        <w:spacing w:line="360" w:lineRule="auto"/>
        <w:jc w:val="both"/>
        <w:rPr>
          <w:rFonts w:ascii="Arial" w:eastAsia="Arial" w:hAnsi="Arial" w:cs="Arial"/>
          <w:b/>
        </w:rPr>
      </w:pPr>
    </w:p>
    <w:sectPr w:rsidR="00FD33CB">
      <w:headerReference w:type="default" r:id="rId7"/>
      <w:footerReference w:type="default" r:id="rId8"/>
      <w:pgSz w:w="11906" w:h="16838"/>
      <w:pgMar w:top="360" w:right="357" w:bottom="0" w:left="357" w:header="709" w:footer="709"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9E3FDB" w14:textId="77777777" w:rsidR="003739DE" w:rsidRDefault="003739DE">
      <w:r>
        <w:separator/>
      </w:r>
    </w:p>
  </w:endnote>
  <w:endnote w:type="continuationSeparator" w:id="0">
    <w:p w14:paraId="780A6969" w14:textId="77777777" w:rsidR="003739DE" w:rsidRDefault="003739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roman"/>
    <w:notTrueType/>
    <w:pitch w:val="default"/>
  </w:font>
  <w:font w:name="Georgia">
    <w:panose1 w:val="02040502050405020303"/>
    <w:charset w:val="00"/>
    <w:family w:val="auto"/>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509EAF" w14:textId="77777777" w:rsidR="00FD33CB" w:rsidRDefault="00F95DC7">
    <w:pPr>
      <w:pBdr>
        <w:top w:val="nil"/>
        <w:left w:val="nil"/>
        <w:bottom w:val="nil"/>
        <w:right w:val="nil"/>
        <w:between w:val="nil"/>
      </w:pBdr>
      <w:tabs>
        <w:tab w:val="center" w:pos="4153"/>
        <w:tab w:val="right" w:pos="8306"/>
      </w:tabs>
      <w:jc w:val="right"/>
      <w:rPr>
        <w:color w:val="000000"/>
      </w:rPr>
    </w:pPr>
    <w:r>
      <w:rPr>
        <w:color w:val="000000"/>
      </w:rPr>
      <w:fldChar w:fldCharType="begin"/>
    </w:r>
    <w:r>
      <w:rPr>
        <w:color w:val="000000"/>
      </w:rPr>
      <w:instrText>PAGE</w:instrText>
    </w:r>
    <w:r>
      <w:rPr>
        <w:color w:val="000000"/>
      </w:rPr>
      <w:fldChar w:fldCharType="separate"/>
    </w:r>
    <w:r w:rsidR="006E4B4D">
      <w:rPr>
        <w:noProof/>
        <w:color w:val="000000"/>
      </w:rPr>
      <w:t>1</w:t>
    </w:r>
    <w:r>
      <w:rPr>
        <w:color w:val="000000"/>
      </w:rPr>
      <w:fldChar w:fldCharType="end"/>
    </w:r>
  </w:p>
  <w:p w14:paraId="22E469E8" w14:textId="77777777" w:rsidR="00FD33CB" w:rsidRDefault="00FD33CB">
    <w:pPr>
      <w:pBdr>
        <w:top w:val="nil"/>
        <w:left w:val="nil"/>
        <w:bottom w:val="nil"/>
        <w:right w:val="nil"/>
        <w:between w:val="nil"/>
      </w:pBdr>
      <w:tabs>
        <w:tab w:val="center" w:pos="4153"/>
        <w:tab w:val="right" w:pos="830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E21707" w14:textId="77777777" w:rsidR="003739DE" w:rsidRDefault="003739DE">
      <w:r>
        <w:separator/>
      </w:r>
    </w:p>
  </w:footnote>
  <w:footnote w:type="continuationSeparator" w:id="0">
    <w:p w14:paraId="4DC2AA2C" w14:textId="77777777" w:rsidR="003739DE" w:rsidRDefault="003739D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DC82D2" w14:textId="77777777" w:rsidR="00FD33CB" w:rsidRDefault="00F95DC7">
    <w:pPr>
      <w:pBdr>
        <w:top w:val="nil"/>
        <w:left w:val="nil"/>
        <w:bottom w:val="nil"/>
        <w:right w:val="nil"/>
        <w:between w:val="nil"/>
      </w:pBdr>
      <w:tabs>
        <w:tab w:val="center" w:pos="4153"/>
        <w:tab w:val="right" w:pos="8306"/>
      </w:tabs>
      <w:jc w:val="right"/>
      <w:rPr>
        <w:rFonts w:ascii="Calibri" w:eastAsia="Calibri" w:hAnsi="Calibri" w:cs="Calibri"/>
        <w:color w:val="000000"/>
      </w:rPr>
    </w:pPr>
    <w:r>
      <w:rPr>
        <w:rFonts w:ascii="Calibri" w:eastAsia="Calibri" w:hAnsi="Calibri" w:cs="Calibri"/>
        <w:noProof/>
        <w:color w:val="000000"/>
      </w:rPr>
      <w:drawing>
        <wp:anchor distT="0" distB="0" distL="114300" distR="114300" simplePos="0" relativeHeight="251658240" behindDoc="0" locked="0" layoutInCell="1" hidden="0" allowOverlap="1" wp14:anchorId="632790B2" wp14:editId="7FE6EEDA">
          <wp:simplePos x="0" y="0"/>
          <wp:positionH relativeFrom="margin">
            <wp:posOffset>1380</wp:posOffset>
          </wp:positionH>
          <wp:positionV relativeFrom="margin">
            <wp:posOffset>-357614</wp:posOffset>
          </wp:positionV>
          <wp:extent cx="2303780" cy="765175"/>
          <wp:effectExtent l="0" t="0" r="0" b="0"/>
          <wp:wrapSquare wrapText="bothSides" distT="0" distB="0" distL="114300" distR="114300"/>
          <wp:docPr id="3"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1"/>
                  <a:srcRect/>
                  <a:stretch>
                    <a:fillRect/>
                  </a:stretch>
                </pic:blipFill>
                <pic:spPr>
                  <a:xfrm>
                    <a:off x="0" y="0"/>
                    <a:ext cx="2303780" cy="765175"/>
                  </a:xfrm>
                  <a:prstGeom prst="rect">
                    <a:avLst/>
                  </a:prstGeom>
                  <a:ln/>
                </pic:spPr>
              </pic:pic>
            </a:graphicData>
          </a:graphic>
        </wp:anchor>
      </w:drawing>
    </w:r>
    <w:r>
      <w:rPr>
        <w:rFonts w:ascii="Calibri" w:eastAsia="Calibri" w:hAnsi="Calibri" w:cs="Calibri"/>
        <w:color w:val="000000"/>
      </w:rPr>
      <w:t>International Hotel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33CB"/>
    <w:rsid w:val="003739DE"/>
    <w:rsid w:val="006E4B4D"/>
    <w:rsid w:val="00DD2CE4"/>
    <w:rsid w:val="00F95DC7"/>
    <w:rsid w:val="00FD33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13A3B3"/>
  <w15:docId w15:val="{F3DB9834-483E-44B5-9C3E-8A19E3C872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78CE"/>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link w:val="Heading2Char"/>
    <w:uiPriority w:val="9"/>
    <w:semiHidden/>
    <w:unhideWhenUsed/>
    <w:qFormat/>
    <w:rsid w:val="00EB6F2E"/>
    <w:pPr>
      <w:spacing w:before="100" w:beforeAutospacing="1" w:after="100" w:afterAutospacing="1"/>
      <w:outlineLvl w:val="1"/>
    </w:pPr>
    <w:rPr>
      <w:b/>
      <w:bCs/>
      <w:sz w:val="36"/>
      <w:szCs w:val="36"/>
      <w:lang w:val="en-ID" w:eastAsia="en-ID"/>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customStyle="1" w:styleId="Heading2Char">
    <w:name w:val="Heading 2 Char"/>
    <w:basedOn w:val="DefaultParagraphFont"/>
    <w:link w:val="Heading2"/>
    <w:uiPriority w:val="9"/>
    <w:rsid w:val="00EB6F2E"/>
    <w:rPr>
      <w:b/>
      <w:bCs/>
      <w:sz w:val="36"/>
      <w:szCs w:val="36"/>
      <w:lang w:val="en-ID" w:eastAsia="en-ID"/>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KX8z5BasmRLavOvm/3m23cu9yUg==">AMUW2mXq3u7DGz2d5DTCPs3HER2/OgNuplYW9658fXhXi9+u78GJ0RYuIoVubx0UJBOUJsWKFVjVRbhDMQ0M0X7ePBStt32RP8zcX9qwbpVHkdqO3RIiGPY=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862</Words>
  <Characters>4920</Characters>
  <Application>Microsoft Office Word</Application>
  <DocSecurity>0</DocSecurity>
  <Lines>41</Lines>
  <Paragraphs>11</Paragraphs>
  <ScaleCrop>false</ScaleCrop>
  <Company/>
  <LinksUpToDate>false</LinksUpToDate>
  <CharactersWithSpaces>5771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ARahman</dc:creator>
  <cp:lastModifiedBy>Muhammed Azizur</cp:lastModifiedBy>
  <cp:revision>3</cp:revision>
  <dcterms:created xsi:type="dcterms:W3CDTF">2022-06-21T17:56:00Z</dcterms:created>
  <dcterms:modified xsi:type="dcterms:W3CDTF">2022-06-28T15:55:00Z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0x010100CEBCCB7A346A624DB159883A6C186C35</vt:lpwstr>
  </property>
</Properties>
</file>