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3"/>
        <w:tblpPr w:leftFromText="180" w:rightFromText="180" w:vertAnchor="page" w:horzAnchor="page" w:tblpX="1340" w:tblpY="2399"/>
        <w:tblOverlap w:val="never"/>
        <w:tblW w:w="93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22"/>
        <w:gridCol w:w="77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9378" w:type="dxa"/>
            <w:gridSpan w:val="2"/>
          </w:tcPr>
          <w:p>
            <w:pPr>
              <w:pStyle w:val="5"/>
              <w:widowControl w:val="0"/>
              <w:numPr>
                <w:ilvl w:val="0"/>
                <w:numId w:val="0"/>
              </w:numPr>
              <w:ind w:left="360" w:leftChars="0"/>
              <w:jc w:val="both"/>
              <w:rPr>
                <w:rFonts w:hint="eastAsia" w:ascii="Arial" w:hAnsi="Arial" w:eastAsia="宋体" w:cs="Arial"/>
                <w:vertAlign w:val="baseline"/>
                <w:lang w:val="en-US" w:eastAsia="zh-CN"/>
              </w:rPr>
            </w:pPr>
            <w:r>
              <w:rPr>
                <w:rFonts w:hint="eastAsia" w:ascii="Arial" w:hAnsi="Arial" w:eastAsia="宋体" w:cs="Arial"/>
                <w:vertAlign w:val="baseline"/>
                <w:lang w:val="en-US" w:eastAsia="zh-CN"/>
              </w:rPr>
              <w:t xml:space="preserve">              </w:t>
            </w:r>
            <w:r>
              <w:rPr>
                <w:rFonts w:ascii="Arial" w:hAnsi="Arial" w:cs="Arial"/>
                <w:b/>
                <w:bCs/>
                <w:sz w:val="28"/>
                <w:szCs w:val="28"/>
              </w:rPr>
              <w:t>North America: United States and Canad</w:t>
            </w:r>
            <w:r>
              <w:rPr>
                <w:rFonts w:hint="eastAsia" w:ascii="Arial" w:hAnsi="Arial" w:eastAsia="宋体" w:cs="Arial"/>
                <w:b/>
                <w:bCs/>
                <w:sz w:val="28"/>
                <w:szCs w:val="28"/>
                <w:lang w:val="en-US" w:eastAsia="zh-CN"/>
              </w:rPr>
              <w: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1622" w:type="dxa"/>
            <w:vMerge w:val="restart"/>
          </w:tcPr>
          <w:p>
            <w:pPr>
              <w:pStyle w:val="5"/>
              <w:widowControl w:val="0"/>
              <w:numPr>
                <w:ilvl w:val="0"/>
                <w:numId w:val="0"/>
              </w:numPr>
              <w:jc w:val="both"/>
              <w:rPr>
                <w:rFonts w:hint="eastAsia" w:ascii="Arial" w:hAnsi="Arial" w:eastAsia="宋体" w:cs="Arial"/>
                <w:b/>
                <w:bCs/>
                <w:lang w:val="en-US" w:eastAsia="zh-CN"/>
              </w:rPr>
            </w:pPr>
            <w:r>
              <w:rPr>
                <w:rFonts w:hint="eastAsia" w:ascii="Arial" w:hAnsi="Arial" w:eastAsia="宋体" w:cs="Arial"/>
                <w:b/>
                <w:bCs/>
                <w:lang w:val="en-US" w:eastAsia="zh-CN"/>
              </w:rPr>
              <w:t>United States:</w:t>
            </w:r>
          </w:p>
          <w:p>
            <w:pPr>
              <w:pStyle w:val="5"/>
              <w:widowControl w:val="0"/>
              <w:numPr>
                <w:ilvl w:val="0"/>
                <w:numId w:val="0"/>
              </w:numPr>
              <w:jc w:val="both"/>
              <w:rPr>
                <w:rFonts w:hint="eastAsia" w:ascii="Arial" w:hAnsi="Arial" w:eastAsia="宋体" w:cs="Arial"/>
                <w:vertAlign w:val="baseline"/>
                <w:lang w:val="en-US" w:eastAsia="zh-CN"/>
              </w:rPr>
            </w:pPr>
          </w:p>
        </w:tc>
        <w:tc>
          <w:tcPr>
            <w:tcW w:w="7756" w:type="dxa"/>
          </w:tcPr>
          <w:p>
            <w:pPr>
              <w:pStyle w:val="5"/>
              <w:widowControl w:val="0"/>
              <w:numPr>
                <w:ilvl w:val="0"/>
                <w:numId w:val="1"/>
              </w:numPr>
              <w:ind w:left="0" w:leftChars="0" w:firstLineChars="0"/>
              <w:jc w:val="both"/>
              <w:rPr>
                <w:rFonts w:hint="eastAsia" w:ascii="Arial" w:hAnsi="Arial" w:eastAsia="宋体" w:cs="Arial"/>
                <w:vertAlign w:val="baseline"/>
                <w:lang w:val="en-US" w:eastAsia="zh-CN"/>
              </w:rPr>
            </w:pPr>
            <w:r>
              <w:rPr>
                <w:rFonts w:hint="eastAsia" w:ascii="Arial" w:hAnsi="Arial" w:eastAsia="宋体" w:cs="Arial"/>
                <w:vertAlign w:val="baseline"/>
                <w:lang w:val="en-US" w:eastAsia="zh-CN"/>
              </w:rPr>
              <w:t>Americans pay more attention to practical value in reciprocity. Generally, more formal gifts are very packaging oriented (Yu 2004).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1622" w:type="dxa"/>
            <w:vMerge w:val="continue"/>
          </w:tcPr>
          <w:p>
            <w:pPr>
              <w:pStyle w:val="5"/>
              <w:widowControl w:val="0"/>
              <w:numPr>
                <w:ilvl w:val="0"/>
                <w:numId w:val="0"/>
              </w:numPr>
              <w:ind w:leftChars="0"/>
              <w:jc w:val="both"/>
              <w:rPr>
                <w:rFonts w:hint="eastAsia" w:ascii="Arial" w:hAnsi="Arial" w:eastAsia="宋体" w:cs="Arial"/>
                <w:vertAlign w:val="baseline"/>
                <w:lang w:val="en-US" w:eastAsia="zh-CN"/>
              </w:rPr>
            </w:pPr>
          </w:p>
        </w:tc>
        <w:tc>
          <w:tcPr>
            <w:tcW w:w="7756" w:type="dxa"/>
          </w:tcPr>
          <w:p>
            <w:pPr>
              <w:pStyle w:val="5"/>
              <w:widowControl w:val="0"/>
              <w:numPr>
                <w:ilvl w:val="0"/>
                <w:numId w:val="1"/>
              </w:numPr>
              <w:ind w:left="0" w:leftChars="0" w:firstLine="0" w:firstLineChars="0"/>
              <w:jc w:val="both"/>
              <w:rPr>
                <w:rFonts w:hint="default" w:ascii="Arial" w:hAnsi="Arial" w:eastAsia="宋体" w:cs="Arial"/>
                <w:vertAlign w:val="baseline"/>
                <w:lang w:val="en-US" w:eastAsia="zh-CN"/>
              </w:rPr>
            </w:pPr>
            <w:r>
              <w:rPr>
                <w:rFonts w:hint="eastAsia" w:ascii="Arial" w:hAnsi="Arial" w:eastAsia="宋体" w:cs="Arial"/>
                <w:vertAlign w:val="baseline"/>
                <w:lang w:val="en-US" w:eastAsia="zh-CN"/>
              </w:rPr>
              <w:t>In the United States, as long as the value of gifts exceeds a certain level, they will be taxed according to law. This is a gift tax in the United States, so the commercial gift giving culture in the United States is not developed.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1622" w:type="dxa"/>
            <w:vMerge w:val="restart"/>
          </w:tcPr>
          <w:p>
            <w:pPr>
              <w:pStyle w:val="5"/>
              <w:widowControl w:val="0"/>
              <w:numPr>
                <w:ilvl w:val="0"/>
                <w:numId w:val="0"/>
              </w:numPr>
              <w:ind w:leftChars="0"/>
              <w:jc w:val="both"/>
              <w:rPr>
                <w:rFonts w:hint="eastAsia" w:ascii="Arial" w:hAnsi="Arial" w:eastAsia="宋体" w:cs="Arial"/>
                <w:b/>
                <w:bCs/>
                <w:vertAlign w:val="baseline"/>
                <w:lang w:val="en-US" w:eastAsia="zh-CN"/>
              </w:rPr>
            </w:pPr>
            <w:r>
              <w:rPr>
                <w:rFonts w:hint="eastAsia" w:ascii="Arial" w:hAnsi="Arial" w:eastAsia="宋体" w:cs="Arial"/>
                <w:b/>
                <w:bCs/>
                <w:vertAlign w:val="baseline"/>
                <w:lang w:val="en-US" w:eastAsia="zh-CN"/>
              </w:rPr>
              <w:t>Canada:</w:t>
            </w:r>
          </w:p>
          <w:p>
            <w:pPr>
              <w:pStyle w:val="5"/>
              <w:widowControl w:val="0"/>
              <w:numPr>
                <w:ilvl w:val="0"/>
                <w:numId w:val="0"/>
              </w:numPr>
              <w:ind w:leftChars="0"/>
              <w:jc w:val="both"/>
              <w:rPr>
                <w:rFonts w:hint="default" w:ascii="Arial" w:hAnsi="Arial" w:eastAsia="宋体" w:cs="Arial"/>
                <w:b/>
                <w:bCs/>
                <w:vertAlign w:val="baseline"/>
                <w:lang w:val="en-US" w:eastAsia="zh-CN"/>
              </w:rPr>
            </w:pPr>
          </w:p>
        </w:tc>
        <w:tc>
          <w:tcPr>
            <w:tcW w:w="7756" w:type="dxa"/>
          </w:tcPr>
          <w:p>
            <w:pPr>
              <w:pStyle w:val="5"/>
              <w:widowControl w:val="0"/>
              <w:numPr>
                <w:ilvl w:val="0"/>
                <w:numId w:val="2"/>
              </w:numPr>
              <w:ind w:left="0" w:leftChars="0" w:firstLineChars="0"/>
              <w:jc w:val="both"/>
              <w:rPr>
                <w:rFonts w:hint="default" w:ascii="Arial" w:hAnsi="Arial" w:eastAsia="宋体" w:cs="Arial"/>
                <w:vertAlign w:val="baseline"/>
                <w:lang w:val="en-US" w:eastAsia="zh-CN"/>
              </w:rPr>
            </w:pPr>
            <w:r>
              <w:rPr>
                <w:rFonts w:hint="eastAsia" w:ascii="Arial" w:hAnsi="Arial" w:eastAsia="宋体" w:cs="Arial"/>
                <w:vertAlign w:val="baseline"/>
                <w:lang w:val="en-US" w:eastAsia="zh-CN"/>
              </w:rPr>
              <w:t>Canadians do not pay attention to luxury of gifts, but pay more attention to whether the giver takes pains to prepare.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1622" w:type="dxa"/>
            <w:vMerge w:val="continue"/>
          </w:tcPr>
          <w:p>
            <w:pPr>
              <w:pStyle w:val="5"/>
              <w:widowControl w:val="0"/>
              <w:ind w:left="0" w:leftChars="0" w:firstLineChars="0"/>
              <w:jc w:val="both"/>
              <w:rPr>
                <w:rFonts w:hint="eastAsia" w:ascii="Arial" w:hAnsi="Arial" w:eastAsia="宋体" w:cs="Arial"/>
                <w:vertAlign w:val="baseline"/>
                <w:lang w:val="en-US" w:eastAsia="zh-CN"/>
              </w:rPr>
            </w:pPr>
          </w:p>
        </w:tc>
        <w:tc>
          <w:tcPr>
            <w:tcW w:w="7756" w:type="dxa"/>
          </w:tcPr>
          <w:p>
            <w:pPr>
              <w:pStyle w:val="5"/>
              <w:widowControl w:val="0"/>
              <w:numPr>
                <w:ilvl w:val="0"/>
                <w:numId w:val="2"/>
              </w:numPr>
              <w:ind w:left="0" w:leftChars="0" w:firstLine="0" w:firstLineChars="0"/>
              <w:jc w:val="both"/>
              <w:rPr>
                <w:rFonts w:hint="eastAsia" w:ascii="Arial" w:hAnsi="Arial" w:eastAsia="宋体" w:cs="Arial"/>
                <w:vertAlign w:val="baseline"/>
                <w:lang w:val="en-US" w:eastAsia="zh-CN"/>
              </w:rPr>
            </w:pPr>
            <w:r>
              <w:rPr>
                <w:rFonts w:hint="eastAsia" w:ascii="Arial" w:hAnsi="Arial" w:eastAsia="宋体" w:cs="Arial"/>
                <w:vertAlign w:val="baseline"/>
                <w:lang w:val="en-US" w:eastAsia="zh-CN"/>
              </w:rPr>
              <w:t>Most companies usually prepare simple gifts for employees on important holidays and birthdays. At the same time, they will also specially make some small objects with the company logo, such as business card holders, pens, mouse pads, etc., as the company's public relations gifts (Cheal 1987).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41" w:hRule="atLeast"/>
        </w:trPr>
        <w:tc>
          <w:tcPr>
            <w:tcW w:w="1622" w:type="dxa"/>
          </w:tcPr>
          <w:p>
            <w:pPr>
              <w:pStyle w:val="5"/>
              <w:widowControl w:val="0"/>
              <w:numPr>
                <w:ilvl w:val="0"/>
                <w:numId w:val="0"/>
              </w:numPr>
              <w:ind w:leftChars="0"/>
              <w:jc w:val="both"/>
              <w:rPr>
                <w:rFonts w:hint="eastAsia" w:ascii="Arial" w:hAnsi="Arial" w:eastAsia="宋体" w:cs="Arial"/>
                <w:vertAlign w:val="baseline"/>
                <w:lang w:val="en-US" w:eastAsia="zh-CN"/>
              </w:rPr>
            </w:pPr>
            <w:r>
              <w:rPr>
                <w:rFonts w:hint="eastAsia" w:ascii="Arial" w:hAnsi="Arial" w:eastAsia="宋体" w:cs="Arial"/>
                <w:b/>
                <w:bCs/>
                <w:vertAlign w:val="baseline"/>
                <w:lang w:val="en-US" w:eastAsia="zh-CN"/>
              </w:rPr>
              <w:t>The same place in two countries</w:t>
            </w:r>
          </w:p>
        </w:tc>
        <w:tc>
          <w:tcPr>
            <w:tcW w:w="7756" w:type="dxa"/>
          </w:tcPr>
          <w:p>
            <w:pPr>
              <w:pStyle w:val="5"/>
              <w:widowControl w:val="0"/>
              <w:numPr>
                <w:ilvl w:val="0"/>
                <w:numId w:val="3"/>
              </w:numPr>
              <w:ind w:left="0" w:leftChars="0" w:firstLineChars="0"/>
              <w:jc w:val="both"/>
              <w:rPr>
                <w:rFonts w:hint="eastAsia" w:ascii="Arial" w:hAnsi="Arial" w:eastAsia="宋体" w:cs="Arial"/>
                <w:vertAlign w:val="baseline"/>
                <w:lang w:val="en-US" w:eastAsia="zh-CN"/>
              </w:rPr>
            </w:pPr>
            <w:r>
              <w:rPr>
                <w:rFonts w:hint="eastAsia" w:ascii="Arial" w:hAnsi="Arial" w:eastAsia="宋体" w:cs="Arial"/>
                <w:vertAlign w:val="baseline"/>
                <w:lang w:val="en-US" w:eastAsia="zh-CN"/>
              </w:rPr>
              <w:t>Christmas is the most important holiday of the year in Canada and the United States. People often attach the most importance to preparing beautiful gifts for relatives and friends at Christmas (Yu 2004 and Cheal 1987).</w:t>
            </w:r>
          </w:p>
        </w:tc>
      </w:tr>
    </w:tbl>
    <w:p>
      <w:pPr>
        <w:rPr>
          <w:rFonts w:hint="default" w:ascii="Arial" w:hAnsi="Arial" w:eastAsia="宋体" w:cs="Arial"/>
          <w:vertAlign w:val="baseline"/>
          <w:lang w:val="en-US" w:eastAsia="zh-CN"/>
        </w:rPr>
      </w:pPr>
      <w:r>
        <w:rPr>
          <w:rFonts w:hint="eastAsia" w:ascii="Arial" w:hAnsi="Arial" w:eastAsia="宋体" w:cs="Arial"/>
          <w:vertAlign w:val="baseline"/>
          <w:lang w:val="en-US" w:eastAsia="zh-CN"/>
        </w:rPr>
        <w:t xml:space="preserve">                                        </w:t>
      </w:r>
      <w:bookmarkStart w:id="0" w:name="_GoBack"/>
      <w:bookmarkEnd w:id="0"/>
      <w:r>
        <w:rPr>
          <w:rFonts w:hint="eastAsia" w:ascii="Arial" w:hAnsi="Arial" w:eastAsia="宋体" w:cs="Arial"/>
          <w:vertAlign w:val="baseline"/>
          <w:lang w:val="en-US" w:eastAsia="zh-CN"/>
        </w:rPr>
        <w:t xml:space="preserve">                       Weijia Peng</w:t>
      </w:r>
    </w:p>
    <w:p>
      <w:pPr>
        <w:rPr>
          <w:rFonts w:hint="eastAsia" w:ascii="Arial" w:hAnsi="Arial" w:eastAsia="宋体" w:cs="Arial"/>
          <w:vertAlign w:val="baseline"/>
          <w:lang w:val="en-US" w:eastAsia="zh-CN"/>
        </w:rPr>
      </w:pPr>
    </w:p>
    <w:p>
      <w:pPr>
        <w:rPr>
          <w:rFonts w:hint="eastAsia" w:ascii="Arial" w:hAnsi="Arial" w:eastAsia="宋体" w:cs="Arial"/>
          <w:b/>
          <w:bCs/>
          <w:vertAlign w:val="baseline"/>
          <w:lang w:val="en-US" w:eastAsia="zh-CN"/>
        </w:rPr>
      </w:pPr>
      <w:r>
        <w:rPr>
          <w:rFonts w:ascii="Arial" w:hAnsi="Arial" w:cs="Arial"/>
          <w:b/>
          <w:bCs/>
        </w:rPr>
        <w:t>reference list</w:t>
      </w:r>
    </w:p>
    <w:p>
      <w:pPr>
        <w:rPr>
          <w:rFonts w:hint="default" w:ascii="Arial" w:hAnsi="Arial" w:eastAsia="sans-serif" w:cs="Arial"/>
          <w:i w:val="0"/>
          <w:iCs w:val="0"/>
          <w:caps w:val="0"/>
          <w:color w:val="333333"/>
          <w:spacing w:val="0"/>
          <w:sz w:val="22"/>
          <w:szCs w:val="22"/>
          <w:shd w:val="clear" w:fill="FFFFFF"/>
        </w:rPr>
      </w:pPr>
      <w:r>
        <w:rPr>
          <w:rFonts w:hint="default" w:ascii="Arial" w:hAnsi="Arial" w:eastAsia="sans-serif" w:cs="Arial"/>
          <w:i w:val="0"/>
          <w:iCs w:val="0"/>
          <w:caps w:val="0"/>
          <w:color w:val="333333"/>
          <w:spacing w:val="0"/>
          <w:sz w:val="22"/>
          <w:szCs w:val="22"/>
          <w:shd w:val="clear" w:fill="FFFFFF"/>
        </w:rPr>
        <w:t>Cheal D. (1987) ‘Showing Them You Love Them’: Gift Giving and the Dialectic of Intimacy</w:t>
      </w:r>
      <w:r>
        <w:rPr>
          <w:rFonts w:hint="default" w:ascii="Arial" w:hAnsi="Arial" w:eastAsia="宋体" w:cs="Arial"/>
          <w:i w:val="0"/>
          <w:iCs w:val="0"/>
          <w:caps w:val="0"/>
          <w:color w:val="333333"/>
          <w:spacing w:val="0"/>
          <w:sz w:val="22"/>
          <w:szCs w:val="22"/>
          <w:shd w:val="clear" w:fill="FFFFFF"/>
          <w:lang w:val="en-US" w:eastAsia="zh-CN"/>
        </w:rPr>
        <w:t>’</w:t>
      </w:r>
      <w:r>
        <w:rPr>
          <w:rFonts w:hint="eastAsia" w:ascii="Arial" w:hAnsi="Arial" w:eastAsia="宋体" w:cs="Arial"/>
          <w:i w:val="0"/>
          <w:iCs w:val="0"/>
          <w:caps w:val="0"/>
          <w:color w:val="333333"/>
          <w:spacing w:val="0"/>
          <w:sz w:val="22"/>
          <w:szCs w:val="22"/>
          <w:shd w:val="clear" w:fill="FFFFFF"/>
          <w:lang w:val="en-US" w:eastAsia="zh-CN"/>
        </w:rPr>
        <w:t>,</w:t>
      </w:r>
      <w:r>
        <w:rPr>
          <w:rFonts w:hint="default" w:ascii="Arial" w:hAnsi="Arial" w:eastAsia="sans-serif" w:cs="Arial"/>
          <w:i w:val="0"/>
          <w:iCs w:val="0"/>
          <w:caps w:val="0"/>
          <w:color w:val="333333"/>
          <w:spacing w:val="0"/>
          <w:sz w:val="22"/>
          <w:szCs w:val="22"/>
          <w:shd w:val="clear" w:fill="FFFFFF"/>
        </w:rPr>
        <w:t> </w:t>
      </w:r>
      <w:r>
        <w:rPr>
          <w:rFonts w:hint="default" w:ascii="Arial" w:hAnsi="Arial" w:eastAsia="sans-serif" w:cs="Arial"/>
          <w:i/>
          <w:iCs/>
          <w:caps w:val="0"/>
          <w:color w:val="333333"/>
          <w:spacing w:val="0"/>
          <w:sz w:val="22"/>
          <w:szCs w:val="22"/>
          <w:shd w:val="clear" w:fill="FFFFFF"/>
        </w:rPr>
        <w:t>The Sociological Review</w:t>
      </w:r>
      <w:r>
        <w:rPr>
          <w:rFonts w:hint="default" w:ascii="Arial" w:hAnsi="Arial" w:eastAsia="sans-serif" w:cs="Arial"/>
          <w:i w:val="0"/>
          <w:iCs w:val="0"/>
          <w:caps w:val="0"/>
          <w:color w:val="333333"/>
          <w:spacing w:val="0"/>
          <w:sz w:val="22"/>
          <w:szCs w:val="22"/>
          <w:shd w:val="clear" w:fill="FFFFFF"/>
        </w:rPr>
        <w:t>, </w:t>
      </w:r>
      <w:r>
        <w:rPr>
          <w:rFonts w:hint="default" w:ascii="Arial" w:hAnsi="Arial" w:eastAsia="sans-serif" w:cs="Arial"/>
          <w:i/>
          <w:iCs/>
          <w:caps w:val="0"/>
          <w:color w:val="333333"/>
          <w:spacing w:val="0"/>
          <w:sz w:val="22"/>
          <w:szCs w:val="22"/>
          <w:shd w:val="clear" w:fill="FFFFFF"/>
        </w:rPr>
        <w:t>35</w:t>
      </w:r>
      <w:r>
        <w:rPr>
          <w:rFonts w:hint="default" w:ascii="Arial" w:hAnsi="Arial" w:eastAsia="sans-serif" w:cs="Arial"/>
          <w:i w:val="0"/>
          <w:iCs w:val="0"/>
          <w:caps w:val="0"/>
          <w:color w:val="333333"/>
          <w:spacing w:val="0"/>
          <w:sz w:val="22"/>
          <w:szCs w:val="22"/>
          <w:shd w:val="clear" w:fill="FFFFFF"/>
        </w:rPr>
        <w:t xml:space="preserve">(1), </w:t>
      </w:r>
      <w:r>
        <w:rPr>
          <w:rFonts w:hint="eastAsia" w:ascii="Arial" w:hAnsi="Arial" w:eastAsia="宋体" w:cs="Arial"/>
          <w:i w:val="0"/>
          <w:iCs w:val="0"/>
          <w:caps w:val="0"/>
          <w:color w:val="333333"/>
          <w:spacing w:val="0"/>
          <w:sz w:val="22"/>
          <w:szCs w:val="22"/>
          <w:shd w:val="clear" w:fill="FFFFFF"/>
          <w:lang w:val="en-US" w:eastAsia="zh-CN"/>
        </w:rPr>
        <w:t xml:space="preserve">pp. </w:t>
      </w:r>
      <w:r>
        <w:rPr>
          <w:rFonts w:hint="default" w:ascii="Arial" w:hAnsi="Arial" w:eastAsia="sans-serif" w:cs="Arial"/>
          <w:i w:val="0"/>
          <w:iCs w:val="0"/>
          <w:caps w:val="0"/>
          <w:color w:val="333333"/>
          <w:spacing w:val="0"/>
          <w:sz w:val="22"/>
          <w:szCs w:val="22"/>
          <w:shd w:val="clear" w:fill="FFFFFF"/>
        </w:rPr>
        <w:t>150–169.</w:t>
      </w:r>
    </w:p>
    <w:p>
      <w:pPr>
        <w:rPr>
          <w:rFonts w:hint="default" w:ascii="Arial" w:hAnsi="Arial" w:eastAsia="sans-serif" w:cs="Arial"/>
          <w:i w:val="0"/>
          <w:iCs w:val="0"/>
          <w:caps w:val="0"/>
          <w:color w:val="333333"/>
          <w:spacing w:val="0"/>
          <w:sz w:val="22"/>
          <w:szCs w:val="22"/>
          <w:shd w:val="clear" w:fill="FFFFFF"/>
          <w:lang w:val="en-US" w:eastAsia="zh-CN"/>
        </w:rPr>
      </w:pPr>
      <w:r>
        <w:rPr>
          <w:rFonts w:hint="eastAsia" w:ascii="Arial" w:hAnsi="Arial" w:eastAsia="宋体" w:cs="Arial"/>
          <w:vertAlign w:val="baseline"/>
          <w:lang w:val="en-US" w:eastAsia="zh-CN"/>
        </w:rPr>
        <w:t xml:space="preserve">Yu H. (2004) </w:t>
      </w:r>
      <w:r>
        <w:rPr>
          <w:rFonts w:hint="default" w:ascii="Arial" w:hAnsi="Arial" w:eastAsia="宋体" w:cs="Arial"/>
          <w:vertAlign w:val="baseline"/>
          <w:lang w:val="en-US" w:eastAsia="zh-CN"/>
        </w:rPr>
        <w:t>‘</w:t>
      </w:r>
      <w:r>
        <w:rPr>
          <w:rFonts w:hint="eastAsia" w:ascii="Arial" w:hAnsi="Arial" w:eastAsia="宋体" w:cs="Arial"/>
          <w:vertAlign w:val="baseline"/>
          <w:lang w:val="en-US" w:eastAsia="zh-CN"/>
        </w:rPr>
        <w:t>American gift giving</w:t>
      </w:r>
      <w:r>
        <w:rPr>
          <w:rFonts w:hint="default" w:ascii="Arial" w:hAnsi="Arial" w:eastAsia="宋体" w:cs="Arial"/>
          <w:vertAlign w:val="baseline"/>
          <w:lang w:val="en-US" w:eastAsia="zh-CN"/>
        </w:rPr>
        <w:t>’</w:t>
      </w:r>
      <w:r>
        <w:rPr>
          <w:rFonts w:hint="eastAsia" w:ascii="Arial" w:hAnsi="Arial" w:eastAsia="宋体" w:cs="Arial"/>
          <w:vertAlign w:val="baseline"/>
          <w:lang w:val="en-US" w:eastAsia="zh-CN"/>
        </w:rPr>
        <w:t xml:space="preserve">, </w:t>
      </w:r>
      <w:r>
        <w:rPr>
          <w:rFonts w:hint="eastAsia" w:ascii="Arial" w:hAnsi="Arial" w:eastAsia="宋体" w:cs="Arial"/>
          <w:i/>
          <w:iCs/>
          <w:vertAlign w:val="baseline"/>
          <w:lang w:val="en-US" w:eastAsia="zh-CN"/>
        </w:rPr>
        <w:t>Source Stream</w:t>
      </w:r>
      <w:r>
        <w:rPr>
          <w:rFonts w:hint="eastAsia" w:ascii="Arial" w:hAnsi="Arial" w:eastAsia="宋体" w:cs="Arial"/>
          <w:vertAlign w:val="baseline"/>
          <w:lang w:val="en-US" w:eastAsia="zh-CN"/>
        </w:rPr>
        <w:t>, (3), pp. 52.</w:t>
      </w:r>
    </w:p>
    <w:p>
      <w:pPr>
        <w:rPr>
          <w:rFonts w:hint="eastAsia" w:ascii="Arial" w:hAnsi="Arial" w:eastAsia="宋体" w:cs="Arial"/>
          <w:vertAlign w:val="baseline"/>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04E7D4D"/>
    <w:multiLevelType w:val="singleLevel"/>
    <w:tmpl w:val="D04E7D4D"/>
    <w:lvl w:ilvl="0" w:tentative="0">
      <w:start w:val="1"/>
      <w:numFmt w:val="decimal"/>
      <w:suff w:val="space"/>
      <w:lvlText w:val="%1."/>
      <w:lvlJc w:val="left"/>
      <w:pPr>
        <w:ind w:left="-720"/>
      </w:pPr>
    </w:lvl>
  </w:abstractNum>
  <w:abstractNum w:abstractNumId="1">
    <w:nsid w:val="EC78F60E"/>
    <w:multiLevelType w:val="singleLevel"/>
    <w:tmpl w:val="EC78F60E"/>
    <w:lvl w:ilvl="0" w:tentative="0">
      <w:start w:val="1"/>
      <w:numFmt w:val="decimal"/>
      <w:suff w:val="space"/>
      <w:lvlText w:val="%1."/>
      <w:lvlJc w:val="left"/>
      <w:pPr>
        <w:ind w:left="-720"/>
      </w:pPr>
    </w:lvl>
  </w:abstractNum>
  <w:abstractNum w:abstractNumId="2">
    <w:nsid w:val="48C68B05"/>
    <w:multiLevelType w:val="singleLevel"/>
    <w:tmpl w:val="48C68B05"/>
    <w:lvl w:ilvl="0" w:tentative="0">
      <w:start w:val="1"/>
      <w:numFmt w:val="decimal"/>
      <w:suff w:val="space"/>
      <w:lvlText w:val="%1."/>
      <w:lvlJc w:val="left"/>
      <w:pPr>
        <w:ind w:left="-72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YwZWUzZDk2YWU0ZWU0MDhjNWQ5ZmJhYjU1YWVlOGQifQ=="/>
  </w:docVars>
  <w:rsids>
    <w:rsidRoot w:val="77374ACE"/>
    <w:rsid w:val="216927A1"/>
    <w:rsid w:val="77374A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4">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215</Words>
  <Characters>1091</Characters>
  <Lines>0</Lines>
  <Paragraphs>0</Paragraphs>
  <TotalTime>0</TotalTime>
  <ScaleCrop>false</ScaleCrop>
  <LinksUpToDate>false</LinksUpToDate>
  <CharactersWithSpaces>1308</CharactersWithSpaces>
  <Application>WPS Office_11.1.0.12598_F1E327BC-269C-435d-A152-05C5408002CA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2022-11-19T14:54:00Z</dcterms:created>
  <dc:creator>J.PENG</dc:creator>
  <cp:lastModifiedBy>J.PENG</cp:lastModifiedBy>
  <dcterms:modified xsi:type="dcterms:W3CDTF">2022-11-19T15:48:42Z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2052-11.1.0.12598</vt:lpwstr>
  </property>
  <property fmtid="{D5CDD505-2E9C-101B-9397-08002B2CF9AE}" pid="3" name="ICV">
    <vt:lpwstr>484D119B627A430FB85421DF8CAF1967</vt:lpwstr>
  </property>
</Properties>
</file>