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pStyle w:val="15"/>
        <w:spacing w:line="360" w:lineRule="auto"/>
        <w:jc w:val="center"/>
        <w:rPr>
          <w:rFonts w:ascii="Times New Roman" w:eastAsia="Times New Roman" w:cs="Times New Roman" w:hAnsi="Times New Roman"/>
          <w:b/>
          <w:sz w:val="32"/>
          <w:szCs w:val="32"/>
        </w:rPr>
      </w:pPr>
      <w:r>
        <w:rPr>
          <w:rFonts w:ascii="Times New Roman" w:eastAsia="Times New Roman" w:cs="Times New Roman" w:hAnsi="Times New Roman"/>
          <w:b/>
          <w:sz w:val="32"/>
          <w:szCs w:val="32"/>
        </w:rPr>
        <w:drawing>
          <wp:anchor distT="0" distB="0" distL="85723" distR="85723" simplePos="0" relativeHeight="2" behindDoc="1" locked="0" layoutInCell="1" hidden="0" allowOverlap="1">
            <wp:simplePos x="0" y="0"/>
            <wp:positionH relativeFrom="column">
              <wp:posOffset>268990</wp:posOffset>
            </wp:positionH>
            <wp:positionV relativeFrom="paragraph">
              <wp:posOffset>0</wp:posOffset>
            </wp:positionV>
            <wp:extent cx="2330703" cy="1314430"/>
            <wp:effectExtent l="0" t="0" r="0" b="0"/>
            <wp:wrapNone/>
            <wp:docPr id="1" name="图片 1"/>
            <wp:cNvGraphicFramePr>
              <a:graphicFrameLocks noChangeAspect="1"/>
            </wp:cNvGraphicFramePr>
            <a:graphic>
              <a:graphicData uri="http://schemas.openxmlformats.org/drawingml/2006/picture">
                <pic:pic>
                  <pic:nvPicPr>
                    <pic:cNvPr id="3" name="图片 3"/>
                    <pic:cNvPicPr/>
                  </pic:nvPicPr>
                  <pic:blipFill>
                    <a:blip r:embed="rId3"/>
                    <a:stretch>
                      <a:fillRect/>
                    </a:stretch>
                  </pic:blipFill>
                  <pic:spPr>
                    <a:xfrm rot="0">
                      <a:off x="0" y="0"/>
                      <a:ext cx="2330703" cy="1314430"/>
                    </a:xfrm>
                    <a:prstGeom prst="rect"/>
                    <a:noFill/>
                    <a:ln w="12700" cmpd="sng" cap="flat">
                      <a:noFill/>
                      <a:prstDash val="solid"/>
                      <a:miter/>
                    </a:ln>
                  </pic:spPr>
                </pic:pic>
              </a:graphicData>
            </a:graphic>
          </wp:anchor>
        </w:drawing>
      </w: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bookmarkStart w:id="0" w:name="_GoBack"/>
      <w:bookmarkEnd w:id="0"/>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r>
        <w:rPr>
          <w:rFonts w:ascii="Times New Roman" w:eastAsia="Times New Roman" w:cs="Times New Roman" w:hAnsi="Times New Roman"/>
          <w:b/>
          <w:sz w:val="32"/>
          <w:szCs w:val="32"/>
        </w:rPr>
        <w:t>MARKETING MANAGEMENT ASSESSMENT  2</w:t>
      </w:r>
    </w:p>
    <w:p>
      <w:pPr>
        <w:pStyle w:val="15"/>
        <w:spacing w:line="360" w:lineRule="auto"/>
        <w:jc w:val="center"/>
        <w:rPr>
          <w:rFonts w:ascii="Times New Roman" w:eastAsia="Times New Roman" w:cs="Times New Roman" w:hAnsi="Times New Roman"/>
          <w:b/>
          <w:sz w:val="32"/>
          <w:szCs w:val="32"/>
        </w:rPr>
      </w:pP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160" w:afterAutospacing="0" w:line="360" w:lineRule="auto"/>
        <w:ind w:left="0" w:right="0" w:firstLine="0"/>
        <w:contextualSpacing w:val="0"/>
        <w:jc w:val="both"/>
        <w:textAlignment w:val="auto"/>
        <w:outlineLvl w:val="9"/>
        <w:rPr>
          <w:rFonts w:ascii="Times New Roman" w:eastAsia="Droid Sans" w:cs="Times New Roman" w:hAnsi="Times New Roman"/>
          <w:b/>
          <w:bCs/>
          <w:caps w:val="0"/>
          <w:smallCaps w:val="0"/>
          <w:snapToGrid/>
          <w:vanish w:val="0"/>
          <w:color w:val="auto"/>
          <w:sz w:val="24"/>
          <w:szCs w:val="24"/>
          <w:vertAlign w:val="baseline"/>
        </w:rPr>
      </w:pPr>
      <w:r>
        <w:rPr>
          <w:rFonts w:ascii="Times New Roman" w:eastAsia="Droid Sans" w:cs="Times New Roman" w:hAnsi="Times New Roman"/>
          <w:b/>
          <w:bCs/>
          <w:caps w:val="0"/>
          <w:smallCaps w:val="0"/>
          <w:snapToGrid/>
          <w:vanish w:val="0"/>
          <w:color w:val="auto"/>
          <w:sz w:val="24"/>
          <w:szCs w:val="24"/>
          <w:vertAlign w:val="baseline"/>
        </w:rPr>
        <w:t xml:space="preserve">Programme : MBA Master of Business Administration </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0" w:afterAutospacing="0" w:line="360" w:lineRule="auto"/>
        <w:ind w:left="0" w:right="0" w:firstLine="0"/>
        <w:contextualSpacing w:val="0"/>
        <w:jc w:val="both"/>
        <w:textAlignment w:val="auto"/>
        <w:outlineLvl w:val="9"/>
        <w:rPr>
          <w:rFonts w:ascii="Times New Roman" w:eastAsia="Times New Roman" w:hAnsi="Times New Roman"/>
          <w:b/>
          <w:bCs/>
          <w:caps w:val="0"/>
          <w:smallCaps w:val="0"/>
          <w:snapToGrid/>
          <w:vanish w:val="0"/>
          <w:color w:val="auto"/>
          <w:sz w:val="24"/>
          <w:szCs w:val="24"/>
          <w:vertAlign w:val="baseline"/>
        </w:rPr>
      </w:pPr>
      <w:r>
        <w:rPr>
          <w:rFonts w:ascii="Times New Roman" w:eastAsia="Times New Roman" w:hAnsi="Times New Roman"/>
          <w:b/>
          <w:bCs/>
          <w:caps w:val="0"/>
          <w:smallCaps w:val="0"/>
          <w:snapToGrid/>
          <w:vanish w:val="0"/>
          <w:color w:val="auto"/>
          <w:sz w:val="24"/>
          <w:szCs w:val="24"/>
          <w:vertAlign w:val="baseline"/>
        </w:rPr>
        <w:t>Module name: Marketing Management 2</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0" w:afterAutospacing="0" w:line="360" w:lineRule="auto"/>
        <w:ind w:left="0" w:right="0" w:firstLine="0"/>
        <w:contextualSpacing w:val="0"/>
        <w:jc w:val="both"/>
        <w:textAlignment w:val="auto"/>
        <w:outlineLvl w:val="9"/>
        <w:rPr>
          <w:rFonts w:ascii="Times New Roman" w:eastAsia="Times New Roman" w:hAnsi="Times New Roman"/>
          <w:b/>
          <w:bCs/>
          <w:caps w:val="0"/>
          <w:smallCaps w:val="0"/>
          <w:snapToGrid/>
          <w:vanish w:val="0"/>
          <w:color w:val="auto"/>
          <w:sz w:val="24"/>
          <w:szCs w:val="24"/>
          <w:vertAlign w:val="baseline"/>
        </w:rPr>
      </w:pPr>
      <w:r>
        <w:rPr>
          <w:rFonts w:ascii="Times New Roman" w:eastAsia="Times New Roman" w:hAnsi="Times New Roman"/>
          <w:b/>
          <w:bCs/>
          <w:caps w:val="0"/>
          <w:smallCaps w:val="0"/>
          <w:snapToGrid/>
          <w:vanish w:val="0"/>
          <w:color w:val="auto"/>
          <w:sz w:val="24"/>
          <w:szCs w:val="24"/>
          <w:vertAlign w:val="baseline"/>
        </w:rPr>
        <w:t>Module code:LCMB7001</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0" w:afterAutospacing="0" w:line="360" w:lineRule="auto"/>
        <w:ind w:left="0" w:right="0" w:firstLine="0"/>
        <w:contextualSpacing w:val="0"/>
        <w:jc w:val="both"/>
        <w:textAlignment w:val="auto"/>
        <w:outlineLvl w:val="9"/>
        <w:rPr>
          <w:rFonts w:ascii="Times New Roman" w:eastAsia="Times New Roman" w:hAnsi="Times New Roman"/>
          <w:b/>
          <w:bCs/>
          <w:caps w:val="0"/>
          <w:smallCaps w:val="0"/>
          <w:snapToGrid/>
          <w:vanish w:val="0"/>
          <w:color w:val="auto"/>
          <w:sz w:val="24"/>
          <w:szCs w:val="24"/>
          <w:vertAlign w:val="baseline"/>
        </w:rPr>
      </w:pPr>
      <w:r>
        <w:rPr>
          <w:rFonts w:ascii="Times New Roman" w:eastAsia="Times New Roman" w:hAnsi="Times New Roman"/>
          <w:b/>
          <w:bCs/>
          <w:caps w:val="0"/>
          <w:smallCaps w:val="0"/>
          <w:snapToGrid/>
          <w:vanish w:val="0"/>
          <w:color w:val="auto"/>
          <w:sz w:val="24"/>
          <w:szCs w:val="24"/>
          <w:vertAlign w:val="baseline"/>
        </w:rPr>
        <w:t>Student name: Arsinbanu Monismiya jadeja</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0" w:afterAutospacing="0" w:line="360" w:lineRule="auto"/>
        <w:ind w:left="0" w:right="0" w:firstLine="0"/>
        <w:contextualSpacing w:val="0"/>
        <w:jc w:val="both"/>
        <w:textAlignment w:val="auto"/>
        <w:outlineLvl w:val="9"/>
        <w:rPr>
          <w:rFonts w:ascii="Times New Roman" w:eastAsia="Times New Roman" w:hAnsi="Times New Roman"/>
          <w:b/>
          <w:bCs/>
          <w:caps w:val="0"/>
          <w:smallCaps w:val="0"/>
          <w:snapToGrid/>
          <w:vanish w:val="0"/>
          <w:color w:val="auto"/>
          <w:sz w:val="24"/>
          <w:szCs w:val="24"/>
          <w:vertAlign w:val="baseline"/>
        </w:rPr>
      </w:pPr>
      <w:r>
        <w:rPr>
          <w:rFonts w:ascii="Times New Roman" w:eastAsia="Times New Roman" w:hAnsi="Times New Roman"/>
          <w:b/>
          <w:bCs/>
          <w:caps w:val="0"/>
          <w:smallCaps w:val="0"/>
          <w:snapToGrid/>
          <w:vanish w:val="0"/>
          <w:color w:val="auto"/>
          <w:sz w:val="24"/>
          <w:szCs w:val="24"/>
          <w:vertAlign w:val="baseline"/>
        </w:rPr>
        <w:t>Student ID: 2208899</w:t>
      </w:r>
    </w:p>
    <w:p>
      <w:pPr>
        <w:keepNext w:val="0"/>
        <w:keepLines w:val="0"/>
        <w:pageBreakBefore w:val="0"/>
        <w:widowControl/>
        <w:suppressLineNumbers w:val="0"/>
        <w:pBdr>
          <w:top w:val="none" w:sz="0" w:space="0" w:color="auto"/>
          <w:left w:val="none" w:sz="0" w:space="0" w:color="auto"/>
          <w:bottom w:val="none" w:sz="0" w:space="0" w:color="auto"/>
          <w:right w:val="none" w:sz="0" w:space="0" w:color="auto"/>
        </w:pBdr>
        <w:suppressAutoHyphens w:val="0"/>
        <w:kinsoku/>
        <w:wordWrap/>
        <w:overflowPunct/>
        <w:topLinePunct w:val="0"/>
        <w:autoSpaceDE/>
        <w:autoSpaceDN/>
        <w:bidi w:val="0"/>
        <w:adjustRightInd/>
        <w:snapToGrid/>
        <w:spacing w:before="0" w:beforeAutospacing="0" w:after="0" w:afterAutospacing="0" w:line="360" w:lineRule="auto"/>
        <w:ind w:left="0" w:right="0" w:firstLine="0"/>
        <w:contextualSpacing w:val="0"/>
        <w:jc w:val="both"/>
        <w:textAlignment w:val="auto"/>
        <w:outlineLvl w:val="9"/>
        <w:rPr>
          <w:rFonts w:ascii="Times New Roman" w:eastAsia="Times New Roman" w:hAnsi="Times New Roman"/>
          <w:b/>
          <w:bCs/>
          <w:caps w:val="0"/>
          <w:smallCaps w:val="0"/>
          <w:snapToGrid/>
          <w:vanish w:val="0"/>
          <w:color w:val="auto"/>
          <w:sz w:val="24"/>
          <w:szCs w:val="24"/>
          <w:vertAlign w:val="baseline"/>
        </w:rPr>
      </w:pPr>
      <w:r>
        <w:rPr>
          <w:rFonts w:ascii="Times New Roman" w:eastAsia="Times New Roman" w:hAnsi="Times New Roman"/>
          <w:b/>
          <w:bCs/>
          <w:caps w:val="0"/>
          <w:smallCaps w:val="0"/>
          <w:snapToGrid/>
          <w:vanish w:val="0"/>
          <w:color w:val="auto"/>
          <w:sz w:val="24"/>
          <w:szCs w:val="24"/>
          <w:vertAlign w:val="baseline"/>
        </w:rPr>
        <w:t>Lecturer: Tushara Balendran</w:t>
      </w: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r>
        <w:br w:type="page"/>
      </w:r>
    </w:p>
    <w:p>
      <w:pPr>
        <w:pStyle w:val="15"/>
        <w:spacing w:line="360" w:lineRule="auto"/>
        <w:jc w:val="center"/>
        <w:rPr>
          <w:rFonts w:ascii="Times New Roman" w:eastAsia="Times New Roman" w:cs="Times New Roman" w:hAnsi="Times New Roman"/>
          <w:b/>
          <w:sz w:val="28"/>
          <w:szCs w:val="28"/>
        </w:rPr>
      </w:pPr>
      <w:r>
        <w:rPr>
          <w:rFonts w:ascii="Times New Roman" w:eastAsia="Times New Roman" w:cs="Times New Roman" w:hAnsi="Times New Roman"/>
          <w:b/>
          <w:sz w:val="28"/>
          <w:szCs w:val="28"/>
        </w:rPr>
        <w:t>Executive Summary</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Analysis of both the internal market and external market environment of the organisation Next plc is the main aim of this report. In order to analyse external drivers impacted on the organisation PORTER’s five force analysis is used here according to which the company faces a strong rivalry with its competitors. On the other hand, SWOT analysis has been used to analyse the internal environment of the company. The overdependence on only the UK market, failing in adopting new innovation technology, cost living and cruising create significant challenges for Next plc. Several recommendations such as employing new skilled workers, using data cleaning software and value pricing strategy to compete with the prices of their competitors are given in this study.  </w:t>
      </w:r>
    </w:p>
    <w:p>
      <w:pPr>
        <w:pStyle w:val="15"/>
        <w:spacing w:line="360" w:lineRule="auto"/>
        <w:jc w:val="both"/>
        <w:rPr>
          <w:rFonts w:ascii="Times New Roman" w:eastAsia="Times New Roman" w:cs="Times New Roman" w:hAnsi="Times New Roman"/>
          <w:b/>
          <w:sz w:val="24"/>
          <w:szCs w:val="24"/>
        </w:rPr>
      </w:pPr>
      <w:r>
        <w:br w:type="page"/>
      </w:r>
    </w:p>
    <w:p>
      <w:pPr>
        <w:pStyle w:val="20"/>
        <w:spacing w:line="360" w:lineRule="auto"/>
        <w:jc w:val="center"/>
        <w:rPr>
          <w:rFonts w:ascii="Times New Roman" w:cs="Times New Roman" w:hAnsi="Times New Roman"/>
          <w:color w:val="000000"/>
          <w:sz w:val="24"/>
          <w:szCs w:val="24"/>
        </w:rPr>
      </w:pPr>
      <w:r>
        <w:rPr>
          <w:rFonts w:ascii="Times New Roman" w:cs="Times New Roman" w:hAnsi="Times New Roman"/>
          <w:color w:val="000000"/>
          <w:szCs w:val="24"/>
        </w:rPr>
        <w:t>Table of Contents</w:t>
      </w:r>
    </w:p>
    <w:p>
      <w:pPr>
        <w:pStyle w:val="21"/>
        <w:tabs>
          <w:tab w:val="right" w:leader="dot" w:pos="9350"/>
        </w:tabs>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TOC \o "1-3" \h \z \u </w:instrText>
      </w:r>
      <w:r>
        <w:rPr>
          <w:rFonts w:ascii="Times New Roman" w:cs="Times New Roman" w:hAnsi="Times New Roman"/>
          <w:color w:val="000000"/>
          <w:sz w:val="24"/>
          <w:szCs w:val="24"/>
        </w:rPr>
        <w:fldChar w:fldCharType="separate"/>
      </w:r>
      <w:r>
        <w:fldChar w:fldCharType="begin"/>
      </w:r>
      <w:r>
        <w:instrText>Hyperlink \l "_Toc122542659"</w:instrText>
      </w:r>
      <w:r>
        <w:fldChar w:fldCharType="separate"/>
      </w:r>
      <w:r>
        <w:rPr>
          <w:rFonts w:ascii="Times New Roman" w:cs="Times New Roman" w:hAnsi="Times New Roman"/>
          <w:color w:val="000000"/>
          <w:sz w:val="24"/>
          <w:szCs w:val="24"/>
        </w:rPr>
        <w:t>Introduction</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_Toc122542659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4</w:t>
      </w:r>
      <w:r>
        <w:rPr>
          <w:rFonts w:ascii="Times New Roman" w:cs="Times New Roman" w:hAnsi="Times New Roman"/>
          <w:color w:val="000000"/>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"_Toc122542660"</w:instrText>
      </w:r>
      <w:r>
        <w:fldChar w:fldCharType="separate"/>
      </w:r>
      <w:r>
        <w:rPr>
          <w:rFonts w:ascii="Times New Roman" w:cs="Times New Roman" w:hAnsi="Times New Roman"/>
          <w:color w:val="000000"/>
          <w:sz w:val="24"/>
          <w:szCs w:val="24"/>
        </w:rPr>
        <w:t>Overview of the organisation</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_Toc122542660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4</w:t>
      </w:r>
      <w:r>
        <w:rPr>
          <w:rFonts w:ascii="Times New Roman" w:cs="Times New Roman" w:hAnsi="Times New Roman"/>
          <w:color w:val="000000"/>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"_Toc122542661"</w:instrText>
      </w:r>
      <w:r>
        <w:fldChar w:fldCharType="separate"/>
      </w:r>
      <w:r>
        <w:rPr>
          <w:rFonts w:ascii="Times New Roman" w:cs="Times New Roman" w:hAnsi="Times New Roman"/>
          <w:color w:val="000000"/>
          <w:sz w:val="24"/>
          <w:szCs w:val="24"/>
        </w:rPr>
        <w:t>External environmental marketing analysis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_Toc122542661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5</w:t>
      </w:r>
      <w:r>
        <w:rPr>
          <w:rFonts w:ascii="Times New Roman" w:cs="Times New Roman" w:hAnsi="Times New Roman"/>
          <w:color w:val="000000"/>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"_Toc122542662"</w:instrText>
      </w:r>
      <w:r>
        <w:fldChar w:fldCharType="separate"/>
      </w:r>
      <w:r>
        <w:rPr>
          <w:rFonts w:ascii="Times New Roman" w:cs="Times New Roman" w:hAnsi="Times New Roman"/>
          <w:color w:val="000000"/>
          <w:sz w:val="24"/>
          <w:szCs w:val="24"/>
        </w:rPr>
        <w:t>Internal environmental analysis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_Toc122542662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9</w:t>
      </w:r>
      <w:r>
        <w:rPr>
          <w:rFonts w:ascii="Times New Roman" w:cs="Times New Roman" w:hAnsi="Times New Roman"/>
          <w:color w:val="000000"/>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"_Toc122542663"</w:instrText>
      </w:r>
      <w:r>
        <w:fldChar w:fldCharType="separate"/>
      </w:r>
      <w:r>
        <w:rPr>
          <w:rFonts w:ascii="Times New Roman" w:cs="Times New Roman" w:hAnsi="Times New Roman"/>
          <w:color w:val="000000"/>
          <w:sz w:val="24"/>
          <w:szCs w:val="24"/>
        </w:rPr>
        <w:t>Recommendations for future improvement</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_Toc122542663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12</w:t>
      </w:r>
      <w:r>
        <w:rPr>
          <w:rFonts w:ascii="Times New Roman" w:cs="Times New Roman" w:hAnsi="Times New Roman"/>
          <w:color w:val="000000"/>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"_Toc122542664"</w:instrText>
      </w:r>
      <w:r>
        <w:fldChar w:fldCharType="separate"/>
      </w:r>
      <w:r>
        <w:rPr>
          <w:rFonts w:ascii="Times New Roman" w:cs="Times New Roman" w:hAnsi="Times New Roman"/>
          <w:color w:val="000000"/>
          <w:sz w:val="24"/>
          <w:szCs w:val="24"/>
        </w:rPr>
        <w:t>Conclusion</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_Toc122542664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13</w:t>
      </w:r>
      <w:r>
        <w:rPr>
          <w:rFonts w:ascii="Times New Roman" w:cs="Times New Roman" w:hAnsi="Times New Roman"/>
          <w:color w:val="000000"/>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"_Toc122542665"</w:instrText>
      </w:r>
      <w:r>
        <w:fldChar w:fldCharType="separate"/>
      </w:r>
      <w:r>
        <w:rPr>
          <w:rFonts w:ascii="Times New Roman" w:cs="Times New Roman" w:hAnsi="Times New Roman"/>
          <w:color w:val="000000"/>
          <w:sz w:val="24"/>
          <w:szCs w:val="24"/>
        </w:rPr>
        <w:t>Reference list</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_Toc122542665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14</w:t>
      </w:r>
      <w:r>
        <w:rPr>
          <w:rFonts w:ascii="Times New Roman" w:cs="Times New Roman" w:hAnsi="Times New Roman"/>
          <w:color w:val="000000"/>
          <w:sz w:val="24"/>
          <w:szCs w:val="24"/>
        </w:rPr>
        <w:fldChar w:fldCharType="end"/>
      </w:r>
      <w:r>
        <w:fldChar w:fldCharType="end"/>
      </w:r>
    </w:p>
    <w:p>
      <w:pPr>
        <w:spacing w:line="360" w:lineRule="auto"/>
        <w:jc w:val="both"/>
      </w:pPr>
      <w:r>
        <w:rPr>
          <w:rFonts w:ascii="Times New Roman" w:cs="Times New Roman" w:hAnsi="Times New Roman"/>
          <w:color w:val="000000"/>
          <w:sz w:val="24"/>
          <w:szCs w:val="24"/>
        </w:rPr>
        <w:fldChar w:fldCharType="end"/>
      </w:r>
    </w:p>
    <w:p>
      <w:pPr>
        <w:rPr>
          <w:rFonts w:ascii="Times New Roman" w:eastAsia="Times New Roman" w:cs="Times New Roman" w:hAnsi="Times New Roman"/>
          <w:b/>
          <w:sz w:val="24"/>
          <w:szCs w:val="24"/>
        </w:rPr>
      </w:pPr>
      <w:r>
        <w:rPr>
          <w:rFonts w:ascii="Times New Roman" w:eastAsia="Times New Roman" w:cs="Times New Roman" w:hAnsi="Times New Roman"/>
          <w:b/>
          <w:sz w:val="24"/>
          <w:szCs w:val="24"/>
        </w:rPr>
        <w:br w:type="page"/>
      </w:r>
    </w:p>
    <w:p>
      <w:pPr>
        <w:pStyle w:val="1"/>
      </w:pPr>
      <w:bookmarkStart w:id="1" w:name="_Toc122542659"/>
      <w:r>
        <w:t>Introduction</w:t>
      </w:r>
      <w:bookmarkEnd w:id="1"/>
      <w:r>
        <w:t xml:space="preserve"> </w:t>
      </w:r>
    </w:p>
    <w:p>
      <w:pPr>
        <w:pStyle w:val="15"/>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sz w:val="24"/>
          <w:szCs w:val="24"/>
        </w:rPr>
        <w:t xml:space="preserve">Marketing management is the tools, strategies and analyses that are used to promote a business by identifying growth opportunities as well as connecting effectively with the new target markets. Marketing management plays a role to undertake the market research, analyse the current trends and consumer preferences, create a budget and market strategy and perform all the relevant tasks that are essential for the increase of business sales. This report focuses on identifying the challenges such as change of business market, high competition, rising of digitalisation, information management issues as well as challenges regarding management of reputation and consumer’s expectation rise faced by Next plc.. Several strategies for future improvement of the organisation by solving these challenges are also included in this study. </w:t>
      </w:r>
    </w:p>
    <w:p>
      <w:pPr>
        <w:pStyle w:val="1"/>
      </w:pPr>
      <w:bookmarkStart w:id="2" w:name="_Toc122542660"/>
      <w:r>
        <w:t>Overview of the organisation</w:t>
      </w:r>
      <w:bookmarkEnd w:id="2"/>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Next plc is a UK based retail company that offers footwear, accessories, and clothing, home as well as beauty products. The company provides their services through the marketing, websites, distribution networks, contact centers and warehousing (Nextplc, 2022). The mission of Next plc is to be one of the UK's natural choice retailers by providing fashion awareness for women and men who expect distinction, style and quality clothes. From the below figure it has been observed that however the annual revenue of the company slowly declines in the year 2021, in 2022 a significant increase has been observed that is 4,625.9 million GBP (Statista, 2022). </w:t>
      </w:r>
    </w:p>
    <w:p>
      <w:pPr>
        <w:pStyle w:val="15"/>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lang w:val="en-US"/>
        </w:rPr>
        <w:drawing>
          <wp:inline distT="114300" distB="114300" distL="114300" distR="114300">
            <wp:extent cx="3805238" cy="3351202"/>
            <wp:effectExtent l="0" t="0" r="0" b="0"/>
            <wp:docPr id="4" name="图片 4"/>
            <wp:cNvGraphicFramePr>
              <a:graphicFrameLocks noChangeAspect="0"/>
            </wp:cNvGraphicFramePr>
            <a:graphic>
              <a:graphicData uri="http://schemas.openxmlformats.org/drawingml/2006/picture">
                <pic:pic>
                  <pic:nvPicPr>
                    <pic:cNvPr id="6" name="图片 6"/>
                    <pic:cNvPicPr/>
                  </pic:nvPicPr>
                  <pic:blipFill>
                    <a:blip r:embed="rId4"/>
                    <a:stretch>
                      <a:fillRect/>
                    </a:stretch>
                  </pic:blipFill>
                  <pic:spPr>
                    <a:xfrm rot="0">
                      <a:off x="0" y="0"/>
                      <a:ext cx="3805238" cy="3351202"/>
                    </a:xfrm>
                    <a:prstGeom prst="rect"/>
                    <a:noFill/>
                    <a:ln w="25400" cmpd="sng" cap="flat">
                      <a:solidFill>
                        <a:srgbClr val="000000"/>
                      </a:solidFill>
                      <a:prstDash val="solid"/>
                      <a:round/>
                    </a:ln>
                  </pic:spPr>
                </pic:pic>
              </a:graphicData>
            </a:graphic>
          </wp:inline>
        </w:drawing>
      </w:r>
      <w:r>
        <w:rPr>
          <w:rFonts w:ascii="Times New Roman" w:eastAsia="Times New Roman" w:cs="Times New Roman" w:hAnsi="Times New Roman"/>
          <w:sz w:val="24"/>
          <w:szCs w:val="24"/>
        </w:rPr>
        <w:t xml:space="preserve">  </w:t>
      </w:r>
    </w:p>
    <w:p>
      <w:pPr>
        <w:pStyle w:val="15"/>
        <w:spacing w:line="36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Figure 1: Annual revenue of the retail company Next plc.</w:t>
      </w:r>
    </w:p>
    <w:p>
      <w:pPr>
        <w:pStyle w:val="15"/>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(Source:Statista, 2022) </w:t>
      </w:r>
    </w:p>
    <w:p>
      <w:pPr>
        <w:pStyle w:val="1"/>
      </w:pPr>
      <w:bookmarkStart w:id="3" w:name="_Toc122542661"/>
      <w:r>
        <w:t>External environmental marketing analysis</w:t>
      </w:r>
      <w:bookmarkEnd w:id="3"/>
    </w:p>
    <w:tbl>
      <w:tblPr>
        <w:jc w:val="left"/>
        <w:tblInd w:w="0" w:type="dx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Pr>
      <w:tblGrid>
        <w:gridCol w:w="3120"/>
        <w:gridCol w:w="3120"/>
        <w:gridCol w:w="3120"/>
      </w:tblGrid>
      <w:tr>
        <w:trPr>
          <w:cantSplit/>
          <w:tblHeader/>
        </w:trPr>
        <w:tc>
          <w:tcPr>
            <w:tcW w:w="3120" w:type="dxa"/>
            <w:shd w:val="clear" w:color="auto" w:fill="B4A7D6"/>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Factors</w:t>
            </w:r>
          </w:p>
        </w:tc>
        <w:tc>
          <w:tcPr>
            <w:tcW w:w="3120" w:type="dxa"/>
            <w:shd w:val="clear" w:color="auto" w:fill="B4A7D6"/>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Discussion </w:t>
            </w:r>
          </w:p>
        </w:tc>
        <w:tc>
          <w:tcPr>
            <w:tcW w:w="3120" w:type="dxa"/>
            <w:shd w:val="clear" w:color="auto" w:fill="B4A7D6"/>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Impact</w:t>
            </w:r>
          </w:p>
        </w:tc>
      </w:tr>
      <w:tr>
        <w:trPr>
          <w:cantSplit/>
          <w:tblHeader/>
        </w:trPr>
        <w:tc>
          <w:tcPr>
            <w:tcW w:w="3120" w:type="dxa"/>
            <w:shd w:val="clear" w:color="auto" w:fill="F4CCCC"/>
          </w:tcPr>
          <w:p>
            <w:pPr>
              <w:pStyle w:val="15"/>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Competitive rivalry </w:t>
            </w:r>
          </w:p>
        </w:tc>
        <w:tc>
          <w:tcPr>
            <w:tcW w:w="3120" w:type="dxa"/>
            <w:shd w:val="clear" w:color="auto" w:fill="F4CCCC"/>
          </w:tcPr>
          <w:p>
            <w:pPr>
              <w:pStyle w:val="15"/>
              <w:widowControl w:val="0"/>
              <w:numPr>
                <w:ilvl w:val="0"/>
                <w:numId w:val="1"/>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Top competitors of Next plc. are Marks &amp; Spencer, Debenhams, Arcadia Group, ASOS, River Island etc. (Nextplc, 2022)</w:t>
            </w:r>
          </w:p>
          <w:p>
            <w:pPr>
              <w:pStyle w:val="15"/>
              <w:widowControl w:val="0"/>
              <w:numPr>
                <w:ilvl w:val="0"/>
                <w:numId w:val="1"/>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company faces a strong competition regarding pricing strategy and a large market size</w:t>
            </w:r>
          </w:p>
        </w:tc>
        <w:tc>
          <w:tcPr>
            <w:tcW w:w="3120" w:type="dxa"/>
            <w:shd w:val="clear" w:color="auto" w:fill="F4CCCC"/>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High </w:t>
            </w:r>
          </w:p>
        </w:tc>
      </w:tr>
      <w:tr>
        <w:trPr>
          <w:cantSplit/>
          <w:trHeight w:val="2710"/>
          <w:tblHeader/>
        </w:trPr>
        <w:tc>
          <w:tcPr>
            <w:tcW w:w="3120" w:type="dxa"/>
            <w:shd w:val="clear" w:color="auto" w:fill="F4CCCC"/>
          </w:tcPr>
          <w:p>
            <w:pPr>
              <w:pStyle w:val="15"/>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Buyer’s bargaining power </w:t>
            </w:r>
          </w:p>
        </w:tc>
        <w:tc>
          <w:tcPr>
            <w:tcW w:w="3120" w:type="dxa"/>
            <w:shd w:val="clear" w:color="auto" w:fill="F4CCCC"/>
          </w:tcPr>
          <w:p>
            <w:pPr>
              <w:pStyle w:val="15"/>
              <w:widowControl w:val="0"/>
              <w:numPr>
                <w:ilvl w:val="0"/>
                <w:numId w:val="2"/>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Presence of huge suppliers than the products producing firms create an opportunity for buyers to choose</w:t>
            </w:r>
          </w:p>
          <w:p>
            <w:pPr>
              <w:pStyle w:val="15"/>
              <w:widowControl w:val="0"/>
              <w:numPr>
                <w:ilvl w:val="0"/>
                <w:numId w:val="2"/>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products produced by Next plc. are highly differentiated which create a reason for not finding a particular product to another firm (Nextplc, 2022)</w:t>
            </w:r>
          </w:p>
          <w:p>
            <w:pPr>
              <w:pStyle w:val="15"/>
              <w:widowControl w:val="0"/>
              <w:numPr>
                <w:ilvl w:val="0"/>
                <w:numId w:val="2"/>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company offers their products at a reasonable price thus buyers with low income are unable to find alternative companies producing a specific product </w:t>
            </w:r>
          </w:p>
        </w:tc>
        <w:tc>
          <w:tcPr>
            <w:tcW w:w="3120" w:type="dxa"/>
            <w:shd w:val="clear" w:color="auto" w:fill="F4CCCC"/>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Moderated </w:t>
            </w:r>
          </w:p>
        </w:tc>
      </w:tr>
      <w:tr>
        <w:trPr>
          <w:cantSplit/>
          <w:tblHeader/>
        </w:trPr>
        <w:tc>
          <w:tcPr>
            <w:tcW w:w="3120" w:type="dxa"/>
            <w:shd w:val="clear" w:color="auto" w:fill="F4CCCC"/>
          </w:tcPr>
          <w:p>
            <w:pPr>
              <w:pStyle w:val="15"/>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Threat of substitute</w:t>
            </w:r>
          </w:p>
        </w:tc>
        <w:tc>
          <w:tcPr>
            <w:tcW w:w="3120" w:type="dxa"/>
            <w:shd w:val="clear" w:color="auto" w:fill="F4CCCC"/>
          </w:tcPr>
          <w:p>
            <w:pPr>
              <w:pStyle w:val="15"/>
              <w:widowControl w:val="0"/>
              <w:numPr>
                <w:ilvl w:val="0"/>
                <w:numId w:val="3"/>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Several substitutes are available for products produced by Next plc. along with this few substitutes that are low profit earning companies offer that product (Annualreports, 2021)</w:t>
            </w:r>
          </w:p>
          <w:p>
            <w:pPr>
              <w:pStyle w:val="15"/>
              <w:widowControl w:val="0"/>
              <w:numPr>
                <w:ilvl w:val="0"/>
                <w:numId w:val="3"/>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Psychological switching cost is low that is regarding the moving from the industry to the substitute products    </w:t>
            </w:r>
          </w:p>
        </w:tc>
        <w:tc>
          <w:tcPr>
            <w:tcW w:w="3120" w:type="dxa"/>
            <w:shd w:val="clear" w:color="auto" w:fill="F4CCCC"/>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Moderated</w:t>
            </w:r>
          </w:p>
        </w:tc>
      </w:tr>
      <w:tr>
        <w:trPr>
          <w:cantSplit/>
          <w:tblHeader/>
        </w:trPr>
        <w:tc>
          <w:tcPr>
            <w:tcW w:w="3120" w:type="dxa"/>
            <w:shd w:val="clear" w:color="auto" w:fill="F4CCCC"/>
          </w:tcPr>
          <w:p>
            <w:pPr>
              <w:pStyle w:val="15"/>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Supplier’s bargaining power </w:t>
            </w:r>
          </w:p>
        </w:tc>
        <w:tc>
          <w:tcPr>
            <w:tcW w:w="3120" w:type="dxa"/>
            <w:shd w:val="clear" w:color="auto" w:fill="F4CCCC"/>
          </w:tcPr>
          <w:p>
            <w:pPr>
              <w:pStyle w:val="15"/>
              <w:widowControl w:val="0"/>
              <w:numPr>
                <w:ilvl w:val="0"/>
                <w:numId w:val="4"/>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Suppliers are few as compared to the buyers within the industry (Asbci, 2022)</w:t>
            </w:r>
          </w:p>
          <w:p>
            <w:pPr>
              <w:pStyle w:val="15"/>
              <w:widowControl w:val="0"/>
              <w:numPr>
                <w:ilvl w:val="0"/>
                <w:numId w:val="4"/>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product provided by the suppliers is less differentiated, fairly standardised and have low switching costs which give the opportunity to switch to the supplier from Next plc.   </w:t>
            </w:r>
          </w:p>
        </w:tc>
        <w:tc>
          <w:tcPr>
            <w:tcW w:w="3120" w:type="dxa"/>
            <w:shd w:val="clear" w:color="auto" w:fill="F4CCCC"/>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High </w:t>
            </w:r>
          </w:p>
        </w:tc>
      </w:tr>
      <w:tr>
        <w:trPr>
          <w:cantSplit/>
          <w:tblHeader/>
        </w:trPr>
        <w:tc>
          <w:tcPr>
            <w:tcW w:w="3120" w:type="dxa"/>
            <w:shd w:val="clear" w:color="auto" w:fill="F4CCCC"/>
          </w:tcPr>
          <w:p>
            <w:pPr>
              <w:pStyle w:val="15"/>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Threat from the new entrants</w:t>
            </w:r>
          </w:p>
        </w:tc>
        <w:tc>
          <w:tcPr>
            <w:tcW w:w="3120" w:type="dxa"/>
            <w:shd w:val="clear" w:color="auto" w:fill="F4CCCC"/>
          </w:tcPr>
          <w:p>
            <w:pPr>
              <w:pStyle w:val="15"/>
              <w:widowControl w:val="0"/>
              <w:numPr>
                <w:ilvl w:val="0"/>
                <w:numId w:val="5"/>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In order to start newly required capital is high which makes difficult for the new entrants</w:t>
            </w:r>
          </w:p>
          <w:p>
            <w:pPr>
              <w:pStyle w:val="15"/>
              <w:widowControl w:val="0"/>
              <w:numPr>
                <w:ilvl w:val="0"/>
                <w:numId w:val="5"/>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As per the strict government policy legal requirements and strict licensing is required within the industry which creates a threat for the new entrants</w:t>
            </w:r>
          </w:p>
        </w:tc>
        <w:tc>
          <w:tcPr>
            <w:tcW w:w="3120" w:type="dxa"/>
            <w:shd w:val="clear" w:color="auto" w:fill="F4CCCC"/>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Low </w:t>
            </w:r>
          </w:p>
        </w:tc>
      </w:tr>
    </w:tbl>
    <w:p>
      <w:pPr>
        <w:pStyle w:val="15"/>
        <w:spacing w:line="36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Table 1: Porter’s five Forces analysis</w:t>
      </w:r>
    </w:p>
    <w:p>
      <w:pPr>
        <w:pStyle w:val="15"/>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(Source: Created by self)</w:t>
      </w:r>
    </w:p>
    <w:p>
      <w:pPr>
        <w:pStyle w:val="15"/>
        <w:spacing w:line="360" w:lineRule="auto"/>
        <w:jc w:val="both"/>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Analysis</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competitors present within the operating industry of Next plc. are high and most of them are large in size. The presence of these giant competitors such as Marks&amp; Spencer, Debenhams, Arcadia Group, ASOS, and River Island makes the competition higher and stronger for the organisation (Nextplc, 2022). The clothing industry in the United Kingdom is growing every year which means that the competitors are not so much engaged in competitive action as they are not focusing on capturing market share from other companies. However the pricing strategy and large market sizes create competition among the clothing firms in the UK that makes the impact of competitive rivalry high for the organisation. On the other hand, there are so many suppliers present within the company than the products producing firms which provides a wide variety of options regarding firms to the buyers to choose. The products produced by Next plc. are highly differentiated that provide a reason for not finding a particular product to other companies (Nextplc, 2022). Apart from this, buyers with low income are forced to buy the products at a lower price along with a good quality which makes the buyer’s buying power weak in the industry. </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A lot of substitutes are available for products produced by Next plc. in which few substitutes are produced through the industries that  are low profit earning. The other substitutes produce products of high quality along with higher price than Next plc which refers to less switching to the substitute products (Annualreports, 2021). Psychological switching cost is low, that is regarding the moving from the industry to the substitute products creates a threat for the company. There is a huge number of suppliers present within the industry which impacted negatively on the company (Asbci, 2022). However, products provided by the suppliers are less differentiated, fairly standardised and have low switching costs which give the opportunity to switch to the supplier from Next plc. In order to enter within the industry a resource investment and a substantial capital is required that loses strength of the new entrants (Forbes, 2018). Another threat for the new entrants are the requirement of strict government policies in entering within the industry with legal requirements and strict licensing which impacted low threat on the company. </w:t>
      </w:r>
    </w:p>
    <w:p>
      <w:pPr>
        <w:pStyle w:val="1"/>
      </w:pPr>
      <w:bookmarkStart w:id="4" w:name="_Toc122542662"/>
      <w:r>
        <w:t>Internal environmental analysis</w:t>
      </w:r>
      <w:bookmarkEnd w:id="4"/>
    </w:p>
    <w:p>
      <w:pPr>
        <w:rPr>
          <w:rFonts w:ascii="Times New Roman" w:eastAsia="Times New Roman" w:cs="Times New Roman" w:hAnsi="Times New Roman"/>
          <w:b/>
          <w:sz w:val="24"/>
          <w:szCs w:val="24"/>
        </w:rPr>
      </w:pPr>
      <w:r>
        <w:rPr>
          <w:rFonts w:ascii="Times New Roman" w:eastAsia="Times New Roman" w:cs="Times New Roman" w:hAnsi="Times New Roman"/>
          <w:b/>
          <w:sz w:val="24"/>
          <w:szCs w:val="24"/>
        </w:rPr>
        <w:br w:type="page"/>
      </w:r>
    </w:p>
    <w:tbl>
      <w:tblPr>
        <w:jc w:val="left"/>
        <w:tblInd w:w="0" w:type="dx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Pr>
      <w:tblGrid>
        <w:gridCol w:w="4680"/>
        <w:gridCol w:w="4680"/>
      </w:tblGrid>
      <w:tr>
        <w:trPr>
          <w:cantSplit/>
          <w:tblHeader/>
        </w:trPr>
        <w:tc>
          <w:tcPr>
            <w:tcW w:w="4680" w:type="dxa"/>
            <w:shd w:val="clear" w:color="auto" w:fill="9FC5E8"/>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cs="Times New Roman" w:hAnsi="Times New Roman"/>
                <w:b/>
                <w:sz w:val="24"/>
                <w:szCs w:val="24"/>
              </w:rPr>
            </w:pPr>
            <w:r>
              <w:rPr>
                <w:rFonts w:ascii="Times New Roman" w:eastAsia="Times New Roman" w:cs="Times New Roman" w:hAnsi="Times New Roman"/>
                <w:b/>
                <w:sz w:val="24"/>
                <w:szCs w:val="24"/>
              </w:rPr>
              <w:t>Strength</w:t>
            </w:r>
          </w:p>
        </w:tc>
        <w:tc>
          <w:tcPr>
            <w:tcW w:w="4680" w:type="dxa"/>
            <w:shd w:val="clear" w:color="auto" w:fill="9FC5E8"/>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Weakness </w:t>
            </w:r>
          </w:p>
        </w:tc>
      </w:tr>
      <w:tr>
        <w:trPr>
          <w:cantSplit/>
          <w:tblHeader/>
        </w:trPr>
        <w:tc>
          <w:tcPr>
            <w:tcW w:w="4680" w:type="dxa"/>
            <w:shd w:val="clear" w:color="auto" w:fill="FCE5CD"/>
          </w:tcPr>
          <w:p>
            <w:pPr>
              <w:pStyle w:val="15"/>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Next plc offers excellent quality clothing, beautiful design to their customers </w:t>
            </w:r>
          </w:p>
          <w:p>
            <w:pPr>
              <w:pStyle w:val="15"/>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42% of the products offered by Next plc. and 49% of cotton fulfill the responsible sourcing criteria of the company (Nextplc, 2022)</w:t>
            </w:r>
          </w:p>
          <w:p>
            <w:pPr>
              <w:pStyle w:val="15"/>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Huge amount of suppliers are connected with the business that is around 380 suppliers are engaged within ZDHC programme (Nextplc, 2022)</w:t>
            </w:r>
          </w:p>
          <w:p>
            <w:pPr>
              <w:pStyle w:val="15"/>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Availability of different variety of products such as footwear, beauty products, home products, accessories, clothing by franchised and self owned stores (globaldata, 2022)</w:t>
            </w:r>
          </w:p>
        </w:tc>
        <w:tc>
          <w:tcPr>
            <w:tcW w:w="4680" w:type="dxa"/>
            <w:shd w:val="clear" w:color="auto" w:fill="FCE5CD"/>
          </w:tcPr>
          <w:p>
            <w:pPr>
              <w:pStyle w:val="15"/>
              <w:widowControl w:val="0"/>
              <w:numPr>
                <w:ilvl w:val="0"/>
                <w:numId w:val="7"/>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company mainly depends on their home country UK</w:t>
            </w:r>
          </w:p>
          <w:p>
            <w:pPr>
              <w:pStyle w:val="15"/>
              <w:widowControl w:val="0"/>
              <w:numPr>
                <w:ilvl w:val="0"/>
                <w:numId w:val="7"/>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Keeping updated according to new technology innovation is the major challenge for Next plc.(Nextplc, 2018)</w:t>
            </w:r>
          </w:p>
          <w:p>
            <w:pPr>
              <w:pStyle w:val="15"/>
              <w:widowControl w:val="0"/>
              <w:numPr>
                <w:ilvl w:val="0"/>
                <w:numId w:val="7"/>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Absence of clear strategy create a barrier in achieving long term growth</w:t>
            </w:r>
          </w:p>
        </w:tc>
      </w:tr>
      <w:tr>
        <w:trPr>
          <w:cantSplit/>
          <w:tblHeader/>
        </w:trPr>
        <w:tc>
          <w:tcPr>
            <w:tcW w:w="4680" w:type="dxa"/>
            <w:shd w:val="clear" w:color="auto" w:fill="C27BA0"/>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Opportunity </w:t>
            </w:r>
          </w:p>
        </w:tc>
        <w:tc>
          <w:tcPr>
            <w:tcW w:w="4680" w:type="dxa"/>
            <w:shd w:val="clear" w:color="auto" w:fill="C27BA0"/>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Threats </w:t>
            </w:r>
          </w:p>
        </w:tc>
      </w:tr>
      <w:tr>
        <w:trPr>
          <w:cantSplit/>
          <w:tblHeader/>
        </w:trPr>
        <w:tc>
          <w:tcPr>
            <w:tcW w:w="4680" w:type="dxa"/>
            <w:shd w:val="clear" w:color="auto" w:fill="D9EAD3"/>
          </w:tcPr>
          <w:p>
            <w:pPr>
              <w:pStyle w:val="15"/>
              <w:widowControl w:val="0"/>
              <w:numPr>
                <w:ilvl w:val="0"/>
                <w:numId w:val="8"/>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company focuses on mainly young aged men and women of 25-45 age who expect quality, distinction and style from their clothing</w:t>
            </w:r>
          </w:p>
          <w:p>
            <w:pPr>
              <w:pStyle w:val="15"/>
              <w:widowControl w:val="0"/>
              <w:numPr>
                <w:ilvl w:val="0"/>
                <w:numId w:val="8"/>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company is now operating around 70 countries globally (Nextplc, 2022)  </w:t>
            </w:r>
          </w:p>
          <w:p>
            <w:pPr>
              <w:pStyle w:val="15"/>
              <w:widowControl w:val="0"/>
              <w:numPr>
                <w:ilvl w:val="0"/>
                <w:numId w:val="8"/>
              </w:num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Implementation of websites increases online sales </w:t>
            </w:r>
          </w:p>
        </w:tc>
        <w:tc>
          <w:tcPr>
            <w:tcW w:w="4680" w:type="dxa"/>
            <w:shd w:val="clear" w:color="auto" w:fill="D9EAD3"/>
          </w:tcPr>
          <w:p>
            <w:pPr>
              <w:pStyle w:val="15"/>
              <w:widowControl w:val="0"/>
              <w:numPr>
                <w:ilvl w:val="0"/>
                <w:numId w:val="9"/>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Strong competition and low market growth create a threat </w:t>
            </w:r>
          </w:p>
          <w:p>
            <w:pPr>
              <w:pStyle w:val="15"/>
              <w:widowControl w:val="0"/>
              <w:numPr>
                <w:ilvl w:val="0"/>
                <w:numId w:val="9"/>
              </w:num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crisis regarding cost of living threaten as online sales are decreased by 2%  (Business-live, 2022)</w:t>
            </w:r>
          </w:p>
        </w:tc>
      </w:tr>
    </w:tbl>
    <w:p>
      <w:pPr>
        <w:pStyle w:val="15"/>
        <w:spacing w:line="36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Table 2: SWOT analysis </w:t>
      </w:r>
    </w:p>
    <w:p>
      <w:pPr>
        <w:pStyle w:val="15"/>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(Source: Created by self)</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Next plc is famous for its excellent quality clothing, beautiful design provided to their customers along with creative and attractive design of stores also. In the present time it has been noticed that 42% of the products offered by Next plc and 49% of cotton fulfill the responsible sourcing criteria of the company that creates a positive image among consumers (Nextplc, 2022). Supplier has a crucial role within the stages regarding product life cycle that is from the sourcing of raw materials to finding best options for the raw materials of the business. The company has a strong base of suppliers and it is now engaged in the ZDHC programme with around 380 suppliers (Nextplc, 2022). Strength of the company includes the product diversification as it produces different varieties of products such as footwear, beauty products, home products, accessories, and clothing by franchised and self owned stores (globaldata, 2022).  </w:t>
      </w:r>
    </w:p>
    <w:p>
      <w:pPr>
        <w:pStyle w:val="15"/>
        <w:spacing w:line="360" w:lineRule="auto"/>
        <w:jc w:val="both"/>
        <w:rPr>
          <w:rFonts w:ascii="Times New Roman" w:eastAsia="Times New Roman" w:cs="Times New Roman" w:hAnsi="Times New Roman"/>
          <w:sz w:val="24"/>
          <w:szCs w:val="24"/>
        </w:rPr>
      </w:pPr>
    </w:p>
    <w:p>
      <w:pPr>
        <w:pStyle w:val="15"/>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  </w:t>
      </w:r>
      <w:r>
        <w:rPr>
          <w:rFonts w:ascii="Times New Roman" w:eastAsia="Times New Roman" w:cs="Times New Roman" w:hAnsi="Times New Roman"/>
          <w:sz w:val="24"/>
          <w:szCs w:val="24"/>
          <w:lang w:val="en-US"/>
        </w:rPr>
        <w:drawing>
          <wp:inline distT="114300" distB="114300" distL="114300" distR="114300">
            <wp:extent cx="4348858" cy="3795824"/>
            <wp:effectExtent l="0" t="0" r="0" b="0"/>
            <wp:docPr id="7" name="图片 7"/>
            <wp:cNvGraphicFramePr>
              <a:graphicFrameLocks noChangeAspect="0"/>
            </wp:cNvGraphicFramePr>
            <a:graphic>
              <a:graphicData uri="http://schemas.openxmlformats.org/drawingml/2006/picture">
                <pic:pic>
                  <pic:nvPicPr>
                    <pic:cNvPr id="9" name="图片 9"/>
                    <pic:cNvPicPr/>
                  </pic:nvPicPr>
                  <pic:blipFill>
                    <a:blip r:embed="rId5"/>
                    <a:stretch>
                      <a:fillRect/>
                    </a:stretch>
                  </pic:blipFill>
                  <pic:spPr>
                    <a:xfrm rot="0">
                      <a:off x="0" y="0"/>
                      <a:ext cx="4348858" cy="3795824"/>
                    </a:xfrm>
                    <a:prstGeom prst="rect"/>
                    <a:noFill/>
                    <a:ln w="25400" cmpd="sng" cap="flat">
                      <a:solidFill>
                        <a:srgbClr val="000000"/>
                      </a:solidFill>
                      <a:prstDash val="solid"/>
                      <a:round/>
                    </a:ln>
                  </pic:spPr>
                </pic:pic>
              </a:graphicData>
            </a:graphic>
          </wp:inline>
        </w:drawing>
      </w:r>
    </w:p>
    <w:p>
      <w:pPr>
        <w:pStyle w:val="15"/>
        <w:spacing w:line="36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Figure 2: Increase of internet sales in retail industry UK </w:t>
      </w:r>
    </w:p>
    <w:p>
      <w:pPr>
        <w:pStyle w:val="15"/>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(Source: Statista, 2022)</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company is focusing on mainly young aged men and women of 25-45 ages who expect quality, distinction and style from their clothing which makes them quite popular among the young generation for unique style clothing. International market expansion is another opportunity for the company by focusing on the emerging economies and currently the company is operating in around 70 countries or more than that globally (Nextplc, 2022). The buying behavior of the consumer is changing as per the advancement of technology; most of the customers are shifted to online shopping in the UK. In the year 2021, customer ecommerce accounts 30% of total UK retail market and ecommerce revenue is over $120 billion (Trade, 2022). Currently the company focuses on their website to increase online sales as well as the facility of delivering products within just one day helps to attract the modern consumers. From figure 2 it is clear that internet sales in October 2022 amounted to 25.5% of the total retail sales (Statista, 2022). </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overdependence on only the UK market is responsible for the slower growth of the company rather than its giant competitors. One of the most significant challenges faced by next plc is keeping updated with new technology innovation and maintaining their information system due to the rapid rise of digitalisation. Additionally they were lacking some features as compared to their competitors that ultimately results in losing revenue and consumers (Nextplc, 2018). The database used by Next plc failed to provide service to the customers 24 hours and it is not able to give the access to users to access in their order details. The clothing brand has failed to adopt a proper strategy that creates a barrier in achieving long term growth. Next faces a huge competition and low market growth due to the pandemic situation and presence of giant competitors in the UK market such as Marks &amp; Spencer, Debenhams, Arcadia Group, ASOS etc. The crisis regarding cost of living in the UK market create a threat for Next plc.as online sales are decreased by 2% (Business-live, 2022)</w:t>
      </w:r>
    </w:p>
    <w:p>
      <w:pPr>
        <w:pStyle w:val="1"/>
      </w:pPr>
      <w:bookmarkStart w:id="5" w:name="_Toc122542663"/>
      <w:r>
        <w:t>Recommendations for future improvement</w:t>
      </w:r>
      <w:bookmarkEnd w:id="5"/>
      <w:r>
        <w:t xml:space="preserve"> </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In order to mitigate the technological challenges faced by the company, they can allow a third party within the orgnaisation to train their staff. Next plc can use data cleansing software such  </w:t>
      </w:r>
    </w:p>
    <w:p>
      <w:pPr>
        <w:pStyle w:val="15"/>
        <w:spacing w:line="360" w:lineRule="auto"/>
        <w:jc w:val="both"/>
        <w:rPr>
          <w:rFonts w:ascii="Times New Roman" w:eastAsia="Times New Roman" w:cs="Times New Roman" w:hAnsi="Times New Roman"/>
          <w:b/>
          <w:color w:val="1155CC"/>
          <w:sz w:val="24"/>
          <w:szCs w:val="24"/>
        </w:rPr>
      </w:pPr>
      <w:r>
        <w:rPr>
          <w:rFonts w:ascii="Times New Roman" w:eastAsia="Times New Roman" w:cs="Times New Roman" w:hAnsi="Times New Roman"/>
          <w:sz w:val="24"/>
          <w:szCs w:val="24"/>
        </w:rPr>
        <w:t xml:space="preserve">as  </w:t>
      </w:r>
      <w:r>
        <w:rPr>
          <w:rFonts w:ascii="Times New Roman" w:eastAsia="Times New Roman" w:cs="Times New Roman" w:hAnsi="Times New Roman"/>
          <w:sz w:val="24"/>
          <w:szCs w:val="24"/>
        </w:rPr>
        <w:fldChar w:fldCharType="begin"/>
      </w:r>
      <w:r>
        <w:instrText>HYPERLINK "https://www.trifacta.com/"</w:instrText>
      </w:r>
      <w:r>
        <w:rPr>
          <w:rFonts w:ascii="Times New Roman" w:eastAsia="Times New Roman" w:cs="Times New Roman" w:hAnsi="Times New Roman"/>
          <w:sz w:val="24"/>
          <w:szCs w:val="24"/>
        </w:rPr>
        <w:fldChar w:fldCharType="separate"/>
      </w:r>
      <w:r>
        <w:rPr>
          <w:rFonts w:ascii="Times New Roman" w:eastAsia="Times New Roman" w:cs="Times New Roman" w:hAnsi="Times New Roman"/>
          <w:sz w:val="24"/>
          <w:szCs w:val="24"/>
        </w:rPr>
        <w:t>Trifacta Wrangler</w:t>
      </w:r>
      <w:r>
        <w:rPr>
          <w:rFonts w:ascii="Times New Roman" w:eastAsia="Times New Roman" w:cs="Times New Roman" w:hAnsi="Times New Roman"/>
          <w:sz w:val="24"/>
          <w:szCs w:val="24"/>
        </w:rPr>
        <w:fldChar w:fldCharType="end"/>
      </w:r>
      <w:r>
        <w:rPr>
          <w:rFonts w:ascii="Times New Roman" w:eastAsia="Times New Roman" w:cs="Times New Roman" w:hAnsi="Times New Roman"/>
          <w:sz w:val="24"/>
          <w:szCs w:val="24"/>
        </w:rPr>
        <w:t xml:space="preserve">, </w:t>
      </w:r>
      <w:r>
        <w:rPr>
          <w:rFonts w:ascii="Times New Roman" w:eastAsia="Times New Roman" w:cs="Times New Roman" w:hAnsi="Times New Roman"/>
          <w:sz w:val="24"/>
          <w:szCs w:val="24"/>
        </w:rPr>
        <w:fldChar w:fldCharType="begin"/>
      </w:r>
      <w:r>
        <w:instrText>HYPERLINK "https://clarity.cloud.tibco.com/landing/index.html"</w:instrText>
      </w:r>
      <w:r>
        <w:rPr>
          <w:rFonts w:ascii="Times New Roman" w:eastAsia="Times New Roman" w:cs="Times New Roman" w:hAnsi="Times New Roman"/>
          <w:sz w:val="24"/>
          <w:szCs w:val="24"/>
        </w:rPr>
        <w:fldChar w:fldCharType="separate"/>
      </w:r>
      <w:r>
        <w:rPr>
          <w:rFonts w:ascii="Times New Roman" w:eastAsia="Times New Roman" w:cs="Times New Roman" w:hAnsi="Times New Roman"/>
          <w:sz w:val="24"/>
          <w:szCs w:val="24"/>
        </w:rPr>
        <w:t>TIBCO Clarity</w:t>
      </w:r>
      <w:r>
        <w:rPr>
          <w:rFonts w:ascii="Times New Roman" w:eastAsia="Times New Roman" w:cs="Times New Roman" w:hAnsi="Times New Roman"/>
          <w:sz w:val="24"/>
          <w:szCs w:val="24"/>
        </w:rPr>
        <w:fldChar w:fldCharType="end"/>
      </w:r>
      <w:r>
        <w:rPr>
          <w:rFonts w:ascii="Times New Roman" w:eastAsia="Times New Roman" w:cs="Times New Roman" w:hAnsi="Times New Roman"/>
          <w:sz w:val="24"/>
          <w:szCs w:val="24"/>
        </w:rPr>
        <w:t xml:space="preserve">, </w:t>
      </w:r>
      <w:r>
        <w:rPr>
          <w:rFonts w:ascii="Times New Roman" w:eastAsia="Times New Roman" w:cs="Times New Roman" w:hAnsi="Times New Roman"/>
          <w:sz w:val="24"/>
          <w:szCs w:val="24"/>
        </w:rPr>
        <w:fldChar w:fldCharType="begin"/>
      </w:r>
      <w:r>
        <w:instrText>HYPERLINK "https://winpure.com/"</w:instrText>
      </w:r>
      <w:r>
        <w:rPr>
          <w:rFonts w:ascii="Times New Roman" w:eastAsia="Times New Roman" w:cs="Times New Roman" w:hAnsi="Times New Roman"/>
          <w:sz w:val="24"/>
          <w:szCs w:val="24"/>
        </w:rPr>
        <w:fldChar w:fldCharType="separate"/>
      </w:r>
      <w:r>
        <w:rPr>
          <w:rFonts w:ascii="Times New Roman" w:eastAsia="Times New Roman" w:cs="Times New Roman" w:hAnsi="Times New Roman"/>
          <w:sz w:val="24"/>
          <w:szCs w:val="24"/>
        </w:rPr>
        <w:t>Winpure Clean &amp; Match</w:t>
      </w:r>
      <w:r>
        <w:rPr>
          <w:rFonts w:ascii="Times New Roman" w:eastAsia="Times New Roman" w:cs="Times New Roman" w:hAnsi="Times New Roman"/>
          <w:sz w:val="24"/>
          <w:szCs w:val="24"/>
        </w:rPr>
        <w:fldChar w:fldCharType="end"/>
      </w:r>
      <w:r>
        <w:rPr>
          <w:rFonts w:ascii="Times New Roman" w:eastAsia="Times New Roman" w:cs="Times New Roman" w:hAnsi="Times New Roman"/>
          <w:sz w:val="24"/>
          <w:szCs w:val="24"/>
        </w:rPr>
        <w:t xml:space="preserve"> and let the consumers make updates regularly regarding their orders to avoid database related issues. As per the view of Snyder (2019), the use of data cleaning software allows for highest quality information and increases overall productivity to decision making. The company should adopt a value pricing strategy to compete with the prices of their competitors as it provides high quality products at a minimal price that is important to achieve the trust of the consumers. Rather than focusing on only the UK market the company needs to focus more on the other countries to compete with the globalisation and increased competition in the clothing industry. In order to gain market share, it is important to adopt new innovation as innovative technology is able to build the consumer base of a company (Lestari </w:t>
      </w:r>
      <w:r>
        <w:rPr>
          <w:rFonts w:ascii="Times New Roman" w:eastAsia="Times New Roman" w:cs="Times New Roman" w:hAnsi="Times New Roman"/>
          <w:i/>
          <w:sz w:val="24"/>
          <w:szCs w:val="24"/>
        </w:rPr>
        <w:t>et al.</w:t>
      </w:r>
      <w:r>
        <w:rPr>
          <w:rFonts w:ascii="Times New Roman" w:eastAsia="Times New Roman" w:cs="Times New Roman" w:hAnsi="Times New Roman"/>
          <w:sz w:val="24"/>
          <w:szCs w:val="24"/>
        </w:rPr>
        <w:t xml:space="preserve"> 2020). Along with the new technology the company also needs to employ skilled workers who have knowledge regarding product innovation and technology. In order to enter a new market the company also needs to focus on their advertisement through online as reaching to online consumers is quite easy.   </w:t>
      </w:r>
    </w:p>
    <w:p>
      <w:pPr>
        <w:pStyle w:val="1"/>
      </w:pPr>
      <w:bookmarkStart w:id="6" w:name="_Toc122542664"/>
      <w:r>
        <w:t>Conclusion</w:t>
      </w:r>
      <w:bookmarkEnd w:id="6"/>
      <w:r>
        <w:t xml:space="preserve"> </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From the study it can be concluded that Next plc. is one of the leading UK retail companies with a strong competitive rivalry with its competitors. The product variation present in the company creates a reason for not losing consumers however suppliers are few as compared to the buyers within the industry that is a threat for the company. Next failed to manage new technology innovation that can be improved in future by hiring a third party for giving training to their employees or hire workers having technological knowledge. The non availability of proper strategy and rising cost living crisis impacted negatively on the company by decreasing their online sales. </w:t>
      </w:r>
    </w:p>
    <w:p>
      <w:pPr>
        <w:rPr>
          <w:rFonts w:ascii="Times New Roman" w:eastAsia="Times New Roman" w:cs="Times New Roman" w:hAnsi="Times New Roman"/>
          <w:sz w:val="24"/>
          <w:szCs w:val="24"/>
        </w:rPr>
      </w:pPr>
      <w:r>
        <w:rPr>
          <w:rFonts w:ascii="Times New Roman" w:eastAsia="Times New Roman" w:cs="Times New Roman" w:hAnsi="Times New Roman"/>
          <w:sz w:val="24"/>
          <w:szCs w:val="24"/>
        </w:rPr>
        <w:br w:type="page"/>
      </w:r>
    </w:p>
    <w:p>
      <w:pPr>
        <w:pStyle w:val="1"/>
      </w:pPr>
      <w:bookmarkStart w:id="7" w:name="_Toc122542665"/>
      <w:r>
        <w:t>Reference list</w:t>
      </w:r>
      <w:bookmarkEnd w:id="7"/>
    </w:p>
    <w:p>
      <w:pPr>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Annualreports (2021), ANNUAL REPORT &amp; ACCOUNTS, Available at: https://www.annualreports.com/HostedData/AnnualReports/PDF/LSE_NXT_2021.pdf [accessed on 16/12/2022]</w:t>
      </w:r>
    </w:p>
    <w:p>
      <w:pPr>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Asbci (2022), Association of suppliers to the British clothing industry, Available at: https://www.asbci.co.uk/history [accessed on 16/12/2022]</w:t>
      </w:r>
    </w:p>
    <w:p>
      <w:pPr>
        <w:spacing w:line="360" w:lineRule="auto"/>
        <w:jc w:val="both"/>
        <w:rPr>
          <w:rFonts w:ascii="Times New Roman" w:cs="Times New Roman" w:hAnsi="Times New Roman"/>
          <w:bCs/>
          <w:color w:val="000000"/>
          <w:sz w:val="24"/>
          <w:szCs w:val="24"/>
        </w:rPr>
      </w:pPr>
      <w:r>
        <w:rPr>
          <w:rFonts w:ascii="Times New Roman" w:cs="Times New Roman" w:hAnsi="Times New Roman"/>
          <w:color w:val="000000"/>
          <w:sz w:val="24"/>
          <w:szCs w:val="24"/>
        </w:rPr>
        <w:t>Business-live</w:t>
      </w:r>
      <w:r>
        <w:rPr>
          <w:rFonts w:ascii="Times New Roman" w:cs="Times New Roman" w:hAnsi="Times New Roman"/>
          <w:bCs/>
          <w:color w:val="000000"/>
          <w:sz w:val="24"/>
          <w:szCs w:val="24"/>
        </w:rPr>
        <w:t xml:space="preserve"> (2022), Next Plc sales slightly up on expectations despite all the problems facing the UK high street, </w:t>
      </w:r>
      <w:r>
        <w:rPr>
          <w:rFonts w:ascii="Times New Roman" w:cs="Times New Roman" w:hAnsi="Times New Roman"/>
          <w:color w:val="000000"/>
          <w:sz w:val="24"/>
          <w:szCs w:val="24"/>
        </w:rPr>
        <w:t>Available at:</w:t>
      </w:r>
      <w:r>
        <w:rPr>
          <w:color w:val="000000"/>
        </w:rPr>
        <w:t xml:space="preserve"> </w:t>
      </w:r>
      <w:r>
        <w:rPr>
          <w:rFonts w:ascii="Times New Roman" w:cs="Times New Roman" w:hAnsi="Times New Roman"/>
          <w:color w:val="000000"/>
          <w:sz w:val="24"/>
          <w:szCs w:val="24"/>
        </w:rPr>
        <w:t>https://www.business-live.co.uk/retail-consumer/next-plc-sales-slightly-up-25412826 [accessed on 16/12/2022]</w:t>
      </w:r>
    </w:p>
    <w:p>
      <w:pPr>
        <w:spacing w:line="360" w:lineRule="auto"/>
        <w:jc w:val="both"/>
        <w:rPr>
          <w:rFonts w:ascii="Times New Roman" w:cs="Times New Roman" w:hAnsi="Times New Roman"/>
          <w:bCs/>
          <w:color w:val="000000"/>
          <w:sz w:val="24"/>
          <w:szCs w:val="24"/>
        </w:rPr>
      </w:pPr>
      <w:r>
        <w:rPr>
          <w:rFonts w:ascii="Times New Roman" w:cs="Times New Roman" w:hAnsi="Times New Roman"/>
          <w:color w:val="000000"/>
          <w:sz w:val="24"/>
          <w:szCs w:val="24"/>
        </w:rPr>
        <w:t>Forbes</w:t>
      </w:r>
      <w:r>
        <w:rPr>
          <w:rFonts w:ascii="Times New Roman" w:cs="Times New Roman" w:hAnsi="Times New Roman"/>
          <w:bCs/>
          <w:color w:val="000000"/>
          <w:sz w:val="24"/>
          <w:szCs w:val="24"/>
        </w:rPr>
        <w:t xml:space="preserve"> (2018), Raising Capital For Fashion, </w:t>
      </w:r>
      <w:r>
        <w:rPr>
          <w:rFonts w:ascii="Times New Roman" w:cs="Times New Roman" w:hAnsi="Times New Roman"/>
          <w:color w:val="000000"/>
          <w:sz w:val="24"/>
          <w:szCs w:val="24"/>
        </w:rPr>
        <w:t>Available at: https://www.forbes.com/sites/autumnadeigbo/2018/12/29/raising-capital-for-fashion-is-notoriously-difficult-heres-how-she-raised-16m-for-her-brand/?sh=447c90c71215 [accessed on 16/12/2022]</w:t>
      </w:r>
    </w:p>
    <w:p>
      <w:pPr>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Globaldata (2022), Next Plc: Overview, Available at:</w:t>
      </w:r>
      <w:r>
        <w:rPr>
          <w:color w:val="000000"/>
        </w:rPr>
        <w:t xml:space="preserve"> </w:t>
      </w:r>
      <w:r>
        <w:rPr>
          <w:rFonts w:ascii="Times New Roman" w:cs="Times New Roman" w:hAnsi="Times New Roman"/>
          <w:color w:val="000000"/>
          <w:sz w:val="24"/>
          <w:szCs w:val="24"/>
        </w:rPr>
        <w:t>https://www.globaldata.com/company-profile/next-plc/ [accessed on 16/12/2022]</w:t>
      </w:r>
    </w:p>
    <w:p>
      <w:pPr>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Lestari, S.D., LEON, F.M., Widyastuti, S., BRABO, N.A. and Putra, A.H.P.K., 2020. Antecedents and consequences of innovation and business strategy on performance and competitive advantage of SMEs. </w:t>
      </w:r>
      <w:r>
        <w:rPr>
          <w:rFonts w:ascii="Times New Roman" w:cs="Times New Roman" w:hAnsi="Times New Roman"/>
          <w:i/>
          <w:iCs/>
          <w:color w:val="000000"/>
          <w:sz w:val="24"/>
          <w:szCs w:val="24"/>
        </w:rPr>
        <w:t>The Journal of Asian Finance, Economics and Business</w:t>
      </w:r>
      <w:r>
        <w:rPr>
          <w:rFonts w:ascii="Times New Roman" w:cs="Times New Roman" w:hAnsi="Times New Roman"/>
          <w:color w:val="000000"/>
          <w:sz w:val="24"/>
          <w:szCs w:val="24"/>
        </w:rPr>
        <w:t>, </w:t>
      </w:r>
      <w:r>
        <w:rPr>
          <w:rFonts w:ascii="Times New Roman" w:cs="Times New Roman" w:hAnsi="Times New Roman"/>
          <w:i/>
          <w:iCs/>
          <w:color w:val="000000"/>
          <w:sz w:val="24"/>
          <w:szCs w:val="24"/>
        </w:rPr>
        <w:t>7</w:t>
      </w:r>
      <w:r>
        <w:rPr>
          <w:rFonts w:ascii="Times New Roman" w:cs="Times New Roman" w:hAnsi="Times New Roman"/>
          <w:color w:val="000000"/>
          <w:sz w:val="24"/>
          <w:szCs w:val="24"/>
        </w:rPr>
        <w:t>(6), pp.365-378.</w:t>
      </w:r>
    </w:p>
    <w:p>
      <w:pPr>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Nextplc (2018), Results for the Half Year Ending July 2018, Available at: https://www.nextplc.co.uk/~/media/Files/N/Next-PLC-V2/documents/reports-and-presentations/2018/July%202018.pdf [accessed on 16/12/2022]</w:t>
      </w:r>
    </w:p>
    <w:p>
      <w:pPr>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Nextplc (2022), About Next plc., Available at: https://www.nextplc.co.uk/ [accessed on 16/12/2022]</w:t>
      </w:r>
    </w:p>
    <w:p>
      <w:pPr>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Nextplc (2022), OUR CUSTOMERS AND PRODUCTS, Available at: https://www.nextplc.co.uk/corporate-responsibility/our-customers-and-products [accessed on 16/12/2022]</w:t>
      </w:r>
    </w:p>
    <w:p>
      <w:pPr>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Nextplc (2022), OUR HISTORY, Available at: https://www.nextplc.co.uk/about-next/our-history [accessed on 16/12/2022]</w:t>
      </w:r>
    </w:p>
    <w:p>
      <w:pPr>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t>Snyder, J., 2019. Data cleansing: an omission from data analytics coursework. </w:t>
      </w:r>
      <w:r>
        <w:rPr>
          <w:rFonts w:ascii="Times New Roman" w:cs="Times New Roman" w:hAnsi="Times New Roman"/>
          <w:i/>
          <w:iCs/>
          <w:color w:val="000000"/>
          <w:sz w:val="24"/>
          <w:szCs w:val="24"/>
        </w:rPr>
        <w:t>Information Systems Education Journal</w:t>
      </w:r>
      <w:r>
        <w:rPr>
          <w:rFonts w:ascii="Times New Roman" w:cs="Times New Roman" w:hAnsi="Times New Roman"/>
          <w:color w:val="000000"/>
          <w:sz w:val="24"/>
          <w:szCs w:val="24"/>
        </w:rPr>
        <w:t>, </w:t>
      </w:r>
      <w:r>
        <w:rPr>
          <w:rFonts w:ascii="Times New Roman" w:cs="Times New Roman" w:hAnsi="Times New Roman"/>
          <w:i/>
          <w:iCs/>
          <w:color w:val="000000"/>
          <w:sz w:val="24"/>
          <w:szCs w:val="24"/>
        </w:rPr>
        <w:t>17</w:t>
      </w:r>
      <w:r>
        <w:rPr>
          <w:rFonts w:ascii="Times New Roman" w:cs="Times New Roman" w:hAnsi="Times New Roman"/>
          <w:color w:val="000000"/>
          <w:sz w:val="24"/>
          <w:szCs w:val="24"/>
        </w:rPr>
        <w:t>(6), p.22.</w:t>
      </w:r>
    </w:p>
    <w:p>
      <w:pPr>
        <w:spacing w:line="360" w:lineRule="auto"/>
        <w:jc w:val="both"/>
        <w:rPr>
          <w:rFonts w:ascii="Times New Roman" w:cs="Times New Roman" w:hAnsi="Times New Roman"/>
          <w:bCs/>
          <w:color w:val="000000"/>
          <w:sz w:val="24"/>
          <w:szCs w:val="24"/>
        </w:rPr>
      </w:pPr>
      <w:r>
        <w:rPr>
          <w:rFonts w:ascii="Times New Roman" w:cs="Times New Roman" w:hAnsi="Times New Roman"/>
          <w:bCs/>
          <w:color w:val="000000"/>
          <w:sz w:val="24"/>
          <w:szCs w:val="24"/>
        </w:rPr>
        <w:t xml:space="preserve">Statista (2022), Annual revenue of Next plc from financial year 2012 to 2022 in the United Kingdom (UK), </w:t>
      </w:r>
      <w:r>
        <w:rPr>
          <w:rFonts w:ascii="Times New Roman" w:cs="Times New Roman" w:hAnsi="Times New Roman"/>
          <w:color w:val="000000"/>
          <w:sz w:val="24"/>
          <w:szCs w:val="24"/>
        </w:rPr>
        <w:t xml:space="preserve">Available at: </w:t>
      </w:r>
      <w:r>
        <w:rPr>
          <w:rStyle w:val="19"/>
          <w:rFonts w:ascii="Times New Roman" w:cs="Times New Roman" w:hAnsi="Times New Roman"/>
          <w:color w:val="000000"/>
          <w:sz w:val="24"/>
          <w:szCs w:val="24"/>
          <w:u w:val="none"/>
        </w:rPr>
        <w:fldChar w:fldCharType="begin"/>
      </w:r>
      <w:r>
        <w:instrText>HYPERLINK "https://www.statista.com/statistics/544243/next-annual-revenue-uk/"</w:instrText>
      </w:r>
      <w:r>
        <w:rPr>
          <w:rStyle w:val="19"/>
          <w:rFonts w:ascii="Times New Roman" w:cs="Times New Roman" w:hAnsi="Times New Roman"/>
          <w:color w:val="000000"/>
          <w:sz w:val="24"/>
          <w:szCs w:val="24"/>
          <w:u w:val="none"/>
        </w:rPr>
        <w:fldChar w:fldCharType="separate"/>
      </w:r>
      <w:r>
        <w:rPr>
          <w:rStyle w:val="19"/>
          <w:rFonts w:ascii="Times New Roman" w:cs="Times New Roman" w:hAnsi="Times New Roman"/>
          <w:color w:val="000000"/>
          <w:sz w:val="24"/>
          <w:szCs w:val="24"/>
          <w:u w:val="none"/>
        </w:rPr>
        <w:t>https://www.statista.com/statistics/544243/next-annual-revenue-uk/</w:t>
      </w:r>
      <w:r>
        <w:rPr>
          <w:rStyle w:val="19"/>
          <w:rFonts w:ascii="Times New Roman" w:cs="Times New Roman" w:hAnsi="Times New Roman"/>
          <w:color w:val="000000"/>
          <w:sz w:val="24"/>
          <w:szCs w:val="24"/>
          <w:u w:val="none"/>
        </w:rPr>
        <w:fldChar w:fldCharType="end"/>
      </w:r>
      <w:r>
        <w:rPr>
          <w:rFonts w:ascii="Times New Roman" w:cs="Times New Roman" w:hAnsi="Times New Roman"/>
          <w:color w:val="000000"/>
          <w:sz w:val="24"/>
          <w:szCs w:val="24"/>
        </w:rPr>
        <w:t xml:space="preserve"> [accessed on 16/12/2022]</w:t>
      </w:r>
    </w:p>
    <w:p>
      <w:pPr>
        <w:spacing w:line="360" w:lineRule="auto"/>
        <w:jc w:val="both"/>
        <w:rPr>
          <w:rFonts w:ascii="Times New Roman" w:cs="Times New Roman" w:hAnsi="Times New Roman"/>
          <w:bCs/>
          <w:color w:val="000000"/>
          <w:sz w:val="24"/>
          <w:szCs w:val="24"/>
        </w:rPr>
      </w:pPr>
      <w:r>
        <w:rPr>
          <w:rFonts w:ascii="Times New Roman" w:cs="Times New Roman" w:hAnsi="Times New Roman"/>
          <w:color w:val="000000"/>
          <w:sz w:val="24"/>
          <w:szCs w:val="24"/>
        </w:rPr>
        <w:t>Statista</w:t>
      </w:r>
      <w:r>
        <w:rPr>
          <w:rFonts w:ascii="Times New Roman" w:cs="Times New Roman" w:hAnsi="Times New Roman"/>
          <w:bCs/>
          <w:color w:val="000000"/>
          <w:sz w:val="24"/>
          <w:szCs w:val="24"/>
        </w:rPr>
        <w:t xml:space="preserve"> (2022), Internet share of retail sales monthly in Great Britain 2018-2022, </w:t>
      </w:r>
      <w:r>
        <w:rPr>
          <w:rFonts w:ascii="Times New Roman" w:cs="Times New Roman" w:hAnsi="Times New Roman"/>
          <w:color w:val="000000"/>
          <w:sz w:val="24"/>
          <w:szCs w:val="24"/>
        </w:rPr>
        <w:t>Available at:</w:t>
      </w:r>
      <w:r>
        <w:rPr>
          <w:color w:val="000000"/>
        </w:rPr>
        <w:t xml:space="preserve"> </w:t>
      </w:r>
      <w:r>
        <w:rPr>
          <w:rFonts w:ascii="Times New Roman" w:cs="Times New Roman" w:hAnsi="Times New Roman"/>
          <w:color w:val="000000"/>
          <w:sz w:val="24"/>
          <w:szCs w:val="24"/>
        </w:rPr>
        <w:t>https://www.statista.com/statistics/286384/internet-share-of-retail-sales-monthly-in-the-united-kingdom-uk/ [accessed on 16/12/2022]</w:t>
      </w:r>
    </w:p>
    <w:p>
      <w:pPr>
        <w:spacing w:line="360" w:lineRule="auto"/>
        <w:jc w:val="both"/>
        <w:rPr>
          <w:rFonts w:ascii="Times New Roman" w:cs="Times New Roman" w:hAnsi="Times New Roman"/>
          <w:bCs/>
          <w:color w:val="000000"/>
          <w:sz w:val="24"/>
          <w:szCs w:val="24"/>
        </w:rPr>
      </w:pPr>
      <w:r>
        <w:rPr>
          <w:rFonts w:ascii="Times New Roman" w:cs="Times New Roman" w:hAnsi="Times New Roman"/>
          <w:color w:val="000000"/>
          <w:sz w:val="24"/>
          <w:szCs w:val="24"/>
        </w:rPr>
        <w:t>Trade</w:t>
      </w:r>
      <w:r>
        <w:rPr>
          <w:rFonts w:ascii="Times New Roman" w:cs="Times New Roman" w:hAnsi="Times New Roman"/>
          <w:bCs/>
          <w:color w:val="000000"/>
          <w:sz w:val="24"/>
          <w:szCs w:val="24"/>
        </w:rPr>
        <w:t xml:space="preserve"> (2022), United Kingdom - Country Commercial Guide, </w:t>
      </w:r>
      <w:r>
        <w:rPr>
          <w:rFonts w:ascii="Times New Roman" w:cs="Times New Roman" w:hAnsi="Times New Roman"/>
          <w:color w:val="000000"/>
          <w:sz w:val="24"/>
          <w:szCs w:val="24"/>
        </w:rPr>
        <w:t>Available at: https://www.trade.gov/country-commercial-guides/united-kingdom-ecommerce [accessed on 16/12/2022]</w:t>
      </w:r>
    </w:p>
    <w:p>
      <w:pPr>
        <w:pStyle w:val="15"/>
        <w:spacing w:line="360" w:lineRule="auto"/>
        <w:jc w:val="both"/>
        <w:rPr>
          <w:rFonts w:ascii="Times New Roman" w:eastAsia="Times New Roman" w:cs="Times New Roman" w:hAnsi="Times New Roman"/>
          <w:b/>
          <w:sz w:val="24"/>
          <w:szCs w:val="24"/>
        </w:rPr>
      </w:pPr>
    </w:p>
    <w:p>
      <w:pPr>
        <w:pStyle w:val="15"/>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 </w:t>
      </w:r>
    </w:p>
    <w:sectPr>
      <w:footerReference w:type="default" r:id="rId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docGrid w:linePitch="312"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Droid Sans">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3"/>
      <w:tabs>
        <w:tab w:val="center" w:pos="4680"/>
        <w:tab w:val="right" w:pos="9360"/>
      </w:tabs>
      <w:spacing w:line="360" w:lineRule="auto"/>
      <w:jc w:val="right"/>
    </w:pPr>
    <w:r>
      <w:rPr>
        <w:rFonts w:ascii="Times New Roman" w:cs="Times New Roman" w:hAnsi="Times New Roman"/>
        <w:sz w:val="20"/>
        <w:szCs w:val="20"/>
      </w:rPr>
      <w:fldChar w:fldCharType="begin"/>
    </w:r>
    <w:r>
      <w:rPr>
        <w:rFonts w:ascii="Times New Roman" w:cs="Times New Roman" w:hAnsi="Times New Roman"/>
        <w:sz w:val="20"/>
        <w:szCs w:val="20"/>
      </w:rPr>
      <w:instrText xml:space="preserve"> PAGE   \* MERGEFORMAT </w:instrText>
    </w:r>
    <w:r>
      <w:rPr>
        <w:rFonts w:ascii="Times New Roman" w:cs="Times New Roman" w:hAnsi="Times New Roman"/>
        <w:sz w:val="20"/>
        <w:szCs w:val="20"/>
      </w:rPr>
      <w:fldChar w:fldCharType="separate"/>
    </w:r>
    <w:r>
      <w:rPr>
        <w:rFonts w:ascii="Times New Roman" w:cs="Times New Roman" w:hAnsi="Times New Roman"/>
        <w:sz w:val="20"/>
        <w:szCs w:val="20"/>
      </w:rPr>
      <w:t>1</w:t>
    </w:r>
    <w:r>
      <w:rPr>
        <w:rFonts w:ascii="Times New Roman" w:cs="Times New Roman" w:hAnsi="Times New Roman"/>
        <w:sz w:val="20"/>
        <w:szCs w:val="20"/>
      </w:rPr>
      <w:fldChar w:fldCharType="end"/>
    </w:r>
  </w:p>
  <w:p>
    <w:pPr>
      <w:pStyle w:val="23"/>
      <w:tabs>
        <w:tab w:val="center" w:pos="4680"/>
        <w:tab w:val="right" w:pos="9360"/>
      </w:tabs>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39F81A15"/>
    <w:multiLevelType w:val="multilevel"/>
    <w:tmpl w:val="94B8D4A6"/>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
    <w:nsid w:val="6E092F79"/>
    <w:multiLevelType w:val="multilevel"/>
    <w:tmpl w:val="CD9C72EA"/>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2">
    <w:nsid w:val="5D8E644D"/>
    <w:multiLevelType w:val="multilevel"/>
    <w:tmpl w:val="5B402F72"/>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3">
    <w:nsid w:val="7DE91BD3"/>
    <w:multiLevelType w:val="multilevel"/>
    <w:tmpl w:val="68CCE470"/>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4">
    <w:nsid w:val="3DC5747D"/>
    <w:multiLevelType w:val="multilevel"/>
    <w:tmpl w:val="5F1C3BDC"/>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5">
    <w:nsid w:val="4633576A"/>
    <w:multiLevelType w:val="multilevel"/>
    <w:tmpl w:val="92203D44"/>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6">
    <w:nsid w:val="2BEC493C"/>
    <w:multiLevelType w:val="multilevel"/>
    <w:tmpl w:val="72524A7E"/>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7">
    <w:nsid w:val="29427E5D"/>
    <w:multiLevelType w:val="multilevel"/>
    <w:tmpl w:val="34340426"/>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8">
    <w:nsid w:val="4BAA0E40"/>
    <w:multiLevelType w:val="multilevel"/>
    <w:tmpl w:val="BA725E70"/>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2"/>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276" w:lineRule="auto"/>
    </w:pPr>
    <w:rPr>
      <w:rFonts w:ascii="Arial" w:eastAsia="Arial" w:cs="Arial" w:hAnsi="Arial"/>
      <w:sz w:val="22"/>
      <w:szCs w:val="22"/>
      <w:lang w:val="en-US" w:eastAsia="en-US" w:bidi="ar-SA"/>
    </w:rPr>
  </w:style>
  <w:style w:type="paragraph" w:styleId="1">
    <w:name w:val="heading 1"/>
    <w:basedOn w:val="15"/>
    <w:next w:val="15"/>
    <w:pPr>
      <w:keepNext/>
      <w:keepLines/>
      <w:spacing w:before="400" w:after="120" w:line="360" w:lineRule="auto"/>
      <w:jc w:val="both"/>
      <w:outlineLvl w:val="0"/>
    </w:pPr>
    <w:rPr>
      <w:rFonts w:ascii="Times New Roman" w:hAnsi="Times New Roman"/>
      <w:b/>
      <w:sz w:val="28"/>
      <w:szCs w:val="40"/>
    </w:rPr>
  </w:style>
  <w:style w:type="paragraph" w:styleId="2">
    <w:name w:val="heading 2"/>
    <w:basedOn w:val="15"/>
    <w:next w:val="15"/>
    <w:pPr>
      <w:keepNext/>
      <w:keepLines/>
      <w:spacing w:before="360" w:after="120"/>
      <w:outlineLvl w:val="1"/>
    </w:pPr>
    <w:rPr>
      <w:sz w:val="32"/>
      <w:szCs w:val="32"/>
    </w:rPr>
  </w:style>
  <w:style w:type="paragraph" w:styleId="3">
    <w:name w:val="heading 3"/>
    <w:basedOn w:val="15"/>
    <w:next w:val="15"/>
    <w:pPr>
      <w:keepNext/>
      <w:keepLines/>
      <w:spacing w:before="320" w:after="80"/>
      <w:outlineLvl w:val="2"/>
    </w:pPr>
    <w:rPr>
      <w:color w:val="434343"/>
      <w:sz w:val="28"/>
      <w:szCs w:val="28"/>
    </w:rPr>
  </w:style>
  <w:style w:type="paragraph" w:styleId="4">
    <w:name w:val="heading 4"/>
    <w:basedOn w:val="15"/>
    <w:next w:val="15"/>
    <w:pPr>
      <w:keepNext/>
      <w:keepLines/>
      <w:spacing w:before="280" w:after="80"/>
      <w:outlineLvl w:val="3"/>
    </w:pPr>
    <w:rPr>
      <w:color w:val="666666"/>
      <w:sz w:val="24"/>
      <w:szCs w:val="24"/>
    </w:rPr>
  </w:style>
  <w:style w:type="paragraph" w:styleId="5">
    <w:name w:val="heading 5"/>
    <w:basedOn w:val="15"/>
    <w:next w:val="15"/>
    <w:pPr>
      <w:keepNext/>
      <w:keepLines/>
      <w:spacing w:before="240" w:after="80"/>
      <w:outlineLvl w:val="4"/>
    </w:pPr>
    <w:rPr>
      <w:color w:val="666666"/>
    </w:rPr>
  </w:style>
  <w:style w:type="paragraph" w:styleId="6">
    <w:name w:val="heading 6"/>
    <w:basedOn w:val="15"/>
    <w:next w:val="15"/>
    <w:pPr>
      <w:keepNext/>
      <w:keepLines/>
      <w:spacing w:before="240" w:after="80"/>
      <w:outlineLvl w:val="5"/>
    </w:pPr>
    <w:rPr>
      <w:i/>
      <w:color w:val="666666"/>
    </w:rPr>
  </w:style>
  <w:style w:type="character" w:default="1" w:styleId="10">
    <w:name w:val="Default Paragraph Font"/>
  </w:style>
  <w:style w:type="paragraph" w:customStyle="1" w:styleId="15">
    <w:name w:val="normal"/>
    <w:pPr>
      <w:spacing w:line="276" w:lineRule="auto"/>
    </w:pPr>
    <w:rPr>
      <w:rFonts w:ascii="Arial" w:eastAsia="Arial" w:cs="Arial" w:hAnsi="Arial"/>
      <w:sz w:val="22"/>
      <w:szCs w:val="22"/>
      <w:lang w:val="en-US" w:eastAsia="en-US" w:bidi="ar-SA"/>
    </w:rPr>
  </w:style>
  <w:style w:type="paragraph" w:styleId="16">
    <w:name w:val="Title"/>
    <w:basedOn w:val="15"/>
    <w:next w:val="15"/>
    <w:pPr>
      <w:keepNext/>
      <w:keepLines/>
      <w:spacing w:after="60"/>
    </w:pPr>
    <w:rPr>
      <w:sz w:val="52"/>
      <w:szCs w:val="52"/>
    </w:rPr>
  </w:style>
  <w:style w:type="paragraph" w:styleId="17">
    <w:name w:val="Subtitle"/>
    <w:basedOn w:val="15"/>
    <w:next w:val="15"/>
    <w:pPr>
      <w:keepNext/>
      <w:keepLines/>
      <w:spacing w:after="320"/>
    </w:pPr>
    <w:rPr>
      <w:color w:val="666666"/>
      <w:sz w:val="30"/>
      <w:szCs w:val="30"/>
    </w:rPr>
  </w:style>
  <w:style w:type="paragraph" w:styleId="18">
    <w:name w:val="Balloon Text"/>
    <w:basedOn w:val="0"/>
    <w:pPr>
      <w:spacing w:line="240" w:lineRule="auto"/>
    </w:pPr>
    <w:rPr>
      <w:rFonts w:ascii="Tahoma" w:cs="Tahoma" w:hAnsi="Tahoma"/>
      <w:sz w:val="16"/>
      <w:szCs w:val="16"/>
    </w:rPr>
  </w:style>
  <w:style w:type="character" w:styleId="19">
    <w:name w:val="Hyperlink"/>
    <w:basedOn w:val="10"/>
    <w:rPr>
      <w:color w:val="0000FF"/>
      <w:u w:val="single"/>
    </w:rPr>
  </w:style>
  <w:style w:type="paragraph" w:customStyle="1" w:styleId="20">
    <w:name w:val="TOC Heading"/>
    <w:basedOn w:val="1"/>
    <w:next w:val="0"/>
    <w:pPr>
      <w:spacing w:before="480" w:after="0" w:line="276" w:lineRule="auto"/>
      <w:jc w:val="left"/>
      <w:outlineLvl w:val="9"/>
    </w:pPr>
    <w:rPr>
      <w:rFonts w:ascii="Calibri" w:eastAsia="宋体" w:cs="Times New Roman" w:hAnsi="Calibri"/>
      <w:bCs/>
      <w:color w:val="365F91"/>
      <w:szCs w:val="28"/>
      <w:lang w:val="en-US"/>
    </w:rPr>
  </w:style>
  <w:style w:type="paragraph" w:styleId="21">
    <w:name w:val="toc 1"/>
    <w:basedOn w:val="0"/>
    <w:autoRedefine/>
    <w:next w:val="0"/>
    <w:pPr>
      <w:spacing w:after="100"/>
    </w:pPr>
  </w:style>
  <w:style w:type="paragraph" w:styleId="22">
    <w:name w:val="header"/>
    <w:basedOn w:val="0"/>
    <w:pPr>
      <w:tabs>
        <w:tab w:val="center" w:pos="4680"/>
        <w:tab w:val="right" w:pos="9360"/>
      </w:tabs>
      <w:spacing w:line="240" w:lineRule="auto"/>
    </w:pPr>
  </w:style>
  <w:style w:type="paragraph" w:styleId="23">
    <w:name w:val="footer"/>
    <w:basedOn w:val="0"/>
    <w:pPr>
      <w:tabs>
        <w:tab w:val="center" w:pos="4680"/>
        <w:tab w:val="right" w:pos="9360"/>
      </w:tabs>
      <w:spacing w:line="240" w:lineRule="auto"/>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styles" Target="styles.xml"/><Relationship Id="rId7" Type="http://schemas.openxmlformats.org/officeDocument/2006/relationships/numbering" Target="numbering.xml"/><Relationship Id="rId8" Type="http://schemas.openxmlformats.org/officeDocument/2006/relationships/fontTable" Target="fontTable.xml"/></Relationships>
</file>

<file path=docProps/app.xml><?xml version="1.0" encoding="utf-8"?>
<Properties xmlns="http://schemas.openxmlformats.org/officeDocument/2006/extended-properties">
  <Template>Normal.eit</Template>
  <TotalTime>14</TotalTime>
  <Application>Yozo_Office</Application>
  <Pages>18</Pages>
  <Words>2370</Words>
  <Characters>13617</Characters>
  <Lines>359</Lines>
  <Paragraphs>102</Paragraphs>
  <CharactersWithSpaces>15933</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7</cp:revision>
  <dcterms:created xsi:type="dcterms:W3CDTF">2022-12-21T13:42:00Z</dcterms:created>
  <dcterms:modified xsi:type="dcterms:W3CDTF">2023-01-03T10:32:48Z</dcterms:modified>
</cp:coreProperties>
</file>