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47FAD" w:rsidRDefault="00147FAD">
      <w:pPr>
        <w:rPr>
          <w:b/>
          <w:bCs/>
        </w:rPr>
      </w:pPr>
    </w:p>
    <w:p w:rsidR="00147FAD" w:rsidRDefault="00147FAD">
      <w:pPr>
        <w:rPr>
          <w:b/>
          <w:bCs/>
        </w:rPr>
      </w:pPr>
    </w:p>
    <w:p w:rsidR="00147FAD" w:rsidRDefault="00147FAD">
      <w:pPr>
        <w:rPr>
          <w:b/>
          <w:bCs/>
        </w:rPr>
      </w:pPr>
    </w:p>
    <w:p w:rsidR="007C5110" w:rsidRDefault="00BF0A65">
      <w:pPr>
        <w:rPr>
          <w:b/>
          <w:bCs/>
        </w:rPr>
      </w:pPr>
      <w:r>
        <w:rPr>
          <w:b/>
          <w:bCs/>
        </w:rPr>
        <w:t xml:space="preserve">ACCOUNTING FUNDAMENTALS </w:t>
      </w:r>
    </w:p>
    <w:p w:rsidR="00200724" w:rsidRDefault="00200724">
      <w:pPr>
        <w:rPr>
          <w:b/>
          <w:bCs/>
        </w:rPr>
      </w:pPr>
      <w:r>
        <w:rPr>
          <w:b/>
          <w:bCs/>
        </w:rPr>
        <w:t>ASSIGNMENT 1</w:t>
      </w:r>
    </w:p>
    <w:p w:rsidR="00200724" w:rsidRDefault="00200724">
      <w:pPr>
        <w:rPr>
          <w:b/>
          <w:bCs/>
        </w:rPr>
      </w:pPr>
    </w:p>
    <w:p w:rsidR="00200724" w:rsidRDefault="00200724">
      <w:pPr>
        <w:rPr>
          <w:b/>
          <w:bCs/>
        </w:rPr>
      </w:pPr>
      <w:r>
        <w:rPr>
          <w:b/>
          <w:bCs/>
        </w:rPr>
        <w:t xml:space="preserve">ELITSA IVANOVA </w:t>
      </w:r>
    </w:p>
    <w:p w:rsidR="00E0501E" w:rsidRDefault="00200724">
      <w:pPr>
        <w:rPr>
          <w:b/>
          <w:bCs/>
        </w:rPr>
      </w:pPr>
      <w:r>
        <w:rPr>
          <w:b/>
          <w:bCs/>
        </w:rPr>
        <w:t>STUDENT ID:2123</w:t>
      </w:r>
      <w:r w:rsidR="00396249">
        <w:rPr>
          <w:b/>
          <w:bCs/>
        </w:rPr>
        <w:t>375</w:t>
      </w:r>
    </w:p>
    <w:p w:rsidR="00E0501E" w:rsidRDefault="00E80FB6">
      <w:pPr>
        <w:rPr>
          <w:b/>
          <w:bCs/>
        </w:rPr>
      </w:pPr>
      <w:r>
        <w:rPr>
          <w:b/>
          <w:bCs/>
        </w:rPr>
        <w:t>MODULE CODE</w:t>
      </w:r>
      <w:r w:rsidR="00CC78B9">
        <w:rPr>
          <w:b/>
          <w:bCs/>
        </w:rPr>
        <w:t>:LCBB4001</w:t>
      </w:r>
    </w:p>
    <w:p w:rsidR="00E0501E" w:rsidRPr="006F5A32" w:rsidRDefault="003C589F">
      <w:pPr>
        <w:rPr>
          <w:b/>
          <w:bCs/>
        </w:rPr>
      </w:pPr>
      <w:r>
        <w:rPr>
          <w:b/>
          <w:bCs/>
        </w:rPr>
        <w:t>LECTURER</w:t>
      </w:r>
      <w:r w:rsidR="006F5A32">
        <w:rPr>
          <w:b/>
          <w:bCs/>
        </w:rPr>
        <w:t>:MR. NADEEM MIRZA</w:t>
      </w:r>
    </w:p>
    <w:p w:rsidR="00CF0361" w:rsidRDefault="00CF0361">
      <w:pPr>
        <w:rPr>
          <w:rFonts w:asciiTheme="majorHAnsi" w:eastAsiaTheme="majorEastAsia" w:hAnsiTheme="majorHAnsi" w:cstheme="majorBidi"/>
          <w:spacing w:val="-10"/>
          <w:kern w:val="28"/>
          <w:sz w:val="56"/>
          <w:szCs w:val="56"/>
        </w:rPr>
      </w:pPr>
    </w:p>
    <w:p w:rsidR="00CF0361" w:rsidRDefault="00CF0361">
      <w:pPr>
        <w:rPr>
          <w:rFonts w:asciiTheme="majorHAnsi" w:eastAsiaTheme="majorEastAsia" w:hAnsiTheme="majorHAnsi" w:cstheme="majorBidi"/>
          <w:spacing w:val="-10"/>
          <w:kern w:val="28"/>
          <w:sz w:val="56"/>
          <w:szCs w:val="56"/>
        </w:rPr>
      </w:pPr>
    </w:p>
    <w:p w:rsidR="00CF0361" w:rsidRDefault="00CF0361">
      <w:pPr>
        <w:rPr>
          <w:rFonts w:asciiTheme="majorHAnsi" w:eastAsiaTheme="majorEastAsia" w:hAnsiTheme="majorHAnsi" w:cstheme="majorBidi"/>
          <w:spacing w:val="-10"/>
          <w:kern w:val="28"/>
          <w:sz w:val="56"/>
          <w:szCs w:val="56"/>
        </w:rPr>
      </w:pPr>
    </w:p>
    <w:p w:rsidR="00CF0361" w:rsidRDefault="00CF0361">
      <w:pPr>
        <w:rPr>
          <w:rFonts w:asciiTheme="majorHAnsi" w:eastAsiaTheme="majorEastAsia" w:hAnsiTheme="majorHAnsi" w:cstheme="majorBidi"/>
          <w:spacing w:val="-10"/>
          <w:kern w:val="28"/>
          <w:sz w:val="56"/>
          <w:szCs w:val="56"/>
        </w:rPr>
      </w:pPr>
    </w:p>
    <w:p w:rsidR="00CF0361" w:rsidRDefault="00CF0361"/>
    <w:p w:rsidR="00E0501E" w:rsidRDefault="00E0501E"/>
    <w:p w:rsidR="00E0501E" w:rsidRDefault="00E0501E"/>
    <w:p w:rsidR="00E0501E" w:rsidRDefault="00E0501E"/>
    <w:p w:rsidR="00E0501E" w:rsidRDefault="00E0501E"/>
    <w:p w:rsidR="00CF0361" w:rsidRDefault="00CF0361"/>
    <w:p w:rsidR="00CF0361" w:rsidRDefault="00CF0361"/>
    <w:p w:rsidR="00CF0361" w:rsidRDefault="00CF0361"/>
    <w:p w:rsidR="00CF0361" w:rsidRDefault="00CF0361"/>
    <w:p w:rsidR="00CF0361" w:rsidRDefault="00CF0361"/>
    <w:p w:rsidR="00CF0361" w:rsidRDefault="00CF0361"/>
    <w:p w:rsidR="00CF0361" w:rsidRDefault="00CF0361"/>
    <w:sdt>
      <w:sdtPr>
        <w:rPr>
          <w:rFonts w:asciiTheme="minorHAnsi" w:eastAsiaTheme="minorHAnsi" w:hAnsiTheme="minorHAnsi" w:cstheme="minorBidi"/>
          <w:b w:val="0"/>
          <w:bCs w:val="0"/>
          <w:color w:val="auto"/>
          <w:sz w:val="22"/>
          <w:szCs w:val="22"/>
          <w:lang w:val="en-GB"/>
        </w:rPr>
        <w:id w:val="828464017"/>
        <w:docPartObj>
          <w:docPartGallery w:val="Table of Contents"/>
          <w:docPartUnique/>
        </w:docPartObj>
      </w:sdtPr>
      <w:sdtEndPr/>
      <w:sdtContent>
        <w:p w:rsidR="00CF0361" w:rsidRPr="00CF0361" w:rsidRDefault="00CF0361" w:rsidP="00CF0361">
          <w:pPr>
            <w:pStyle w:val="ab"/>
            <w:spacing w:after="240" w:line="480" w:lineRule="auto"/>
            <w:jc w:val="both"/>
            <w:rPr>
              <w:rFonts w:ascii="Times New Roman" w:hAnsi="Times New Roman" w:cs="Times New Roman"/>
              <w:b w:val="0"/>
              <w:sz w:val="24"/>
              <w:szCs w:val="24"/>
            </w:rPr>
          </w:pPr>
          <w:r w:rsidRPr="00CF0361">
            <w:rPr>
              <w:rFonts w:ascii="Times New Roman" w:hAnsi="Times New Roman" w:cs="Times New Roman"/>
            </w:rPr>
            <w:t>Table of Contents</w:t>
          </w:r>
        </w:p>
        <w:p w:rsidR="00CF0361" w:rsidRPr="00CF0361" w:rsidRDefault="00CF0361" w:rsidP="00CF0361">
          <w:pPr>
            <w:pStyle w:val="12"/>
            <w:tabs>
              <w:tab w:val="right" w:leader="dot" w:pos="9016"/>
            </w:tabs>
            <w:spacing w:after="240" w:line="480" w:lineRule="auto"/>
            <w:jc w:val="both"/>
            <w:rPr>
              <w:rFonts w:ascii="Times New Roman" w:hAnsi="Times New Roman" w:cs="Times New Roman"/>
              <w:noProof/>
              <w:sz w:val="24"/>
              <w:szCs w:val="24"/>
            </w:rPr>
          </w:pPr>
          <w:r w:rsidRPr="00CF0361">
            <w:rPr>
              <w:rFonts w:ascii="Times New Roman" w:hAnsi="Times New Roman" w:cs="Times New Roman"/>
              <w:sz w:val="24"/>
              <w:szCs w:val="24"/>
            </w:rPr>
            <w:fldChar w:fldCharType="begin"/>
          </w:r>
          <w:r w:rsidRPr="00CF0361">
            <w:rPr>
              <w:rFonts w:ascii="Times New Roman" w:hAnsi="Times New Roman" w:cs="Times New Roman"/>
              <w:sz w:val="24"/>
              <w:szCs w:val="24"/>
            </w:rPr>
            <w:instrText xml:space="preserve"> TOC \o "1-3" \h \z \u </w:instrText>
          </w:r>
          <w:r w:rsidRPr="00CF0361">
            <w:rPr>
              <w:rFonts w:ascii="Times New Roman" w:hAnsi="Times New Roman" w:cs="Times New Roman"/>
              <w:sz w:val="24"/>
              <w:szCs w:val="24"/>
            </w:rPr>
            <w:fldChar w:fldCharType="separate"/>
          </w:r>
          <w:hyperlink w:anchor="_Toc124376874" w:history="1">
            <w:r w:rsidRPr="00CF0361">
              <w:rPr>
                <w:rStyle w:val="a5"/>
                <w:rFonts w:ascii="Times New Roman" w:hAnsi="Times New Roman" w:cs="Times New Roman"/>
                <w:noProof/>
                <w:sz w:val="24"/>
                <w:szCs w:val="24"/>
              </w:rPr>
              <w:t>Introduction</w:t>
            </w:r>
            <w:r w:rsidRPr="00CF0361">
              <w:rPr>
                <w:rFonts w:ascii="Times New Roman" w:hAnsi="Times New Roman" w:cs="Times New Roman"/>
                <w:noProof/>
                <w:webHidden/>
                <w:sz w:val="24"/>
                <w:szCs w:val="24"/>
              </w:rPr>
              <w:tab/>
            </w:r>
            <w:r w:rsidRPr="00CF0361">
              <w:rPr>
                <w:rFonts w:ascii="Times New Roman" w:hAnsi="Times New Roman" w:cs="Times New Roman"/>
                <w:noProof/>
                <w:webHidden/>
                <w:sz w:val="24"/>
                <w:szCs w:val="24"/>
              </w:rPr>
              <w:fldChar w:fldCharType="begin"/>
            </w:r>
            <w:r w:rsidRPr="00CF0361">
              <w:rPr>
                <w:rFonts w:ascii="Times New Roman" w:hAnsi="Times New Roman" w:cs="Times New Roman"/>
                <w:noProof/>
                <w:webHidden/>
                <w:sz w:val="24"/>
                <w:szCs w:val="24"/>
              </w:rPr>
              <w:instrText xml:space="preserve"> PAGEREF _Toc124376874 \h </w:instrText>
            </w:r>
            <w:r w:rsidRPr="00CF0361">
              <w:rPr>
                <w:rFonts w:ascii="Times New Roman" w:hAnsi="Times New Roman" w:cs="Times New Roman"/>
                <w:noProof/>
                <w:webHidden/>
                <w:sz w:val="24"/>
                <w:szCs w:val="24"/>
              </w:rPr>
            </w:r>
            <w:r w:rsidRPr="00CF0361">
              <w:rPr>
                <w:rFonts w:ascii="Times New Roman" w:hAnsi="Times New Roman" w:cs="Times New Roman"/>
                <w:noProof/>
                <w:webHidden/>
                <w:sz w:val="24"/>
                <w:szCs w:val="24"/>
              </w:rPr>
              <w:fldChar w:fldCharType="separate"/>
            </w:r>
            <w:r w:rsidR="00567184">
              <w:rPr>
                <w:rFonts w:ascii="Times New Roman" w:hAnsi="Times New Roman" w:cs="Times New Roman"/>
                <w:noProof/>
                <w:webHidden/>
                <w:sz w:val="24"/>
                <w:szCs w:val="24"/>
              </w:rPr>
              <w:t>3</w:t>
            </w:r>
            <w:r w:rsidRPr="00CF0361">
              <w:rPr>
                <w:rFonts w:ascii="Times New Roman" w:hAnsi="Times New Roman" w:cs="Times New Roman"/>
                <w:noProof/>
                <w:webHidden/>
                <w:sz w:val="24"/>
                <w:szCs w:val="24"/>
              </w:rPr>
              <w:fldChar w:fldCharType="end"/>
            </w:r>
          </w:hyperlink>
        </w:p>
        <w:p w:rsidR="00CF0361" w:rsidRPr="00CF0361" w:rsidRDefault="00E83C47" w:rsidP="00CF0361">
          <w:pPr>
            <w:pStyle w:val="12"/>
            <w:tabs>
              <w:tab w:val="right" w:leader="dot" w:pos="9016"/>
            </w:tabs>
            <w:spacing w:after="240" w:line="480" w:lineRule="auto"/>
            <w:jc w:val="both"/>
            <w:rPr>
              <w:rFonts w:ascii="Times New Roman" w:hAnsi="Times New Roman" w:cs="Times New Roman"/>
              <w:noProof/>
              <w:sz w:val="24"/>
              <w:szCs w:val="24"/>
            </w:rPr>
          </w:pPr>
          <w:hyperlink w:anchor="_Toc124376875" w:history="1">
            <w:r w:rsidR="00CF0361" w:rsidRPr="00CF0361">
              <w:rPr>
                <w:rStyle w:val="a5"/>
                <w:rFonts w:ascii="Times New Roman" w:hAnsi="Times New Roman" w:cs="Times New Roman"/>
                <w:noProof/>
                <w:sz w:val="24"/>
                <w:szCs w:val="24"/>
              </w:rPr>
              <w:t>Question 1</w:t>
            </w:r>
            <w:r w:rsidR="00CF0361" w:rsidRPr="00CF0361">
              <w:rPr>
                <w:rFonts w:ascii="Times New Roman" w:hAnsi="Times New Roman" w:cs="Times New Roman"/>
                <w:noProof/>
                <w:webHidden/>
                <w:sz w:val="24"/>
                <w:szCs w:val="24"/>
              </w:rPr>
              <w:tab/>
            </w:r>
            <w:r w:rsidR="00CF0361" w:rsidRPr="00CF0361">
              <w:rPr>
                <w:rFonts w:ascii="Times New Roman" w:hAnsi="Times New Roman" w:cs="Times New Roman"/>
                <w:noProof/>
                <w:webHidden/>
                <w:sz w:val="24"/>
                <w:szCs w:val="24"/>
              </w:rPr>
              <w:fldChar w:fldCharType="begin"/>
            </w:r>
            <w:r w:rsidR="00CF0361" w:rsidRPr="00CF0361">
              <w:rPr>
                <w:rFonts w:ascii="Times New Roman" w:hAnsi="Times New Roman" w:cs="Times New Roman"/>
                <w:noProof/>
                <w:webHidden/>
                <w:sz w:val="24"/>
                <w:szCs w:val="24"/>
              </w:rPr>
              <w:instrText xml:space="preserve"> PAGEREF _Toc124376875 \h </w:instrText>
            </w:r>
            <w:r w:rsidR="00CF0361" w:rsidRPr="00CF0361">
              <w:rPr>
                <w:rFonts w:ascii="Times New Roman" w:hAnsi="Times New Roman" w:cs="Times New Roman"/>
                <w:noProof/>
                <w:webHidden/>
                <w:sz w:val="24"/>
                <w:szCs w:val="24"/>
              </w:rPr>
            </w:r>
            <w:r w:rsidR="00CF0361" w:rsidRPr="00CF0361">
              <w:rPr>
                <w:rFonts w:ascii="Times New Roman" w:hAnsi="Times New Roman" w:cs="Times New Roman"/>
                <w:noProof/>
                <w:webHidden/>
                <w:sz w:val="24"/>
                <w:szCs w:val="24"/>
              </w:rPr>
              <w:fldChar w:fldCharType="separate"/>
            </w:r>
            <w:r w:rsidR="00567184">
              <w:rPr>
                <w:rFonts w:ascii="Times New Roman" w:hAnsi="Times New Roman" w:cs="Times New Roman"/>
                <w:noProof/>
                <w:webHidden/>
                <w:sz w:val="24"/>
                <w:szCs w:val="24"/>
              </w:rPr>
              <w:t>3</w:t>
            </w:r>
            <w:r w:rsidR="00CF0361" w:rsidRPr="00CF0361">
              <w:rPr>
                <w:rFonts w:ascii="Times New Roman" w:hAnsi="Times New Roman" w:cs="Times New Roman"/>
                <w:noProof/>
                <w:webHidden/>
                <w:sz w:val="24"/>
                <w:szCs w:val="24"/>
              </w:rPr>
              <w:fldChar w:fldCharType="end"/>
            </w:r>
          </w:hyperlink>
        </w:p>
        <w:p w:rsidR="00CF0361" w:rsidRPr="00CF0361" w:rsidRDefault="00E83C47" w:rsidP="00CF0361">
          <w:pPr>
            <w:pStyle w:val="12"/>
            <w:tabs>
              <w:tab w:val="right" w:leader="dot" w:pos="9016"/>
            </w:tabs>
            <w:spacing w:after="240" w:line="480" w:lineRule="auto"/>
            <w:jc w:val="both"/>
            <w:rPr>
              <w:rFonts w:ascii="Times New Roman" w:hAnsi="Times New Roman" w:cs="Times New Roman"/>
              <w:noProof/>
              <w:sz w:val="24"/>
              <w:szCs w:val="24"/>
            </w:rPr>
          </w:pPr>
          <w:hyperlink w:anchor="_Toc124376876" w:history="1">
            <w:r w:rsidR="00CF0361" w:rsidRPr="00CF0361">
              <w:rPr>
                <w:rStyle w:val="a5"/>
                <w:rFonts w:ascii="Times New Roman" w:hAnsi="Times New Roman" w:cs="Times New Roman"/>
                <w:noProof/>
                <w:sz w:val="24"/>
                <w:szCs w:val="24"/>
              </w:rPr>
              <w:t>Question 2</w:t>
            </w:r>
            <w:r w:rsidR="00CF0361" w:rsidRPr="00CF0361">
              <w:rPr>
                <w:rFonts w:ascii="Times New Roman" w:hAnsi="Times New Roman" w:cs="Times New Roman"/>
                <w:noProof/>
                <w:webHidden/>
                <w:sz w:val="24"/>
                <w:szCs w:val="24"/>
              </w:rPr>
              <w:tab/>
            </w:r>
            <w:r w:rsidR="00CF0361" w:rsidRPr="00CF0361">
              <w:rPr>
                <w:rFonts w:ascii="Times New Roman" w:hAnsi="Times New Roman" w:cs="Times New Roman"/>
                <w:noProof/>
                <w:webHidden/>
                <w:sz w:val="24"/>
                <w:szCs w:val="24"/>
              </w:rPr>
              <w:fldChar w:fldCharType="begin"/>
            </w:r>
            <w:r w:rsidR="00CF0361" w:rsidRPr="00CF0361">
              <w:rPr>
                <w:rFonts w:ascii="Times New Roman" w:hAnsi="Times New Roman" w:cs="Times New Roman"/>
                <w:noProof/>
                <w:webHidden/>
                <w:sz w:val="24"/>
                <w:szCs w:val="24"/>
              </w:rPr>
              <w:instrText xml:space="preserve"> PAGEREF _Toc124376876 \h </w:instrText>
            </w:r>
            <w:r w:rsidR="00CF0361" w:rsidRPr="00CF0361">
              <w:rPr>
                <w:rFonts w:ascii="Times New Roman" w:hAnsi="Times New Roman" w:cs="Times New Roman"/>
                <w:noProof/>
                <w:webHidden/>
                <w:sz w:val="24"/>
                <w:szCs w:val="24"/>
              </w:rPr>
            </w:r>
            <w:r w:rsidR="00CF0361" w:rsidRPr="00CF0361">
              <w:rPr>
                <w:rFonts w:ascii="Times New Roman" w:hAnsi="Times New Roman" w:cs="Times New Roman"/>
                <w:noProof/>
                <w:webHidden/>
                <w:sz w:val="24"/>
                <w:szCs w:val="24"/>
              </w:rPr>
              <w:fldChar w:fldCharType="separate"/>
            </w:r>
            <w:r w:rsidR="00567184">
              <w:rPr>
                <w:rFonts w:ascii="Times New Roman" w:hAnsi="Times New Roman" w:cs="Times New Roman"/>
                <w:noProof/>
                <w:webHidden/>
                <w:sz w:val="24"/>
                <w:szCs w:val="24"/>
              </w:rPr>
              <w:t>7</w:t>
            </w:r>
            <w:r w:rsidR="00CF0361" w:rsidRPr="00CF0361">
              <w:rPr>
                <w:rFonts w:ascii="Times New Roman" w:hAnsi="Times New Roman" w:cs="Times New Roman"/>
                <w:noProof/>
                <w:webHidden/>
                <w:sz w:val="24"/>
                <w:szCs w:val="24"/>
              </w:rPr>
              <w:fldChar w:fldCharType="end"/>
            </w:r>
          </w:hyperlink>
        </w:p>
        <w:p w:rsidR="00CF0361" w:rsidRPr="00CF0361" w:rsidRDefault="00E83C47" w:rsidP="00CF0361">
          <w:pPr>
            <w:pStyle w:val="12"/>
            <w:tabs>
              <w:tab w:val="right" w:leader="dot" w:pos="9016"/>
            </w:tabs>
            <w:spacing w:after="240" w:line="480" w:lineRule="auto"/>
            <w:jc w:val="both"/>
            <w:rPr>
              <w:rFonts w:ascii="Times New Roman" w:hAnsi="Times New Roman" w:cs="Times New Roman"/>
              <w:noProof/>
              <w:sz w:val="24"/>
              <w:szCs w:val="24"/>
            </w:rPr>
          </w:pPr>
          <w:hyperlink w:anchor="_Toc124376877" w:history="1">
            <w:r w:rsidR="00CF0361" w:rsidRPr="00CF0361">
              <w:rPr>
                <w:rStyle w:val="a5"/>
                <w:rFonts w:ascii="Times New Roman" w:hAnsi="Times New Roman" w:cs="Times New Roman"/>
                <w:noProof/>
                <w:sz w:val="24"/>
                <w:szCs w:val="24"/>
              </w:rPr>
              <w:t>References</w:t>
            </w:r>
            <w:r w:rsidR="00CF0361" w:rsidRPr="00CF0361">
              <w:rPr>
                <w:rFonts w:ascii="Times New Roman" w:hAnsi="Times New Roman" w:cs="Times New Roman"/>
                <w:noProof/>
                <w:webHidden/>
                <w:sz w:val="24"/>
                <w:szCs w:val="24"/>
              </w:rPr>
              <w:tab/>
            </w:r>
            <w:r w:rsidR="00CF0361" w:rsidRPr="00CF0361">
              <w:rPr>
                <w:rFonts w:ascii="Times New Roman" w:hAnsi="Times New Roman" w:cs="Times New Roman"/>
                <w:noProof/>
                <w:webHidden/>
                <w:sz w:val="24"/>
                <w:szCs w:val="24"/>
              </w:rPr>
              <w:fldChar w:fldCharType="begin"/>
            </w:r>
            <w:r w:rsidR="00CF0361" w:rsidRPr="00CF0361">
              <w:rPr>
                <w:rFonts w:ascii="Times New Roman" w:hAnsi="Times New Roman" w:cs="Times New Roman"/>
                <w:noProof/>
                <w:webHidden/>
                <w:sz w:val="24"/>
                <w:szCs w:val="24"/>
              </w:rPr>
              <w:instrText xml:space="preserve"> PAGEREF _Toc124376877 \h </w:instrText>
            </w:r>
            <w:r w:rsidR="00CF0361" w:rsidRPr="00CF0361">
              <w:rPr>
                <w:rFonts w:ascii="Times New Roman" w:hAnsi="Times New Roman" w:cs="Times New Roman"/>
                <w:noProof/>
                <w:webHidden/>
                <w:sz w:val="24"/>
                <w:szCs w:val="24"/>
              </w:rPr>
            </w:r>
            <w:r w:rsidR="00CF0361" w:rsidRPr="00CF0361">
              <w:rPr>
                <w:rFonts w:ascii="Times New Roman" w:hAnsi="Times New Roman" w:cs="Times New Roman"/>
                <w:noProof/>
                <w:webHidden/>
                <w:sz w:val="24"/>
                <w:szCs w:val="24"/>
              </w:rPr>
              <w:fldChar w:fldCharType="separate"/>
            </w:r>
            <w:r w:rsidR="00567184">
              <w:rPr>
                <w:rFonts w:ascii="Times New Roman" w:hAnsi="Times New Roman" w:cs="Times New Roman"/>
                <w:noProof/>
                <w:webHidden/>
                <w:sz w:val="24"/>
                <w:szCs w:val="24"/>
              </w:rPr>
              <w:t>12</w:t>
            </w:r>
            <w:r w:rsidR="00CF0361" w:rsidRPr="00CF0361">
              <w:rPr>
                <w:rFonts w:ascii="Times New Roman" w:hAnsi="Times New Roman" w:cs="Times New Roman"/>
                <w:noProof/>
                <w:webHidden/>
                <w:sz w:val="24"/>
                <w:szCs w:val="24"/>
              </w:rPr>
              <w:fldChar w:fldCharType="end"/>
            </w:r>
          </w:hyperlink>
        </w:p>
        <w:p w:rsidR="00CF0361" w:rsidRDefault="00CF0361" w:rsidP="00CF0361">
          <w:pPr>
            <w:spacing w:after="240" w:line="480" w:lineRule="auto"/>
            <w:jc w:val="both"/>
          </w:pPr>
          <w:r w:rsidRPr="00CF0361">
            <w:rPr>
              <w:rFonts w:ascii="Times New Roman" w:hAnsi="Times New Roman" w:cs="Times New Roman"/>
              <w:sz w:val="24"/>
              <w:szCs w:val="24"/>
            </w:rPr>
            <w:fldChar w:fldCharType="end"/>
          </w:r>
        </w:p>
      </w:sdtContent>
    </w:sdt>
    <w:p w:rsidR="00CF0361" w:rsidRDefault="00CF0361"/>
    <w:p w:rsidR="00CF0361" w:rsidRDefault="00CF0361"/>
    <w:p w:rsidR="00E0501E" w:rsidRDefault="00E0501E"/>
    <w:p w:rsidR="00E0501E" w:rsidRDefault="00E0501E"/>
    <w:p w:rsidR="00E0501E" w:rsidRDefault="00E0501E"/>
    <w:p w:rsidR="00CF0361" w:rsidRDefault="00CF0361"/>
    <w:p w:rsidR="00CF0361" w:rsidRDefault="00CF0361"/>
    <w:p w:rsidR="00CF0361" w:rsidRDefault="00CF0361"/>
    <w:p w:rsidR="00CF0361" w:rsidRDefault="00CF0361"/>
    <w:p w:rsidR="00CF0361" w:rsidRDefault="00CF0361"/>
    <w:p w:rsidR="00CF0361" w:rsidRDefault="00CF0361"/>
    <w:p w:rsidR="00CF0361" w:rsidRDefault="00CF0361"/>
    <w:p w:rsidR="00CF0361" w:rsidRDefault="00CF0361"/>
    <w:p w:rsidR="00CF0361" w:rsidRDefault="00CF0361"/>
    <w:p w:rsidR="00CF0361" w:rsidRDefault="00CF0361"/>
    <w:p w:rsidR="00E0501E" w:rsidRDefault="00E0501E"/>
    <w:p w:rsidR="00E0501E" w:rsidRDefault="00E0501E"/>
    <w:p w:rsidR="00E0501E" w:rsidRDefault="00E0501E"/>
    <w:p w:rsidR="00E0501E" w:rsidRPr="004819C3" w:rsidRDefault="00E0501E" w:rsidP="004819C3">
      <w:pPr>
        <w:pStyle w:val="1"/>
        <w:spacing w:after="240" w:line="360" w:lineRule="auto"/>
        <w:rPr>
          <w:rFonts w:ascii="Times New Roman" w:hAnsi="Times New Roman" w:cs="Times New Roman"/>
          <w:b/>
          <w:sz w:val="28"/>
          <w:szCs w:val="28"/>
        </w:rPr>
      </w:pPr>
      <w:bookmarkStart w:id="0" w:name="_Toc124376874"/>
      <w:r w:rsidRPr="004819C3">
        <w:rPr>
          <w:rFonts w:ascii="Times New Roman" w:hAnsi="Times New Roman" w:cs="Times New Roman"/>
          <w:b/>
          <w:sz w:val="28"/>
          <w:szCs w:val="28"/>
        </w:rPr>
        <w:lastRenderedPageBreak/>
        <w:t>Introduction</w:t>
      </w:r>
      <w:bookmarkEnd w:id="0"/>
    </w:p>
    <w:p w:rsidR="004819C3" w:rsidRPr="004819C3" w:rsidRDefault="009D00D1" w:rsidP="004819C3">
      <w:pPr>
        <w:spacing w:after="240" w:line="360" w:lineRule="auto"/>
        <w:jc w:val="both"/>
        <w:rPr>
          <w:rFonts w:ascii="Times New Roman" w:hAnsi="Times New Roman" w:cs="Times New Roman"/>
          <w:sz w:val="24"/>
          <w:szCs w:val="24"/>
        </w:rPr>
      </w:pPr>
      <w:r w:rsidRPr="004819C3">
        <w:rPr>
          <w:rFonts w:ascii="Times New Roman" w:hAnsi="Times New Roman" w:cs="Times New Roman"/>
          <w:sz w:val="24"/>
          <w:szCs w:val="24"/>
        </w:rPr>
        <w:t xml:space="preserve">Accounting is the term which describes the processes related to consolidating financial statement, recording financial transactions and processing any type of other financial data for the needs and purposes of the specific business under consideration (Powell, 2022). A vast majority of accounting activities and procedures are governed by specific standards, such as the preparation of balance sheets, income statements, cash flow statements, journal entries and many more. Accounting is perceived as one of the most important business functions as it keeps records of corporate transactions, facilitates decision-making on managerial level, communicates and assesses different financial results from performance and ensures that legal requirements are met by the business (Powell, 2022). </w:t>
      </w:r>
    </w:p>
    <w:p w:rsidR="00EE24E5" w:rsidRPr="004819C3" w:rsidRDefault="009D00D1" w:rsidP="004819C3">
      <w:pPr>
        <w:spacing w:after="240" w:line="360" w:lineRule="auto"/>
        <w:jc w:val="both"/>
        <w:rPr>
          <w:rFonts w:ascii="Times New Roman" w:hAnsi="Times New Roman" w:cs="Times New Roman"/>
          <w:sz w:val="24"/>
          <w:szCs w:val="24"/>
        </w:rPr>
      </w:pPr>
      <w:r w:rsidRPr="004819C3">
        <w:rPr>
          <w:rFonts w:ascii="Times New Roman" w:hAnsi="Times New Roman" w:cs="Times New Roman"/>
          <w:sz w:val="24"/>
          <w:szCs w:val="24"/>
        </w:rPr>
        <w:t xml:space="preserve">The two main branches of accounting are financial and managerial. Financial accounting involves the preparation of financial statements and processing transactions, while management accounting deals with analysing different financial information upon request according to the current needs of managers or business (Powell, 2022). For example, in the current assignment, Question 1 is focused on financial accounting procedures, as it requires the development of an income statement and statement of financial position. Question 2, on the other hand, is compatible with management accounting, as it involves ratio analysis. </w:t>
      </w:r>
    </w:p>
    <w:p w:rsidR="00EE24E5" w:rsidRPr="004819C3" w:rsidRDefault="00EE24E5" w:rsidP="004819C3">
      <w:pPr>
        <w:pStyle w:val="1"/>
        <w:spacing w:after="240" w:line="360" w:lineRule="auto"/>
        <w:rPr>
          <w:rFonts w:ascii="Times New Roman" w:hAnsi="Times New Roman" w:cs="Times New Roman"/>
          <w:b/>
          <w:sz w:val="24"/>
          <w:szCs w:val="24"/>
        </w:rPr>
      </w:pPr>
      <w:bookmarkStart w:id="1" w:name="_Toc124376875"/>
      <w:r w:rsidRPr="004819C3">
        <w:rPr>
          <w:rFonts w:ascii="Times New Roman" w:hAnsi="Times New Roman" w:cs="Times New Roman"/>
          <w:b/>
          <w:sz w:val="24"/>
          <w:szCs w:val="24"/>
        </w:rPr>
        <w:t>Question 1</w:t>
      </w:r>
      <w:bookmarkEnd w:id="1"/>
    </w:p>
    <w:p w:rsidR="00EE24E5" w:rsidRPr="004819C3" w:rsidRDefault="005F1998" w:rsidP="004819C3">
      <w:pPr>
        <w:spacing w:after="240" w:line="360" w:lineRule="auto"/>
        <w:jc w:val="both"/>
        <w:rPr>
          <w:rFonts w:ascii="Times New Roman" w:hAnsi="Times New Roman" w:cs="Times New Roman"/>
          <w:sz w:val="24"/>
          <w:szCs w:val="24"/>
        </w:rPr>
      </w:pPr>
      <w:r w:rsidRPr="004819C3">
        <w:rPr>
          <w:rFonts w:ascii="Times New Roman" w:hAnsi="Times New Roman" w:cs="Times New Roman"/>
          <w:sz w:val="24"/>
          <w:szCs w:val="24"/>
        </w:rPr>
        <w:t xml:space="preserve">a) </w:t>
      </w:r>
      <w:r w:rsidR="007418F1" w:rsidRPr="004819C3">
        <w:rPr>
          <w:rFonts w:ascii="Times New Roman" w:hAnsi="Times New Roman" w:cs="Times New Roman"/>
          <w:sz w:val="24"/>
          <w:szCs w:val="24"/>
        </w:rPr>
        <w:t xml:space="preserve">An income statement is one of the three most fundamental documents prepared by accountants, in addition to the balance sheet and the cash flow statement. Income statement is one of the first sources of information used to assess the performance of the business and its profitability (Chen, 2022). It shows the sales of the business, cost of sales, operating and non-operating expenses, taxes and final profit or loss made (Chen, 2022). The income statement shows cumulative data for a particular period of time and can be prepared on a monthly, quarterly or annual basis (Chen, 2022). It can be used to evaluate company’s </w:t>
      </w:r>
      <w:r w:rsidR="004819C3" w:rsidRPr="004819C3">
        <w:rPr>
          <w:rFonts w:ascii="Times New Roman" w:hAnsi="Times New Roman" w:cs="Times New Roman"/>
          <w:sz w:val="24"/>
          <w:szCs w:val="24"/>
        </w:rPr>
        <w:t>financial position and success i</w:t>
      </w:r>
      <w:r w:rsidR="007418F1" w:rsidRPr="004819C3">
        <w:rPr>
          <w:rFonts w:ascii="Times New Roman" w:hAnsi="Times New Roman" w:cs="Times New Roman"/>
          <w:sz w:val="24"/>
          <w:szCs w:val="24"/>
        </w:rPr>
        <w:t>n the market, as well as to draw trends of development across different time periods. The income statement for the year ended 31</w:t>
      </w:r>
      <w:r w:rsidR="007418F1" w:rsidRPr="004819C3">
        <w:rPr>
          <w:rFonts w:ascii="Times New Roman" w:hAnsi="Times New Roman" w:cs="Times New Roman"/>
          <w:sz w:val="24"/>
          <w:szCs w:val="24"/>
          <w:vertAlign w:val="superscript"/>
        </w:rPr>
        <w:t>st</w:t>
      </w:r>
      <w:r w:rsidR="007418F1" w:rsidRPr="004819C3">
        <w:rPr>
          <w:rFonts w:ascii="Times New Roman" w:hAnsi="Times New Roman" w:cs="Times New Roman"/>
          <w:sz w:val="24"/>
          <w:szCs w:val="24"/>
        </w:rPr>
        <w:t xml:space="preserve"> December 2021 of Wales Plc is presented below (based on data provided in the case). </w:t>
      </w:r>
    </w:p>
    <w:p w:rsidR="004819C3" w:rsidRPr="004819C3" w:rsidRDefault="004819C3" w:rsidP="004819C3">
      <w:pPr>
        <w:spacing w:after="240" w:line="360" w:lineRule="auto"/>
        <w:jc w:val="both"/>
        <w:rPr>
          <w:rFonts w:ascii="Times New Roman" w:hAnsi="Times New Roman" w:cs="Times New Roman"/>
          <w:sz w:val="24"/>
          <w:szCs w:val="24"/>
        </w:rPr>
      </w:pPr>
    </w:p>
    <w:tbl>
      <w:tblPr>
        <w:tblW w:w="6804" w:type="dxa"/>
        <w:tblLook w:val="04A0" w:firstRow="1" w:lastRow="0" w:firstColumn="1" w:lastColumn="0" w:noHBand="0" w:noVBand="1"/>
      </w:tblPr>
      <w:tblGrid>
        <w:gridCol w:w="3924"/>
        <w:gridCol w:w="2880"/>
      </w:tblGrid>
      <w:tr w:rsidR="00237B83" w:rsidRPr="004819C3" w:rsidTr="007418F1">
        <w:trPr>
          <w:trHeight w:val="615"/>
        </w:trPr>
        <w:tc>
          <w:tcPr>
            <w:tcW w:w="6804" w:type="dxa"/>
            <w:gridSpan w:val="2"/>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center"/>
              <w:rPr>
                <w:rFonts w:ascii="Times New Roman" w:eastAsia="Times New Roman" w:hAnsi="Times New Roman" w:cs="Times New Roman"/>
                <w:b/>
                <w:bCs/>
                <w:i/>
                <w:iCs/>
                <w:color w:val="000000"/>
                <w:sz w:val="24"/>
                <w:szCs w:val="24"/>
                <w:u w:val="single"/>
                <w:lang w:eastAsia="en-GB"/>
              </w:rPr>
            </w:pPr>
            <w:r w:rsidRPr="004819C3">
              <w:rPr>
                <w:rFonts w:ascii="Times New Roman" w:eastAsia="Times New Roman" w:hAnsi="Times New Roman" w:cs="Times New Roman"/>
                <w:b/>
                <w:bCs/>
                <w:i/>
                <w:iCs/>
                <w:color w:val="000000"/>
                <w:sz w:val="24"/>
                <w:szCs w:val="24"/>
                <w:u w:val="single"/>
                <w:lang w:eastAsia="en-GB"/>
              </w:rPr>
              <w:t xml:space="preserve">Income statement for the year ended 31st December 2021 </w:t>
            </w:r>
            <w:r w:rsidR="007418F1" w:rsidRPr="004819C3">
              <w:rPr>
                <w:rFonts w:ascii="Times New Roman" w:eastAsia="Times New Roman" w:hAnsi="Times New Roman" w:cs="Times New Roman"/>
                <w:b/>
                <w:bCs/>
                <w:i/>
                <w:iCs/>
                <w:color w:val="000000"/>
                <w:sz w:val="24"/>
                <w:szCs w:val="24"/>
                <w:u w:val="single"/>
                <w:lang w:eastAsia="en-GB"/>
              </w:rPr>
              <w:t>of</w:t>
            </w:r>
            <w:r w:rsidRPr="004819C3">
              <w:rPr>
                <w:rFonts w:ascii="Times New Roman" w:eastAsia="Times New Roman" w:hAnsi="Times New Roman" w:cs="Times New Roman"/>
                <w:b/>
                <w:bCs/>
                <w:i/>
                <w:iCs/>
                <w:color w:val="000000"/>
                <w:sz w:val="24"/>
                <w:szCs w:val="24"/>
                <w:u w:val="single"/>
                <w:lang w:eastAsia="en-GB"/>
              </w:rPr>
              <w:t xml:space="preserve"> Wales </w:t>
            </w:r>
            <w:r w:rsidRPr="004819C3">
              <w:rPr>
                <w:rFonts w:ascii="Times New Roman" w:eastAsia="Times New Roman" w:hAnsi="Times New Roman" w:cs="Times New Roman"/>
                <w:b/>
                <w:bCs/>
                <w:i/>
                <w:iCs/>
                <w:color w:val="000000"/>
                <w:sz w:val="24"/>
                <w:szCs w:val="24"/>
                <w:u w:val="single"/>
                <w:lang w:eastAsia="en-GB"/>
              </w:rPr>
              <w:lastRenderedPageBreak/>
              <w:t>Plc</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lastRenderedPageBreak/>
              <w:t>Sales</w:t>
            </w:r>
            <w:r w:rsidR="007418F1" w:rsidRPr="004819C3">
              <w:rPr>
                <w:rFonts w:ascii="Times New Roman" w:eastAsia="Times New Roman" w:hAnsi="Times New Roman" w:cs="Times New Roman"/>
                <w:color w:val="000000"/>
                <w:sz w:val="24"/>
                <w:szCs w:val="24"/>
                <w:lang w:eastAsia="en-GB"/>
              </w:rPr>
              <w:t xml:space="preserve"> revenue</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£800,980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Cost of sales</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£578,650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Gross profit</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£222,330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b/>
                <w:bCs/>
                <w:color w:val="000000"/>
                <w:sz w:val="24"/>
                <w:szCs w:val="24"/>
                <w:lang w:eastAsia="en-GB"/>
              </w:rPr>
            </w:pP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sz w:val="24"/>
                <w:szCs w:val="24"/>
                <w:lang w:eastAsia="en-GB"/>
              </w:rPr>
            </w:pP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Administrative expenses</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£30,000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Distribution costs</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£28,000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Sales commission</w:t>
            </w:r>
            <w:r w:rsidR="007418F1" w:rsidRPr="004819C3">
              <w:rPr>
                <w:rFonts w:ascii="Times New Roman" w:eastAsia="Times New Roman" w:hAnsi="Times New Roman" w:cs="Times New Roman"/>
                <w:color w:val="000000"/>
                <w:sz w:val="24"/>
                <w:szCs w:val="24"/>
                <w:lang w:eastAsia="en-GB"/>
              </w:rPr>
              <w:t xml:space="preserve"> </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£3,000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Directors</w:t>
            </w:r>
            <w:r w:rsidR="007418F1" w:rsidRPr="004819C3">
              <w:rPr>
                <w:rFonts w:ascii="Times New Roman" w:eastAsia="Times New Roman" w:hAnsi="Times New Roman" w:cs="Times New Roman"/>
                <w:color w:val="000000"/>
                <w:sz w:val="24"/>
                <w:szCs w:val="24"/>
                <w:lang w:eastAsia="en-GB"/>
              </w:rPr>
              <w:t>’</w:t>
            </w:r>
            <w:r w:rsidRPr="004819C3">
              <w:rPr>
                <w:rFonts w:ascii="Times New Roman" w:eastAsia="Times New Roman" w:hAnsi="Times New Roman" w:cs="Times New Roman"/>
                <w:color w:val="000000"/>
                <w:sz w:val="24"/>
                <w:szCs w:val="24"/>
                <w:lang w:eastAsia="en-GB"/>
              </w:rPr>
              <w:t xml:space="preserve"> remuneration</w:t>
            </w:r>
            <w:r w:rsidR="007418F1" w:rsidRPr="004819C3">
              <w:rPr>
                <w:rFonts w:ascii="Times New Roman" w:eastAsia="Times New Roman" w:hAnsi="Times New Roman" w:cs="Times New Roman"/>
                <w:color w:val="000000"/>
                <w:sz w:val="24"/>
                <w:szCs w:val="24"/>
                <w:lang w:eastAsia="en-GB"/>
              </w:rPr>
              <w:t xml:space="preserve"> amount</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£5,000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 xml:space="preserve">Interest </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£2,000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Profit before taxes</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£154,330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b/>
                <w:bCs/>
                <w:color w:val="000000"/>
                <w:sz w:val="24"/>
                <w:szCs w:val="24"/>
                <w:lang w:eastAsia="en-GB"/>
              </w:rPr>
            </w:pP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sz w:val="24"/>
                <w:szCs w:val="24"/>
                <w:lang w:eastAsia="en-GB"/>
              </w:rPr>
            </w:pP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Corporate tax</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£100,000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Preference dividends paid</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£30,000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Ordinary dividend paid</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£20,000</w:t>
            </w:r>
          </w:p>
        </w:tc>
      </w:tr>
      <w:tr w:rsidR="00237B83" w:rsidRPr="004819C3" w:rsidTr="007418F1">
        <w:trPr>
          <w:trHeight w:val="300"/>
        </w:trPr>
        <w:tc>
          <w:tcPr>
            <w:tcW w:w="3924"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Net profit</w:t>
            </w:r>
            <w:r w:rsidR="00986C43" w:rsidRPr="004819C3">
              <w:rPr>
                <w:rFonts w:ascii="Times New Roman" w:eastAsia="Times New Roman" w:hAnsi="Times New Roman" w:cs="Times New Roman"/>
                <w:b/>
                <w:bCs/>
                <w:color w:val="000000"/>
                <w:sz w:val="24"/>
                <w:szCs w:val="24"/>
                <w:lang w:eastAsia="en-GB"/>
              </w:rPr>
              <w:t xml:space="preserve"> for the year</w:t>
            </w:r>
          </w:p>
        </w:tc>
        <w:tc>
          <w:tcPr>
            <w:tcW w:w="2880" w:type="dxa"/>
            <w:tcBorders>
              <w:top w:val="nil"/>
              <w:left w:val="nil"/>
              <w:bottom w:val="nil"/>
              <w:right w:val="nil"/>
            </w:tcBorders>
            <w:shd w:val="clear" w:color="auto" w:fill="auto"/>
            <w:noWrap/>
            <w:vAlign w:val="bottom"/>
            <w:hideMark/>
          </w:tcPr>
          <w:p w:rsidR="00237B83" w:rsidRPr="004819C3" w:rsidRDefault="00237B83" w:rsidP="004819C3">
            <w:pPr>
              <w:spacing w:after="240" w:line="360" w:lineRule="auto"/>
              <w:jc w:val="right"/>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£4,330</w:t>
            </w:r>
          </w:p>
        </w:tc>
      </w:tr>
    </w:tbl>
    <w:p w:rsidR="00237B83" w:rsidRPr="004819C3" w:rsidRDefault="00237B83" w:rsidP="004819C3">
      <w:pPr>
        <w:spacing w:after="240" w:line="360" w:lineRule="auto"/>
        <w:rPr>
          <w:rFonts w:ascii="Times New Roman" w:hAnsi="Times New Roman" w:cs="Times New Roman"/>
          <w:sz w:val="24"/>
          <w:szCs w:val="24"/>
        </w:rPr>
      </w:pPr>
    </w:p>
    <w:p w:rsidR="005F1998" w:rsidRPr="004819C3" w:rsidRDefault="00986C43"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Additional explanations:</w:t>
      </w:r>
    </w:p>
    <w:p w:rsidR="005F1998" w:rsidRPr="004819C3" w:rsidRDefault="005F1998"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Sales</w:t>
      </w:r>
      <w:r w:rsidR="00986C43" w:rsidRPr="004819C3">
        <w:rPr>
          <w:rFonts w:ascii="Times New Roman" w:hAnsi="Times New Roman" w:cs="Times New Roman"/>
          <w:sz w:val="24"/>
          <w:szCs w:val="24"/>
        </w:rPr>
        <w:t xml:space="preserve"> revenue</w:t>
      </w:r>
      <w:r w:rsidRPr="004819C3">
        <w:rPr>
          <w:rFonts w:ascii="Times New Roman" w:hAnsi="Times New Roman" w:cs="Times New Roman"/>
          <w:sz w:val="24"/>
          <w:szCs w:val="24"/>
        </w:rPr>
        <w:t xml:space="preserve"> = </w:t>
      </w:r>
      <w:r w:rsidR="00986C43" w:rsidRPr="004819C3">
        <w:rPr>
          <w:rFonts w:ascii="Times New Roman" w:hAnsi="Times New Roman" w:cs="Times New Roman"/>
          <w:sz w:val="24"/>
          <w:szCs w:val="24"/>
        </w:rPr>
        <w:t>£</w:t>
      </w:r>
      <w:r w:rsidRPr="004819C3">
        <w:rPr>
          <w:rFonts w:ascii="Times New Roman" w:hAnsi="Times New Roman" w:cs="Times New Roman"/>
          <w:sz w:val="24"/>
          <w:szCs w:val="24"/>
        </w:rPr>
        <w:t xml:space="preserve">800,000 + </w:t>
      </w:r>
      <w:r w:rsidR="00986C43" w:rsidRPr="004819C3">
        <w:rPr>
          <w:rFonts w:ascii="Times New Roman" w:hAnsi="Times New Roman" w:cs="Times New Roman"/>
          <w:sz w:val="24"/>
          <w:szCs w:val="24"/>
        </w:rPr>
        <w:t>£</w:t>
      </w:r>
      <w:r w:rsidRPr="004819C3">
        <w:rPr>
          <w:rFonts w:ascii="Times New Roman" w:hAnsi="Times New Roman" w:cs="Times New Roman"/>
          <w:sz w:val="24"/>
          <w:szCs w:val="24"/>
        </w:rPr>
        <w:t>980 = £800</w:t>
      </w:r>
      <w:r w:rsidR="00986C43" w:rsidRPr="004819C3">
        <w:rPr>
          <w:rFonts w:ascii="Times New Roman" w:hAnsi="Times New Roman" w:cs="Times New Roman"/>
          <w:sz w:val="24"/>
          <w:szCs w:val="24"/>
        </w:rPr>
        <w:t>,</w:t>
      </w:r>
      <w:r w:rsidR="004819C3" w:rsidRPr="004819C3">
        <w:rPr>
          <w:rFonts w:ascii="Times New Roman" w:hAnsi="Times New Roman" w:cs="Times New Roman"/>
          <w:sz w:val="24"/>
          <w:szCs w:val="24"/>
        </w:rPr>
        <w:t>98</w:t>
      </w:r>
      <w:r w:rsidRPr="004819C3">
        <w:rPr>
          <w:rFonts w:ascii="Times New Roman" w:hAnsi="Times New Roman" w:cs="Times New Roman"/>
          <w:sz w:val="24"/>
          <w:szCs w:val="24"/>
        </w:rPr>
        <w:t>0</w:t>
      </w:r>
      <w:r w:rsidR="00986C43" w:rsidRPr="004819C3">
        <w:rPr>
          <w:rFonts w:ascii="Times New Roman" w:hAnsi="Times New Roman" w:cs="Times New Roman"/>
          <w:sz w:val="24"/>
          <w:szCs w:val="24"/>
        </w:rPr>
        <w:t xml:space="preserve"> (sales should also include the revenue incurred in December by goods shipped to consumers, although it is not yet recorded in the ledgers). </w:t>
      </w:r>
    </w:p>
    <w:p w:rsidR="005F1998" w:rsidRPr="004819C3" w:rsidRDefault="005F1998"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Gross profit = Sales</w:t>
      </w:r>
      <w:r w:rsidR="00986C43" w:rsidRPr="004819C3">
        <w:rPr>
          <w:rFonts w:ascii="Times New Roman" w:hAnsi="Times New Roman" w:cs="Times New Roman"/>
          <w:sz w:val="24"/>
          <w:szCs w:val="24"/>
        </w:rPr>
        <w:t xml:space="preserve"> revenue</w:t>
      </w:r>
      <w:r w:rsidRPr="004819C3">
        <w:rPr>
          <w:rFonts w:ascii="Times New Roman" w:hAnsi="Times New Roman" w:cs="Times New Roman"/>
          <w:sz w:val="24"/>
          <w:szCs w:val="24"/>
        </w:rPr>
        <w:t xml:space="preserve"> – Cost of sales</w:t>
      </w:r>
    </w:p>
    <w:p w:rsidR="005F1998" w:rsidRPr="004819C3" w:rsidRDefault="005F1998"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Profit before taxes = </w:t>
      </w:r>
      <w:r w:rsidR="00986C43" w:rsidRPr="004819C3">
        <w:rPr>
          <w:rFonts w:ascii="Times New Roman" w:hAnsi="Times New Roman" w:cs="Times New Roman"/>
          <w:sz w:val="24"/>
          <w:szCs w:val="24"/>
        </w:rPr>
        <w:t>Gross profit – Operating expenses</w:t>
      </w:r>
      <w:r w:rsidRPr="004819C3">
        <w:rPr>
          <w:rFonts w:ascii="Times New Roman" w:hAnsi="Times New Roman" w:cs="Times New Roman"/>
          <w:sz w:val="24"/>
          <w:szCs w:val="24"/>
        </w:rPr>
        <w:t xml:space="preserve"> – </w:t>
      </w:r>
      <w:r w:rsidR="00986C43" w:rsidRPr="004819C3">
        <w:rPr>
          <w:rFonts w:ascii="Times New Roman" w:hAnsi="Times New Roman" w:cs="Times New Roman"/>
          <w:sz w:val="24"/>
          <w:szCs w:val="24"/>
        </w:rPr>
        <w:t>Interest</w:t>
      </w:r>
    </w:p>
    <w:p w:rsidR="005F1998" w:rsidRPr="004819C3" w:rsidRDefault="005F1998"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Net profit = Profit before taxes – </w:t>
      </w:r>
      <w:r w:rsidR="00986C43" w:rsidRPr="004819C3">
        <w:rPr>
          <w:rFonts w:ascii="Times New Roman" w:hAnsi="Times New Roman" w:cs="Times New Roman"/>
          <w:sz w:val="24"/>
          <w:szCs w:val="24"/>
        </w:rPr>
        <w:t>Corporate tax</w:t>
      </w:r>
      <w:r w:rsidRPr="004819C3">
        <w:rPr>
          <w:rFonts w:ascii="Times New Roman" w:hAnsi="Times New Roman" w:cs="Times New Roman"/>
          <w:sz w:val="24"/>
          <w:szCs w:val="24"/>
        </w:rPr>
        <w:t xml:space="preserve"> – Dividends </w:t>
      </w:r>
      <w:r w:rsidR="00986C43" w:rsidRPr="004819C3">
        <w:rPr>
          <w:rFonts w:ascii="Times New Roman" w:hAnsi="Times New Roman" w:cs="Times New Roman"/>
          <w:sz w:val="24"/>
          <w:szCs w:val="24"/>
        </w:rPr>
        <w:t>(both ordinary and preference)</w:t>
      </w:r>
    </w:p>
    <w:p w:rsidR="005F1998" w:rsidRPr="004819C3" w:rsidRDefault="005F1998" w:rsidP="004819C3">
      <w:pPr>
        <w:spacing w:after="240" w:line="360" w:lineRule="auto"/>
        <w:rPr>
          <w:rFonts w:ascii="Times New Roman" w:hAnsi="Times New Roman" w:cs="Times New Roman"/>
          <w:sz w:val="24"/>
          <w:szCs w:val="24"/>
        </w:rPr>
      </w:pPr>
    </w:p>
    <w:p w:rsidR="00EA7939" w:rsidRPr="004819C3" w:rsidRDefault="008843E4"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The statement of financial position shows the company’s assets, liabilities and net worth represented by owners’  equity (Estevez, 2022). This document is very important for potential investors, lenders and other stakeholders of a business, as it provides a very good insight about corporate resources, some important policies (e.g. risk tolerance and debt financing) and structure of the organisation (e.g. in terms of shares). The distinctive feature of the statement of financial position is that, unlike income statement and cash flow statement, it does not show values for a period of time, but at a specific date. The statement of financial position of Wales Plc at 31</w:t>
      </w:r>
      <w:r w:rsidRPr="004819C3">
        <w:rPr>
          <w:rFonts w:ascii="Times New Roman" w:hAnsi="Times New Roman" w:cs="Times New Roman"/>
          <w:sz w:val="24"/>
          <w:szCs w:val="24"/>
          <w:vertAlign w:val="superscript"/>
        </w:rPr>
        <w:t>st</w:t>
      </w:r>
      <w:r w:rsidRPr="004819C3">
        <w:rPr>
          <w:rFonts w:ascii="Times New Roman" w:hAnsi="Times New Roman" w:cs="Times New Roman"/>
          <w:sz w:val="24"/>
          <w:szCs w:val="24"/>
        </w:rPr>
        <w:t xml:space="preserve"> of December 2021 is presented as follows:</w:t>
      </w:r>
    </w:p>
    <w:tbl>
      <w:tblPr>
        <w:tblW w:w="6521" w:type="dxa"/>
        <w:tblLook w:val="04A0" w:firstRow="1" w:lastRow="0" w:firstColumn="1" w:lastColumn="0" w:noHBand="0" w:noVBand="1"/>
      </w:tblPr>
      <w:tblGrid>
        <w:gridCol w:w="3949"/>
        <w:gridCol w:w="2572"/>
      </w:tblGrid>
      <w:tr w:rsidR="00EA7939" w:rsidRPr="004819C3" w:rsidTr="008843E4">
        <w:trPr>
          <w:trHeight w:val="600"/>
        </w:trPr>
        <w:tc>
          <w:tcPr>
            <w:tcW w:w="6521" w:type="dxa"/>
            <w:gridSpan w:val="2"/>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center"/>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Statement of financial position at 31st December 2021 for Wales Plc</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center"/>
              <w:rPr>
                <w:rFonts w:ascii="Times New Roman" w:eastAsia="Times New Roman" w:hAnsi="Times New Roman" w:cs="Times New Roman"/>
                <w:b/>
                <w:bCs/>
                <w:color w:val="000000"/>
                <w:sz w:val="24"/>
                <w:szCs w:val="24"/>
                <w:lang w:eastAsia="en-GB"/>
              </w:rPr>
            </w:pP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Assets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b/>
                <w:bCs/>
                <w:color w:val="000000"/>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8843E4" w:rsidP="004819C3">
            <w:pPr>
              <w:spacing w:after="240" w:line="360" w:lineRule="auto"/>
              <w:rPr>
                <w:rFonts w:ascii="Times New Roman" w:eastAsia="Times New Roman" w:hAnsi="Times New Roman" w:cs="Times New Roman"/>
                <w:color w:val="000000"/>
                <w:sz w:val="24"/>
                <w:szCs w:val="24"/>
                <w:u w:val="single"/>
                <w:lang w:eastAsia="en-GB"/>
              </w:rPr>
            </w:pPr>
            <w:r w:rsidRPr="004819C3">
              <w:rPr>
                <w:rFonts w:ascii="Times New Roman" w:eastAsia="Times New Roman" w:hAnsi="Times New Roman" w:cs="Times New Roman"/>
                <w:color w:val="000000"/>
                <w:sz w:val="24"/>
                <w:szCs w:val="24"/>
                <w:u w:val="single"/>
                <w:lang w:eastAsia="en-GB"/>
              </w:rPr>
              <w:t>Non-current</w:t>
            </w:r>
            <w:r w:rsidR="00EA7939" w:rsidRPr="004819C3">
              <w:rPr>
                <w:rFonts w:ascii="Times New Roman" w:eastAsia="Times New Roman" w:hAnsi="Times New Roman" w:cs="Times New Roman"/>
                <w:color w:val="000000"/>
                <w:sz w:val="24"/>
                <w:szCs w:val="24"/>
                <w:u w:val="single"/>
                <w:lang w:eastAsia="en-GB"/>
              </w:rPr>
              <w:t xml:space="preserve"> assets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i/>
                <w:iCs/>
                <w:color w:val="000000"/>
                <w:sz w:val="24"/>
                <w:szCs w:val="24"/>
                <w:u w:val="single"/>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Plant and equipment</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£1,250,000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u w:val="single"/>
                <w:lang w:eastAsia="en-GB"/>
              </w:rPr>
            </w:pPr>
            <w:r w:rsidRPr="004819C3">
              <w:rPr>
                <w:rFonts w:ascii="Times New Roman" w:eastAsia="Times New Roman" w:hAnsi="Times New Roman" w:cs="Times New Roman"/>
                <w:color w:val="000000"/>
                <w:sz w:val="24"/>
                <w:szCs w:val="24"/>
                <w:u w:val="single"/>
                <w:lang w:eastAsia="en-GB"/>
              </w:rPr>
              <w:t>Current assets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i/>
                <w:iCs/>
                <w:color w:val="000000"/>
                <w:sz w:val="24"/>
                <w:szCs w:val="24"/>
                <w:u w:val="single"/>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8843E4"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Trade receivable</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£171,105</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Stock</w:t>
            </w:r>
            <w:r w:rsidR="008843E4" w:rsidRPr="004819C3">
              <w:rPr>
                <w:rFonts w:ascii="Times New Roman" w:eastAsia="Times New Roman" w:hAnsi="Times New Roman" w:cs="Times New Roman"/>
                <w:color w:val="000000"/>
                <w:sz w:val="24"/>
                <w:szCs w:val="24"/>
                <w:lang w:eastAsia="en-GB"/>
              </w:rPr>
              <w:t xml:space="preserve"> (inventory)</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£430,600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Cash and bank</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£176,250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Total assets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£2,027,955</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b/>
                <w:bCs/>
                <w:color w:val="000000"/>
                <w:sz w:val="24"/>
                <w:szCs w:val="24"/>
                <w:lang w:eastAsia="en-GB"/>
              </w:rPr>
            </w:pP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Liabilities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b/>
                <w:bCs/>
                <w:color w:val="000000"/>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8843E4" w:rsidP="004819C3">
            <w:pPr>
              <w:spacing w:after="240" w:line="360" w:lineRule="auto"/>
              <w:rPr>
                <w:rFonts w:ascii="Times New Roman" w:eastAsia="Times New Roman" w:hAnsi="Times New Roman" w:cs="Times New Roman"/>
                <w:color w:val="000000"/>
                <w:sz w:val="24"/>
                <w:szCs w:val="24"/>
                <w:u w:val="single"/>
                <w:lang w:eastAsia="en-GB"/>
              </w:rPr>
            </w:pPr>
            <w:r w:rsidRPr="004819C3">
              <w:rPr>
                <w:rFonts w:ascii="Times New Roman" w:eastAsia="Times New Roman" w:hAnsi="Times New Roman" w:cs="Times New Roman"/>
                <w:color w:val="000000"/>
                <w:sz w:val="24"/>
                <w:szCs w:val="24"/>
                <w:u w:val="single"/>
                <w:lang w:eastAsia="en-GB"/>
              </w:rPr>
              <w:t>Non-current</w:t>
            </w:r>
            <w:r w:rsidR="00EA7939" w:rsidRPr="004819C3">
              <w:rPr>
                <w:rFonts w:ascii="Times New Roman" w:eastAsia="Times New Roman" w:hAnsi="Times New Roman" w:cs="Times New Roman"/>
                <w:color w:val="000000"/>
                <w:sz w:val="24"/>
                <w:szCs w:val="24"/>
                <w:u w:val="single"/>
                <w:lang w:eastAsia="en-GB"/>
              </w:rPr>
              <w:t xml:space="preserve"> liabilities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i/>
                <w:iCs/>
                <w:color w:val="000000"/>
                <w:sz w:val="24"/>
                <w:szCs w:val="24"/>
                <w:u w:val="single"/>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Debentures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£200,000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u w:val="single"/>
                <w:lang w:eastAsia="en-GB"/>
              </w:rPr>
            </w:pPr>
            <w:r w:rsidRPr="004819C3">
              <w:rPr>
                <w:rFonts w:ascii="Times New Roman" w:eastAsia="Times New Roman" w:hAnsi="Times New Roman" w:cs="Times New Roman"/>
                <w:color w:val="000000"/>
                <w:sz w:val="24"/>
                <w:szCs w:val="24"/>
                <w:u w:val="single"/>
                <w:lang w:eastAsia="en-GB"/>
              </w:rPr>
              <w:lastRenderedPageBreak/>
              <w:t>Current liabilities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i/>
                <w:iCs/>
                <w:color w:val="000000"/>
                <w:sz w:val="24"/>
                <w:szCs w:val="24"/>
                <w:u w:val="single"/>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8843E4"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Trade payable</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£188,625</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8843E4"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S</w:t>
            </w:r>
            <w:r w:rsidR="00EA7939" w:rsidRPr="004819C3">
              <w:rPr>
                <w:rFonts w:ascii="Times New Roman" w:eastAsia="Times New Roman" w:hAnsi="Times New Roman" w:cs="Times New Roman"/>
                <w:color w:val="000000"/>
                <w:sz w:val="24"/>
                <w:szCs w:val="24"/>
                <w:lang w:eastAsia="en-GB"/>
              </w:rPr>
              <w:t>ales commission</w:t>
            </w:r>
            <w:r w:rsidRPr="004819C3">
              <w:rPr>
                <w:rFonts w:ascii="Times New Roman" w:eastAsia="Times New Roman" w:hAnsi="Times New Roman" w:cs="Times New Roman"/>
                <w:color w:val="000000"/>
                <w:sz w:val="24"/>
                <w:szCs w:val="24"/>
                <w:lang w:eastAsia="en-GB"/>
              </w:rPr>
              <w:t xml:space="preserve"> payable</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£3,000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Corporate tax</w:t>
            </w:r>
            <w:r w:rsidR="008843E4" w:rsidRPr="004819C3">
              <w:rPr>
                <w:rFonts w:ascii="Times New Roman" w:eastAsia="Times New Roman" w:hAnsi="Times New Roman" w:cs="Times New Roman"/>
                <w:color w:val="000000"/>
                <w:sz w:val="24"/>
                <w:szCs w:val="24"/>
                <w:lang w:eastAsia="en-GB"/>
              </w:rPr>
              <w:t xml:space="preserve"> provision</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£100,000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Total liabilities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£491,625</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b/>
                <w:bCs/>
                <w:color w:val="000000"/>
                <w:sz w:val="24"/>
                <w:szCs w:val="24"/>
                <w:lang w:eastAsia="en-GB"/>
              </w:rPr>
            </w:pP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8843E4"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Owners</w:t>
            </w:r>
            <w:r w:rsidR="00EA7939" w:rsidRPr="004819C3">
              <w:rPr>
                <w:rFonts w:ascii="Times New Roman" w:eastAsia="Times New Roman" w:hAnsi="Times New Roman" w:cs="Times New Roman"/>
                <w:b/>
                <w:bCs/>
                <w:color w:val="000000"/>
                <w:sz w:val="24"/>
                <w:szCs w:val="24"/>
                <w:lang w:eastAsia="en-GB"/>
              </w:rPr>
              <w:t>' equity</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b/>
                <w:bCs/>
                <w:color w:val="000000"/>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 Ordinary shares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£1,000,000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10% £1 Preference shares</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£400,000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 xml:space="preserve">Retained profits </w:t>
            </w:r>
            <w:r w:rsidR="008843E4" w:rsidRPr="004819C3">
              <w:rPr>
                <w:rFonts w:ascii="Times New Roman" w:eastAsia="Times New Roman" w:hAnsi="Times New Roman" w:cs="Times New Roman"/>
                <w:color w:val="000000"/>
                <w:sz w:val="24"/>
                <w:szCs w:val="24"/>
                <w:lang w:eastAsia="en-GB"/>
              </w:rPr>
              <w:t>(beginning balance)</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£132,000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Net profit</w:t>
            </w:r>
            <w:r w:rsidR="008843E4" w:rsidRPr="004819C3">
              <w:rPr>
                <w:rFonts w:ascii="Times New Roman" w:eastAsia="Times New Roman" w:hAnsi="Times New Roman" w:cs="Times New Roman"/>
                <w:color w:val="000000"/>
                <w:sz w:val="24"/>
                <w:szCs w:val="24"/>
                <w:lang w:eastAsia="en-GB"/>
              </w:rPr>
              <w:t xml:space="preserve"> for the year 2021</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color w:val="000000"/>
                <w:sz w:val="24"/>
                <w:szCs w:val="24"/>
                <w:lang w:eastAsia="en-GB"/>
              </w:rPr>
            </w:pPr>
            <w:r w:rsidRPr="004819C3">
              <w:rPr>
                <w:rFonts w:ascii="Times New Roman" w:eastAsia="Times New Roman" w:hAnsi="Times New Roman" w:cs="Times New Roman"/>
                <w:color w:val="000000"/>
                <w:sz w:val="24"/>
                <w:szCs w:val="24"/>
                <w:lang w:eastAsia="en-GB"/>
              </w:rPr>
              <w:t>£4,330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 xml:space="preserve">Total </w:t>
            </w:r>
            <w:r w:rsidR="008843E4" w:rsidRPr="004819C3">
              <w:rPr>
                <w:rFonts w:ascii="Times New Roman" w:eastAsia="Times New Roman" w:hAnsi="Times New Roman" w:cs="Times New Roman"/>
                <w:b/>
                <w:bCs/>
                <w:color w:val="000000"/>
                <w:sz w:val="24"/>
                <w:szCs w:val="24"/>
                <w:lang w:eastAsia="en-GB"/>
              </w:rPr>
              <w:t>owners’</w:t>
            </w:r>
            <w:r w:rsidRPr="004819C3">
              <w:rPr>
                <w:rFonts w:ascii="Times New Roman" w:eastAsia="Times New Roman" w:hAnsi="Times New Roman" w:cs="Times New Roman"/>
                <w:b/>
                <w:bCs/>
                <w:color w:val="000000"/>
                <w:sz w:val="24"/>
                <w:szCs w:val="24"/>
                <w:lang w:eastAsia="en-GB"/>
              </w:rPr>
              <w:t xml:space="preserve"> equity</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£1,536,330</w:t>
            </w: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b/>
                <w:bCs/>
                <w:color w:val="000000"/>
                <w:sz w:val="24"/>
                <w:szCs w:val="24"/>
                <w:lang w:eastAsia="en-GB"/>
              </w:rPr>
            </w:pP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sz w:val="24"/>
                <w:szCs w:val="24"/>
                <w:lang w:eastAsia="en-GB"/>
              </w:rPr>
            </w:pPr>
          </w:p>
        </w:tc>
      </w:tr>
      <w:tr w:rsidR="00EA7939" w:rsidRPr="004819C3" w:rsidTr="008843E4">
        <w:trPr>
          <w:trHeight w:val="300"/>
        </w:trPr>
        <w:tc>
          <w:tcPr>
            <w:tcW w:w="3949"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Liabilities and Equity</w:t>
            </w:r>
            <w:r w:rsidR="008843E4" w:rsidRPr="004819C3">
              <w:rPr>
                <w:rFonts w:ascii="Times New Roman" w:eastAsia="Times New Roman" w:hAnsi="Times New Roman" w:cs="Times New Roman"/>
                <w:b/>
                <w:bCs/>
                <w:color w:val="000000"/>
                <w:sz w:val="24"/>
                <w:szCs w:val="24"/>
                <w:lang w:eastAsia="en-GB"/>
              </w:rPr>
              <w:t xml:space="preserve"> </w:t>
            </w:r>
          </w:p>
        </w:tc>
        <w:tc>
          <w:tcPr>
            <w:tcW w:w="2572" w:type="dxa"/>
            <w:tcBorders>
              <w:top w:val="nil"/>
              <w:left w:val="nil"/>
              <w:bottom w:val="nil"/>
              <w:right w:val="nil"/>
            </w:tcBorders>
            <w:shd w:val="clear" w:color="auto" w:fill="auto"/>
            <w:noWrap/>
            <w:vAlign w:val="bottom"/>
            <w:hideMark/>
          </w:tcPr>
          <w:p w:rsidR="00EA7939" w:rsidRPr="004819C3" w:rsidRDefault="00EA7939" w:rsidP="004819C3">
            <w:pPr>
              <w:spacing w:after="240" w:line="360" w:lineRule="auto"/>
              <w:jc w:val="right"/>
              <w:rPr>
                <w:rFonts w:ascii="Times New Roman" w:eastAsia="Times New Roman" w:hAnsi="Times New Roman" w:cs="Times New Roman"/>
                <w:b/>
                <w:bCs/>
                <w:color w:val="000000"/>
                <w:sz w:val="24"/>
                <w:szCs w:val="24"/>
                <w:lang w:eastAsia="en-GB"/>
              </w:rPr>
            </w:pPr>
            <w:r w:rsidRPr="004819C3">
              <w:rPr>
                <w:rFonts w:ascii="Times New Roman" w:eastAsia="Times New Roman" w:hAnsi="Times New Roman" w:cs="Times New Roman"/>
                <w:b/>
                <w:bCs/>
                <w:color w:val="000000"/>
                <w:sz w:val="24"/>
                <w:szCs w:val="24"/>
                <w:lang w:eastAsia="en-GB"/>
              </w:rPr>
              <w:t>£2,027,955</w:t>
            </w:r>
          </w:p>
        </w:tc>
      </w:tr>
    </w:tbl>
    <w:p w:rsidR="008843E4" w:rsidRPr="004819C3" w:rsidRDefault="008843E4" w:rsidP="004819C3">
      <w:pPr>
        <w:spacing w:after="240" w:line="360" w:lineRule="auto"/>
        <w:rPr>
          <w:rFonts w:ascii="Times New Roman" w:hAnsi="Times New Roman" w:cs="Times New Roman"/>
          <w:i/>
          <w:iCs/>
          <w:sz w:val="24"/>
          <w:szCs w:val="24"/>
          <w:u w:val="single"/>
        </w:rPr>
      </w:pPr>
    </w:p>
    <w:p w:rsidR="00EA7939" w:rsidRPr="004819C3" w:rsidRDefault="008843E4" w:rsidP="004819C3">
      <w:pPr>
        <w:spacing w:after="240" w:line="360" w:lineRule="auto"/>
        <w:rPr>
          <w:rFonts w:ascii="Times New Roman" w:hAnsi="Times New Roman" w:cs="Times New Roman"/>
          <w:sz w:val="24"/>
          <w:szCs w:val="24"/>
          <w:u w:val="single"/>
        </w:rPr>
      </w:pPr>
      <w:r w:rsidRPr="004819C3">
        <w:rPr>
          <w:rFonts w:ascii="Times New Roman" w:hAnsi="Times New Roman" w:cs="Times New Roman"/>
          <w:sz w:val="24"/>
          <w:szCs w:val="24"/>
          <w:u w:val="single"/>
        </w:rPr>
        <w:t>Additional explanations:</w:t>
      </w:r>
    </w:p>
    <w:p w:rsidR="005F1998" w:rsidRPr="004819C3" w:rsidRDefault="008843E4"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Trade receivable</w:t>
      </w:r>
      <w:r w:rsidR="005F1998" w:rsidRPr="004819C3">
        <w:rPr>
          <w:rFonts w:ascii="Times New Roman" w:hAnsi="Times New Roman" w:cs="Times New Roman"/>
          <w:sz w:val="24"/>
          <w:szCs w:val="24"/>
        </w:rPr>
        <w:t xml:space="preserve"> = </w:t>
      </w:r>
      <w:r w:rsidRPr="004819C3">
        <w:rPr>
          <w:rFonts w:ascii="Times New Roman" w:eastAsia="Times New Roman" w:hAnsi="Times New Roman" w:cs="Times New Roman"/>
          <w:color w:val="000000"/>
          <w:sz w:val="24"/>
          <w:szCs w:val="24"/>
          <w:lang w:eastAsia="en-GB"/>
        </w:rPr>
        <w:t>£</w:t>
      </w:r>
      <w:r w:rsidR="005F1998" w:rsidRPr="004819C3">
        <w:rPr>
          <w:rFonts w:ascii="Times New Roman" w:hAnsi="Times New Roman" w:cs="Times New Roman"/>
          <w:sz w:val="24"/>
          <w:szCs w:val="24"/>
        </w:rPr>
        <w:t xml:space="preserve">170,125 + </w:t>
      </w:r>
      <w:r w:rsidRPr="004819C3">
        <w:rPr>
          <w:rFonts w:ascii="Times New Roman" w:eastAsia="Times New Roman" w:hAnsi="Times New Roman" w:cs="Times New Roman"/>
          <w:color w:val="000000"/>
          <w:sz w:val="24"/>
          <w:szCs w:val="24"/>
          <w:lang w:eastAsia="en-GB"/>
        </w:rPr>
        <w:t>£</w:t>
      </w:r>
      <w:r w:rsidR="005F1998" w:rsidRPr="004819C3">
        <w:rPr>
          <w:rFonts w:ascii="Times New Roman" w:hAnsi="Times New Roman" w:cs="Times New Roman"/>
          <w:sz w:val="24"/>
          <w:szCs w:val="24"/>
        </w:rPr>
        <w:t>980 = £171,105</w:t>
      </w:r>
      <w:r w:rsidRPr="004819C3">
        <w:rPr>
          <w:rFonts w:ascii="Times New Roman" w:hAnsi="Times New Roman" w:cs="Times New Roman"/>
          <w:sz w:val="24"/>
          <w:szCs w:val="24"/>
        </w:rPr>
        <w:t xml:space="preserve"> (the goods shipped to consumers at 31</w:t>
      </w:r>
      <w:r w:rsidRPr="004819C3">
        <w:rPr>
          <w:rFonts w:ascii="Times New Roman" w:hAnsi="Times New Roman" w:cs="Times New Roman"/>
          <w:sz w:val="24"/>
          <w:szCs w:val="24"/>
          <w:vertAlign w:val="superscript"/>
        </w:rPr>
        <w:t>st</w:t>
      </w:r>
      <w:r w:rsidRPr="004819C3">
        <w:rPr>
          <w:rFonts w:ascii="Times New Roman" w:hAnsi="Times New Roman" w:cs="Times New Roman"/>
          <w:sz w:val="24"/>
          <w:szCs w:val="24"/>
        </w:rPr>
        <w:t xml:space="preserve"> December are payable in February and thus, should be added, as they have not been included in the ledger</w:t>
      </w:r>
      <w:r w:rsidR="007A3B2B" w:rsidRPr="004819C3">
        <w:rPr>
          <w:rFonts w:ascii="Times New Roman" w:hAnsi="Times New Roman" w:cs="Times New Roman"/>
          <w:sz w:val="24"/>
          <w:szCs w:val="24"/>
        </w:rPr>
        <w:t xml:space="preserve"> accounts</w:t>
      </w:r>
      <w:r w:rsidRPr="004819C3">
        <w:rPr>
          <w:rFonts w:ascii="Times New Roman" w:hAnsi="Times New Roman" w:cs="Times New Roman"/>
          <w:sz w:val="24"/>
          <w:szCs w:val="24"/>
        </w:rPr>
        <w:t xml:space="preserve">). </w:t>
      </w:r>
    </w:p>
    <w:p w:rsidR="00E0501E" w:rsidRPr="004819C3" w:rsidRDefault="00E0501E" w:rsidP="004819C3">
      <w:pPr>
        <w:spacing w:after="240" w:line="360" w:lineRule="auto"/>
        <w:rPr>
          <w:rFonts w:ascii="Times New Roman" w:hAnsi="Times New Roman" w:cs="Times New Roman"/>
          <w:sz w:val="24"/>
          <w:szCs w:val="24"/>
        </w:rPr>
      </w:pPr>
    </w:p>
    <w:p w:rsidR="00CA457D" w:rsidRPr="004819C3" w:rsidRDefault="005F1998"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b) </w:t>
      </w:r>
      <w:r w:rsidR="003D6486" w:rsidRPr="004819C3">
        <w:rPr>
          <w:rFonts w:ascii="Times New Roman" w:hAnsi="Times New Roman" w:cs="Times New Roman"/>
          <w:sz w:val="24"/>
          <w:szCs w:val="24"/>
        </w:rPr>
        <w:t xml:space="preserve">The statement of financial position balances because of the basic accounting equation, stating that assets should always be equal to the sum of liabilities and owners’ equity. This would clearly show that assets of the company are balanced by the company’s financial obligations along with the equity investment generated by shareholders and its retained earnings (Estevez, 2022). Assets represent the resources of the business which support its </w:t>
      </w:r>
      <w:r w:rsidR="003D6486" w:rsidRPr="004819C3">
        <w:rPr>
          <w:rFonts w:ascii="Times New Roman" w:hAnsi="Times New Roman" w:cs="Times New Roman"/>
          <w:sz w:val="24"/>
          <w:szCs w:val="24"/>
        </w:rPr>
        <w:lastRenderedPageBreak/>
        <w:t>activities, while liabilities and owners’ equity are the two sources which are used for funding them (Estevez, 2022). Also, asset accounts on one side and liabilities and owners’ equity accounts on the other</w:t>
      </w:r>
      <w:r w:rsidR="00CF0361">
        <w:rPr>
          <w:rFonts w:ascii="Times New Roman" w:hAnsi="Times New Roman" w:cs="Times New Roman"/>
          <w:sz w:val="24"/>
          <w:szCs w:val="24"/>
        </w:rPr>
        <w:t xml:space="preserve"> side</w:t>
      </w:r>
      <w:r w:rsidR="003D6486" w:rsidRPr="004819C3">
        <w:rPr>
          <w:rFonts w:ascii="Times New Roman" w:hAnsi="Times New Roman" w:cs="Times New Roman"/>
          <w:sz w:val="24"/>
          <w:szCs w:val="24"/>
        </w:rPr>
        <w:t xml:space="preserve"> are treated differently in the ledger accounts (in terms of debit-credit relationship) and this also contributes to the balance. </w:t>
      </w:r>
    </w:p>
    <w:p w:rsidR="00CA457D" w:rsidRPr="004819C3" w:rsidRDefault="005F1998" w:rsidP="004819C3">
      <w:pPr>
        <w:pStyle w:val="1"/>
        <w:spacing w:after="240" w:line="360" w:lineRule="auto"/>
        <w:rPr>
          <w:rFonts w:ascii="Times New Roman" w:hAnsi="Times New Roman" w:cs="Times New Roman"/>
          <w:b/>
          <w:sz w:val="28"/>
          <w:szCs w:val="28"/>
        </w:rPr>
      </w:pPr>
      <w:bookmarkStart w:id="2" w:name="_Toc124376876"/>
      <w:r w:rsidRPr="004819C3">
        <w:rPr>
          <w:rFonts w:ascii="Times New Roman" w:hAnsi="Times New Roman" w:cs="Times New Roman"/>
          <w:b/>
          <w:sz w:val="28"/>
          <w:szCs w:val="28"/>
        </w:rPr>
        <w:t>Question 2</w:t>
      </w:r>
      <w:bookmarkEnd w:id="2"/>
    </w:p>
    <w:p w:rsidR="003D6486" w:rsidRPr="004819C3" w:rsidRDefault="007F52AF"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a) </w:t>
      </w:r>
      <w:r w:rsidR="003D6486" w:rsidRPr="004819C3">
        <w:rPr>
          <w:rFonts w:ascii="Times New Roman" w:hAnsi="Times New Roman" w:cs="Times New Roman"/>
          <w:sz w:val="24"/>
          <w:szCs w:val="24"/>
        </w:rPr>
        <w:t xml:space="preserve">ROCE (standing for Return On Capital Employed) is one of the most commonly used ratio for assessing company’s performance in regard to profitability. It is calculated by dividing earnings before interest and tax by the capital employed in the company and is represented in the form of a percentage (Maverick, 2022). </w:t>
      </w:r>
    </w:p>
    <w:p w:rsidR="007F52AF" w:rsidRPr="004819C3" w:rsidRDefault="007F52AF"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 xml:space="preserve">ROCE = </w:t>
      </w:r>
      <w:r w:rsidR="003D6486" w:rsidRPr="004819C3">
        <w:rPr>
          <w:rFonts w:ascii="Times New Roman" w:hAnsi="Times New Roman" w:cs="Times New Roman"/>
          <w:i/>
          <w:iCs/>
          <w:sz w:val="24"/>
          <w:szCs w:val="24"/>
        </w:rPr>
        <w:t>(</w:t>
      </w:r>
      <w:r w:rsidRPr="004819C3">
        <w:rPr>
          <w:rFonts w:ascii="Times New Roman" w:hAnsi="Times New Roman" w:cs="Times New Roman"/>
          <w:i/>
          <w:iCs/>
          <w:sz w:val="24"/>
          <w:szCs w:val="24"/>
        </w:rPr>
        <w:t>Earnings before interest and tax / Capital employed</w:t>
      </w:r>
      <w:r w:rsidR="003D6486"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w:t>
      </w:r>
      <w:r w:rsidR="003D6486"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100</w:t>
      </w:r>
    </w:p>
    <w:p w:rsidR="007F52AF" w:rsidRPr="004819C3" w:rsidRDefault="007F52AF"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Earnings before interest and tax = Profit before tax + Interest </w:t>
      </w:r>
      <w:r w:rsidR="003D6486" w:rsidRPr="004819C3">
        <w:rPr>
          <w:rFonts w:ascii="Times New Roman" w:hAnsi="Times New Roman" w:cs="Times New Roman"/>
          <w:sz w:val="24"/>
          <w:szCs w:val="24"/>
        </w:rPr>
        <w:t>payable</w:t>
      </w:r>
    </w:p>
    <w:p w:rsidR="007F52AF" w:rsidRPr="004819C3" w:rsidRDefault="007F52AF"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Capital employed = Total assets – Current liabilities</w:t>
      </w:r>
    </w:p>
    <w:p w:rsidR="007F52AF" w:rsidRPr="004819C3" w:rsidRDefault="007F52AF"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ROCE 2020 = (£539 + £181) / (£10,087 - £3,046) </w:t>
      </w:r>
      <w:r w:rsidR="003D6486" w:rsidRPr="004819C3">
        <w:rPr>
          <w:rFonts w:ascii="Times New Roman" w:hAnsi="Times New Roman" w:cs="Times New Roman"/>
          <w:sz w:val="24"/>
          <w:szCs w:val="24"/>
        </w:rPr>
        <w:t>*</w:t>
      </w:r>
      <w:r w:rsidRPr="004819C3">
        <w:rPr>
          <w:rFonts w:ascii="Times New Roman" w:hAnsi="Times New Roman" w:cs="Times New Roman"/>
          <w:sz w:val="24"/>
          <w:szCs w:val="24"/>
        </w:rPr>
        <w:t xml:space="preserve"> 100 = 10.23%</w:t>
      </w:r>
    </w:p>
    <w:p w:rsidR="007F52AF" w:rsidRPr="004819C3" w:rsidRDefault="007F52AF"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ROCE 2021 = (£620 + £226) / (£9,736 - £2,511) </w:t>
      </w:r>
      <w:r w:rsidR="003D6486" w:rsidRPr="004819C3">
        <w:rPr>
          <w:rFonts w:ascii="Times New Roman" w:hAnsi="Times New Roman" w:cs="Times New Roman"/>
          <w:sz w:val="24"/>
          <w:szCs w:val="24"/>
        </w:rPr>
        <w:t>*</w:t>
      </w:r>
      <w:r w:rsidRPr="004819C3">
        <w:rPr>
          <w:rFonts w:ascii="Times New Roman" w:hAnsi="Times New Roman" w:cs="Times New Roman"/>
          <w:sz w:val="24"/>
          <w:szCs w:val="24"/>
        </w:rPr>
        <w:t xml:space="preserve"> 100 = 11.71%</w:t>
      </w:r>
    </w:p>
    <w:p w:rsidR="005F1998" w:rsidRPr="004819C3" w:rsidRDefault="005057CD" w:rsidP="004819C3">
      <w:pPr>
        <w:spacing w:after="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column">
                  <wp:posOffset>4204970</wp:posOffset>
                </wp:positionH>
                <wp:positionV relativeFrom="paragraph">
                  <wp:posOffset>12065</wp:posOffset>
                </wp:positionV>
                <wp:extent cx="161925" cy="152400"/>
                <wp:effectExtent l="19050" t="19050" r="28575" b="0"/>
                <wp:wrapNone/>
                <wp:docPr id="10" name="Стрелка надолу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161925" cy="152400"/>
                        </a:xfrm>
                        <a:prstGeom prst="down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C016D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надолу 10" o:spid="_x0000_s1026" type="#_x0000_t67" style="position:absolute;margin-left:331.1pt;margin-top:.95pt;width:12.75pt;height:12pt;rotation:18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" adj="10800" fillcolor="#70ad47 [3209]" strokecolor="#375623 [1609]" strokeweight="1pt">
                <v:path arrowok="t"/>
              </v:shape>
            </w:pict>
          </mc:Fallback>
        </mc:AlternateContent>
      </w:r>
      <w:r w:rsidR="003D6486" w:rsidRPr="004819C3">
        <w:rPr>
          <w:rFonts w:ascii="Times New Roman" w:hAnsi="Times New Roman" w:cs="Times New Roman"/>
          <w:noProof/>
          <w:sz w:val="24"/>
          <w:szCs w:val="24"/>
        </w:rPr>
        <w:t>Results indicate an improvement</w:t>
      </w:r>
      <w:r w:rsidR="007F52AF" w:rsidRPr="004819C3">
        <w:rPr>
          <w:rFonts w:ascii="Times New Roman" w:hAnsi="Times New Roman" w:cs="Times New Roman"/>
          <w:sz w:val="24"/>
          <w:szCs w:val="24"/>
        </w:rPr>
        <w:t xml:space="preserve"> of 14.47% </w:t>
      </w:r>
      <w:r w:rsidR="003D6486" w:rsidRPr="004819C3">
        <w:rPr>
          <w:rFonts w:ascii="Times New Roman" w:hAnsi="Times New Roman" w:cs="Times New Roman"/>
          <w:sz w:val="24"/>
          <w:szCs w:val="24"/>
        </w:rPr>
        <w:t>for the assessed period</w:t>
      </w:r>
      <w:r w:rsidR="007F52AF" w:rsidRPr="004819C3">
        <w:rPr>
          <w:rFonts w:ascii="Times New Roman" w:hAnsi="Times New Roman" w:cs="Times New Roman"/>
          <w:sz w:val="24"/>
          <w:szCs w:val="24"/>
        </w:rPr>
        <w:t>.</w:t>
      </w:r>
    </w:p>
    <w:p w:rsidR="005F1998" w:rsidRPr="004819C3" w:rsidRDefault="005F1998" w:rsidP="004819C3">
      <w:pPr>
        <w:spacing w:after="240" w:line="360" w:lineRule="auto"/>
        <w:rPr>
          <w:rFonts w:ascii="Times New Roman" w:hAnsi="Times New Roman" w:cs="Times New Roman"/>
          <w:sz w:val="24"/>
          <w:szCs w:val="24"/>
        </w:rPr>
      </w:pPr>
    </w:p>
    <w:p w:rsidR="0074189C" w:rsidRPr="004819C3" w:rsidRDefault="00A451DD"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Return on equity (ROE) is </w:t>
      </w:r>
      <w:r w:rsidR="004819C3" w:rsidRPr="004819C3">
        <w:rPr>
          <w:rFonts w:ascii="Times New Roman" w:hAnsi="Times New Roman" w:cs="Times New Roman"/>
          <w:sz w:val="24"/>
          <w:szCs w:val="24"/>
        </w:rPr>
        <w:t>a two-part ratio</w:t>
      </w:r>
      <w:r w:rsidR="0074189C" w:rsidRPr="004819C3">
        <w:rPr>
          <w:rFonts w:ascii="Times New Roman" w:hAnsi="Times New Roman" w:cs="Times New Roman"/>
          <w:sz w:val="24"/>
          <w:szCs w:val="24"/>
        </w:rPr>
        <w:t xml:space="preserve"> in its derivation as it brings items from both the income statement and the balance sheet to assess a company’s annual return divided by the value of owners’ equity with the aim of evaluating its profitability (CFI, 2022a). </w:t>
      </w:r>
    </w:p>
    <w:p w:rsidR="0074189C" w:rsidRPr="004819C3" w:rsidRDefault="0074189C" w:rsidP="004819C3">
      <w:pPr>
        <w:spacing w:after="240" w:line="360" w:lineRule="auto"/>
        <w:rPr>
          <w:rFonts w:ascii="Times New Roman" w:hAnsi="Times New Roman" w:cs="Times New Roman"/>
          <w:sz w:val="24"/>
          <w:szCs w:val="24"/>
        </w:rPr>
      </w:pPr>
    </w:p>
    <w:p w:rsidR="00A56B9D" w:rsidRPr="004819C3" w:rsidRDefault="00A56B9D"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 xml:space="preserve">ROE = </w:t>
      </w:r>
      <w:r w:rsidR="0057123D"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Net income / </w:t>
      </w:r>
      <w:r w:rsidR="0074189C" w:rsidRPr="004819C3">
        <w:rPr>
          <w:rFonts w:ascii="Times New Roman" w:hAnsi="Times New Roman" w:cs="Times New Roman"/>
          <w:i/>
          <w:iCs/>
          <w:sz w:val="24"/>
          <w:szCs w:val="24"/>
        </w:rPr>
        <w:t>Owners</w:t>
      </w:r>
      <w:r w:rsidRPr="004819C3">
        <w:rPr>
          <w:rFonts w:ascii="Times New Roman" w:hAnsi="Times New Roman" w:cs="Times New Roman"/>
          <w:i/>
          <w:iCs/>
          <w:sz w:val="24"/>
          <w:szCs w:val="24"/>
        </w:rPr>
        <w:t>’ equity</w:t>
      </w:r>
      <w:r w:rsidR="0057123D"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w:t>
      </w:r>
      <w:r w:rsidR="0074189C"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100</w:t>
      </w:r>
    </w:p>
    <w:p w:rsidR="00A56B9D" w:rsidRPr="004819C3" w:rsidRDefault="00A56B9D"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ROE 2020 = £366 / £2,912 </w:t>
      </w:r>
      <w:r w:rsidR="0074189C" w:rsidRPr="004819C3">
        <w:rPr>
          <w:rFonts w:ascii="Times New Roman" w:hAnsi="Times New Roman" w:cs="Times New Roman"/>
          <w:sz w:val="24"/>
          <w:szCs w:val="24"/>
        </w:rPr>
        <w:t>*</w:t>
      </w:r>
      <w:r w:rsidRPr="004819C3">
        <w:rPr>
          <w:rFonts w:ascii="Times New Roman" w:hAnsi="Times New Roman" w:cs="Times New Roman"/>
          <w:sz w:val="24"/>
          <w:szCs w:val="24"/>
        </w:rPr>
        <w:t xml:space="preserve"> 100 = 12.56%</w:t>
      </w:r>
    </w:p>
    <w:p w:rsidR="00A56B9D" w:rsidRPr="004819C3" w:rsidRDefault="00A56B9D"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ROE 2021 = £431 / £3,088 </w:t>
      </w:r>
      <w:r w:rsidR="0074189C" w:rsidRPr="004819C3">
        <w:rPr>
          <w:rFonts w:ascii="Times New Roman" w:hAnsi="Times New Roman" w:cs="Times New Roman"/>
          <w:sz w:val="24"/>
          <w:szCs w:val="24"/>
        </w:rPr>
        <w:t>*</w:t>
      </w:r>
      <w:r w:rsidRPr="004819C3">
        <w:rPr>
          <w:rFonts w:ascii="Times New Roman" w:hAnsi="Times New Roman" w:cs="Times New Roman"/>
          <w:sz w:val="24"/>
          <w:szCs w:val="24"/>
        </w:rPr>
        <w:t xml:space="preserve"> 100 = 13.96%</w:t>
      </w:r>
    </w:p>
    <w:p w:rsidR="00A56B9D" w:rsidRPr="004819C3" w:rsidRDefault="005057CD" w:rsidP="004819C3">
      <w:pPr>
        <w:spacing w:after="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wp:positionH relativeFrom="column">
                  <wp:posOffset>4178300</wp:posOffset>
                </wp:positionH>
                <wp:positionV relativeFrom="paragraph">
                  <wp:posOffset>3175</wp:posOffset>
                </wp:positionV>
                <wp:extent cx="161925" cy="152400"/>
                <wp:effectExtent l="19050" t="19050" r="28575" b="0"/>
                <wp:wrapNone/>
                <wp:docPr id="9" name="Стрелка надолу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161925" cy="152400"/>
                        </a:xfrm>
                        <a:prstGeom prst="down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07047" id="Стрелка надолу 9" o:spid="_x0000_s1026" type="#_x0000_t67" style="position:absolute;margin-left:329pt;margin-top:.25pt;width:12.75pt;height:12pt;rotation:18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" adj="10800" fillcolor="#70ad47 [3209]" strokecolor="#375623 [1609]" strokeweight="1pt">
                <v:path arrowok="t"/>
              </v:shape>
            </w:pict>
          </mc:Fallback>
        </mc:AlternateContent>
      </w:r>
      <w:r w:rsidR="0074189C" w:rsidRPr="004819C3">
        <w:rPr>
          <w:rFonts w:ascii="Times New Roman" w:hAnsi="Times New Roman" w:cs="Times New Roman"/>
          <w:sz w:val="24"/>
          <w:szCs w:val="24"/>
        </w:rPr>
        <w:t xml:space="preserve">Results indicate an improvement of </w:t>
      </w:r>
      <w:r w:rsidR="00A56B9D" w:rsidRPr="004819C3">
        <w:rPr>
          <w:rFonts w:ascii="Times New Roman" w:hAnsi="Times New Roman" w:cs="Times New Roman"/>
          <w:sz w:val="24"/>
          <w:szCs w:val="24"/>
        </w:rPr>
        <w:t xml:space="preserve">11.15% </w:t>
      </w:r>
      <w:r w:rsidR="0074189C" w:rsidRPr="004819C3">
        <w:rPr>
          <w:rFonts w:ascii="Times New Roman" w:hAnsi="Times New Roman" w:cs="Times New Roman"/>
          <w:sz w:val="24"/>
          <w:szCs w:val="24"/>
        </w:rPr>
        <w:t xml:space="preserve">for the assessed period. </w:t>
      </w:r>
    </w:p>
    <w:p w:rsidR="00A56B9D" w:rsidRPr="004819C3" w:rsidRDefault="00A56B9D" w:rsidP="004819C3">
      <w:pPr>
        <w:spacing w:after="240" w:line="360" w:lineRule="auto"/>
        <w:rPr>
          <w:rFonts w:ascii="Times New Roman" w:hAnsi="Times New Roman" w:cs="Times New Roman"/>
          <w:sz w:val="24"/>
          <w:szCs w:val="24"/>
        </w:rPr>
      </w:pPr>
    </w:p>
    <w:p w:rsidR="00CD5D51" w:rsidRPr="004819C3" w:rsidRDefault="00A521CE"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lastRenderedPageBreak/>
        <w:t xml:space="preserve">Earnings per share (EPS) is </w:t>
      </w:r>
      <w:r w:rsidR="00BA54B0" w:rsidRPr="004819C3">
        <w:rPr>
          <w:rFonts w:ascii="Times New Roman" w:hAnsi="Times New Roman" w:cs="Times New Roman"/>
          <w:sz w:val="24"/>
          <w:szCs w:val="24"/>
        </w:rPr>
        <w:t>also a profitability ratio but assessing this area of company’s performance through comparing generated profit as relative by the outstanding shares of common stock (ordinary shares)</w:t>
      </w:r>
      <w:r w:rsidR="00BA54B0" w:rsidRPr="004819C3">
        <w:rPr>
          <w:rFonts w:ascii="Times New Roman" w:hAnsi="Times New Roman" w:cs="Times New Roman"/>
          <w:sz w:val="24"/>
          <w:szCs w:val="24"/>
          <w:lang w:val="bg-BG"/>
        </w:rPr>
        <w:t xml:space="preserve"> (</w:t>
      </w:r>
      <w:r w:rsidR="00BA54B0" w:rsidRPr="004819C3">
        <w:rPr>
          <w:rFonts w:ascii="Times New Roman" w:hAnsi="Times New Roman" w:cs="Times New Roman"/>
          <w:sz w:val="24"/>
          <w:szCs w:val="24"/>
        </w:rPr>
        <w:t>Fernando, 2022</w:t>
      </w:r>
      <w:r w:rsidR="00DF3CE7" w:rsidRPr="004819C3">
        <w:rPr>
          <w:rFonts w:ascii="Times New Roman" w:hAnsi="Times New Roman" w:cs="Times New Roman"/>
          <w:sz w:val="24"/>
          <w:szCs w:val="24"/>
        </w:rPr>
        <w:t>a</w:t>
      </w:r>
      <w:r w:rsidR="00BA54B0" w:rsidRPr="004819C3">
        <w:rPr>
          <w:rFonts w:ascii="Times New Roman" w:hAnsi="Times New Roman" w:cs="Times New Roman"/>
          <w:sz w:val="24"/>
          <w:szCs w:val="24"/>
        </w:rPr>
        <w:t>). The result is presented in the form of absolute value</w:t>
      </w:r>
    </w:p>
    <w:p w:rsidR="00CD5D51" w:rsidRPr="004819C3" w:rsidRDefault="00CD5D51" w:rsidP="004819C3">
      <w:pPr>
        <w:spacing w:after="240" w:line="360" w:lineRule="auto"/>
        <w:rPr>
          <w:rFonts w:ascii="Times New Roman" w:hAnsi="Times New Roman" w:cs="Times New Roman"/>
          <w:sz w:val="24"/>
          <w:szCs w:val="24"/>
        </w:rPr>
      </w:pPr>
    </w:p>
    <w:p w:rsidR="00A521CE" w:rsidRPr="004819C3" w:rsidRDefault="00A521CE"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EPS = Net profit for the year / Number of shares</w:t>
      </w:r>
    </w:p>
    <w:p w:rsidR="00A521CE" w:rsidRPr="004819C3" w:rsidRDefault="00A521CE"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Number of </w:t>
      </w:r>
      <w:r w:rsidR="00BA54B0" w:rsidRPr="004819C3">
        <w:rPr>
          <w:rFonts w:ascii="Times New Roman" w:hAnsi="Times New Roman" w:cs="Times New Roman"/>
          <w:sz w:val="24"/>
          <w:szCs w:val="24"/>
        </w:rPr>
        <w:t>shares is calculated as follows:</w:t>
      </w:r>
    </w:p>
    <w:p w:rsidR="00BA54B0" w:rsidRPr="004819C3" w:rsidRDefault="00BA54B0"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Ordinary share capital = 300</w:t>
      </w:r>
    </w:p>
    <w:p w:rsidR="00BA54B0" w:rsidRPr="004819C3" w:rsidRDefault="00BA54B0"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Price of share = 50p</w:t>
      </w:r>
    </w:p>
    <w:p w:rsidR="00BA54B0" w:rsidRPr="004819C3" w:rsidRDefault="00BA54B0" w:rsidP="004819C3">
      <w:pPr>
        <w:spacing w:after="240" w:line="360" w:lineRule="auto"/>
        <w:rPr>
          <w:rFonts w:ascii="Times New Roman" w:hAnsi="Times New Roman" w:cs="Times New Roman"/>
          <w:sz w:val="24"/>
          <w:szCs w:val="24"/>
          <w:lang w:val="bg-BG"/>
        </w:rPr>
      </w:pPr>
      <w:r w:rsidRPr="004819C3">
        <w:rPr>
          <w:rFonts w:ascii="Times New Roman" w:hAnsi="Times New Roman" w:cs="Times New Roman"/>
          <w:sz w:val="24"/>
          <w:szCs w:val="24"/>
        </w:rPr>
        <w:t>Number of shares = 300 / 0.5 = 600 shares (the amount is the same for both years)</w:t>
      </w:r>
    </w:p>
    <w:p w:rsidR="00A521CE" w:rsidRPr="004819C3" w:rsidRDefault="00A521CE"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EPS 2020 = £366 / 600 = 0.61</w:t>
      </w:r>
    </w:p>
    <w:p w:rsidR="00A521CE" w:rsidRPr="004819C3" w:rsidRDefault="00A521CE"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EPS 2021 = £431 / 600 = 0.72</w:t>
      </w:r>
    </w:p>
    <w:p w:rsidR="00A56B9D" w:rsidRPr="004819C3" w:rsidRDefault="005057CD" w:rsidP="004819C3">
      <w:pPr>
        <w:spacing w:after="240" w:line="360" w:lineRule="auto"/>
        <w:rPr>
          <w:rFonts w:ascii="Times New Roman" w:hAnsi="Times New Roman" w:cs="Times New Roman"/>
          <w:sz w:val="24"/>
          <w:szCs w:val="24"/>
          <w:lang w:val="bg-BG"/>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simplePos x="0" y="0"/>
                <wp:positionH relativeFrom="column">
                  <wp:posOffset>4178300</wp:posOffset>
                </wp:positionH>
                <wp:positionV relativeFrom="paragraph">
                  <wp:posOffset>9525</wp:posOffset>
                </wp:positionV>
                <wp:extent cx="161925" cy="152400"/>
                <wp:effectExtent l="19050" t="19050" r="28575" b="0"/>
                <wp:wrapNone/>
                <wp:docPr id="8" name="Стрелка надолу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161925" cy="152400"/>
                        </a:xfrm>
                        <a:prstGeom prst="down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A0EBA" id="Стрелка надолу 8" o:spid="_x0000_s1026" type="#_x0000_t67" style="position:absolute;margin-left:329pt;margin-top:.75pt;width:12.75pt;height:12pt;rotation:18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" adj="10800" fillcolor="#70ad47 [3209]" strokecolor="#375623 [1609]" strokeweight="1pt">
                <v:path arrowok="t"/>
              </v:shape>
            </w:pict>
          </mc:Fallback>
        </mc:AlternateContent>
      </w:r>
      <w:r w:rsidR="00BA54B0" w:rsidRPr="004819C3">
        <w:rPr>
          <w:rFonts w:ascii="Times New Roman" w:hAnsi="Times New Roman" w:cs="Times New Roman"/>
          <w:sz w:val="24"/>
          <w:szCs w:val="24"/>
        </w:rPr>
        <w:t xml:space="preserve">Results indicate an improvement of </w:t>
      </w:r>
      <w:r w:rsidR="00EC7D7D" w:rsidRPr="004819C3">
        <w:rPr>
          <w:rFonts w:ascii="Times New Roman" w:hAnsi="Times New Roman" w:cs="Times New Roman"/>
          <w:sz w:val="24"/>
          <w:szCs w:val="24"/>
        </w:rPr>
        <w:t xml:space="preserve">18.03% </w:t>
      </w:r>
      <w:r w:rsidR="00BA54B0" w:rsidRPr="004819C3">
        <w:rPr>
          <w:rFonts w:ascii="Times New Roman" w:hAnsi="Times New Roman" w:cs="Times New Roman"/>
          <w:sz w:val="24"/>
          <w:szCs w:val="24"/>
        </w:rPr>
        <w:t xml:space="preserve">for the assessed period. </w:t>
      </w:r>
    </w:p>
    <w:p w:rsidR="00EC7D7D" w:rsidRPr="004819C3" w:rsidRDefault="00EC7D7D" w:rsidP="004819C3">
      <w:pPr>
        <w:spacing w:after="240" w:line="360" w:lineRule="auto"/>
        <w:rPr>
          <w:rFonts w:ascii="Times New Roman" w:hAnsi="Times New Roman" w:cs="Times New Roman"/>
          <w:sz w:val="24"/>
          <w:szCs w:val="24"/>
          <w:lang w:val="bg-BG"/>
        </w:rPr>
      </w:pPr>
    </w:p>
    <w:p w:rsidR="00BA54B0" w:rsidRPr="004819C3" w:rsidRDefault="00EC7D7D"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Net profit margin is </w:t>
      </w:r>
      <w:r w:rsidR="00BA54B0" w:rsidRPr="004819C3">
        <w:rPr>
          <w:rFonts w:ascii="Times New Roman" w:hAnsi="Times New Roman" w:cs="Times New Roman"/>
          <w:sz w:val="24"/>
          <w:szCs w:val="24"/>
        </w:rPr>
        <w:t xml:space="preserve">one of the basic and also commonly used profitability </w:t>
      </w:r>
      <w:r w:rsidR="00CF0361" w:rsidRPr="004819C3">
        <w:rPr>
          <w:rFonts w:ascii="Times New Roman" w:hAnsi="Times New Roman" w:cs="Times New Roman"/>
          <w:sz w:val="24"/>
          <w:szCs w:val="24"/>
        </w:rPr>
        <w:t>measures</w:t>
      </w:r>
      <w:r w:rsidR="00BA54B0" w:rsidRPr="004819C3">
        <w:rPr>
          <w:rFonts w:ascii="Times New Roman" w:hAnsi="Times New Roman" w:cs="Times New Roman"/>
          <w:sz w:val="24"/>
          <w:szCs w:val="24"/>
        </w:rPr>
        <w:t xml:space="preserve"> for business performance, as it shows what proportion of sales revenue is represented in terms of final profit (CFI, 2022b). It is represented in the form oof a percentage. </w:t>
      </w:r>
    </w:p>
    <w:p w:rsidR="00BA54B0" w:rsidRPr="004819C3" w:rsidRDefault="00BA54B0" w:rsidP="004819C3">
      <w:pPr>
        <w:spacing w:after="240" w:line="360" w:lineRule="auto"/>
        <w:rPr>
          <w:rFonts w:ascii="Times New Roman" w:hAnsi="Times New Roman" w:cs="Times New Roman"/>
          <w:sz w:val="24"/>
          <w:szCs w:val="24"/>
        </w:rPr>
      </w:pPr>
    </w:p>
    <w:p w:rsidR="00477F88" w:rsidRPr="004819C3" w:rsidRDefault="00477F88"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 xml:space="preserve">Net profit margin = </w:t>
      </w:r>
      <w:r w:rsidR="0057123D"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Net profit / </w:t>
      </w:r>
      <w:r w:rsidR="00BA54B0" w:rsidRPr="004819C3">
        <w:rPr>
          <w:rFonts w:ascii="Times New Roman" w:hAnsi="Times New Roman" w:cs="Times New Roman"/>
          <w:i/>
          <w:iCs/>
          <w:sz w:val="24"/>
          <w:szCs w:val="24"/>
        </w:rPr>
        <w:t>Sales r</w:t>
      </w:r>
      <w:r w:rsidRPr="004819C3">
        <w:rPr>
          <w:rFonts w:ascii="Times New Roman" w:hAnsi="Times New Roman" w:cs="Times New Roman"/>
          <w:i/>
          <w:iCs/>
          <w:sz w:val="24"/>
          <w:szCs w:val="24"/>
        </w:rPr>
        <w:t>evenue</w:t>
      </w:r>
      <w:r w:rsidR="0057123D"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w:t>
      </w:r>
      <w:r w:rsidR="00BA54B0"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100</w:t>
      </w:r>
    </w:p>
    <w:p w:rsidR="00477F88" w:rsidRPr="004819C3" w:rsidRDefault="00483FEA"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Net profit margin 2020 = £366 / £6,441 </w:t>
      </w:r>
      <w:r w:rsidR="00BA54B0" w:rsidRPr="004819C3">
        <w:rPr>
          <w:rFonts w:ascii="Times New Roman" w:hAnsi="Times New Roman" w:cs="Times New Roman"/>
          <w:sz w:val="24"/>
          <w:szCs w:val="24"/>
        </w:rPr>
        <w:t>*</w:t>
      </w:r>
      <w:r w:rsidRPr="004819C3">
        <w:rPr>
          <w:rFonts w:ascii="Times New Roman" w:hAnsi="Times New Roman" w:cs="Times New Roman"/>
          <w:sz w:val="24"/>
          <w:szCs w:val="24"/>
        </w:rPr>
        <w:t xml:space="preserve"> 100 = 5.68%</w:t>
      </w:r>
    </w:p>
    <w:p w:rsidR="00483FEA" w:rsidRPr="004819C3" w:rsidRDefault="00483FEA"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Net profit margin 2021 = £431 / £6,738 </w:t>
      </w:r>
      <w:r w:rsidR="00BA54B0" w:rsidRPr="004819C3">
        <w:rPr>
          <w:rFonts w:ascii="Times New Roman" w:hAnsi="Times New Roman" w:cs="Times New Roman"/>
          <w:sz w:val="24"/>
          <w:szCs w:val="24"/>
        </w:rPr>
        <w:t>*</w:t>
      </w:r>
      <w:r w:rsidRPr="004819C3">
        <w:rPr>
          <w:rFonts w:ascii="Times New Roman" w:hAnsi="Times New Roman" w:cs="Times New Roman"/>
          <w:sz w:val="24"/>
          <w:szCs w:val="24"/>
        </w:rPr>
        <w:t xml:space="preserve"> 100 = 6.40%</w:t>
      </w:r>
    </w:p>
    <w:p w:rsidR="00483FEA" w:rsidRPr="004819C3" w:rsidRDefault="005057CD" w:rsidP="004819C3">
      <w:pPr>
        <w:spacing w:after="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simplePos x="0" y="0"/>
                <wp:positionH relativeFrom="column">
                  <wp:posOffset>4164330</wp:posOffset>
                </wp:positionH>
                <wp:positionV relativeFrom="paragraph">
                  <wp:posOffset>-2540</wp:posOffset>
                </wp:positionV>
                <wp:extent cx="161925" cy="152400"/>
                <wp:effectExtent l="19050" t="19050" r="28575" b="0"/>
                <wp:wrapNone/>
                <wp:docPr id="7" name="Стрелка надолу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161925" cy="152400"/>
                        </a:xfrm>
                        <a:prstGeom prst="down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3D4EA" id="Стрелка надолу 7" o:spid="_x0000_s1026" type="#_x0000_t67" style="position:absolute;margin-left:327.9pt;margin-top:-.2pt;width:12.75pt;height:12pt;rotation:18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" adj="10800" fillcolor="#70ad47 [3209]" strokecolor="#375623 [1609]" strokeweight="1pt">
                <v:path arrowok="t"/>
              </v:shape>
            </w:pict>
          </mc:Fallback>
        </mc:AlternateContent>
      </w:r>
      <w:r w:rsidR="00C50FAE" w:rsidRPr="004819C3">
        <w:rPr>
          <w:rFonts w:ascii="Times New Roman" w:hAnsi="Times New Roman" w:cs="Times New Roman"/>
          <w:sz w:val="24"/>
          <w:szCs w:val="24"/>
        </w:rPr>
        <w:t xml:space="preserve">Results indicate an improvement of </w:t>
      </w:r>
      <w:r w:rsidR="00483FEA" w:rsidRPr="004819C3">
        <w:rPr>
          <w:rFonts w:ascii="Times New Roman" w:hAnsi="Times New Roman" w:cs="Times New Roman"/>
          <w:sz w:val="24"/>
          <w:szCs w:val="24"/>
        </w:rPr>
        <w:t xml:space="preserve">12.68% </w:t>
      </w:r>
      <w:r w:rsidR="00C50FAE" w:rsidRPr="004819C3">
        <w:rPr>
          <w:rFonts w:ascii="Times New Roman" w:hAnsi="Times New Roman" w:cs="Times New Roman"/>
          <w:sz w:val="24"/>
          <w:szCs w:val="24"/>
        </w:rPr>
        <w:t xml:space="preserve">for the assessed period. </w:t>
      </w:r>
    </w:p>
    <w:p w:rsidR="00483FEA" w:rsidRPr="004819C3" w:rsidRDefault="00483FEA" w:rsidP="004819C3">
      <w:pPr>
        <w:spacing w:after="240" w:line="360" w:lineRule="auto"/>
        <w:rPr>
          <w:rFonts w:ascii="Times New Roman" w:hAnsi="Times New Roman" w:cs="Times New Roman"/>
          <w:sz w:val="24"/>
          <w:szCs w:val="24"/>
        </w:rPr>
      </w:pPr>
    </w:p>
    <w:p w:rsidR="0057123D" w:rsidRPr="004819C3" w:rsidRDefault="0057123D"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lastRenderedPageBreak/>
        <w:t xml:space="preserve">Asset turnover is a measure of efficiency and is focused on presenting sales revenue as a proportion of total assets (Hayes, 2022a). This gives an overview of how the company us using its assets to generate revenue (Hayes, 2022a). </w:t>
      </w:r>
    </w:p>
    <w:p w:rsidR="00483FEA" w:rsidRPr="004819C3" w:rsidRDefault="007D0497"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 xml:space="preserve">Asset turnover = Sales </w:t>
      </w:r>
      <w:r w:rsidR="0057123D" w:rsidRPr="004819C3">
        <w:rPr>
          <w:rFonts w:ascii="Times New Roman" w:hAnsi="Times New Roman" w:cs="Times New Roman"/>
          <w:i/>
          <w:iCs/>
          <w:sz w:val="24"/>
          <w:szCs w:val="24"/>
        </w:rPr>
        <w:t xml:space="preserve">revenue </w:t>
      </w:r>
      <w:r w:rsidRPr="004819C3">
        <w:rPr>
          <w:rFonts w:ascii="Times New Roman" w:hAnsi="Times New Roman" w:cs="Times New Roman"/>
          <w:i/>
          <w:iCs/>
          <w:sz w:val="24"/>
          <w:szCs w:val="24"/>
        </w:rPr>
        <w:t>/ Total assets</w:t>
      </w:r>
    </w:p>
    <w:p w:rsidR="007D0497" w:rsidRPr="004819C3" w:rsidRDefault="007D0497"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Asset turnover 2020 = £6,441 / </w:t>
      </w:r>
      <w:r w:rsidR="00A17F64" w:rsidRPr="004819C3">
        <w:rPr>
          <w:rFonts w:ascii="Times New Roman" w:hAnsi="Times New Roman" w:cs="Times New Roman"/>
          <w:sz w:val="24"/>
          <w:szCs w:val="24"/>
        </w:rPr>
        <w:t>£10,087 = 0.64 times</w:t>
      </w:r>
    </w:p>
    <w:p w:rsidR="00A17F64" w:rsidRPr="004819C3" w:rsidRDefault="00A17F64"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Asset turnover 2021 = £6,738 / £9,736 = 0.69 times</w:t>
      </w:r>
    </w:p>
    <w:p w:rsidR="00A17F64" w:rsidRPr="004819C3" w:rsidRDefault="005057CD" w:rsidP="004819C3">
      <w:pPr>
        <w:spacing w:after="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simplePos x="0" y="0"/>
                <wp:positionH relativeFrom="column">
                  <wp:posOffset>4076065</wp:posOffset>
                </wp:positionH>
                <wp:positionV relativeFrom="paragraph">
                  <wp:posOffset>0</wp:posOffset>
                </wp:positionV>
                <wp:extent cx="161925" cy="152400"/>
                <wp:effectExtent l="19050" t="19050" r="28575" b="0"/>
                <wp:wrapNone/>
                <wp:docPr id="6" name="Стрелка надолу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161925" cy="152400"/>
                        </a:xfrm>
                        <a:prstGeom prst="down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90C1E" id="Стрелка надолу 6" o:spid="_x0000_s1026" type="#_x0000_t67" style="position:absolute;margin-left:320.95pt;margin-top:0;width:12.75pt;height:12pt;rotation:18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" adj="10800" fillcolor="#70ad47 [3209]" strokecolor="#375623 [1609]" strokeweight="1pt">
                <v:path arrowok="t"/>
              </v:shape>
            </w:pict>
          </mc:Fallback>
        </mc:AlternateContent>
      </w:r>
      <w:r w:rsidR="0057123D" w:rsidRPr="004819C3">
        <w:rPr>
          <w:rFonts w:ascii="Times New Roman" w:hAnsi="Times New Roman" w:cs="Times New Roman"/>
          <w:sz w:val="24"/>
          <w:szCs w:val="24"/>
        </w:rPr>
        <w:t xml:space="preserve">Results indicate an improvement of </w:t>
      </w:r>
      <w:r w:rsidR="00A17F64" w:rsidRPr="004819C3">
        <w:rPr>
          <w:rFonts w:ascii="Times New Roman" w:hAnsi="Times New Roman" w:cs="Times New Roman"/>
          <w:sz w:val="24"/>
          <w:szCs w:val="24"/>
        </w:rPr>
        <w:t xml:space="preserve">7.81% </w:t>
      </w:r>
      <w:r w:rsidR="0057123D" w:rsidRPr="004819C3">
        <w:rPr>
          <w:rFonts w:ascii="Times New Roman" w:hAnsi="Times New Roman" w:cs="Times New Roman"/>
          <w:sz w:val="24"/>
          <w:szCs w:val="24"/>
        </w:rPr>
        <w:t xml:space="preserve">for the assessed period. </w:t>
      </w:r>
    </w:p>
    <w:p w:rsidR="00A17F64" w:rsidRPr="004819C3" w:rsidRDefault="00A17F64" w:rsidP="004819C3">
      <w:pPr>
        <w:spacing w:after="240" w:line="360" w:lineRule="auto"/>
        <w:rPr>
          <w:rFonts w:ascii="Times New Roman" w:hAnsi="Times New Roman" w:cs="Times New Roman"/>
          <w:sz w:val="24"/>
          <w:szCs w:val="24"/>
        </w:rPr>
      </w:pPr>
    </w:p>
    <w:p w:rsidR="0057123D" w:rsidRPr="004819C3" w:rsidRDefault="0057123D"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Stockholding days is another foundational indicator of a company’s efficiency, but it focuses on the speed or time by which the company sells its inventory (Clear, 2022).It is represented in number of days inventory stays in the company on average before it is sold (Hayes, 2022b). </w:t>
      </w:r>
    </w:p>
    <w:p w:rsidR="007B2343" w:rsidRPr="004819C3" w:rsidRDefault="007B2343"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 xml:space="preserve">Stockholding days = </w:t>
      </w:r>
      <w:r w:rsidR="0057123D" w:rsidRPr="004819C3">
        <w:rPr>
          <w:rFonts w:ascii="Times New Roman" w:hAnsi="Times New Roman" w:cs="Times New Roman"/>
          <w:i/>
          <w:iCs/>
          <w:sz w:val="24"/>
          <w:szCs w:val="24"/>
        </w:rPr>
        <w:t>(</w:t>
      </w:r>
      <w:r w:rsidRPr="004819C3">
        <w:rPr>
          <w:rFonts w:ascii="Times New Roman" w:hAnsi="Times New Roman" w:cs="Times New Roman"/>
          <w:i/>
          <w:iCs/>
          <w:sz w:val="24"/>
          <w:szCs w:val="24"/>
        </w:rPr>
        <w:t>Inventory / Cost of sales</w:t>
      </w:r>
      <w:r w:rsidR="0057123D"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w:t>
      </w:r>
      <w:r w:rsidR="0057123D"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365</w:t>
      </w:r>
    </w:p>
    <w:p w:rsidR="007B2343" w:rsidRPr="004819C3" w:rsidRDefault="007B2343"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Stockholding days 2020 = £659 / £3,096 X 365 = 77.69 days </w:t>
      </w:r>
    </w:p>
    <w:p w:rsidR="007B2343" w:rsidRPr="004819C3" w:rsidRDefault="007B2343"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Stockholding days 2021 = £708 / £3,235 X 365 = 79.88 days</w:t>
      </w:r>
    </w:p>
    <w:p w:rsidR="007B2343" w:rsidRPr="004819C3" w:rsidRDefault="005057CD" w:rsidP="004819C3">
      <w:pPr>
        <w:spacing w:after="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simplePos x="0" y="0"/>
                <wp:positionH relativeFrom="column">
                  <wp:posOffset>4997450</wp:posOffset>
                </wp:positionH>
                <wp:positionV relativeFrom="paragraph">
                  <wp:posOffset>32385</wp:posOffset>
                </wp:positionV>
                <wp:extent cx="161925" cy="152400"/>
                <wp:effectExtent l="19050" t="0" r="9525" b="19050"/>
                <wp:wrapNone/>
                <wp:docPr id="5" name="Стрелка надолу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52400"/>
                        </a:xfrm>
                        <a:prstGeom prst="downArrow">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B2527" id="Стрелка надолу 5" o:spid="_x0000_s1026" type="#_x0000_t67" style="position:absolute;margin-left:393.5pt;margin-top:2.55pt;width:12.75pt;height: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" adj="10800" fillcolor="#ee853d [3029]" strokecolor="#ed7d31 [3205]" strokeweight=".5pt">
                <v:fill color2="#ec7a2d [3173]" rotate="t" colors="0 #f18c55;.5 #f67b28;1 #e56b17" focus="100%" type="gradient">
                  <o:fill v:ext="view" type="gradientUnscaled"/>
                </v:fill>
                <v:path arrowok="t"/>
              </v:shape>
            </w:pict>
          </mc:Fallback>
        </mc:AlternateContent>
      </w:r>
      <w:r w:rsidR="0057123D" w:rsidRPr="004819C3">
        <w:rPr>
          <w:rFonts w:ascii="Times New Roman" w:hAnsi="Times New Roman" w:cs="Times New Roman"/>
          <w:sz w:val="24"/>
          <w:szCs w:val="24"/>
        </w:rPr>
        <w:t xml:space="preserve">Results indicate that the stockholding period increased by approximately 2 days. </w:t>
      </w:r>
    </w:p>
    <w:p w:rsidR="0057123D" w:rsidRPr="004819C3" w:rsidRDefault="0057123D" w:rsidP="004819C3">
      <w:pPr>
        <w:spacing w:after="240" w:line="360" w:lineRule="auto"/>
        <w:rPr>
          <w:rFonts w:ascii="Times New Roman" w:hAnsi="Times New Roman" w:cs="Times New Roman"/>
          <w:sz w:val="24"/>
          <w:szCs w:val="24"/>
        </w:rPr>
      </w:pPr>
    </w:p>
    <w:p w:rsidR="00DF3CE7" w:rsidRPr="004819C3" w:rsidRDefault="00DF3CE7"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Debtors’ collection period (a.k.a. average collection period) shows how well and effective the company is in collecting debts from customers for credit sales (BDC, 2022). In the case of Sweets Plc, it is assumed that all sales are on credit, as no other information is provided. </w:t>
      </w:r>
    </w:p>
    <w:p w:rsidR="0095158E" w:rsidRPr="004819C3" w:rsidRDefault="0095158E"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 xml:space="preserve">Debtors’ collection period = </w:t>
      </w:r>
      <w:r w:rsidR="00DF3CE7" w:rsidRPr="004819C3">
        <w:rPr>
          <w:rFonts w:ascii="Times New Roman" w:hAnsi="Times New Roman" w:cs="Times New Roman"/>
          <w:i/>
          <w:iCs/>
          <w:sz w:val="24"/>
          <w:szCs w:val="24"/>
        </w:rPr>
        <w:t>(</w:t>
      </w:r>
      <w:r w:rsidRPr="004819C3">
        <w:rPr>
          <w:rFonts w:ascii="Times New Roman" w:hAnsi="Times New Roman" w:cs="Times New Roman"/>
          <w:i/>
          <w:iCs/>
          <w:sz w:val="24"/>
          <w:szCs w:val="24"/>
        </w:rPr>
        <w:t>Trade receivable / Credit sales</w:t>
      </w:r>
      <w:r w:rsidR="00DF3CE7"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w:t>
      </w:r>
      <w:r w:rsidR="00DF3CE7" w:rsidRPr="004819C3">
        <w:rPr>
          <w:rFonts w:ascii="Times New Roman" w:hAnsi="Times New Roman" w:cs="Times New Roman"/>
          <w:i/>
          <w:iCs/>
          <w:sz w:val="24"/>
          <w:szCs w:val="24"/>
        </w:rPr>
        <w:t>*</w:t>
      </w:r>
      <w:r w:rsidRPr="004819C3">
        <w:rPr>
          <w:rFonts w:ascii="Times New Roman" w:hAnsi="Times New Roman" w:cs="Times New Roman"/>
          <w:i/>
          <w:iCs/>
          <w:sz w:val="24"/>
          <w:szCs w:val="24"/>
        </w:rPr>
        <w:t xml:space="preserve"> 365</w:t>
      </w:r>
    </w:p>
    <w:p w:rsidR="0095158E" w:rsidRPr="004819C3" w:rsidRDefault="0095158E"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Debtors’ collection period 2020 = </w:t>
      </w:r>
      <w:r w:rsidR="00DF3CE7" w:rsidRPr="004819C3">
        <w:rPr>
          <w:rFonts w:ascii="Times New Roman" w:hAnsi="Times New Roman" w:cs="Times New Roman"/>
          <w:sz w:val="24"/>
          <w:szCs w:val="24"/>
        </w:rPr>
        <w:t>(</w:t>
      </w:r>
      <w:r w:rsidRPr="004819C3">
        <w:rPr>
          <w:rFonts w:ascii="Times New Roman" w:hAnsi="Times New Roman" w:cs="Times New Roman"/>
          <w:sz w:val="24"/>
          <w:szCs w:val="24"/>
        </w:rPr>
        <w:t>£1,287 / £6,441</w:t>
      </w:r>
      <w:r w:rsidR="00DF3CE7" w:rsidRPr="004819C3">
        <w:rPr>
          <w:rFonts w:ascii="Times New Roman" w:hAnsi="Times New Roman" w:cs="Times New Roman"/>
          <w:sz w:val="24"/>
          <w:szCs w:val="24"/>
        </w:rPr>
        <w:t>)</w:t>
      </w:r>
      <w:r w:rsidRPr="004819C3">
        <w:rPr>
          <w:rFonts w:ascii="Times New Roman" w:hAnsi="Times New Roman" w:cs="Times New Roman"/>
          <w:sz w:val="24"/>
          <w:szCs w:val="24"/>
        </w:rPr>
        <w:t xml:space="preserve"> </w:t>
      </w:r>
      <w:r w:rsidR="00DF3CE7" w:rsidRPr="004819C3">
        <w:rPr>
          <w:rFonts w:ascii="Times New Roman" w:hAnsi="Times New Roman" w:cs="Times New Roman"/>
          <w:sz w:val="24"/>
          <w:szCs w:val="24"/>
        </w:rPr>
        <w:t>*</w:t>
      </w:r>
      <w:r w:rsidRPr="004819C3">
        <w:rPr>
          <w:rFonts w:ascii="Times New Roman" w:hAnsi="Times New Roman" w:cs="Times New Roman"/>
          <w:sz w:val="24"/>
          <w:szCs w:val="24"/>
        </w:rPr>
        <w:t xml:space="preserve"> 365 = 72.93 days</w:t>
      </w:r>
    </w:p>
    <w:p w:rsidR="0095158E" w:rsidRPr="004819C3" w:rsidRDefault="0095158E"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Debtors’ collection period 2021 = </w:t>
      </w:r>
      <w:r w:rsidR="00DF3CE7" w:rsidRPr="004819C3">
        <w:rPr>
          <w:rFonts w:ascii="Times New Roman" w:hAnsi="Times New Roman" w:cs="Times New Roman"/>
          <w:sz w:val="24"/>
          <w:szCs w:val="24"/>
        </w:rPr>
        <w:t>(</w:t>
      </w:r>
      <w:r w:rsidR="007B5AC4" w:rsidRPr="004819C3">
        <w:rPr>
          <w:rFonts w:ascii="Times New Roman" w:hAnsi="Times New Roman" w:cs="Times New Roman"/>
          <w:sz w:val="24"/>
          <w:szCs w:val="24"/>
        </w:rPr>
        <w:t>£1,249 / £6,738</w:t>
      </w:r>
      <w:r w:rsidR="00DF3CE7" w:rsidRPr="004819C3">
        <w:rPr>
          <w:rFonts w:ascii="Times New Roman" w:hAnsi="Times New Roman" w:cs="Times New Roman"/>
          <w:sz w:val="24"/>
          <w:szCs w:val="24"/>
        </w:rPr>
        <w:t>)</w:t>
      </w:r>
      <w:r w:rsidR="007B5AC4" w:rsidRPr="004819C3">
        <w:rPr>
          <w:rFonts w:ascii="Times New Roman" w:hAnsi="Times New Roman" w:cs="Times New Roman"/>
          <w:sz w:val="24"/>
          <w:szCs w:val="24"/>
        </w:rPr>
        <w:t xml:space="preserve"> </w:t>
      </w:r>
      <w:r w:rsidR="00DF3CE7" w:rsidRPr="004819C3">
        <w:rPr>
          <w:rFonts w:ascii="Times New Roman" w:hAnsi="Times New Roman" w:cs="Times New Roman"/>
          <w:sz w:val="24"/>
          <w:szCs w:val="24"/>
        </w:rPr>
        <w:t>*</w:t>
      </w:r>
      <w:r w:rsidR="007B5AC4" w:rsidRPr="004819C3">
        <w:rPr>
          <w:rFonts w:ascii="Times New Roman" w:hAnsi="Times New Roman" w:cs="Times New Roman"/>
          <w:sz w:val="24"/>
          <w:szCs w:val="24"/>
        </w:rPr>
        <w:t xml:space="preserve"> 365 = 67.66 days</w:t>
      </w:r>
    </w:p>
    <w:p w:rsidR="007B5AC4" w:rsidRPr="004819C3" w:rsidRDefault="005057CD" w:rsidP="004819C3">
      <w:pPr>
        <w:spacing w:after="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simplePos x="0" y="0"/>
                <wp:positionH relativeFrom="column">
                  <wp:posOffset>1162050</wp:posOffset>
                </wp:positionH>
                <wp:positionV relativeFrom="paragraph">
                  <wp:posOffset>313055</wp:posOffset>
                </wp:positionV>
                <wp:extent cx="161925" cy="152400"/>
                <wp:effectExtent l="19050" t="0" r="9525" b="19050"/>
                <wp:wrapNone/>
                <wp:docPr id="4" name="Стрелка надолу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52400"/>
                        </a:xfrm>
                        <a:prstGeom prst="down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63D0F5" id="Стрелка надолу 4" o:spid="_x0000_s1026" type="#_x0000_t67" style="position:absolute;margin-left:91.5pt;margin-top:24.65pt;width:12.75pt;height:1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" adj="10800" fillcolor="#70ad47 [3209]" strokecolor="#375623 [1609]" strokeweight="1pt">
                <v:path arrowok="t"/>
              </v:shape>
            </w:pict>
          </mc:Fallback>
        </mc:AlternateContent>
      </w:r>
      <w:r w:rsidR="00DF3CE7" w:rsidRPr="004819C3">
        <w:rPr>
          <w:rFonts w:ascii="Times New Roman" w:hAnsi="Times New Roman" w:cs="Times New Roman"/>
          <w:sz w:val="24"/>
          <w:szCs w:val="24"/>
        </w:rPr>
        <w:t>Results indicate tha</w:t>
      </w:r>
      <w:r w:rsidR="004819C3">
        <w:rPr>
          <w:rFonts w:ascii="Times New Roman" w:hAnsi="Times New Roman" w:cs="Times New Roman"/>
          <w:sz w:val="24"/>
          <w:szCs w:val="24"/>
        </w:rPr>
        <w:t>t the debtors’</w:t>
      </w:r>
      <w:r w:rsidR="00DF3CE7" w:rsidRPr="004819C3">
        <w:rPr>
          <w:rFonts w:ascii="Times New Roman" w:hAnsi="Times New Roman" w:cs="Times New Roman"/>
          <w:sz w:val="24"/>
          <w:szCs w:val="24"/>
        </w:rPr>
        <w:t xml:space="preserve"> collection period decreased by approximately 5 days for the assessed period. </w:t>
      </w:r>
    </w:p>
    <w:p w:rsidR="00DF3CE7" w:rsidRPr="004819C3" w:rsidRDefault="00DF3CE7" w:rsidP="004819C3">
      <w:pPr>
        <w:spacing w:after="240" w:line="360" w:lineRule="auto"/>
        <w:rPr>
          <w:rFonts w:ascii="Times New Roman" w:hAnsi="Times New Roman" w:cs="Times New Roman"/>
          <w:sz w:val="24"/>
          <w:szCs w:val="24"/>
        </w:rPr>
      </w:pPr>
    </w:p>
    <w:p w:rsidR="00DF3CE7" w:rsidRPr="004819C3" w:rsidRDefault="007B5AC4"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Current ratio </w:t>
      </w:r>
      <w:r w:rsidR="00DF3CE7" w:rsidRPr="004819C3">
        <w:rPr>
          <w:rFonts w:ascii="Times New Roman" w:hAnsi="Times New Roman" w:cs="Times New Roman"/>
          <w:sz w:val="24"/>
          <w:szCs w:val="24"/>
        </w:rPr>
        <w:t xml:space="preserve">is a the main liquidity ratio which shows the company’s ability to pay short-term obligations (the ones due within a year), using short-term assets (Fernando, 2022b). </w:t>
      </w:r>
    </w:p>
    <w:p w:rsidR="007B5AC4" w:rsidRPr="004819C3" w:rsidRDefault="007B5AC4"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Current ratio = Current assets / Current liabilities</w:t>
      </w:r>
    </w:p>
    <w:p w:rsidR="007B5AC4" w:rsidRPr="004819C3" w:rsidRDefault="007B5AC4"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Current ratio 2020 = £2,355 / £3,046 = 0.73 times</w:t>
      </w:r>
    </w:p>
    <w:p w:rsidR="007B5AC4" w:rsidRPr="004819C3" w:rsidRDefault="007B5AC4"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Current ratio 2021 = £2,030 / £2,511 = 0.92 times</w:t>
      </w:r>
    </w:p>
    <w:p w:rsidR="007B5AC4" w:rsidRPr="004819C3" w:rsidRDefault="005057CD" w:rsidP="004819C3">
      <w:pPr>
        <w:spacing w:after="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simplePos x="0" y="0"/>
                <wp:positionH relativeFrom="column">
                  <wp:posOffset>4271645</wp:posOffset>
                </wp:positionH>
                <wp:positionV relativeFrom="paragraph">
                  <wp:posOffset>15875</wp:posOffset>
                </wp:positionV>
                <wp:extent cx="161925" cy="152400"/>
                <wp:effectExtent l="19050" t="19050" r="28575" b="0"/>
                <wp:wrapNone/>
                <wp:docPr id="3" name="Стрелка надолу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161925" cy="152400"/>
                        </a:xfrm>
                        <a:prstGeom prst="down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13BC2" id="Стрелка надолу 3" o:spid="_x0000_s1026" type="#_x0000_t67" style="position:absolute;margin-left:336.35pt;margin-top:1.25pt;width:12.75pt;height:12pt;rotation:18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" adj="10800" fillcolor="#70ad47 [3209]" strokecolor="#375623 [1609]" strokeweight="1pt">
                <v:path arrowok="t"/>
              </v:shape>
            </w:pict>
          </mc:Fallback>
        </mc:AlternateContent>
      </w:r>
      <w:r w:rsidR="00DF3CE7" w:rsidRPr="004819C3">
        <w:rPr>
          <w:rFonts w:ascii="Times New Roman" w:hAnsi="Times New Roman" w:cs="Times New Roman"/>
          <w:sz w:val="24"/>
          <w:szCs w:val="24"/>
        </w:rPr>
        <w:t xml:space="preserve">Results indicate an improvement of </w:t>
      </w:r>
      <w:r w:rsidR="007B5AC4" w:rsidRPr="004819C3">
        <w:rPr>
          <w:rFonts w:ascii="Times New Roman" w:hAnsi="Times New Roman" w:cs="Times New Roman"/>
          <w:sz w:val="24"/>
          <w:szCs w:val="24"/>
        </w:rPr>
        <w:t xml:space="preserve">26.03% </w:t>
      </w:r>
      <w:r w:rsidR="00DF3CE7" w:rsidRPr="004819C3">
        <w:rPr>
          <w:rFonts w:ascii="Times New Roman" w:hAnsi="Times New Roman" w:cs="Times New Roman"/>
          <w:sz w:val="24"/>
          <w:szCs w:val="24"/>
        </w:rPr>
        <w:t xml:space="preserve">for the assessed period. </w:t>
      </w:r>
    </w:p>
    <w:p w:rsidR="007B5AC4" w:rsidRPr="004819C3" w:rsidRDefault="007B5AC4" w:rsidP="004819C3">
      <w:pPr>
        <w:spacing w:after="240" w:line="360" w:lineRule="auto"/>
        <w:rPr>
          <w:rFonts w:ascii="Times New Roman" w:hAnsi="Times New Roman" w:cs="Times New Roman"/>
          <w:sz w:val="24"/>
          <w:szCs w:val="24"/>
        </w:rPr>
      </w:pPr>
    </w:p>
    <w:p w:rsidR="00BD4FDC" w:rsidRPr="004819C3" w:rsidRDefault="007B5AC4"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Gearing ratio </w:t>
      </w:r>
      <w:r w:rsidR="00BD4FDC" w:rsidRPr="004819C3">
        <w:rPr>
          <w:rFonts w:ascii="Times New Roman" w:hAnsi="Times New Roman" w:cs="Times New Roman"/>
          <w:sz w:val="24"/>
          <w:szCs w:val="24"/>
        </w:rPr>
        <w:t xml:space="preserve">shows the proportion of debt to equity of a company, which is one of the best indicators of financial leverage and dependency on external funding (thus, associated risk) (Kenton, 2022). </w:t>
      </w:r>
    </w:p>
    <w:p w:rsidR="007B5AC4" w:rsidRPr="004819C3" w:rsidRDefault="007B5AC4"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 xml:space="preserve">Gearing ratio = </w:t>
      </w:r>
      <w:r w:rsidR="00BD4FDC" w:rsidRPr="004819C3">
        <w:rPr>
          <w:rFonts w:ascii="Times New Roman" w:hAnsi="Times New Roman" w:cs="Times New Roman"/>
          <w:i/>
          <w:iCs/>
          <w:sz w:val="24"/>
          <w:szCs w:val="24"/>
        </w:rPr>
        <w:t xml:space="preserve">Non-current </w:t>
      </w:r>
      <w:r w:rsidRPr="004819C3">
        <w:rPr>
          <w:rFonts w:ascii="Times New Roman" w:hAnsi="Times New Roman" w:cs="Times New Roman"/>
          <w:i/>
          <w:iCs/>
          <w:sz w:val="24"/>
          <w:szCs w:val="24"/>
        </w:rPr>
        <w:t>debt / Total Equity</w:t>
      </w:r>
    </w:p>
    <w:p w:rsidR="007B5AC4" w:rsidRPr="004819C3" w:rsidRDefault="007B5AC4"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 xml:space="preserve">Gearing ratio 2020 = </w:t>
      </w:r>
      <w:r w:rsidR="00CE4326" w:rsidRPr="004819C3">
        <w:rPr>
          <w:rFonts w:ascii="Times New Roman" w:hAnsi="Times New Roman" w:cs="Times New Roman"/>
          <w:sz w:val="24"/>
          <w:szCs w:val="24"/>
        </w:rPr>
        <w:t>£4,129 / £2,912 = 1.42 times</w:t>
      </w:r>
    </w:p>
    <w:p w:rsidR="00CE4326" w:rsidRPr="004819C3" w:rsidRDefault="00CE4326"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Gearing ratio 2021 = £4,137 / £3,088 = 1.34 times</w:t>
      </w:r>
    </w:p>
    <w:p w:rsidR="00CE4326" w:rsidRPr="004819C3" w:rsidRDefault="005057CD" w:rsidP="004819C3">
      <w:pPr>
        <w:spacing w:after="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simplePos x="0" y="0"/>
                <wp:positionH relativeFrom="column">
                  <wp:posOffset>5369560</wp:posOffset>
                </wp:positionH>
                <wp:positionV relativeFrom="paragraph">
                  <wp:posOffset>1270</wp:posOffset>
                </wp:positionV>
                <wp:extent cx="161925" cy="152400"/>
                <wp:effectExtent l="19050" t="0" r="9525" b="19050"/>
                <wp:wrapNone/>
                <wp:docPr id="2" name="Стрелка надолу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52400"/>
                        </a:xfrm>
                        <a:prstGeom prst="down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3516F" id="Стрелка надолу 2" o:spid="_x0000_s1026" type="#_x0000_t67" style="position:absolute;margin-left:422.8pt;margin-top:.1pt;width:12.75pt;height:1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" adj="10800" fillcolor="#70ad47 [3209]" strokecolor="#375623 [1609]" strokeweight="1pt">
                <v:path arrowok="t"/>
              </v:shape>
            </w:pict>
          </mc:Fallback>
        </mc:AlternateContent>
      </w:r>
      <w:r w:rsidR="00BD4FDC" w:rsidRPr="004819C3">
        <w:rPr>
          <w:rFonts w:ascii="Times New Roman" w:hAnsi="Times New Roman" w:cs="Times New Roman"/>
          <w:sz w:val="24"/>
          <w:szCs w:val="24"/>
        </w:rPr>
        <w:t>Results indicate a</w:t>
      </w:r>
      <w:r w:rsidR="00CE4326" w:rsidRPr="004819C3">
        <w:rPr>
          <w:rFonts w:ascii="Times New Roman" w:hAnsi="Times New Roman" w:cs="Times New Roman"/>
          <w:sz w:val="24"/>
          <w:szCs w:val="24"/>
        </w:rPr>
        <w:t xml:space="preserve"> decrease of 5.63%</w:t>
      </w:r>
      <w:r w:rsidR="00BD4FDC" w:rsidRPr="004819C3">
        <w:rPr>
          <w:rFonts w:ascii="Times New Roman" w:hAnsi="Times New Roman" w:cs="Times New Roman"/>
          <w:sz w:val="24"/>
          <w:szCs w:val="24"/>
        </w:rPr>
        <w:t xml:space="preserve"> for the assessed period, which is an improvement. </w:t>
      </w:r>
    </w:p>
    <w:p w:rsidR="00CE4326" w:rsidRPr="004819C3" w:rsidRDefault="00CE4326" w:rsidP="004819C3">
      <w:pPr>
        <w:spacing w:after="240" w:line="360" w:lineRule="auto"/>
        <w:rPr>
          <w:rFonts w:ascii="Times New Roman" w:hAnsi="Times New Roman" w:cs="Times New Roman"/>
          <w:sz w:val="24"/>
          <w:szCs w:val="24"/>
        </w:rPr>
      </w:pPr>
    </w:p>
    <w:p w:rsidR="00BD4FDC" w:rsidRPr="004819C3" w:rsidRDefault="00CE4326"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Interest cover ratio </w:t>
      </w:r>
      <w:r w:rsidR="00BD4FDC" w:rsidRPr="004819C3">
        <w:rPr>
          <w:rFonts w:ascii="Times New Roman" w:hAnsi="Times New Roman" w:cs="Times New Roman"/>
          <w:sz w:val="24"/>
          <w:szCs w:val="24"/>
        </w:rPr>
        <w:t xml:space="preserve">shows how easily the company is covering its interest obligations on debts (Hayes, 2022c). It is sometimes referred to as Times interest earned ratio. </w:t>
      </w:r>
    </w:p>
    <w:p w:rsidR="00CE4326" w:rsidRPr="004819C3" w:rsidRDefault="00CE4326"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Interest cover ratio = Earnings before interest and tax / Interest expense</w:t>
      </w:r>
    </w:p>
    <w:p w:rsidR="00CE4326" w:rsidRPr="004819C3" w:rsidRDefault="00CE4326" w:rsidP="004819C3">
      <w:pPr>
        <w:spacing w:after="240" w:line="360" w:lineRule="auto"/>
        <w:jc w:val="center"/>
        <w:rPr>
          <w:rFonts w:ascii="Times New Roman" w:hAnsi="Times New Roman" w:cs="Times New Roman"/>
          <w:i/>
          <w:iCs/>
          <w:sz w:val="24"/>
          <w:szCs w:val="24"/>
        </w:rPr>
      </w:pPr>
      <w:r w:rsidRPr="004819C3">
        <w:rPr>
          <w:rFonts w:ascii="Times New Roman" w:hAnsi="Times New Roman" w:cs="Times New Roman"/>
          <w:i/>
          <w:iCs/>
          <w:sz w:val="24"/>
          <w:szCs w:val="24"/>
        </w:rPr>
        <w:t>Earnings before interest and tax = Profit before taxation + Interest payable</w:t>
      </w:r>
    </w:p>
    <w:p w:rsidR="00CE4326" w:rsidRPr="004819C3" w:rsidRDefault="00CE4326"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Interest cover ratio 2020 = (£539 + £181) / £181 = 3.98 times</w:t>
      </w:r>
    </w:p>
    <w:p w:rsidR="00CE4326" w:rsidRPr="004819C3" w:rsidRDefault="00CE4326" w:rsidP="004819C3">
      <w:pPr>
        <w:spacing w:after="240" w:line="360" w:lineRule="auto"/>
        <w:jc w:val="center"/>
        <w:rPr>
          <w:rFonts w:ascii="Times New Roman" w:hAnsi="Times New Roman" w:cs="Times New Roman"/>
          <w:sz w:val="24"/>
          <w:szCs w:val="24"/>
        </w:rPr>
      </w:pPr>
      <w:r w:rsidRPr="004819C3">
        <w:rPr>
          <w:rFonts w:ascii="Times New Roman" w:hAnsi="Times New Roman" w:cs="Times New Roman"/>
          <w:sz w:val="24"/>
          <w:szCs w:val="24"/>
        </w:rPr>
        <w:t>Interest cover ratio 2021 = (£620 + £226) / £226 = 3.74 times</w:t>
      </w:r>
    </w:p>
    <w:p w:rsidR="00CE4326" w:rsidRPr="004819C3" w:rsidRDefault="005057CD" w:rsidP="004819C3">
      <w:pPr>
        <w:spacing w:after="24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simplePos x="0" y="0"/>
                <wp:positionH relativeFrom="column">
                  <wp:posOffset>5215255</wp:posOffset>
                </wp:positionH>
                <wp:positionV relativeFrom="paragraph">
                  <wp:posOffset>20320</wp:posOffset>
                </wp:positionV>
                <wp:extent cx="161925" cy="152400"/>
                <wp:effectExtent l="19050" t="0" r="9525" b="19050"/>
                <wp:wrapNone/>
                <wp:docPr id="1" name="Стрелка надолу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52400"/>
                        </a:xfrm>
                        <a:prstGeom prst="downArrow">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90A07" id="Стрелка надолу 1" o:spid="_x0000_s1026" type="#_x0000_t67" style="position:absolute;margin-left:410.65pt;margin-top:1.6pt;width:12.75pt;height:1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" adj="10800" fillcolor="#ee853d [3029]" strokecolor="#ed7d31 [3205]" strokeweight=".5pt">
                <v:fill color2="#ec7a2d [3173]" rotate="t" colors="0 #f18c55;.5 #f67b28;1 #e56b17" focus="100%" type="gradient">
                  <o:fill v:ext="view" type="gradientUnscaled"/>
                </v:fill>
                <v:path arrowok="t"/>
              </v:shape>
            </w:pict>
          </mc:Fallback>
        </mc:AlternateContent>
      </w:r>
      <w:r w:rsidR="00BD4FDC" w:rsidRPr="004819C3">
        <w:rPr>
          <w:rFonts w:ascii="Times New Roman" w:hAnsi="Times New Roman" w:cs="Times New Roman"/>
          <w:sz w:val="24"/>
          <w:szCs w:val="24"/>
        </w:rPr>
        <w:t xml:space="preserve">Results indicate a decrease </w:t>
      </w:r>
      <w:r w:rsidR="00CE4326" w:rsidRPr="004819C3">
        <w:rPr>
          <w:rFonts w:ascii="Times New Roman" w:hAnsi="Times New Roman" w:cs="Times New Roman"/>
          <w:sz w:val="24"/>
          <w:szCs w:val="24"/>
        </w:rPr>
        <w:t xml:space="preserve">of 6.03% </w:t>
      </w:r>
      <w:r w:rsidR="00BD4FDC" w:rsidRPr="004819C3">
        <w:rPr>
          <w:rFonts w:ascii="Times New Roman" w:hAnsi="Times New Roman" w:cs="Times New Roman"/>
          <w:sz w:val="24"/>
          <w:szCs w:val="24"/>
        </w:rPr>
        <w:t xml:space="preserve">for the assessed period, which is </w:t>
      </w:r>
      <w:r w:rsidR="004819C3" w:rsidRPr="004819C3">
        <w:rPr>
          <w:rFonts w:ascii="Times New Roman" w:hAnsi="Times New Roman" w:cs="Times New Roman"/>
          <w:sz w:val="24"/>
          <w:szCs w:val="24"/>
        </w:rPr>
        <w:t>deterioration</w:t>
      </w:r>
      <w:r w:rsidR="00BD4FDC" w:rsidRPr="004819C3">
        <w:rPr>
          <w:rFonts w:ascii="Times New Roman" w:hAnsi="Times New Roman" w:cs="Times New Roman"/>
          <w:sz w:val="24"/>
          <w:szCs w:val="24"/>
        </w:rPr>
        <w:t xml:space="preserve">. </w:t>
      </w:r>
    </w:p>
    <w:p w:rsidR="007F52AF" w:rsidRPr="004819C3" w:rsidRDefault="007F52AF" w:rsidP="004819C3">
      <w:pPr>
        <w:spacing w:after="240" w:line="360" w:lineRule="auto"/>
        <w:rPr>
          <w:rFonts w:ascii="Times New Roman" w:hAnsi="Times New Roman" w:cs="Times New Roman"/>
          <w:sz w:val="24"/>
          <w:szCs w:val="24"/>
        </w:rPr>
      </w:pPr>
    </w:p>
    <w:p w:rsidR="00BD4FDC" w:rsidRPr="004819C3" w:rsidRDefault="00CE4326" w:rsidP="004819C3">
      <w:pPr>
        <w:spacing w:after="240" w:line="360" w:lineRule="auto"/>
        <w:jc w:val="both"/>
        <w:rPr>
          <w:rFonts w:ascii="Times New Roman" w:hAnsi="Times New Roman" w:cs="Times New Roman"/>
          <w:sz w:val="24"/>
          <w:szCs w:val="24"/>
        </w:rPr>
      </w:pPr>
      <w:r w:rsidRPr="004819C3">
        <w:rPr>
          <w:rFonts w:ascii="Times New Roman" w:hAnsi="Times New Roman" w:cs="Times New Roman"/>
          <w:sz w:val="24"/>
          <w:szCs w:val="24"/>
        </w:rPr>
        <w:t xml:space="preserve">b) </w:t>
      </w:r>
      <w:r w:rsidR="00BD4FDC" w:rsidRPr="004819C3">
        <w:rPr>
          <w:rFonts w:ascii="Times New Roman" w:hAnsi="Times New Roman" w:cs="Times New Roman"/>
          <w:sz w:val="24"/>
          <w:szCs w:val="24"/>
        </w:rPr>
        <w:t>Overall, it can be stated that Sweets Plc is performing significantly better in 2021 than when compared to 2020. This is indicated by the majority of ratios</w:t>
      </w:r>
      <w:r w:rsidR="00A6668D" w:rsidRPr="004819C3">
        <w:rPr>
          <w:rFonts w:ascii="Times New Roman" w:hAnsi="Times New Roman" w:cs="Times New Roman"/>
          <w:sz w:val="24"/>
          <w:szCs w:val="24"/>
        </w:rPr>
        <w:t xml:space="preserve"> which show improvement in different areas (also labelled by green arrows to show the positive trends). There are just a few exceptions which, however, have to be examined further in order to be assessed correctly and explained properly. </w:t>
      </w:r>
    </w:p>
    <w:p w:rsidR="00A6668D" w:rsidRPr="004819C3" w:rsidRDefault="00A6668D" w:rsidP="004819C3">
      <w:pPr>
        <w:spacing w:after="240" w:line="360" w:lineRule="auto"/>
        <w:jc w:val="both"/>
        <w:rPr>
          <w:rFonts w:ascii="Times New Roman" w:hAnsi="Times New Roman" w:cs="Times New Roman"/>
          <w:sz w:val="24"/>
          <w:szCs w:val="24"/>
        </w:rPr>
      </w:pPr>
      <w:r w:rsidRPr="004819C3">
        <w:rPr>
          <w:rFonts w:ascii="Times New Roman" w:hAnsi="Times New Roman" w:cs="Times New Roman"/>
          <w:sz w:val="24"/>
          <w:szCs w:val="24"/>
        </w:rPr>
        <w:t xml:space="preserve">All profitability ratios shown above are better in 2021, some of which report significant improvements. </w:t>
      </w:r>
      <w:r w:rsidR="004819C3">
        <w:rPr>
          <w:rFonts w:ascii="Times New Roman" w:hAnsi="Times New Roman" w:cs="Times New Roman"/>
          <w:sz w:val="24"/>
          <w:szCs w:val="24"/>
        </w:rPr>
        <w:t>It is a sign for</w:t>
      </w:r>
      <w:r w:rsidRPr="004819C3">
        <w:rPr>
          <w:rFonts w:ascii="Times New Roman" w:hAnsi="Times New Roman" w:cs="Times New Roman"/>
          <w:sz w:val="24"/>
          <w:szCs w:val="24"/>
        </w:rPr>
        <w:t xml:space="preserve"> improved capability of the company to realise profit and suggests that it is developing and growing (also evident by the increase in sales revenue). </w:t>
      </w:r>
    </w:p>
    <w:p w:rsidR="00A6668D" w:rsidRPr="004819C3" w:rsidRDefault="00A6668D" w:rsidP="004819C3">
      <w:pPr>
        <w:spacing w:after="240" w:line="360" w:lineRule="auto"/>
        <w:jc w:val="both"/>
        <w:rPr>
          <w:rFonts w:ascii="Times New Roman" w:hAnsi="Times New Roman" w:cs="Times New Roman"/>
          <w:sz w:val="24"/>
          <w:szCs w:val="24"/>
        </w:rPr>
      </w:pPr>
      <w:r w:rsidRPr="004819C3">
        <w:rPr>
          <w:rFonts w:ascii="Times New Roman" w:hAnsi="Times New Roman" w:cs="Times New Roman"/>
          <w:sz w:val="24"/>
          <w:szCs w:val="24"/>
        </w:rPr>
        <w:t xml:space="preserve">When efficiency is addressed, the majority of ratios are also </w:t>
      </w:r>
      <w:r w:rsidR="00555A5C" w:rsidRPr="004819C3">
        <w:rPr>
          <w:rFonts w:ascii="Times New Roman" w:hAnsi="Times New Roman" w:cs="Times New Roman"/>
          <w:sz w:val="24"/>
          <w:szCs w:val="24"/>
        </w:rPr>
        <w:t>improving, such</w:t>
      </w:r>
      <w:r w:rsidR="004819C3">
        <w:rPr>
          <w:rFonts w:ascii="Times New Roman" w:hAnsi="Times New Roman" w:cs="Times New Roman"/>
          <w:sz w:val="24"/>
          <w:szCs w:val="24"/>
        </w:rPr>
        <w:t xml:space="preserve"> as asset turnover and debtors’</w:t>
      </w:r>
      <w:r w:rsidR="00555A5C" w:rsidRPr="004819C3">
        <w:rPr>
          <w:rFonts w:ascii="Times New Roman" w:hAnsi="Times New Roman" w:cs="Times New Roman"/>
          <w:sz w:val="24"/>
          <w:szCs w:val="24"/>
        </w:rPr>
        <w:t xml:space="preserve"> collection period. The stockholding period, however, deteriorated. A</w:t>
      </w:r>
      <w:r w:rsidR="004819C3">
        <w:rPr>
          <w:rFonts w:ascii="Times New Roman" w:hAnsi="Times New Roman" w:cs="Times New Roman"/>
          <w:sz w:val="24"/>
          <w:szCs w:val="24"/>
        </w:rPr>
        <w:t xml:space="preserve">s stated above, the ratios, which </w:t>
      </w:r>
      <w:r w:rsidR="00555A5C" w:rsidRPr="004819C3">
        <w:rPr>
          <w:rFonts w:ascii="Times New Roman" w:hAnsi="Times New Roman" w:cs="Times New Roman"/>
          <w:sz w:val="24"/>
          <w:szCs w:val="24"/>
        </w:rPr>
        <w:t xml:space="preserve">show worsened performance, have to be analysed by collecting more information before being classified as negative trends. For example, high inventory stockholding may be a response of expected further increase in sales revenue and orders. </w:t>
      </w:r>
    </w:p>
    <w:p w:rsidR="00555A5C" w:rsidRPr="004819C3" w:rsidRDefault="00555A5C" w:rsidP="004819C3">
      <w:pPr>
        <w:spacing w:after="240" w:line="360" w:lineRule="auto"/>
        <w:jc w:val="both"/>
        <w:rPr>
          <w:rFonts w:ascii="Times New Roman" w:hAnsi="Times New Roman" w:cs="Times New Roman"/>
          <w:sz w:val="24"/>
          <w:szCs w:val="24"/>
        </w:rPr>
      </w:pPr>
      <w:r w:rsidRPr="004819C3">
        <w:rPr>
          <w:rFonts w:ascii="Times New Roman" w:hAnsi="Times New Roman" w:cs="Times New Roman"/>
          <w:sz w:val="24"/>
          <w:szCs w:val="24"/>
        </w:rPr>
        <w:t xml:space="preserve">Liquidity also improved for the assessed period, but there are some areas that have to be addressed and changed more. Current ratio, although registering an increase, is still considered as rather low (as it is lower than 1, meaning current liabilities are higher than current assets). This can impose significant risks to the business and lead to temporary inability to cover these obligations which, in turn, can have other consequences too. </w:t>
      </w:r>
    </w:p>
    <w:p w:rsidR="00555A5C" w:rsidRPr="004819C3" w:rsidRDefault="00555A5C" w:rsidP="004819C3">
      <w:pPr>
        <w:spacing w:after="240" w:line="360" w:lineRule="auto"/>
        <w:jc w:val="both"/>
        <w:rPr>
          <w:rFonts w:ascii="Times New Roman" w:hAnsi="Times New Roman" w:cs="Times New Roman"/>
          <w:sz w:val="24"/>
          <w:szCs w:val="24"/>
        </w:rPr>
      </w:pPr>
      <w:r w:rsidRPr="004819C3">
        <w:rPr>
          <w:rFonts w:ascii="Times New Roman" w:hAnsi="Times New Roman" w:cs="Times New Roman"/>
          <w:sz w:val="24"/>
          <w:szCs w:val="24"/>
        </w:rPr>
        <w:t xml:space="preserve">Gearing ratio and financial leverage also improved for the period, as </w:t>
      </w:r>
      <w:r w:rsidR="004819C3" w:rsidRPr="004819C3">
        <w:rPr>
          <w:rFonts w:ascii="Times New Roman" w:hAnsi="Times New Roman" w:cs="Times New Roman"/>
          <w:sz w:val="24"/>
          <w:szCs w:val="24"/>
        </w:rPr>
        <w:t>owners’ equity</w:t>
      </w:r>
      <w:r w:rsidRPr="004819C3">
        <w:rPr>
          <w:rFonts w:ascii="Times New Roman" w:hAnsi="Times New Roman" w:cs="Times New Roman"/>
          <w:sz w:val="24"/>
          <w:szCs w:val="24"/>
        </w:rPr>
        <w:t xml:space="preserve"> increased as a proportion. This increases the reliability of the business and decreases risks as perceived by investors. </w:t>
      </w:r>
    </w:p>
    <w:p w:rsidR="00040682" w:rsidRPr="004819C3" w:rsidRDefault="00555A5C" w:rsidP="004819C3">
      <w:pPr>
        <w:spacing w:after="240" w:line="360" w:lineRule="auto"/>
        <w:jc w:val="both"/>
        <w:rPr>
          <w:rFonts w:ascii="Times New Roman" w:hAnsi="Times New Roman" w:cs="Times New Roman"/>
          <w:sz w:val="24"/>
          <w:szCs w:val="24"/>
        </w:rPr>
      </w:pPr>
      <w:r w:rsidRPr="004819C3">
        <w:rPr>
          <w:rFonts w:ascii="Times New Roman" w:hAnsi="Times New Roman" w:cs="Times New Roman"/>
          <w:sz w:val="24"/>
          <w:szCs w:val="24"/>
        </w:rPr>
        <w:t>Interest coverage ratio deteriorated</w:t>
      </w:r>
      <w:r w:rsidR="00D8687B" w:rsidRPr="004819C3">
        <w:rPr>
          <w:rFonts w:ascii="Times New Roman" w:hAnsi="Times New Roman" w:cs="Times New Roman"/>
          <w:sz w:val="24"/>
          <w:szCs w:val="24"/>
        </w:rPr>
        <w:t xml:space="preserve"> and this is also an area that has to be further investigated. </w:t>
      </w:r>
    </w:p>
    <w:p w:rsidR="00E0501E" w:rsidRPr="004819C3" w:rsidRDefault="00E0501E" w:rsidP="004819C3">
      <w:pPr>
        <w:pStyle w:val="1"/>
        <w:spacing w:after="240" w:line="360" w:lineRule="auto"/>
        <w:rPr>
          <w:rFonts w:ascii="Times New Roman" w:hAnsi="Times New Roman" w:cs="Times New Roman"/>
          <w:b/>
          <w:sz w:val="28"/>
          <w:szCs w:val="28"/>
        </w:rPr>
      </w:pPr>
      <w:bookmarkStart w:id="3" w:name="_Toc124376877"/>
      <w:r w:rsidRPr="004819C3">
        <w:rPr>
          <w:rFonts w:ascii="Times New Roman" w:hAnsi="Times New Roman" w:cs="Times New Roman"/>
          <w:b/>
          <w:sz w:val="28"/>
          <w:szCs w:val="28"/>
        </w:rPr>
        <w:t>References</w:t>
      </w:r>
      <w:bookmarkEnd w:id="3"/>
    </w:p>
    <w:p w:rsidR="0057123D" w:rsidRPr="004819C3" w:rsidRDefault="0057123D"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BDC (2022) </w:t>
      </w:r>
      <w:r w:rsidRPr="004819C3">
        <w:rPr>
          <w:rFonts w:ascii="Times New Roman" w:hAnsi="Times New Roman" w:cs="Times New Roman"/>
          <w:i/>
          <w:iCs/>
          <w:sz w:val="24"/>
          <w:szCs w:val="24"/>
        </w:rPr>
        <w:t>Average Collection Period</w:t>
      </w:r>
      <w:r w:rsidR="004819C3" w:rsidRPr="004819C3">
        <w:rPr>
          <w:rFonts w:ascii="Times New Roman" w:hAnsi="Times New Roman" w:cs="Times New Roman"/>
          <w:sz w:val="24"/>
          <w:szCs w:val="24"/>
        </w:rPr>
        <w:t xml:space="preserve">, </w:t>
      </w:r>
      <w:r w:rsidRPr="004819C3">
        <w:rPr>
          <w:rFonts w:ascii="Times New Roman" w:hAnsi="Times New Roman" w:cs="Times New Roman"/>
          <w:sz w:val="24"/>
          <w:szCs w:val="24"/>
        </w:rPr>
        <w:t xml:space="preserve">[online] Available: </w:t>
      </w:r>
      <w:hyperlink r:id="rId8" w:history="1">
        <w:r w:rsidRPr="004819C3">
          <w:rPr>
            <w:rStyle w:val="a5"/>
            <w:rFonts w:ascii="Times New Roman" w:hAnsi="Times New Roman" w:cs="Times New Roman"/>
            <w:sz w:val="24"/>
            <w:szCs w:val="24"/>
          </w:rPr>
          <w:t>https://www.bdc.ca/en/articles-tools/entrepreneur-toolkit/financial-tools/accounts-receivable-benchmarking-tool-entrepreneurs</w:t>
        </w:r>
      </w:hyperlink>
      <w:r w:rsidRPr="004819C3">
        <w:rPr>
          <w:rFonts w:ascii="Times New Roman" w:hAnsi="Times New Roman" w:cs="Times New Roman"/>
          <w:sz w:val="24"/>
          <w:szCs w:val="24"/>
        </w:rPr>
        <w:t xml:space="preserve"> [Accessed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w:t>
      </w:r>
    </w:p>
    <w:p w:rsidR="0074189C" w:rsidRPr="004819C3" w:rsidRDefault="0074189C"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lastRenderedPageBreak/>
        <w:t xml:space="preserve">CFI (2022a) </w:t>
      </w:r>
      <w:r w:rsidRPr="004819C3">
        <w:rPr>
          <w:rFonts w:ascii="Times New Roman" w:hAnsi="Times New Roman" w:cs="Times New Roman"/>
          <w:i/>
          <w:iCs/>
          <w:sz w:val="24"/>
          <w:szCs w:val="24"/>
        </w:rPr>
        <w:t>Return on Equity (ROE)</w:t>
      </w:r>
      <w:r w:rsidR="004819C3" w:rsidRPr="004819C3">
        <w:rPr>
          <w:rFonts w:ascii="Times New Roman" w:hAnsi="Times New Roman" w:cs="Times New Roman"/>
          <w:i/>
          <w:iCs/>
          <w:sz w:val="24"/>
          <w:szCs w:val="24"/>
        </w:rPr>
        <w:t xml:space="preserve">, </w:t>
      </w:r>
      <w:r w:rsidRPr="004819C3">
        <w:rPr>
          <w:rFonts w:ascii="Times New Roman" w:hAnsi="Times New Roman" w:cs="Times New Roman"/>
          <w:sz w:val="24"/>
          <w:szCs w:val="24"/>
        </w:rPr>
        <w:t xml:space="preserve">[online] Available: </w:t>
      </w:r>
      <w:hyperlink r:id="rId9" w:history="1">
        <w:r w:rsidRPr="004819C3">
          <w:rPr>
            <w:rStyle w:val="a5"/>
            <w:rFonts w:ascii="Times New Roman" w:hAnsi="Times New Roman" w:cs="Times New Roman"/>
            <w:sz w:val="24"/>
            <w:szCs w:val="24"/>
          </w:rPr>
          <w:t>https://corporatefinanceinstitute.com/resources/accounting/what-is-return-on-equity-roe/</w:t>
        </w:r>
      </w:hyperlink>
      <w:r w:rsidRPr="004819C3">
        <w:rPr>
          <w:rFonts w:ascii="Times New Roman" w:hAnsi="Times New Roman" w:cs="Times New Roman"/>
          <w:sz w:val="24"/>
          <w:szCs w:val="24"/>
        </w:rPr>
        <w:t xml:space="preserve"> [Accessed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 </w:t>
      </w:r>
    </w:p>
    <w:p w:rsidR="00BA54B0" w:rsidRPr="004819C3" w:rsidRDefault="00BA54B0"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CFI (2022b) </w:t>
      </w:r>
      <w:r w:rsidRPr="004819C3">
        <w:rPr>
          <w:rFonts w:ascii="Times New Roman" w:hAnsi="Times New Roman" w:cs="Times New Roman"/>
          <w:i/>
          <w:iCs/>
          <w:sz w:val="24"/>
          <w:szCs w:val="24"/>
        </w:rPr>
        <w:t>Net Profit Margin</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[online] Available: </w:t>
      </w:r>
      <w:hyperlink r:id="rId10" w:history="1">
        <w:r w:rsidRPr="004819C3">
          <w:rPr>
            <w:rStyle w:val="a5"/>
            <w:rFonts w:ascii="Times New Roman" w:hAnsi="Times New Roman" w:cs="Times New Roman"/>
            <w:sz w:val="24"/>
            <w:szCs w:val="24"/>
          </w:rPr>
          <w:t>https://corporatefinanceinstitute.com/resources/accounting/net-profit-margin-formula/</w:t>
        </w:r>
      </w:hyperlink>
      <w:r w:rsidRPr="004819C3">
        <w:rPr>
          <w:rFonts w:ascii="Times New Roman" w:hAnsi="Times New Roman" w:cs="Times New Roman"/>
          <w:sz w:val="24"/>
          <w:szCs w:val="24"/>
        </w:rPr>
        <w:t xml:space="preserve"> [Accessed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w:t>
      </w:r>
    </w:p>
    <w:p w:rsidR="008C1AB1" w:rsidRPr="004819C3" w:rsidRDefault="008C1AB1"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Chen, J. (2022) </w:t>
      </w:r>
      <w:r w:rsidRPr="004819C3">
        <w:rPr>
          <w:rFonts w:ascii="Times New Roman" w:hAnsi="Times New Roman" w:cs="Times New Roman"/>
          <w:i/>
          <w:iCs/>
          <w:sz w:val="24"/>
          <w:szCs w:val="24"/>
        </w:rPr>
        <w:t>Income Statement: How to Read and Use It</w:t>
      </w:r>
      <w:r w:rsidR="004819C3" w:rsidRPr="004819C3">
        <w:rPr>
          <w:rFonts w:ascii="Times New Roman" w:hAnsi="Times New Roman" w:cs="Times New Roman"/>
          <w:sz w:val="24"/>
          <w:szCs w:val="24"/>
        </w:rPr>
        <w:t xml:space="preserve">, </w:t>
      </w:r>
      <w:r w:rsidRPr="004819C3">
        <w:rPr>
          <w:rFonts w:ascii="Times New Roman" w:hAnsi="Times New Roman" w:cs="Times New Roman"/>
          <w:sz w:val="24"/>
          <w:szCs w:val="24"/>
        </w:rPr>
        <w:t xml:space="preserve">[online] Available: </w:t>
      </w:r>
      <w:hyperlink r:id="rId11" w:history="1">
        <w:r w:rsidRPr="004819C3">
          <w:rPr>
            <w:rStyle w:val="a5"/>
            <w:rFonts w:ascii="Times New Roman" w:hAnsi="Times New Roman" w:cs="Times New Roman"/>
            <w:sz w:val="24"/>
            <w:szCs w:val="24"/>
          </w:rPr>
          <w:t>https://www.investopedia.com/terms/i/incomestatement.asp</w:t>
        </w:r>
      </w:hyperlink>
      <w:r w:rsidRPr="004819C3">
        <w:rPr>
          <w:rFonts w:ascii="Times New Roman" w:hAnsi="Times New Roman" w:cs="Times New Roman"/>
          <w:sz w:val="24"/>
          <w:szCs w:val="24"/>
        </w:rPr>
        <w:t xml:space="preserve"> [Accessed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8 January 2023]</w:t>
      </w:r>
    </w:p>
    <w:p w:rsidR="0057123D" w:rsidRPr="004819C3" w:rsidRDefault="0057123D"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Clear (2022) </w:t>
      </w:r>
      <w:r w:rsidRPr="004819C3">
        <w:rPr>
          <w:rFonts w:ascii="Times New Roman" w:hAnsi="Times New Roman" w:cs="Times New Roman"/>
          <w:i/>
          <w:iCs/>
          <w:sz w:val="24"/>
          <w:szCs w:val="24"/>
        </w:rPr>
        <w:t>Inventory Holding Period</w:t>
      </w:r>
      <w:r w:rsidR="004819C3" w:rsidRPr="004819C3">
        <w:rPr>
          <w:rFonts w:ascii="Times New Roman" w:hAnsi="Times New Roman" w:cs="Times New Roman"/>
          <w:sz w:val="24"/>
          <w:szCs w:val="24"/>
        </w:rPr>
        <w:t xml:space="preserve">, </w:t>
      </w:r>
      <w:r w:rsidRPr="004819C3">
        <w:rPr>
          <w:rFonts w:ascii="Times New Roman" w:hAnsi="Times New Roman" w:cs="Times New Roman"/>
          <w:sz w:val="24"/>
          <w:szCs w:val="24"/>
        </w:rPr>
        <w:t xml:space="preserve">[online] Available: </w:t>
      </w:r>
      <w:hyperlink r:id="rId12" w:anchor=":~:text=Inventory%20Holding%20Period%20is%20a%20ratio%20that%20depicts%20the%20number,%2B%20Closing%20stock)%20%2F%202.&amp;text=The%20inventory%20holding%20period%20is%20an%20efficiency%20ratio" w:history="1">
        <w:r w:rsidRPr="004819C3">
          <w:rPr>
            <w:rStyle w:val="a5"/>
            <w:rFonts w:ascii="Times New Roman" w:hAnsi="Times New Roman" w:cs="Times New Roman"/>
            <w:sz w:val="24"/>
            <w:szCs w:val="24"/>
          </w:rPr>
          <w:t>https://www.clear.in/s/inventory-holding-period#:~:text=Inventory%20Holding%20Period%20is%20a%20ratio%20that%20depicts%20the%20number,%2B%20Closing%20stock)%20%2F%202.&amp;text=The%20inventory%20holding%20period%20is%20an%20efficiency%20ratio</w:t>
        </w:r>
      </w:hyperlink>
      <w:r w:rsidRPr="004819C3">
        <w:rPr>
          <w:rFonts w:ascii="Times New Roman" w:hAnsi="Times New Roman" w:cs="Times New Roman"/>
          <w:sz w:val="24"/>
          <w:szCs w:val="24"/>
        </w:rPr>
        <w:t>. [Accessed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w:t>
      </w:r>
    </w:p>
    <w:p w:rsidR="008843E4" w:rsidRPr="004819C3" w:rsidRDefault="008843E4"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Estevez, E. (2022) </w:t>
      </w:r>
      <w:r w:rsidRPr="004819C3">
        <w:rPr>
          <w:rFonts w:ascii="Times New Roman" w:hAnsi="Times New Roman" w:cs="Times New Roman"/>
          <w:i/>
          <w:iCs/>
          <w:sz w:val="24"/>
          <w:szCs w:val="24"/>
        </w:rPr>
        <w:t>How Do You Read a Balance Sheet?</w:t>
      </w:r>
      <w:r w:rsidRPr="004819C3">
        <w:rPr>
          <w:rFonts w:ascii="Times New Roman" w:hAnsi="Times New Roman" w:cs="Times New Roman"/>
          <w:sz w:val="24"/>
          <w:szCs w:val="24"/>
        </w:rPr>
        <w:t xml:space="preserve"> [online] Available: </w:t>
      </w:r>
      <w:hyperlink r:id="rId13" w:anchor=":~:text=A%20company's%20balance%20sheet%2C%20also,of%20any%20company's%20financial%20statements" w:history="1">
        <w:r w:rsidRPr="004819C3">
          <w:rPr>
            <w:rStyle w:val="a5"/>
            <w:rFonts w:ascii="Times New Roman" w:hAnsi="Times New Roman" w:cs="Times New Roman"/>
            <w:sz w:val="24"/>
            <w:szCs w:val="24"/>
          </w:rPr>
          <w:t>https://www.investopedia.com/articles/04/031004.asp#:~:text=A%20company's%20balance%20sheet%2C%20also,of%20any%20company's%20financial%20statements</w:t>
        </w:r>
      </w:hyperlink>
      <w:r w:rsidR="004819C3" w:rsidRPr="004819C3">
        <w:rPr>
          <w:rFonts w:ascii="Times New Roman" w:hAnsi="Times New Roman" w:cs="Times New Roman"/>
          <w:sz w:val="24"/>
          <w:szCs w:val="24"/>
        </w:rPr>
        <w:t xml:space="preserve"> </w:t>
      </w:r>
      <w:r w:rsidRPr="004819C3">
        <w:rPr>
          <w:rFonts w:ascii="Times New Roman" w:hAnsi="Times New Roman" w:cs="Times New Roman"/>
          <w:sz w:val="24"/>
          <w:szCs w:val="24"/>
        </w:rPr>
        <w:t>[Accessed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w:t>
      </w:r>
    </w:p>
    <w:p w:rsidR="0074189C" w:rsidRPr="004819C3" w:rsidRDefault="0074189C"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Fernando, J. (202</w:t>
      </w:r>
      <w:r w:rsidR="00DF3CE7" w:rsidRPr="004819C3">
        <w:rPr>
          <w:rFonts w:ascii="Times New Roman" w:hAnsi="Times New Roman" w:cs="Times New Roman"/>
          <w:sz w:val="24"/>
          <w:szCs w:val="24"/>
        </w:rPr>
        <w:t>2a</w:t>
      </w:r>
      <w:r w:rsidRPr="004819C3">
        <w:rPr>
          <w:rFonts w:ascii="Times New Roman" w:hAnsi="Times New Roman" w:cs="Times New Roman"/>
          <w:sz w:val="24"/>
          <w:szCs w:val="24"/>
        </w:rPr>
        <w:t xml:space="preserve">) </w:t>
      </w:r>
      <w:r w:rsidRPr="004819C3">
        <w:rPr>
          <w:rFonts w:ascii="Times New Roman" w:hAnsi="Times New Roman" w:cs="Times New Roman"/>
          <w:i/>
          <w:iCs/>
          <w:sz w:val="24"/>
          <w:szCs w:val="24"/>
        </w:rPr>
        <w:t>Earnings Per Share (EPS): What It Means and How to Calculate It</w:t>
      </w:r>
      <w:r w:rsidR="004819C3" w:rsidRPr="004819C3">
        <w:rPr>
          <w:rFonts w:ascii="Times New Roman" w:hAnsi="Times New Roman" w:cs="Times New Roman"/>
          <w:sz w:val="24"/>
          <w:szCs w:val="24"/>
        </w:rPr>
        <w:t xml:space="preserve">, </w:t>
      </w:r>
      <w:r w:rsidRPr="004819C3">
        <w:rPr>
          <w:rFonts w:ascii="Times New Roman" w:hAnsi="Times New Roman" w:cs="Times New Roman"/>
          <w:sz w:val="24"/>
          <w:szCs w:val="24"/>
        </w:rPr>
        <w:t xml:space="preserve">[online] Available: </w:t>
      </w:r>
      <w:hyperlink r:id="rId14" w:history="1">
        <w:r w:rsidRPr="004819C3">
          <w:rPr>
            <w:rStyle w:val="a5"/>
            <w:rFonts w:ascii="Times New Roman" w:hAnsi="Times New Roman" w:cs="Times New Roman"/>
            <w:sz w:val="24"/>
            <w:szCs w:val="24"/>
          </w:rPr>
          <w:t>https://www.investopedia.com/terms/e/eps.asp</w:t>
        </w:r>
      </w:hyperlink>
      <w:r w:rsidRPr="004819C3">
        <w:rPr>
          <w:rFonts w:ascii="Times New Roman" w:hAnsi="Times New Roman" w:cs="Times New Roman"/>
          <w:sz w:val="24"/>
          <w:szCs w:val="24"/>
        </w:rPr>
        <w:t xml:space="preserve"> [Accessed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w:t>
      </w:r>
    </w:p>
    <w:p w:rsidR="00DF3CE7" w:rsidRPr="004819C3" w:rsidRDefault="00DF3CE7"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Fernando, J. (2022b) </w:t>
      </w:r>
      <w:r w:rsidRPr="004819C3">
        <w:rPr>
          <w:rFonts w:ascii="Times New Roman" w:hAnsi="Times New Roman" w:cs="Times New Roman"/>
          <w:i/>
          <w:iCs/>
          <w:sz w:val="24"/>
          <w:szCs w:val="24"/>
        </w:rPr>
        <w:t>Current Ratio Explained With Formula and Examples</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[online] Available: </w:t>
      </w:r>
      <w:hyperlink r:id="rId15" w:history="1">
        <w:r w:rsidRPr="004819C3">
          <w:rPr>
            <w:rStyle w:val="a5"/>
            <w:rFonts w:ascii="Times New Roman" w:hAnsi="Times New Roman" w:cs="Times New Roman"/>
            <w:sz w:val="24"/>
            <w:szCs w:val="24"/>
          </w:rPr>
          <w:t>https://www.investopedia.com/terms/c/currentratio.asp</w:t>
        </w:r>
      </w:hyperlink>
      <w:r w:rsidRPr="004819C3">
        <w:rPr>
          <w:rFonts w:ascii="Times New Roman" w:hAnsi="Times New Roman" w:cs="Times New Roman"/>
          <w:sz w:val="24"/>
          <w:szCs w:val="24"/>
        </w:rPr>
        <w:t xml:space="preserve"> [Accessed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w:t>
      </w:r>
    </w:p>
    <w:p w:rsidR="00FB266A" w:rsidRPr="004819C3" w:rsidRDefault="00FB266A"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Hayes, A. (2022a) </w:t>
      </w:r>
      <w:r w:rsidRPr="004819C3">
        <w:rPr>
          <w:rFonts w:ascii="Times New Roman" w:hAnsi="Times New Roman" w:cs="Times New Roman"/>
          <w:i/>
          <w:iCs/>
          <w:sz w:val="24"/>
          <w:szCs w:val="24"/>
        </w:rPr>
        <w:t>Asset Turnover Ratio Definition</w:t>
      </w:r>
      <w:r w:rsidR="004819C3" w:rsidRPr="004819C3">
        <w:rPr>
          <w:rFonts w:ascii="Times New Roman" w:hAnsi="Times New Roman" w:cs="Times New Roman"/>
          <w:sz w:val="24"/>
          <w:szCs w:val="24"/>
        </w:rPr>
        <w:t xml:space="preserve">, </w:t>
      </w:r>
      <w:r w:rsidRPr="004819C3">
        <w:rPr>
          <w:rFonts w:ascii="Times New Roman" w:hAnsi="Times New Roman" w:cs="Times New Roman"/>
          <w:sz w:val="24"/>
          <w:szCs w:val="24"/>
        </w:rPr>
        <w:t xml:space="preserve">[online] Available: </w:t>
      </w:r>
      <w:hyperlink r:id="rId16" w:history="1">
        <w:r w:rsidRPr="004819C3">
          <w:rPr>
            <w:rStyle w:val="a5"/>
            <w:rFonts w:ascii="Times New Roman" w:hAnsi="Times New Roman" w:cs="Times New Roman"/>
            <w:sz w:val="24"/>
            <w:szCs w:val="24"/>
          </w:rPr>
          <w:t>https://www.investopedia.com/terms/a/assetturnover.asp</w:t>
        </w:r>
      </w:hyperlink>
      <w:r w:rsidRPr="004819C3">
        <w:rPr>
          <w:rFonts w:ascii="Times New Roman" w:hAnsi="Times New Roman" w:cs="Times New Roman"/>
          <w:sz w:val="24"/>
          <w:szCs w:val="24"/>
        </w:rPr>
        <w:t xml:space="preserve"> [Accessed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w:t>
      </w:r>
    </w:p>
    <w:p w:rsidR="0057123D" w:rsidRPr="004819C3" w:rsidRDefault="0057123D"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Hayes, A. (2022b) </w:t>
      </w:r>
      <w:r w:rsidRPr="004819C3">
        <w:rPr>
          <w:rFonts w:ascii="Times New Roman" w:hAnsi="Times New Roman" w:cs="Times New Roman"/>
          <w:i/>
          <w:iCs/>
          <w:sz w:val="24"/>
          <w:szCs w:val="24"/>
        </w:rPr>
        <w:t>Days Sales of Inventory (DSI): Definition, Formula, Importance</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[online] Available: </w:t>
      </w:r>
      <w:hyperlink r:id="rId17" w:history="1">
        <w:r w:rsidRPr="004819C3">
          <w:rPr>
            <w:rStyle w:val="a5"/>
            <w:rFonts w:ascii="Times New Roman" w:hAnsi="Times New Roman" w:cs="Times New Roman"/>
            <w:sz w:val="24"/>
            <w:szCs w:val="24"/>
          </w:rPr>
          <w:t>https://www.investopedia.com/terms/d/days-sales-inventory-dsi.asp</w:t>
        </w:r>
      </w:hyperlink>
      <w:r w:rsidRPr="004819C3">
        <w:rPr>
          <w:rFonts w:ascii="Times New Roman" w:hAnsi="Times New Roman" w:cs="Times New Roman"/>
          <w:sz w:val="24"/>
          <w:szCs w:val="24"/>
        </w:rPr>
        <w:t xml:space="preserve"> [Accessed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w:t>
      </w:r>
    </w:p>
    <w:p w:rsidR="00BD4FDC" w:rsidRPr="004819C3" w:rsidRDefault="00BD4FDC"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lastRenderedPageBreak/>
        <w:t xml:space="preserve">Hayes, A. (2022c) </w:t>
      </w:r>
      <w:r w:rsidRPr="004819C3">
        <w:rPr>
          <w:rFonts w:ascii="Times New Roman" w:hAnsi="Times New Roman" w:cs="Times New Roman"/>
          <w:i/>
          <w:iCs/>
          <w:sz w:val="24"/>
          <w:szCs w:val="24"/>
        </w:rPr>
        <w:t>Interest Coverage Ratio: Formula, How It Works, and Example</w:t>
      </w:r>
      <w:r w:rsidR="004819C3" w:rsidRPr="004819C3">
        <w:rPr>
          <w:rFonts w:ascii="Times New Roman" w:hAnsi="Times New Roman" w:cs="Times New Roman"/>
          <w:sz w:val="24"/>
          <w:szCs w:val="24"/>
        </w:rPr>
        <w:t xml:space="preserve">, </w:t>
      </w:r>
      <w:r w:rsidRPr="004819C3">
        <w:rPr>
          <w:rFonts w:ascii="Times New Roman" w:hAnsi="Times New Roman" w:cs="Times New Roman"/>
          <w:sz w:val="24"/>
          <w:szCs w:val="24"/>
        </w:rPr>
        <w:t xml:space="preserve">[online] Available: </w:t>
      </w:r>
      <w:hyperlink r:id="rId18" w:anchor=":~:text=The%20interest%20coverage%20ratio%20is,expense%20during%20a%20given%20period" w:history="1">
        <w:r w:rsidRPr="004819C3">
          <w:rPr>
            <w:rStyle w:val="a5"/>
            <w:rFonts w:ascii="Times New Roman" w:hAnsi="Times New Roman" w:cs="Times New Roman"/>
            <w:sz w:val="24"/>
            <w:szCs w:val="24"/>
          </w:rPr>
          <w:t>https://www.investopedia.com/terms/i/interestcoverageratio.asp#:~:text=The%20interest%20coverage%20ratio%20is,expense%20during%20a%20given%20period</w:t>
        </w:r>
      </w:hyperlink>
      <w:r w:rsidR="004819C3" w:rsidRPr="004819C3">
        <w:rPr>
          <w:rFonts w:ascii="Times New Roman" w:hAnsi="Times New Roman" w:cs="Times New Roman"/>
          <w:sz w:val="24"/>
          <w:szCs w:val="24"/>
        </w:rPr>
        <w:t xml:space="preserve"> [Accessed: 9</w:t>
      </w:r>
      <w:r w:rsidRPr="004819C3">
        <w:rPr>
          <w:rFonts w:ascii="Times New Roman" w:hAnsi="Times New Roman" w:cs="Times New Roman"/>
          <w:sz w:val="24"/>
          <w:szCs w:val="24"/>
        </w:rPr>
        <w:t xml:space="preserve"> January 2023]</w:t>
      </w:r>
    </w:p>
    <w:p w:rsidR="00DF3CE7" w:rsidRPr="004819C3" w:rsidRDefault="00BD4FDC"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Kenton, W. (2022) </w:t>
      </w:r>
      <w:r w:rsidRPr="004819C3">
        <w:rPr>
          <w:rFonts w:ascii="Times New Roman" w:hAnsi="Times New Roman" w:cs="Times New Roman"/>
          <w:i/>
          <w:iCs/>
          <w:sz w:val="24"/>
          <w:szCs w:val="24"/>
        </w:rPr>
        <w:t>Gearing Ratios: Definition, Types of Ratios and How to Calculate</w:t>
      </w:r>
      <w:r w:rsidR="004819C3" w:rsidRPr="004819C3">
        <w:rPr>
          <w:rFonts w:ascii="Times New Roman" w:hAnsi="Times New Roman" w:cs="Times New Roman"/>
          <w:sz w:val="24"/>
          <w:szCs w:val="24"/>
        </w:rPr>
        <w:t xml:space="preserve">, </w:t>
      </w:r>
      <w:r w:rsidRPr="004819C3">
        <w:rPr>
          <w:rFonts w:ascii="Times New Roman" w:hAnsi="Times New Roman" w:cs="Times New Roman"/>
          <w:sz w:val="24"/>
          <w:szCs w:val="24"/>
        </w:rPr>
        <w:t xml:space="preserve">[online] Available: </w:t>
      </w:r>
      <w:hyperlink r:id="rId19" w:anchor=":~:text=Gearing%20ratios%20are%20financial%20ratios,'%20funds%20versus%20creditors'%20funds" w:history="1">
        <w:r w:rsidRPr="004819C3">
          <w:rPr>
            <w:rStyle w:val="a5"/>
            <w:rFonts w:ascii="Times New Roman" w:hAnsi="Times New Roman" w:cs="Times New Roman"/>
            <w:sz w:val="24"/>
            <w:szCs w:val="24"/>
          </w:rPr>
          <w:t>https://www.investopedia.com/terms/g/gearingratio.asp#:~:text=Gearing%20ratios%20are%20financial%20ratios,'%20funds%20versus%20creditors'%20funds</w:t>
        </w:r>
      </w:hyperlink>
      <w:r w:rsidR="004819C3" w:rsidRPr="004819C3">
        <w:rPr>
          <w:rFonts w:ascii="Times New Roman" w:hAnsi="Times New Roman" w:cs="Times New Roman"/>
          <w:sz w:val="24"/>
          <w:szCs w:val="24"/>
        </w:rPr>
        <w:t xml:space="preserve"> </w:t>
      </w:r>
      <w:r w:rsidRPr="004819C3">
        <w:rPr>
          <w:rFonts w:ascii="Times New Roman" w:hAnsi="Times New Roman" w:cs="Times New Roman"/>
          <w:sz w:val="24"/>
          <w:szCs w:val="24"/>
        </w:rPr>
        <w:t>[Accessed</w:t>
      </w:r>
      <w:r w:rsidR="004819C3" w:rsidRPr="004819C3">
        <w:rPr>
          <w:rFonts w:ascii="Times New Roman" w:hAnsi="Times New Roman" w:cs="Times New Roman"/>
          <w:sz w:val="24"/>
          <w:szCs w:val="24"/>
        </w:rPr>
        <w:t>:</w:t>
      </w:r>
      <w:r w:rsidRPr="004819C3">
        <w:rPr>
          <w:rFonts w:ascii="Times New Roman" w:hAnsi="Times New Roman" w:cs="Times New Roman"/>
          <w:sz w:val="24"/>
          <w:szCs w:val="24"/>
        </w:rPr>
        <w:t xml:space="preserve"> 7 January 2023]</w:t>
      </w:r>
    </w:p>
    <w:p w:rsidR="003D6486" w:rsidRPr="004819C3" w:rsidRDefault="003D6486"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Maverick, J. (2022) </w:t>
      </w:r>
      <w:r w:rsidRPr="004819C3">
        <w:rPr>
          <w:rFonts w:ascii="Times New Roman" w:hAnsi="Times New Roman" w:cs="Times New Roman"/>
          <w:i/>
          <w:iCs/>
          <w:sz w:val="24"/>
          <w:szCs w:val="24"/>
        </w:rPr>
        <w:t>How Useful is ROCE as an Indicator of a Company’s Performance?</w:t>
      </w:r>
      <w:r w:rsidRPr="004819C3">
        <w:rPr>
          <w:rFonts w:ascii="Times New Roman" w:hAnsi="Times New Roman" w:cs="Times New Roman"/>
          <w:sz w:val="24"/>
          <w:szCs w:val="24"/>
        </w:rPr>
        <w:t xml:space="preserve"> [online] Available: </w:t>
      </w:r>
      <w:hyperlink r:id="rId20" w:history="1">
        <w:r w:rsidRPr="004819C3">
          <w:rPr>
            <w:rStyle w:val="a5"/>
            <w:rFonts w:ascii="Times New Roman" w:hAnsi="Times New Roman" w:cs="Times New Roman"/>
            <w:sz w:val="24"/>
            <w:szCs w:val="24"/>
          </w:rPr>
          <w:t>https://www.investopedia.com/ask/answers/011315/how-useful-roce-indicator-companys-performance.asp</w:t>
        </w:r>
      </w:hyperlink>
      <w:r w:rsidR="004819C3" w:rsidRPr="004819C3">
        <w:rPr>
          <w:rFonts w:ascii="Times New Roman" w:hAnsi="Times New Roman" w:cs="Times New Roman"/>
          <w:sz w:val="24"/>
          <w:szCs w:val="24"/>
        </w:rPr>
        <w:t xml:space="preserve"> [Accessed: 9</w:t>
      </w:r>
      <w:r w:rsidRPr="004819C3">
        <w:rPr>
          <w:rFonts w:ascii="Times New Roman" w:hAnsi="Times New Roman" w:cs="Times New Roman"/>
          <w:sz w:val="24"/>
          <w:szCs w:val="24"/>
        </w:rPr>
        <w:t xml:space="preserve"> January 2023]</w:t>
      </w:r>
    </w:p>
    <w:p w:rsidR="00E0501E" w:rsidRPr="004819C3" w:rsidRDefault="009D00D1" w:rsidP="004819C3">
      <w:pPr>
        <w:spacing w:after="240" w:line="360" w:lineRule="auto"/>
        <w:rPr>
          <w:rFonts w:ascii="Times New Roman" w:hAnsi="Times New Roman" w:cs="Times New Roman"/>
          <w:sz w:val="24"/>
          <w:szCs w:val="24"/>
        </w:rPr>
      </w:pPr>
      <w:r w:rsidRPr="004819C3">
        <w:rPr>
          <w:rFonts w:ascii="Times New Roman" w:hAnsi="Times New Roman" w:cs="Times New Roman"/>
          <w:sz w:val="24"/>
          <w:szCs w:val="24"/>
        </w:rPr>
        <w:t xml:space="preserve">Powell, S. (2022) </w:t>
      </w:r>
      <w:r w:rsidRPr="004819C3">
        <w:rPr>
          <w:rFonts w:ascii="Times New Roman" w:hAnsi="Times New Roman" w:cs="Times New Roman"/>
          <w:i/>
          <w:iCs/>
          <w:sz w:val="24"/>
          <w:szCs w:val="24"/>
        </w:rPr>
        <w:t>Accounting</w:t>
      </w:r>
      <w:r w:rsidR="004819C3" w:rsidRPr="004819C3">
        <w:rPr>
          <w:rFonts w:ascii="Times New Roman" w:hAnsi="Times New Roman" w:cs="Times New Roman"/>
          <w:i/>
          <w:iCs/>
          <w:sz w:val="24"/>
          <w:szCs w:val="24"/>
        </w:rPr>
        <w:t xml:space="preserve">, </w:t>
      </w:r>
      <w:r w:rsidRPr="004819C3">
        <w:rPr>
          <w:rFonts w:ascii="Times New Roman" w:hAnsi="Times New Roman" w:cs="Times New Roman"/>
          <w:sz w:val="24"/>
          <w:szCs w:val="24"/>
        </w:rPr>
        <w:t xml:space="preserve">[online] Available: </w:t>
      </w:r>
      <w:hyperlink r:id="rId21" w:history="1">
        <w:r w:rsidRPr="004819C3">
          <w:rPr>
            <w:rStyle w:val="a5"/>
            <w:rFonts w:ascii="Times New Roman" w:hAnsi="Times New Roman" w:cs="Times New Roman"/>
            <w:sz w:val="24"/>
            <w:szCs w:val="24"/>
          </w:rPr>
          <w:t>https://corporatefinanceinstitute.com/resources/accounting/accounting/</w:t>
        </w:r>
      </w:hyperlink>
      <w:r w:rsidR="004819C3" w:rsidRPr="004819C3">
        <w:rPr>
          <w:rFonts w:ascii="Times New Roman" w:hAnsi="Times New Roman" w:cs="Times New Roman"/>
          <w:sz w:val="24"/>
          <w:szCs w:val="24"/>
        </w:rPr>
        <w:t xml:space="preserve"> [Accessed 9</w:t>
      </w:r>
      <w:r w:rsidRPr="004819C3">
        <w:rPr>
          <w:rFonts w:ascii="Times New Roman" w:hAnsi="Times New Roman" w:cs="Times New Roman"/>
          <w:sz w:val="24"/>
          <w:szCs w:val="24"/>
        </w:rPr>
        <w:t xml:space="preserve"> January 2023]</w:t>
      </w:r>
    </w:p>
    <w:p w:rsidR="00E0501E" w:rsidRDefault="00E0501E" w:rsidP="004819C3">
      <w:pPr>
        <w:spacing w:after="240"/>
      </w:pPr>
    </w:p>
    <w:sectPr w:rsidR="00E0501E" w:rsidSect="00CB6EFE">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A0AB4" w:rsidRDefault="003A0AB4" w:rsidP="004819C3">
      <w:pPr>
        <w:spacing w:after="0" w:line="240" w:lineRule="auto"/>
      </w:pPr>
      <w:r>
        <w:separator/>
      </w:r>
    </w:p>
  </w:endnote>
  <w:endnote w:type="continuationSeparator" w:id="0">
    <w:p w:rsidR="003A0AB4" w:rsidRDefault="003A0AB4" w:rsidP="00481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464016"/>
      <w:docPartObj>
        <w:docPartGallery w:val="Page Numbers (Bottom of Page)"/>
        <w:docPartUnique/>
      </w:docPartObj>
    </w:sdtPr>
    <w:sdtEndPr/>
    <w:sdtContent>
      <w:p w:rsidR="004819C3" w:rsidRDefault="00E83C47">
        <w:pPr>
          <w:pStyle w:val="a9"/>
          <w:jc w:val="right"/>
        </w:pPr>
        <w:r>
          <w:fldChar w:fldCharType="begin"/>
        </w:r>
        <w:r>
          <w:instrText xml:space="preserve"> PAGE   \* MERGEFORMAT </w:instrText>
        </w:r>
        <w:r>
          <w:fldChar w:fldCharType="separate"/>
        </w:r>
        <w:r w:rsidR="00567184">
          <w:rPr>
            <w:noProof/>
          </w:rPr>
          <w:t>2</w:t>
        </w:r>
        <w:r>
          <w:rPr>
            <w:noProof/>
          </w:rPr>
          <w:fldChar w:fldCharType="end"/>
        </w:r>
      </w:p>
    </w:sdtContent>
  </w:sdt>
  <w:p w:rsidR="004819C3" w:rsidRDefault="004819C3">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A0AB4" w:rsidRDefault="003A0AB4" w:rsidP="004819C3">
      <w:pPr>
        <w:spacing w:after="0" w:line="240" w:lineRule="auto"/>
      </w:pPr>
      <w:r>
        <w:separator/>
      </w:r>
    </w:p>
  </w:footnote>
  <w:footnote w:type="continuationSeparator" w:id="0">
    <w:p w:rsidR="003A0AB4" w:rsidRDefault="003A0AB4" w:rsidP="004819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E3D35"/>
    <w:multiLevelType w:val="hybridMultilevel"/>
    <w:tmpl w:val="0834F496"/>
    <w:lvl w:ilvl="0" w:tplc="3C68ACA0">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450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01E"/>
    <w:rsid w:val="00040682"/>
    <w:rsid w:val="000D01F6"/>
    <w:rsid w:val="00147FAD"/>
    <w:rsid w:val="00200724"/>
    <w:rsid w:val="00237B83"/>
    <w:rsid w:val="002C2F2B"/>
    <w:rsid w:val="00322E06"/>
    <w:rsid w:val="00354515"/>
    <w:rsid w:val="00375538"/>
    <w:rsid w:val="00396249"/>
    <w:rsid w:val="003A0AB4"/>
    <w:rsid w:val="003C589F"/>
    <w:rsid w:val="003D6486"/>
    <w:rsid w:val="00477F88"/>
    <w:rsid w:val="004819C3"/>
    <w:rsid w:val="00483FEA"/>
    <w:rsid w:val="005057CD"/>
    <w:rsid w:val="0053645E"/>
    <w:rsid w:val="00555A5C"/>
    <w:rsid w:val="00567184"/>
    <w:rsid w:val="0057123D"/>
    <w:rsid w:val="005D6D30"/>
    <w:rsid w:val="005F1998"/>
    <w:rsid w:val="00601700"/>
    <w:rsid w:val="006970CD"/>
    <w:rsid w:val="006D0CBA"/>
    <w:rsid w:val="006F5A32"/>
    <w:rsid w:val="0074189C"/>
    <w:rsid w:val="007418F1"/>
    <w:rsid w:val="007761E1"/>
    <w:rsid w:val="007A3B2B"/>
    <w:rsid w:val="007B2343"/>
    <w:rsid w:val="007B5AC4"/>
    <w:rsid w:val="007C5110"/>
    <w:rsid w:val="007D0497"/>
    <w:rsid w:val="007F52AF"/>
    <w:rsid w:val="008843E4"/>
    <w:rsid w:val="008C1AB1"/>
    <w:rsid w:val="00907460"/>
    <w:rsid w:val="0095158E"/>
    <w:rsid w:val="00986C43"/>
    <w:rsid w:val="009D00D1"/>
    <w:rsid w:val="009E0519"/>
    <w:rsid w:val="00A17F64"/>
    <w:rsid w:val="00A30918"/>
    <w:rsid w:val="00A451DD"/>
    <w:rsid w:val="00A521CE"/>
    <w:rsid w:val="00A56B9D"/>
    <w:rsid w:val="00A6668D"/>
    <w:rsid w:val="00BA54B0"/>
    <w:rsid w:val="00BD4FDC"/>
    <w:rsid w:val="00BF0A65"/>
    <w:rsid w:val="00C50FAE"/>
    <w:rsid w:val="00CA457D"/>
    <w:rsid w:val="00CB6EFE"/>
    <w:rsid w:val="00CC78B9"/>
    <w:rsid w:val="00CD5D51"/>
    <w:rsid w:val="00CE4326"/>
    <w:rsid w:val="00CF0361"/>
    <w:rsid w:val="00D7203C"/>
    <w:rsid w:val="00D8687B"/>
    <w:rsid w:val="00DD6F33"/>
    <w:rsid w:val="00DF3CE7"/>
    <w:rsid w:val="00E0501E"/>
    <w:rsid w:val="00E80FB6"/>
    <w:rsid w:val="00E83C47"/>
    <w:rsid w:val="00EA7939"/>
    <w:rsid w:val="00EC7D7D"/>
    <w:rsid w:val="00EE24E5"/>
    <w:rsid w:val="00F60A96"/>
    <w:rsid w:val="00FB26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6DFF0F49"/>
  <w15:docId w15:val="{288EFDEF-F3C7-CD49-A84C-FEBE15EFE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B6EFE"/>
  </w:style>
  <w:style w:type="paragraph" w:styleId="1">
    <w:name w:val="heading 1"/>
    <w:basedOn w:val="a"/>
    <w:next w:val="a"/>
    <w:link w:val="10"/>
    <w:uiPriority w:val="9"/>
    <w:qFormat/>
    <w:rsid w:val="00E050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E050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E0501E"/>
    <w:rPr>
      <w:rFonts w:asciiTheme="majorHAnsi" w:eastAsiaTheme="majorEastAsia" w:hAnsiTheme="majorHAnsi" w:cstheme="majorBidi"/>
      <w:spacing w:val="-10"/>
      <w:kern w:val="28"/>
      <w:sz w:val="56"/>
      <w:szCs w:val="56"/>
    </w:rPr>
  </w:style>
  <w:style w:type="character" w:customStyle="1" w:styleId="10">
    <w:name w:val="Заглавие 1 Знак"/>
    <w:basedOn w:val="a0"/>
    <w:link w:val="1"/>
    <w:uiPriority w:val="9"/>
    <w:rsid w:val="00E0501E"/>
    <w:rPr>
      <w:rFonts w:asciiTheme="majorHAnsi" w:eastAsiaTheme="majorEastAsia" w:hAnsiTheme="majorHAnsi" w:cstheme="majorBidi"/>
      <w:color w:val="2F5496" w:themeColor="accent1" w:themeShade="BF"/>
      <w:sz w:val="32"/>
      <w:szCs w:val="32"/>
    </w:rPr>
  </w:style>
  <w:style w:type="character" w:styleId="a5">
    <w:name w:val="Hyperlink"/>
    <w:basedOn w:val="a0"/>
    <w:uiPriority w:val="99"/>
    <w:unhideWhenUsed/>
    <w:rsid w:val="00CA457D"/>
    <w:rPr>
      <w:color w:val="0563C1" w:themeColor="hyperlink"/>
      <w:u w:val="single"/>
    </w:rPr>
  </w:style>
  <w:style w:type="character" w:customStyle="1" w:styleId="11">
    <w:name w:val="Неразрешено споменаване1"/>
    <w:basedOn w:val="a0"/>
    <w:uiPriority w:val="99"/>
    <w:semiHidden/>
    <w:unhideWhenUsed/>
    <w:rsid w:val="00CA457D"/>
    <w:rPr>
      <w:color w:val="605E5C"/>
      <w:shd w:val="clear" w:color="auto" w:fill="E1DFDD"/>
    </w:rPr>
  </w:style>
  <w:style w:type="paragraph" w:styleId="a6">
    <w:name w:val="List Paragraph"/>
    <w:basedOn w:val="a"/>
    <w:uiPriority w:val="34"/>
    <w:qFormat/>
    <w:rsid w:val="005F1998"/>
    <w:pPr>
      <w:ind w:left="720"/>
      <w:contextualSpacing/>
    </w:pPr>
  </w:style>
  <w:style w:type="paragraph" w:styleId="a7">
    <w:name w:val="header"/>
    <w:basedOn w:val="a"/>
    <w:link w:val="a8"/>
    <w:uiPriority w:val="99"/>
    <w:semiHidden/>
    <w:unhideWhenUsed/>
    <w:rsid w:val="004819C3"/>
    <w:pPr>
      <w:tabs>
        <w:tab w:val="center" w:pos="4703"/>
        <w:tab w:val="right" w:pos="9406"/>
      </w:tabs>
      <w:spacing w:after="0" w:line="240" w:lineRule="auto"/>
    </w:pPr>
  </w:style>
  <w:style w:type="character" w:customStyle="1" w:styleId="a8">
    <w:name w:val="Горен колонтитул Знак"/>
    <w:basedOn w:val="a0"/>
    <w:link w:val="a7"/>
    <w:uiPriority w:val="99"/>
    <w:semiHidden/>
    <w:rsid w:val="004819C3"/>
  </w:style>
  <w:style w:type="paragraph" w:styleId="a9">
    <w:name w:val="footer"/>
    <w:basedOn w:val="a"/>
    <w:link w:val="aa"/>
    <w:uiPriority w:val="99"/>
    <w:unhideWhenUsed/>
    <w:rsid w:val="004819C3"/>
    <w:pPr>
      <w:tabs>
        <w:tab w:val="center" w:pos="4703"/>
        <w:tab w:val="right" w:pos="9406"/>
      </w:tabs>
      <w:spacing w:after="0" w:line="240" w:lineRule="auto"/>
    </w:pPr>
  </w:style>
  <w:style w:type="character" w:customStyle="1" w:styleId="aa">
    <w:name w:val="Долен колонтитул Знак"/>
    <w:basedOn w:val="a0"/>
    <w:link w:val="a9"/>
    <w:uiPriority w:val="99"/>
    <w:rsid w:val="004819C3"/>
  </w:style>
  <w:style w:type="paragraph" w:styleId="ab">
    <w:name w:val="TOC Heading"/>
    <w:basedOn w:val="1"/>
    <w:next w:val="a"/>
    <w:uiPriority w:val="39"/>
    <w:semiHidden/>
    <w:unhideWhenUsed/>
    <w:qFormat/>
    <w:rsid w:val="00CF0361"/>
    <w:pPr>
      <w:spacing w:before="480" w:line="276" w:lineRule="auto"/>
      <w:outlineLvl w:val="9"/>
    </w:pPr>
    <w:rPr>
      <w:b/>
      <w:bCs/>
      <w:sz w:val="28"/>
      <w:szCs w:val="28"/>
      <w:lang w:val="en-US"/>
    </w:rPr>
  </w:style>
  <w:style w:type="paragraph" w:styleId="12">
    <w:name w:val="toc 1"/>
    <w:basedOn w:val="a"/>
    <w:next w:val="a"/>
    <w:autoRedefine/>
    <w:uiPriority w:val="39"/>
    <w:unhideWhenUsed/>
    <w:rsid w:val="00CF0361"/>
    <w:pPr>
      <w:spacing w:after="100"/>
    </w:pPr>
  </w:style>
  <w:style w:type="paragraph" w:styleId="ac">
    <w:name w:val="Balloon Text"/>
    <w:basedOn w:val="a"/>
    <w:link w:val="ad"/>
    <w:uiPriority w:val="99"/>
    <w:semiHidden/>
    <w:unhideWhenUsed/>
    <w:rsid w:val="00CF0361"/>
    <w:pPr>
      <w:spacing w:after="0" w:line="240" w:lineRule="auto"/>
    </w:pPr>
    <w:rPr>
      <w:rFonts w:ascii="Tahoma" w:hAnsi="Tahoma" w:cs="Tahoma"/>
      <w:sz w:val="16"/>
      <w:szCs w:val="16"/>
    </w:rPr>
  </w:style>
  <w:style w:type="character" w:customStyle="1" w:styleId="ad">
    <w:name w:val="Изнесен текст Знак"/>
    <w:basedOn w:val="a0"/>
    <w:link w:val="ac"/>
    <w:uiPriority w:val="99"/>
    <w:semiHidden/>
    <w:rsid w:val="00CF036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244390">
      <w:bodyDiv w:val="1"/>
      <w:marLeft w:val="0"/>
      <w:marRight w:val="0"/>
      <w:marTop w:val="0"/>
      <w:marBottom w:val="0"/>
      <w:divBdr>
        <w:top w:val="none" w:sz="0" w:space="0" w:color="auto"/>
        <w:left w:val="none" w:sz="0" w:space="0" w:color="auto"/>
        <w:bottom w:val="none" w:sz="0" w:space="0" w:color="auto"/>
        <w:right w:val="none" w:sz="0" w:space="0" w:color="auto"/>
      </w:divBdr>
    </w:div>
    <w:div w:id="207670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c.ca/en/articles-tools/entrepreneur-toolkit/financial-tools/accounts-receivable-benchmarking-tool-entrepreneurs" TargetMode="External" /><Relationship Id="rId13" Type="http://schemas.openxmlformats.org/officeDocument/2006/relationships/hyperlink" Target="https://www.investopedia.com/articles/04/031004.asp" TargetMode="External" /><Relationship Id="rId18" Type="http://schemas.openxmlformats.org/officeDocument/2006/relationships/hyperlink" Target="https://www.investopedia.com/terms/i/interestcoverageratio.asp" TargetMode="External" /><Relationship Id="rId3" Type="http://schemas.openxmlformats.org/officeDocument/2006/relationships/styles" Target="styles.xml" /><Relationship Id="rId21" Type="http://schemas.openxmlformats.org/officeDocument/2006/relationships/hyperlink" Target="https://corporatefinanceinstitute.com/resources/accounting/accounting/" TargetMode="External" /><Relationship Id="rId7" Type="http://schemas.openxmlformats.org/officeDocument/2006/relationships/endnotes" Target="endnotes.xml" /><Relationship Id="rId12" Type="http://schemas.openxmlformats.org/officeDocument/2006/relationships/hyperlink" Target="https://www.clear.in/s/inventory-holding-period" TargetMode="External" /><Relationship Id="rId17" Type="http://schemas.openxmlformats.org/officeDocument/2006/relationships/hyperlink" Target="https://www.investopedia.com/terms/d/days-sales-inventory-dsi.asp" TargetMode="External" /><Relationship Id="rId2" Type="http://schemas.openxmlformats.org/officeDocument/2006/relationships/numbering" Target="numbering.xml" /><Relationship Id="rId16" Type="http://schemas.openxmlformats.org/officeDocument/2006/relationships/hyperlink" Target="https://www.investopedia.com/terms/a/assetturnover.asp" TargetMode="External" /><Relationship Id="rId20" Type="http://schemas.openxmlformats.org/officeDocument/2006/relationships/hyperlink" Target="https://www.investopedia.com/ask/answers/011315/how-useful-roce-indicator-companys-performance.asp"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investopedia.com/terms/i/incomestatement.asp"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investopedia.com/terms/c/currentratio.asp" TargetMode="External" /><Relationship Id="rId23" Type="http://schemas.openxmlformats.org/officeDocument/2006/relationships/fontTable" Target="fontTable.xml" /><Relationship Id="rId10" Type="http://schemas.openxmlformats.org/officeDocument/2006/relationships/hyperlink" Target="https://corporatefinanceinstitute.com/resources/accounting/net-profit-margin-formula/" TargetMode="External" /><Relationship Id="rId19" Type="http://schemas.openxmlformats.org/officeDocument/2006/relationships/hyperlink" Target="https://www.investopedia.com/terms/g/gearingratio.asp" TargetMode="External" /><Relationship Id="rId4" Type="http://schemas.openxmlformats.org/officeDocument/2006/relationships/settings" Target="settings.xml" /><Relationship Id="rId9" Type="http://schemas.openxmlformats.org/officeDocument/2006/relationships/hyperlink" Target="https://corporatefinanceinstitute.com/resources/accounting/what-is-return-on-equity-roe/" TargetMode="External" /><Relationship Id="rId14" Type="http://schemas.openxmlformats.org/officeDocument/2006/relationships/hyperlink" Target="https://www.investopedia.com/terms/e/eps.asp"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07BB3A9-3362-4E05-B823-C5431169A2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2666</Words>
  <Characters>15200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Elitsa Ivanova</cp:lastModifiedBy>
  <cp:revision>2</cp:revision>
  <dcterms:created xsi:type="dcterms:W3CDTF">2023-01-13T14:51:00Z</dcterms:created>
  <dcterms:modified xsi:type="dcterms:W3CDTF">2023-01-13T14:51:00Z</dcterms:modified>
</cp:coreProperties>
</file>