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8C360" w14:textId="77777777" w:rsidR="00092546" w:rsidRDefault="00092546" w:rsidP="0027140E">
      <w:pPr>
        <w:rPr>
          <w:rFonts w:ascii="Arial" w:hAnsi="Arial" w:cs="Arial"/>
          <w:b/>
          <w:bCs/>
        </w:rPr>
      </w:pPr>
    </w:p>
    <w:p w14:paraId="28BEEB29" w14:textId="77777777" w:rsidR="00092546" w:rsidRDefault="00092546" w:rsidP="0027140E">
      <w:pPr>
        <w:rPr>
          <w:rFonts w:ascii="Arial" w:hAnsi="Arial" w:cs="Arial"/>
          <w:b/>
          <w:bCs/>
        </w:rPr>
      </w:pPr>
    </w:p>
    <w:p w14:paraId="05B08EEF" w14:textId="77777777" w:rsidR="00092546" w:rsidRDefault="00092546" w:rsidP="0027140E">
      <w:pPr>
        <w:rPr>
          <w:rFonts w:ascii="Arial" w:hAnsi="Arial" w:cs="Arial"/>
          <w:b/>
          <w:bCs/>
        </w:rPr>
      </w:pPr>
    </w:p>
    <w:p w14:paraId="308C7173" w14:textId="7E9E755D" w:rsidR="00092546" w:rsidRDefault="00092546" w:rsidP="00D664FD">
      <w:pPr>
        <w:spacing w:before="120" w:after="120" w:line="276" w:lineRule="auto"/>
        <w:jc w:val="center"/>
        <w:rPr>
          <w:rFonts w:cs="Arial"/>
          <w:b/>
          <w:sz w:val="32"/>
          <w:szCs w:val="32"/>
        </w:rPr>
      </w:pPr>
      <w:r w:rsidRPr="00092546">
        <w:rPr>
          <w:rFonts w:cs="Arial"/>
          <w:b/>
          <w:sz w:val="32"/>
          <w:szCs w:val="32"/>
        </w:rPr>
        <w:t>Managing People in Organisations</w:t>
      </w:r>
    </w:p>
    <w:p w14:paraId="77BFF4F2" w14:textId="1C5D2813" w:rsidR="00906F6B" w:rsidRPr="00C30D33" w:rsidRDefault="00934658" w:rsidP="00D664FD">
      <w:pPr>
        <w:spacing w:before="120" w:after="120" w:line="276" w:lineRule="auto"/>
        <w:ind w:left="720"/>
        <w:jc w:val="center"/>
        <w:rPr>
          <w:rFonts w:cs="Arial"/>
          <w:b/>
          <w:sz w:val="32"/>
          <w:szCs w:val="32"/>
        </w:rPr>
      </w:pPr>
      <w:r w:rsidRPr="00C30D33">
        <w:rPr>
          <w:rFonts w:cs="Arial"/>
          <w:b/>
          <w:sz w:val="32"/>
          <w:szCs w:val="32"/>
        </w:rPr>
        <w:t xml:space="preserve">Critical evaluation of </w:t>
      </w:r>
      <w:r w:rsidR="00FD3FC9" w:rsidRPr="00C30D33">
        <w:rPr>
          <w:rFonts w:cs="Arial"/>
          <w:b/>
          <w:sz w:val="32"/>
          <w:szCs w:val="32"/>
        </w:rPr>
        <w:t>HR Practices and their effect on</w:t>
      </w:r>
      <w:r w:rsidR="00C30D33" w:rsidRPr="00C30D33">
        <w:rPr>
          <w:rFonts w:cs="Arial"/>
          <w:b/>
          <w:sz w:val="32"/>
          <w:szCs w:val="32"/>
        </w:rPr>
        <w:t xml:space="preserve">                       </w:t>
      </w:r>
      <w:r w:rsidR="00C30D33">
        <w:rPr>
          <w:rFonts w:cs="Arial"/>
          <w:b/>
          <w:sz w:val="32"/>
          <w:szCs w:val="32"/>
        </w:rPr>
        <w:t xml:space="preserve"> </w:t>
      </w:r>
      <w:r w:rsidR="00C30D33" w:rsidRPr="00C30D33">
        <w:rPr>
          <w:rFonts w:cs="Arial"/>
          <w:b/>
          <w:sz w:val="32"/>
          <w:szCs w:val="32"/>
        </w:rPr>
        <w:t>Human Resource Management</w:t>
      </w:r>
    </w:p>
    <w:p w14:paraId="72D1219D" w14:textId="77777777" w:rsidR="00092546" w:rsidRDefault="00092546" w:rsidP="0027140E">
      <w:pPr>
        <w:rPr>
          <w:rFonts w:ascii="Arial" w:hAnsi="Arial" w:cs="Arial"/>
          <w:b/>
          <w:bCs/>
        </w:rPr>
      </w:pPr>
    </w:p>
    <w:p w14:paraId="0DF20A1D" w14:textId="77777777" w:rsidR="00092546" w:rsidRDefault="00092546" w:rsidP="0027140E">
      <w:pPr>
        <w:rPr>
          <w:rFonts w:ascii="Arial" w:hAnsi="Arial" w:cs="Arial"/>
          <w:b/>
          <w:bCs/>
        </w:rPr>
      </w:pPr>
    </w:p>
    <w:p w14:paraId="1515FC60" w14:textId="77777777" w:rsidR="00092546" w:rsidRDefault="00092546" w:rsidP="0027140E">
      <w:pPr>
        <w:rPr>
          <w:rFonts w:ascii="Arial" w:hAnsi="Arial" w:cs="Arial"/>
          <w:b/>
          <w:bCs/>
        </w:rPr>
      </w:pPr>
    </w:p>
    <w:p w14:paraId="450B994F" w14:textId="77777777" w:rsidR="00092546" w:rsidRDefault="00092546" w:rsidP="0027140E">
      <w:pPr>
        <w:rPr>
          <w:rFonts w:ascii="Arial" w:hAnsi="Arial" w:cs="Arial"/>
          <w:b/>
          <w:bCs/>
        </w:rPr>
      </w:pPr>
    </w:p>
    <w:p w14:paraId="0AA2ACCD" w14:textId="77777777" w:rsidR="00092546" w:rsidRDefault="00092546" w:rsidP="0027140E">
      <w:pPr>
        <w:rPr>
          <w:rFonts w:ascii="Arial" w:hAnsi="Arial" w:cs="Arial"/>
          <w:b/>
          <w:bCs/>
        </w:rPr>
      </w:pPr>
    </w:p>
    <w:p w14:paraId="30971D95" w14:textId="1451A30D" w:rsidR="00092546" w:rsidRDefault="00D664FD" w:rsidP="0027140E">
      <w:pPr>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EB2868">
        <w:rPr>
          <w:rFonts w:ascii="Arial" w:hAnsi="Arial" w:cs="Arial"/>
          <w:b/>
          <w:bCs/>
        </w:rPr>
        <w:t xml:space="preserve">         </w:t>
      </w:r>
      <w:r>
        <w:rPr>
          <w:rFonts w:ascii="Arial" w:hAnsi="Arial" w:cs="Arial"/>
          <w:b/>
          <w:bCs/>
        </w:rPr>
        <w:t>Ben Parker</w:t>
      </w:r>
    </w:p>
    <w:p w14:paraId="36ED6ECB" w14:textId="48E55C23" w:rsidR="00D664FD" w:rsidRDefault="00D664FD" w:rsidP="0027140E">
      <w:pPr>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2316960</w:t>
      </w:r>
    </w:p>
    <w:p w14:paraId="5868092D" w14:textId="4469E715" w:rsidR="00D664FD" w:rsidRDefault="00D664FD" w:rsidP="0027140E">
      <w:pPr>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sidR="00EB2868">
        <w:rPr>
          <w:rFonts w:ascii="Arial" w:hAnsi="Arial" w:cs="Arial"/>
          <w:b/>
          <w:bCs/>
        </w:rPr>
        <w:t xml:space="preserve">             </w:t>
      </w:r>
      <w:r>
        <w:rPr>
          <w:rFonts w:ascii="Arial" w:hAnsi="Arial" w:cs="Arial"/>
          <w:b/>
          <w:bCs/>
        </w:rPr>
        <w:t>Word Count-</w:t>
      </w:r>
      <w:r w:rsidR="000708BD">
        <w:rPr>
          <w:rFonts w:ascii="Arial" w:hAnsi="Arial" w:cs="Arial"/>
          <w:b/>
          <w:bCs/>
        </w:rPr>
        <w:t xml:space="preserve">   2</w:t>
      </w:r>
      <w:r w:rsidR="009503D8">
        <w:rPr>
          <w:rFonts w:ascii="Arial" w:hAnsi="Arial" w:cs="Arial"/>
          <w:b/>
          <w:bCs/>
        </w:rPr>
        <w:t>658</w:t>
      </w:r>
    </w:p>
    <w:p w14:paraId="3AD5225C" w14:textId="77777777" w:rsidR="000708BD" w:rsidRDefault="000708BD" w:rsidP="0027140E">
      <w:pPr>
        <w:rPr>
          <w:rFonts w:ascii="Arial" w:hAnsi="Arial" w:cs="Arial"/>
          <w:b/>
          <w:bCs/>
        </w:rPr>
      </w:pPr>
    </w:p>
    <w:p w14:paraId="4F767B62" w14:textId="77777777" w:rsidR="000708BD" w:rsidRDefault="000708BD" w:rsidP="0027140E">
      <w:pPr>
        <w:rPr>
          <w:rFonts w:ascii="Arial" w:hAnsi="Arial" w:cs="Arial"/>
          <w:b/>
          <w:bCs/>
        </w:rPr>
      </w:pPr>
    </w:p>
    <w:p w14:paraId="2F9452D5" w14:textId="20FC127F" w:rsidR="000708BD" w:rsidRDefault="000708BD" w:rsidP="0027140E">
      <w:pPr>
        <w:rPr>
          <w:rFonts w:ascii="Arial" w:hAnsi="Arial" w:cs="Arial"/>
          <w:b/>
          <w:bCs/>
        </w:rPr>
      </w:pPr>
    </w:p>
    <w:p w14:paraId="26C96938" w14:textId="015E66A9" w:rsidR="000708BD" w:rsidRDefault="009660F0" w:rsidP="0027140E">
      <w:pPr>
        <w:rPr>
          <w:rFonts w:ascii="Arial" w:hAnsi="Arial" w:cs="Arial"/>
          <w:b/>
          <w:bCs/>
        </w:rPr>
      </w:pPr>
      <w:r>
        <w:rPr>
          <w:noProof/>
        </w:rPr>
        <w:drawing>
          <wp:anchor distT="0" distB="0" distL="114300" distR="114300" simplePos="0" relativeHeight="251658240" behindDoc="0" locked="0" layoutInCell="1" allowOverlap="1" wp14:anchorId="6F94CD1C" wp14:editId="2CCDC7EB">
            <wp:simplePos x="0" y="0"/>
            <wp:positionH relativeFrom="column">
              <wp:posOffset>1158240</wp:posOffset>
            </wp:positionH>
            <wp:positionV relativeFrom="paragraph">
              <wp:posOffset>8255</wp:posOffset>
            </wp:positionV>
            <wp:extent cx="2804160" cy="1162238"/>
            <wp:effectExtent l="0" t="0" r="0" b="0"/>
            <wp:wrapSquare wrapText="bothSides"/>
            <wp:docPr id="192981776" name="Picture 1" descr="BRICKABILITY GROUP PLC BRCK Stock | London Stock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descr="BRICKABILITY GROUP PLC BRCK Stock | London Stock Exchan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04160" cy="1162238"/>
                    </a:xfrm>
                    <a:prstGeom prst="rect">
                      <a:avLst/>
                    </a:prstGeom>
                    <a:noFill/>
                    <a:ln>
                      <a:noFill/>
                    </a:ln>
                  </pic:spPr>
                </pic:pic>
              </a:graphicData>
            </a:graphic>
          </wp:anchor>
        </w:drawing>
      </w:r>
    </w:p>
    <w:p w14:paraId="1523C535" w14:textId="77777777" w:rsidR="000708BD" w:rsidRDefault="000708BD" w:rsidP="0027140E">
      <w:pPr>
        <w:rPr>
          <w:rFonts w:ascii="Arial" w:hAnsi="Arial" w:cs="Arial"/>
          <w:b/>
          <w:bCs/>
        </w:rPr>
      </w:pPr>
    </w:p>
    <w:p w14:paraId="01589826" w14:textId="7187B679" w:rsidR="000708BD" w:rsidRDefault="000708BD" w:rsidP="0027140E">
      <w:pPr>
        <w:rPr>
          <w:rFonts w:ascii="Arial" w:hAnsi="Arial" w:cs="Arial"/>
          <w:b/>
          <w:bCs/>
        </w:rPr>
      </w:pPr>
    </w:p>
    <w:p w14:paraId="0AB10327" w14:textId="77777777" w:rsidR="000708BD" w:rsidRDefault="000708BD" w:rsidP="0027140E">
      <w:pPr>
        <w:rPr>
          <w:rFonts w:ascii="Arial" w:hAnsi="Arial" w:cs="Arial"/>
          <w:b/>
          <w:bCs/>
        </w:rPr>
      </w:pPr>
    </w:p>
    <w:p w14:paraId="02156CDC" w14:textId="77777777" w:rsidR="000708BD" w:rsidRDefault="000708BD" w:rsidP="0027140E">
      <w:pPr>
        <w:rPr>
          <w:rFonts w:ascii="Arial" w:hAnsi="Arial" w:cs="Arial"/>
          <w:b/>
          <w:bCs/>
        </w:rPr>
      </w:pPr>
    </w:p>
    <w:p w14:paraId="49A8C578" w14:textId="77777777" w:rsidR="000708BD" w:rsidRDefault="000708BD" w:rsidP="0027140E">
      <w:pPr>
        <w:rPr>
          <w:rFonts w:ascii="Arial" w:hAnsi="Arial" w:cs="Arial"/>
          <w:b/>
          <w:bCs/>
        </w:rPr>
      </w:pPr>
    </w:p>
    <w:p w14:paraId="75072D48" w14:textId="77777777" w:rsidR="000708BD" w:rsidRDefault="000708BD" w:rsidP="0027140E">
      <w:pPr>
        <w:rPr>
          <w:rFonts w:ascii="Arial" w:hAnsi="Arial" w:cs="Arial"/>
          <w:b/>
          <w:bCs/>
        </w:rPr>
      </w:pPr>
    </w:p>
    <w:p w14:paraId="393AD8C3" w14:textId="77777777" w:rsidR="000708BD" w:rsidRDefault="000708BD" w:rsidP="0027140E">
      <w:pPr>
        <w:rPr>
          <w:rFonts w:ascii="Arial" w:hAnsi="Arial" w:cs="Arial"/>
          <w:b/>
          <w:bCs/>
        </w:rPr>
      </w:pPr>
    </w:p>
    <w:p w14:paraId="41651FC5" w14:textId="77777777" w:rsidR="000708BD" w:rsidRDefault="000708BD" w:rsidP="0027140E">
      <w:pPr>
        <w:rPr>
          <w:rFonts w:ascii="Arial" w:hAnsi="Arial" w:cs="Arial"/>
          <w:b/>
          <w:bCs/>
        </w:rPr>
      </w:pPr>
    </w:p>
    <w:p w14:paraId="65591C26" w14:textId="77777777" w:rsidR="000708BD" w:rsidRDefault="000708BD" w:rsidP="0027140E">
      <w:pPr>
        <w:rPr>
          <w:rFonts w:ascii="Arial" w:hAnsi="Arial" w:cs="Arial"/>
          <w:b/>
          <w:bCs/>
        </w:rPr>
      </w:pPr>
    </w:p>
    <w:p w14:paraId="75827FF1" w14:textId="77777777" w:rsidR="000708BD" w:rsidRDefault="000708BD" w:rsidP="0027140E">
      <w:pPr>
        <w:rPr>
          <w:rFonts w:ascii="Arial" w:hAnsi="Arial" w:cs="Arial"/>
          <w:b/>
          <w:bCs/>
        </w:rPr>
      </w:pPr>
    </w:p>
    <w:p w14:paraId="21C76674" w14:textId="77777777" w:rsidR="000708BD" w:rsidRDefault="000708BD" w:rsidP="0027140E">
      <w:pPr>
        <w:rPr>
          <w:rFonts w:ascii="Arial" w:hAnsi="Arial" w:cs="Arial"/>
          <w:b/>
          <w:bCs/>
        </w:rPr>
      </w:pPr>
    </w:p>
    <w:p w14:paraId="431E49C9" w14:textId="3D5BC8AC" w:rsidR="000708BD" w:rsidRDefault="000708BD" w:rsidP="0027140E">
      <w:pPr>
        <w:rPr>
          <w:rFonts w:ascii="Arial" w:hAnsi="Arial" w:cs="Arial"/>
          <w:b/>
          <w:bCs/>
        </w:rPr>
      </w:pPr>
      <w:r>
        <w:rPr>
          <w:rFonts w:ascii="Arial" w:hAnsi="Arial" w:cs="Arial"/>
          <w:b/>
          <w:bCs/>
        </w:rPr>
        <w:lastRenderedPageBreak/>
        <w:t>Executive Summary</w:t>
      </w:r>
    </w:p>
    <w:p w14:paraId="55492373" w14:textId="77777777" w:rsidR="009503D8" w:rsidRPr="009503D8" w:rsidRDefault="009503D8" w:rsidP="009503D8">
      <w:pPr>
        <w:rPr>
          <w:rFonts w:ascii="Arial" w:hAnsi="Arial" w:cs="Arial"/>
        </w:rPr>
      </w:pPr>
      <w:r w:rsidRPr="009503D8">
        <w:rPr>
          <w:rFonts w:ascii="Arial" w:hAnsi="Arial" w:cs="Arial"/>
        </w:rPr>
        <w:t>This report critically evaluates how internal and external factors influence Brickability Plc’s human resources and talent management strategies, with a focus on leveraging these for competitive advantage. A comprehensive PESTLE analysis reveals that external factors—such as Brexit-induced labour shortages, economic fluctuations, environmental legislation, and technological advancements—significantly shape the company's resourcing strategies. These have led to a strategic emphasis on domestic recruitment, sustainability training, and technology-driven HR processes.</w:t>
      </w:r>
    </w:p>
    <w:p w14:paraId="71E1D2FC" w14:textId="77777777" w:rsidR="009503D8" w:rsidRPr="009503D8" w:rsidRDefault="009503D8" w:rsidP="009503D8">
      <w:pPr>
        <w:rPr>
          <w:rFonts w:ascii="Arial" w:hAnsi="Arial" w:cs="Arial"/>
        </w:rPr>
      </w:pPr>
      <w:r w:rsidRPr="009503D8">
        <w:rPr>
          <w:rFonts w:ascii="Arial" w:hAnsi="Arial" w:cs="Arial"/>
        </w:rPr>
        <w:t>Internally, Brickability’s organizational culture, leadership transition, and investment in apprenticeships contribute positively to workforce development and retention. A SWOT analysis highlights strengths such as strong leadership and employee development, while also identifying challenges including talent competition and overreliance on internal pipelines.</w:t>
      </w:r>
    </w:p>
    <w:p w14:paraId="7F67F013" w14:textId="77777777" w:rsidR="009503D8" w:rsidRPr="009503D8" w:rsidRDefault="009503D8" w:rsidP="009503D8">
      <w:pPr>
        <w:rPr>
          <w:rFonts w:ascii="Arial" w:hAnsi="Arial" w:cs="Arial"/>
        </w:rPr>
      </w:pPr>
      <w:r w:rsidRPr="009503D8">
        <w:rPr>
          <w:rFonts w:ascii="Arial" w:hAnsi="Arial" w:cs="Arial"/>
        </w:rPr>
        <w:t>The company’s HR policies, including talent acquisition, diversity, and well-being initiatives, are informed by theories such as the Resource-Based View (RBV), Human Capital Theory, and the Job Demands-Resources model. These theories underpin HR’s role in driving competitive advantage by aligning employee capabilities with strategic objectives.</w:t>
      </w:r>
    </w:p>
    <w:p w14:paraId="517203B6" w14:textId="77777777" w:rsidR="009503D8" w:rsidRPr="009503D8" w:rsidRDefault="009503D8" w:rsidP="009503D8">
      <w:pPr>
        <w:rPr>
          <w:rFonts w:ascii="Arial" w:hAnsi="Arial" w:cs="Arial"/>
        </w:rPr>
      </w:pPr>
      <w:r w:rsidRPr="009503D8">
        <w:rPr>
          <w:rFonts w:ascii="Arial" w:hAnsi="Arial" w:cs="Arial"/>
        </w:rPr>
        <w:t>Brickability’s HRM approach demonstrates how strategic integration of internal strengths with responses to external pressures enables sustainable growth, innovation, and employer branding. Recommendations for continued success include enhancing succession planning, digital readiness, and inclusive leadership development to future-proof the organization.</w:t>
      </w:r>
    </w:p>
    <w:p w14:paraId="77AF18C6" w14:textId="77777777" w:rsidR="00D22F74" w:rsidRDefault="00D22F74" w:rsidP="0027140E">
      <w:pPr>
        <w:rPr>
          <w:rFonts w:ascii="Arial" w:hAnsi="Arial" w:cs="Arial"/>
          <w:b/>
          <w:bCs/>
        </w:rPr>
      </w:pPr>
    </w:p>
    <w:p w14:paraId="5AD032E0" w14:textId="77777777" w:rsidR="000708BD" w:rsidRDefault="000708BD" w:rsidP="0027140E">
      <w:pPr>
        <w:rPr>
          <w:rFonts w:ascii="Arial" w:hAnsi="Arial" w:cs="Arial"/>
          <w:b/>
          <w:bCs/>
        </w:rPr>
      </w:pPr>
    </w:p>
    <w:p w14:paraId="087CC7DE" w14:textId="77777777" w:rsidR="00092546" w:rsidRDefault="00092546" w:rsidP="0027140E">
      <w:pPr>
        <w:rPr>
          <w:rFonts w:ascii="Arial" w:hAnsi="Arial" w:cs="Arial"/>
          <w:b/>
          <w:bCs/>
        </w:rPr>
      </w:pPr>
    </w:p>
    <w:p w14:paraId="0DBA6859" w14:textId="77777777" w:rsidR="00092546" w:rsidRDefault="00092546" w:rsidP="0027140E">
      <w:pPr>
        <w:rPr>
          <w:rFonts w:ascii="Arial" w:hAnsi="Arial" w:cs="Arial"/>
          <w:b/>
          <w:bCs/>
        </w:rPr>
      </w:pPr>
    </w:p>
    <w:p w14:paraId="4D06FBCC" w14:textId="77777777" w:rsidR="00092546" w:rsidRDefault="00092546" w:rsidP="0027140E">
      <w:pPr>
        <w:rPr>
          <w:rFonts w:ascii="Arial" w:hAnsi="Arial" w:cs="Arial"/>
          <w:b/>
          <w:bCs/>
        </w:rPr>
      </w:pPr>
    </w:p>
    <w:p w14:paraId="51D71721" w14:textId="77777777" w:rsidR="00092546" w:rsidRDefault="00092546" w:rsidP="0027140E">
      <w:pPr>
        <w:rPr>
          <w:rFonts w:ascii="Arial" w:hAnsi="Arial" w:cs="Arial"/>
          <w:b/>
          <w:bCs/>
        </w:rPr>
      </w:pPr>
    </w:p>
    <w:p w14:paraId="4F2ADBF3" w14:textId="77777777" w:rsidR="00092546" w:rsidRDefault="00092546" w:rsidP="0027140E">
      <w:pPr>
        <w:rPr>
          <w:rFonts w:ascii="Arial" w:hAnsi="Arial" w:cs="Arial"/>
          <w:b/>
          <w:bCs/>
        </w:rPr>
      </w:pPr>
    </w:p>
    <w:p w14:paraId="7E414D9C" w14:textId="77777777" w:rsidR="00092546" w:rsidRDefault="00092546" w:rsidP="0027140E">
      <w:pPr>
        <w:rPr>
          <w:rFonts w:ascii="Arial" w:hAnsi="Arial" w:cs="Arial"/>
          <w:b/>
          <w:bCs/>
        </w:rPr>
      </w:pPr>
    </w:p>
    <w:p w14:paraId="2622EAF3" w14:textId="77777777" w:rsidR="00092546" w:rsidRDefault="00092546" w:rsidP="0027140E">
      <w:pPr>
        <w:rPr>
          <w:rFonts w:ascii="Arial" w:hAnsi="Arial" w:cs="Arial"/>
          <w:b/>
          <w:bCs/>
        </w:rPr>
      </w:pPr>
    </w:p>
    <w:p w14:paraId="19D0635C" w14:textId="77777777" w:rsidR="00092546" w:rsidRDefault="00092546" w:rsidP="0027140E">
      <w:pPr>
        <w:rPr>
          <w:rFonts w:ascii="Arial" w:hAnsi="Arial" w:cs="Arial"/>
          <w:b/>
          <w:bCs/>
        </w:rPr>
      </w:pPr>
    </w:p>
    <w:p w14:paraId="6D03E913" w14:textId="77777777" w:rsidR="009503D8" w:rsidRDefault="009503D8" w:rsidP="0027140E">
      <w:pPr>
        <w:rPr>
          <w:rFonts w:ascii="Arial" w:hAnsi="Arial" w:cs="Arial"/>
          <w:b/>
          <w:bCs/>
        </w:rPr>
      </w:pPr>
    </w:p>
    <w:p w14:paraId="37EED276" w14:textId="195F0307" w:rsidR="00EB2868" w:rsidRDefault="00EB2868" w:rsidP="0027140E">
      <w:pPr>
        <w:rPr>
          <w:rFonts w:ascii="Arial" w:hAnsi="Arial" w:cs="Arial"/>
          <w:b/>
          <w:bCs/>
        </w:rPr>
      </w:pPr>
      <w:r>
        <w:rPr>
          <w:rFonts w:ascii="Arial" w:hAnsi="Arial" w:cs="Arial"/>
          <w:b/>
          <w:bCs/>
        </w:rPr>
        <w:lastRenderedPageBreak/>
        <w:t>Contents</w:t>
      </w:r>
    </w:p>
    <w:p w14:paraId="5EB11AD9" w14:textId="7B53BAD9" w:rsidR="00EB2868" w:rsidRDefault="00EB2868" w:rsidP="0027140E">
      <w:pPr>
        <w:rPr>
          <w:rFonts w:ascii="Arial" w:hAnsi="Arial" w:cs="Arial"/>
          <w:b/>
          <w:bCs/>
        </w:rPr>
      </w:pPr>
      <w:r>
        <w:rPr>
          <w:rFonts w:ascii="Arial" w:hAnsi="Arial" w:cs="Arial"/>
          <w:b/>
          <w:bCs/>
        </w:rPr>
        <w:t>1</w:t>
      </w:r>
      <w:r w:rsidR="003B7590">
        <w:rPr>
          <w:rFonts w:ascii="Arial" w:hAnsi="Arial" w:cs="Arial"/>
          <w:b/>
          <w:bCs/>
        </w:rPr>
        <w:t xml:space="preserve">.0 </w:t>
      </w:r>
      <w:r>
        <w:rPr>
          <w:rFonts w:ascii="Arial" w:hAnsi="Arial" w:cs="Arial"/>
          <w:b/>
          <w:bCs/>
        </w:rPr>
        <w:t>Pestle Analysis of the external factors</w:t>
      </w:r>
    </w:p>
    <w:p w14:paraId="026B3190" w14:textId="5FFD22BE" w:rsidR="00EB2868" w:rsidRDefault="00EB2868" w:rsidP="0027140E">
      <w:pPr>
        <w:rPr>
          <w:rFonts w:ascii="Arial" w:hAnsi="Arial" w:cs="Arial"/>
          <w:b/>
          <w:bCs/>
        </w:rPr>
      </w:pPr>
      <w:r>
        <w:rPr>
          <w:rFonts w:ascii="Arial" w:hAnsi="Arial" w:cs="Arial"/>
          <w:b/>
          <w:bCs/>
        </w:rPr>
        <w:t>2</w:t>
      </w:r>
      <w:r w:rsidR="003B7590">
        <w:rPr>
          <w:rFonts w:ascii="Arial" w:hAnsi="Arial" w:cs="Arial"/>
          <w:b/>
          <w:bCs/>
        </w:rPr>
        <w:t>.0</w:t>
      </w:r>
      <w:r>
        <w:rPr>
          <w:rFonts w:ascii="Arial" w:hAnsi="Arial" w:cs="Arial"/>
          <w:b/>
          <w:bCs/>
        </w:rPr>
        <w:t xml:space="preserve"> Swot analysis on the internal Factors</w:t>
      </w:r>
    </w:p>
    <w:p w14:paraId="30205EAF" w14:textId="2AF9A941" w:rsidR="00EB2868" w:rsidRDefault="00EB2868" w:rsidP="003B7590">
      <w:pPr>
        <w:ind w:firstLine="720"/>
        <w:rPr>
          <w:rFonts w:ascii="Arial" w:hAnsi="Arial" w:cs="Arial"/>
          <w:b/>
          <w:bCs/>
        </w:rPr>
      </w:pPr>
      <w:r>
        <w:rPr>
          <w:rFonts w:ascii="Arial" w:hAnsi="Arial" w:cs="Arial"/>
          <w:b/>
          <w:bCs/>
        </w:rPr>
        <w:t>2.1 Organisational Culture</w:t>
      </w:r>
    </w:p>
    <w:p w14:paraId="6F9C8CF2" w14:textId="4F3D75F7" w:rsidR="00EB2868" w:rsidRDefault="00EB2868" w:rsidP="003B7590">
      <w:pPr>
        <w:ind w:firstLine="720"/>
        <w:rPr>
          <w:rFonts w:ascii="Arial" w:hAnsi="Arial" w:cs="Arial"/>
          <w:b/>
          <w:bCs/>
        </w:rPr>
      </w:pPr>
      <w:r>
        <w:rPr>
          <w:rFonts w:ascii="Arial" w:hAnsi="Arial" w:cs="Arial"/>
          <w:b/>
          <w:bCs/>
        </w:rPr>
        <w:t xml:space="preserve">2.2 Leadership and management </w:t>
      </w:r>
    </w:p>
    <w:p w14:paraId="6121306C" w14:textId="4F2E0A11" w:rsidR="00EB2868" w:rsidRDefault="00EB2868" w:rsidP="0027140E">
      <w:pPr>
        <w:rPr>
          <w:rFonts w:ascii="Arial" w:hAnsi="Arial" w:cs="Arial"/>
          <w:b/>
          <w:bCs/>
        </w:rPr>
      </w:pPr>
      <w:r>
        <w:rPr>
          <w:rFonts w:ascii="Arial" w:hAnsi="Arial" w:cs="Arial"/>
          <w:b/>
          <w:bCs/>
        </w:rPr>
        <w:t>3.0</w:t>
      </w:r>
      <w:r w:rsidR="00367967">
        <w:rPr>
          <w:rFonts w:ascii="Arial" w:hAnsi="Arial" w:cs="Arial"/>
          <w:b/>
          <w:bCs/>
        </w:rPr>
        <w:t xml:space="preserve"> </w:t>
      </w:r>
      <w:r w:rsidR="00367967" w:rsidRPr="00911C90">
        <w:rPr>
          <w:rFonts w:ascii="Arial" w:hAnsi="Arial" w:cs="Arial"/>
          <w:b/>
          <w:bCs/>
        </w:rPr>
        <w:t>Influence on HR Policies and Practices</w:t>
      </w:r>
    </w:p>
    <w:p w14:paraId="700CD1DE" w14:textId="77777777" w:rsidR="00367967" w:rsidRDefault="00367967" w:rsidP="003B7590">
      <w:pPr>
        <w:ind w:firstLine="720"/>
        <w:rPr>
          <w:rFonts w:ascii="Arial" w:hAnsi="Arial" w:cs="Arial"/>
          <w:b/>
          <w:bCs/>
        </w:rPr>
      </w:pPr>
      <w:r w:rsidRPr="00911C90">
        <w:rPr>
          <w:rFonts w:ascii="Arial" w:hAnsi="Arial" w:cs="Arial"/>
          <w:b/>
          <w:bCs/>
        </w:rPr>
        <w:t>3.1 Talent Acquisition and Retention</w:t>
      </w:r>
    </w:p>
    <w:p w14:paraId="538112F8" w14:textId="07AE7D89" w:rsidR="00367967" w:rsidRDefault="00367967" w:rsidP="003B7590">
      <w:pPr>
        <w:ind w:firstLine="720"/>
        <w:rPr>
          <w:rFonts w:ascii="Arial" w:hAnsi="Arial" w:cs="Arial"/>
          <w:b/>
          <w:bCs/>
        </w:rPr>
      </w:pPr>
      <w:r w:rsidRPr="00911C90">
        <w:rPr>
          <w:rFonts w:ascii="Arial" w:hAnsi="Arial" w:cs="Arial"/>
          <w:b/>
          <w:bCs/>
        </w:rPr>
        <w:t>3.</w:t>
      </w:r>
      <w:r w:rsidR="00BE0A65">
        <w:rPr>
          <w:rFonts w:ascii="Arial" w:hAnsi="Arial" w:cs="Arial"/>
          <w:b/>
          <w:bCs/>
        </w:rPr>
        <w:t>2</w:t>
      </w:r>
      <w:r w:rsidRPr="00911C90">
        <w:rPr>
          <w:rFonts w:ascii="Arial" w:hAnsi="Arial" w:cs="Arial"/>
          <w:b/>
          <w:bCs/>
        </w:rPr>
        <w:t xml:space="preserve"> Diversity and Inclusion</w:t>
      </w:r>
    </w:p>
    <w:p w14:paraId="37D54720" w14:textId="1E2572C1" w:rsidR="00367967" w:rsidRDefault="00367967" w:rsidP="003B7590">
      <w:pPr>
        <w:ind w:firstLine="720"/>
        <w:rPr>
          <w:rFonts w:ascii="Arial" w:hAnsi="Arial" w:cs="Arial"/>
          <w:b/>
          <w:bCs/>
        </w:rPr>
      </w:pPr>
      <w:r w:rsidRPr="00911C90">
        <w:rPr>
          <w:rFonts w:ascii="Arial" w:hAnsi="Arial" w:cs="Arial"/>
          <w:b/>
          <w:bCs/>
        </w:rPr>
        <w:t>3.</w:t>
      </w:r>
      <w:r w:rsidR="00BE0A65">
        <w:rPr>
          <w:rFonts w:ascii="Arial" w:hAnsi="Arial" w:cs="Arial"/>
          <w:b/>
          <w:bCs/>
        </w:rPr>
        <w:t>3</w:t>
      </w:r>
      <w:r w:rsidRPr="00911C90">
        <w:rPr>
          <w:rFonts w:ascii="Arial" w:hAnsi="Arial" w:cs="Arial"/>
          <w:b/>
          <w:bCs/>
        </w:rPr>
        <w:t>Employee Well-being</w:t>
      </w:r>
    </w:p>
    <w:p w14:paraId="1D6648A8" w14:textId="1F1D1908" w:rsidR="00367967" w:rsidRDefault="00367967" w:rsidP="00367967">
      <w:pPr>
        <w:spacing w:after="0" w:line="240" w:lineRule="auto"/>
        <w:rPr>
          <w:rFonts w:ascii="Arial" w:eastAsia="Times New Roman" w:hAnsi="Arial" w:cs="Arial"/>
          <w:b/>
          <w:bCs/>
          <w:kern w:val="0"/>
          <w:lang w:eastAsia="en-GB"/>
          <w14:ligatures w14:val="none"/>
        </w:rPr>
      </w:pPr>
      <w:r w:rsidRPr="0039457B">
        <w:rPr>
          <w:rFonts w:ascii="Arial" w:eastAsia="Times New Roman" w:hAnsi="Arial" w:cs="Arial"/>
          <w:b/>
          <w:bCs/>
          <w:kern w:val="0"/>
          <w:lang w:eastAsia="en-GB"/>
          <w14:ligatures w14:val="none"/>
        </w:rPr>
        <w:t>4.</w:t>
      </w:r>
      <w:r w:rsidR="003B7590">
        <w:rPr>
          <w:rFonts w:ascii="Arial" w:eastAsia="Times New Roman" w:hAnsi="Arial" w:cs="Arial"/>
          <w:b/>
          <w:bCs/>
          <w:kern w:val="0"/>
          <w:lang w:eastAsia="en-GB"/>
          <w14:ligatures w14:val="none"/>
        </w:rPr>
        <w:t>0</w:t>
      </w:r>
      <w:r w:rsidRPr="0039457B">
        <w:rPr>
          <w:rFonts w:ascii="Arial" w:eastAsia="Times New Roman" w:hAnsi="Arial" w:cs="Arial"/>
          <w:b/>
          <w:bCs/>
          <w:kern w:val="0"/>
          <w:lang w:eastAsia="en-GB"/>
          <w14:ligatures w14:val="none"/>
        </w:rPr>
        <w:t xml:space="preserve"> Strategic HRM for Competitive Advantage</w:t>
      </w:r>
    </w:p>
    <w:p w14:paraId="70163CE3" w14:textId="77777777" w:rsidR="00367967" w:rsidRDefault="00367967" w:rsidP="00367967">
      <w:pPr>
        <w:spacing w:after="0" w:line="240" w:lineRule="auto"/>
        <w:rPr>
          <w:rFonts w:ascii="Arial" w:eastAsia="Times New Roman" w:hAnsi="Arial" w:cs="Arial"/>
          <w:b/>
          <w:bCs/>
          <w:kern w:val="0"/>
          <w:lang w:eastAsia="en-GB"/>
          <w14:ligatures w14:val="none"/>
        </w:rPr>
      </w:pPr>
    </w:p>
    <w:p w14:paraId="34349390" w14:textId="09DFF713" w:rsidR="00367967" w:rsidRDefault="00367967" w:rsidP="003B7590">
      <w:pPr>
        <w:spacing w:after="0" w:line="240" w:lineRule="auto"/>
        <w:ind w:firstLine="720"/>
        <w:rPr>
          <w:rFonts w:ascii="Arial" w:eastAsia="Times New Roman" w:hAnsi="Arial" w:cs="Arial"/>
          <w:b/>
          <w:bCs/>
          <w:kern w:val="0"/>
          <w:lang w:eastAsia="en-GB"/>
          <w14:ligatures w14:val="none"/>
        </w:rPr>
      </w:pPr>
      <w:r w:rsidRPr="0039457B">
        <w:rPr>
          <w:rFonts w:ascii="Arial" w:eastAsia="Times New Roman" w:hAnsi="Arial" w:cs="Arial"/>
          <w:b/>
          <w:bCs/>
          <w:kern w:val="0"/>
          <w:lang w:eastAsia="en-GB"/>
          <w14:ligatures w14:val="none"/>
        </w:rPr>
        <w:t>4.1 Alignment with Business Strategy</w:t>
      </w:r>
    </w:p>
    <w:p w14:paraId="21E24C7E" w14:textId="122912CA" w:rsidR="00367967" w:rsidRDefault="00367967" w:rsidP="00367967">
      <w:pPr>
        <w:spacing w:after="0" w:line="240" w:lineRule="auto"/>
        <w:rPr>
          <w:rFonts w:ascii="Arial" w:eastAsia="Times New Roman" w:hAnsi="Arial" w:cs="Arial"/>
          <w:b/>
          <w:bCs/>
          <w:kern w:val="0"/>
          <w:lang w:eastAsia="en-GB"/>
          <w14:ligatures w14:val="none"/>
        </w:rPr>
      </w:pPr>
    </w:p>
    <w:p w14:paraId="0A94D339" w14:textId="77777777" w:rsidR="00367967" w:rsidRDefault="00367967" w:rsidP="003B7590">
      <w:pPr>
        <w:spacing w:after="0" w:line="240" w:lineRule="auto"/>
        <w:ind w:firstLine="720"/>
        <w:rPr>
          <w:rFonts w:ascii="Arial" w:eastAsia="Times New Roman" w:hAnsi="Arial" w:cs="Arial"/>
          <w:b/>
          <w:bCs/>
          <w:kern w:val="0"/>
          <w:lang w:eastAsia="en-GB"/>
          <w14:ligatures w14:val="none"/>
        </w:rPr>
      </w:pPr>
      <w:r w:rsidRPr="0039457B">
        <w:rPr>
          <w:rFonts w:ascii="Arial" w:eastAsia="Times New Roman" w:hAnsi="Arial" w:cs="Arial"/>
          <w:b/>
          <w:bCs/>
          <w:kern w:val="0"/>
          <w:lang w:eastAsia="en-GB"/>
          <w14:ligatures w14:val="none"/>
        </w:rPr>
        <w:t>4.2 Adaptability and Innovation</w:t>
      </w:r>
    </w:p>
    <w:p w14:paraId="5B2EB5A5" w14:textId="77777777" w:rsidR="00367967" w:rsidRDefault="00367967" w:rsidP="00367967">
      <w:pPr>
        <w:spacing w:after="0" w:line="240" w:lineRule="auto"/>
        <w:rPr>
          <w:rFonts w:ascii="Arial" w:eastAsia="Times New Roman" w:hAnsi="Arial" w:cs="Arial"/>
          <w:b/>
          <w:bCs/>
          <w:kern w:val="0"/>
          <w:lang w:eastAsia="en-GB"/>
          <w14:ligatures w14:val="none"/>
        </w:rPr>
      </w:pPr>
    </w:p>
    <w:p w14:paraId="70F09842" w14:textId="77777777" w:rsidR="002C692C" w:rsidRDefault="00367967" w:rsidP="003B7590">
      <w:pPr>
        <w:spacing w:after="0" w:line="240" w:lineRule="auto"/>
        <w:ind w:firstLine="720"/>
        <w:rPr>
          <w:rFonts w:ascii="Arial" w:eastAsia="Times New Roman" w:hAnsi="Arial" w:cs="Arial"/>
          <w:b/>
          <w:bCs/>
          <w:kern w:val="0"/>
          <w:lang w:eastAsia="en-GB"/>
          <w14:ligatures w14:val="none"/>
        </w:rPr>
      </w:pPr>
      <w:r w:rsidRPr="0039457B">
        <w:rPr>
          <w:rFonts w:ascii="Arial" w:eastAsia="Times New Roman" w:hAnsi="Arial" w:cs="Arial"/>
          <w:b/>
          <w:bCs/>
          <w:kern w:val="0"/>
          <w:lang w:eastAsia="en-GB"/>
          <w14:ligatures w14:val="none"/>
        </w:rPr>
        <w:t>4.3 Employer Branding</w:t>
      </w:r>
    </w:p>
    <w:p w14:paraId="0AD23FB0" w14:textId="77777777" w:rsidR="002C692C" w:rsidRDefault="002C692C" w:rsidP="002C692C">
      <w:pPr>
        <w:spacing w:after="0" w:line="240" w:lineRule="auto"/>
        <w:rPr>
          <w:rFonts w:ascii="Arial" w:eastAsia="Times New Roman" w:hAnsi="Arial" w:cs="Arial"/>
          <w:b/>
          <w:bCs/>
          <w:kern w:val="0"/>
          <w:lang w:eastAsia="en-GB"/>
          <w14:ligatures w14:val="none"/>
        </w:rPr>
      </w:pPr>
    </w:p>
    <w:p w14:paraId="25F678D6" w14:textId="77777777" w:rsidR="00F17C23" w:rsidRDefault="002C692C" w:rsidP="00F17C23">
      <w:pPr>
        <w:spacing w:after="0" w:line="240" w:lineRule="auto"/>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5. Challenges and Recommendations</w:t>
      </w:r>
    </w:p>
    <w:p w14:paraId="6FFA5940" w14:textId="77777777" w:rsidR="00F17C23" w:rsidRDefault="00F17C23" w:rsidP="00F17C23">
      <w:pPr>
        <w:spacing w:after="0" w:line="240" w:lineRule="auto"/>
        <w:rPr>
          <w:rFonts w:ascii="Arial" w:eastAsia="Times New Roman" w:hAnsi="Arial" w:cs="Arial"/>
          <w:b/>
          <w:bCs/>
          <w:kern w:val="0"/>
          <w:lang w:eastAsia="en-GB"/>
          <w14:ligatures w14:val="none"/>
        </w:rPr>
      </w:pPr>
    </w:p>
    <w:p w14:paraId="584A1897" w14:textId="77777777" w:rsidR="00F17C23" w:rsidRDefault="00A90B65" w:rsidP="003B7590">
      <w:pPr>
        <w:spacing w:after="0" w:line="240" w:lineRule="auto"/>
        <w:ind w:firstLine="720"/>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5.1 Talent Shortage and Skills Gap</w:t>
      </w:r>
    </w:p>
    <w:p w14:paraId="2D642D4B" w14:textId="77777777" w:rsidR="00F17C23" w:rsidRDefault="00F17C23" w:rsidP="00F17C23">
      <w:pPr>
        <w:spacing w:after="0" w:line="240" w:lineRule="auto"/>
        <w:rPr>
          <w:rFonts w:ascii="Arial" w:eastAsia="Times New Roman" w:hAnsi="Arial" w:cs="Arial"/>
          <w:b/>
          <w:bCs/>
          <w:kern w:val="0"/>
          <w:lang w:eastAsia="en-GB"/>
          <w14:ligatures w14:val="none"/>
        </w:rPr>
      </w:pPr>
    </w:p>
    <w:p w14:paraId="63A796C5" w14:textId="5DCB1238" w:rsidR="00A03541" w:rsidRPr="00514016" w:rsidRDefault="00A03541" w:rsidP="003B7590">
      <w:pPr>
        <w:spacing w:after="0" w:line="240" w:lineRule="auto"/>
        <w:ind w:firstLine="720"/>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5.2 Retention and Succession Planning</w:t>
      </w:r>
    </w:p>
    <w:p w14:paraId="2CAE4843" w14:textId="04D3B89F" w:rsidR="00F17C23" w:rsidRDefault="00F17C23" w:rsidP="003B7590">
      <w:pPr>
        <w:spacing w:before="100" w:beforeAutospacing="1" w:after="100" w:afterAutospacing="1" w:line="240" w:lineRule="auto"/>
        <w:ind w:firstLine="720"/>
        <w:outlineLvl w:val="2"/>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5.3 Technological Adaptation and Employee Readiness</w:t>
      </w:r>
    </w:p>
    <w:p w14:paraId="392E1372" w14:textId="77777777" w:rsidR="00F17C23" w:rsidRDefault="00F17C23" w:rsidP="003B7590">
      <w:pPr>
        <w:spacing w:before="100" w:beforeAutospacing="1" w:after="100" w:afterAutospacing="1" w:line="240" w:lineRule="auto"/>
        <w:ind w:firstLine="720"/>
        <w:outlineLvl w:val="2"/>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5.4 Diversity and Inclusion in Senior Leadership</w:t>
      </w:r>
    </w:p>
    <w:p w14:paraId="799769DD" w14:textId="77777777" w:rsidR="0054018D" w:rsidRDefault="0054018D" w:rsidP="0054018D">
      <w:pPr>
        <w:spacing w:before="100" w:beforeAutospacing="1" w:after="100" w:afterAutospacing="1" w:line="240" w:lineRule="auto"/>
        <w:outlineLvl w:val="1"/>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6. Conclusion</w:t>
      </w:r>
    </w:p>
    <w:p w14:paraId="0E64D654" w14:textId="77777777" w:rsidR="003B7590" w:rsidRPr="00514016" w:rsidRDefault="003B7590" w:rsidP="003B7590">
      <w:pPr>
        <w:spacing w:before="100" w:beforeAutospacing="1" w:after="100" w:afterAutospacing="1" w:line="240" w:lineRule="auto"/>
        <w:outlineLvl w:val="1"/>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 xml:space="preserve">7. References </w:t>
      </w:r>
    </w:p>
    <w:p w14:paraId="544C41FE" w14:textId="77777777" w:rsidR="00BE0A65" w:rsidRDefault="00BE0A65" w:rsidP="0027140E">
      <w:pPr>
        <w:rPr>
          <w:rFonts w:ascii="Arial" w:hAnsi="Arial" w:cs="Arial"/>
          <w:b/>
          <w:bCs/>
        </w:rPr>
      </w:pPr>
    </w:p>
    <w:p w14:paraId="06255557" w14:textId="77777777" w:rsidR="00BE0A65" w:rsidRDefault="00BE0A65" w:rsidP="0027140E">
      <w:pPr>
        <w:rPr>
          <w:rFonts w:ascii="Arial" w:hAnsi="Arial" w:cs="Arial"/>
          <w:b/>
          <w:bCs/>
        </w:rPr>
      </w:pPr>
    </w:p>
    <w:p w14:paraId="199BC087" w14:textId="77777777" w:rsidR="009503D8" w:rsidRDefault="009503D8" w:rsidP="0027140E">
      <w:pPr>
        <w:rPr>
          <w:rFonts w:ascii="Arial" w:hAnsi="Arial" w:cs="Arial"/>
          <w:b/>
          <w:bCs/>
        </w:rPr>
      </w:pPr>
    </w:p>
    <w:p w14:paraId="32CB0699" w14:textId="77777777" w:rsidR="009503D8" w:rsidRDefault="009503D8" w:rsidP="0027140E">
      <w:pPr>
        <w:rPr>
          <w:rFonts w:ascii="Arial" w:hAnsi="Arial" w:cs="Arial"/>
          <w:b/>
          <w:bCs/>
        </w:rPr>
      </w:pPr>
    </w:p>
    <w:p w14:paraId="404E5C7B" w14:textId="77777777" w:rsidR="009503D8" w:rsidRDefault="009503D8" w:rsidP="0027140E">
      <w:pPr>
        <w:rPr>
          <w:rFonts w:ascii="Arial" w:hAnsi="Arial" w:cs="Arial"/>
          <w:b/>
          <w:bCs/>
        </w:rPr>
      </w:pPr>
    </w:p>
    <w:p w14:paraId="13A3813F" w14:textId="77777777" w:rsidR="009503D8" w:rsidRDefault="009503D8" w:rsidP="0027140E">
      <w:pPr>
        <w:rPr>
          <w:rFonts w:ascii="Arial" w:hAnsi="Arial" w:cs="Arial"/>
          <w:b/>
          <w:bCs/>
        </w:rPr>
      </w:pPr>
    </w:p>
    <w:p w14:paraId="1C1DFE55" w14:textId="77777777" w:rsidR="009503D8" w:rsidRDefault="009503D8" w:rsidP="0027140E">
      <w:pPr>
        <w:rPr>
          <w:rFonts w:ascii="Arial" w:hAnsi="Arial" w:cs="Arial"/>
          <w:b/>
          <w:bCs/>
        </w:rPr>
      </w:pPr>
    </w:p>
    <w:p w14:paraId="2F9BF34C" w14:textId="02A20171" w:rsidR="0027140E" w:rsidRPr="00E01DB8" w:rsidRDefault="0027140E" w:rsidP="0027140E">
      <w:pPr>
        <w:rPr>
          <w:rFonts w:ascii="Arial" w:hAnsi="Arial" w:cs="Arial"/>
        </w:rPr>
      </w:pPr>
      <w:r w:rsidRPr="00E01DB8">
        <w:rPr>
          <w:rFonts w:ascii="Arial" w:hAnsi="Arial" w:cs="Arial"/>
          <w:b/>
          <w:bCs/>
        </w:rPr>
        <w:lastRenderedPageBreak/>
        <w:t>1.</w:t>
      </w:r>
      <w:r w:rsidR="00D22F74" w:rsidRPr="00E01DB8">
        <w:rPr>
          <w:rFonts w:ascii="Arial" w:hAnsi="Arial" w:cs="Arial"/>
          <w:b/>
          <w:bCs/>
        </w:rPr>
        <w:t>0</w:t>
      </w:r>
      <w:r w:rsidRPr="00E01DB8">
        <w:rPr>
          <w:rFonts w:ascii="Arial" w:hAnsi="Arial" w:cs="Arial"/>
          <w:b/>
          <w:bCs/>
        </w:rPr>
        <w:t xml:space="preserve"> External Business Environment</w:t>
      </w:r>
    </w:p>
    <w:p w14:paraId="6F6AA7E0" w14:textId="39BF746C" w:rsidR="001D34EE" w:rsidRPr="00E01DB8" w:rsidRDefault="0027140E" w:rsidP="0027140E">
      <w:pPr>
        <w:rPr>
          <w:rFonts w:ascii="Arial" w:hAnsi="Arial" w:cs="Arial"/>
        </w:rPr>
      </w:pPr>
      <w:r w:rsidRPr="00E01DB8">
        <w:rPr>
          <w:rFonts w:ascii="Arial" w:hAnsi="Arial" w:cs="Arial"/>
        </w:rPr>
        <w:t xml:space="preserve">The external environment </w:t>
      </w:r>
      <w:r w:rsidR="00E01DB8" w:rsidRPr="00E01DB8">
        <w:rPr>
          <w:rFonts w:ascii="Arial" w:hAnsi="Arial" w:cs="Arial"/>
        </w:rPr>
        <w:t xml:space="preserve">includes </w:t>
      </w:r>
      <w:r w:rsidRPr="00E01DB8">
        <w:rPr>
          <w:rFonts w:ascii="Arial" w:hAnsi="Arial" w:cs="Arial"/>
        </w:rPr>
        <w:t>factors beyond the organization's control that impact its operations</w:t>
      </w:r>
      <w:r w:rsidR="001D34EE" w:rsidRPr="00E01DB8">
        <w:rPr>
          <w:rFonts w:ascii="Arial" w:hAnsi="Arial" w:cs="Arial"/>
        </w:rPr>
        <w:t>, below is a PESTLE analysis of the current factors affecting Brickability in its HRM Strategies</w:t>
      </w:r>
    </w:p>
    <w:p w14:paraId="306D205E" w14:textId="6A0D6650" w:rsidR="001D34EE" w:rsidRPr="00E01DB8" w:rsidRDefault="001D34EE" w:rsidP="0027140E">
      <w:pPr>
        <w:rPr>
          <w:rFonts w:ascii="Arial" w:hAnsi="Arial" w:cs="Arial"/>
        </w:rPr>
      </w:pPr>
      <w:r w:rsidRPr="00E01DB8">
        <w:rPr>
          <w:rFonts w:ascii="Arial" w:hAnsi="Arial" w:cs="Arial"/>
        </w:rPr>
        <w:t xml:space="preserve">A PESTLE analysis </w:t>
      </w:r>
      <w:r w:rsidR="00C218B8" w:rsidRPr="00E01DB8">
        <w:rPr>
          <w:rFonts w:ascii="Arial" w:hAnsi="Arial" w:cs="Arial"/>
        </w:rPr>
        <w:t xml:space="preserve">outlines the political, economic, social, technological, </w:t>
      </w:r>
      <w:r w:rsidR="0081505B" w:rsidRPr="00E01DB8">
        <w:rPr>
          <w:rFonts w:ascii="Arial" w:hAnsi="Arial" w:cs="Arial"/>
        </w:rPr>
        <w:t>legal,</w:t>
      </w:r>
      <w:r w:rsidR="00C218B8" w:rsidRPr="00E01DB8">
        <w:rPr>
          <w:rFonts w:ascii="Arial" w:hAnsi="Arial" w:cs="Arial"/>
        </w:rPr>
        <w:t xml:space="preserve"> and environmental factors the subject has on a business</w:t>
      </w:r>
      <w:r w:rsidR="00270F15" w:rsidRPr="00E01DB8">
        <w:rPr>
          <w:rFonts w:ascii="Arial" w:hAnsi="Arial" w:cs="Arial"/>
        </w:rPr>
        <w:t xml:space="preserve"> (</w:t>
      </w:r>
      <w:r w:rsidR="00270F15" w:rsidRPr="00E01DB8">
        <w:rPr>
          <w:rFonts w:ascii="Arial" w:eastAsia="Times New Roman" w:hAnsi="Arial" w:cs="Arial"/>
          <w:kern w:val="0"/>
          <w:lang w:eastAsia="en-GB"/>
          <w14:ligatures w14:val="none"/>
        </w:rPr>
        <w:t>Yüksel, I</w:t>
      </w:r>
      <w:r w:rsidR="00270F15" w:rsidRPr="00E01DB8">
        <w:rPr>
          <w:rFonts w:ascii="Arial" w:eastAsia="Times New Roman" w:hAnsi="Arial" w:cs="Arial"/>
          <w:kern w:val="0"/>
          <w:lang w:eastAsia="en-GB"/>
          <w14:ligatures w14:val="none"/>
        </w:rPr>
        <w:t>, 2012)</w:t>
      </w:r>
    </w:p>
    <w:p w14:paraId="2E96CA60" w14:textId="42F9E105" w:rsidR="00C3708E" w:rsidRPr="00E01DB8" w:rsidRDefault="00C3708E" w:rsidP="0027140E">
      <w:pPr>
        <w:rPr>
          <w:rFonts w:ascii="Arial" w:hAnsi="Arial" w:cs="Arial"/>
          <w:b/>
          <w:bCs/>
        </w:rPr>
      </w:pPr>
      <w:r w:rsidRPr="00E01DB8">
        <w:rPr>
          <w:rFonts w:ascii="Arial" w:hAnsi="Arial" w:cs="Arial"/>
          <w:b/>
          <w:bCs/>
        </w:rPr>
        <w:t>Political</w:t>
      </w:r>
    </w:p>
    <w:p w14:paraId="13E9DC8D" w14:textId="0482B88F" w:rsidR="009D62B4" w:rsidRPr="00E01DB8" w:rsidRDefault="009D62B4" w:rsidP="0027140E">
      <w:pPr>
        <w:rPr>
          <w:rFonts w:ascii="Arial" w:hAnsi="Arial" w:cs="Arial"/>
          <w:highlight w:val="yellow"/>
        </w:rPr>
      </w:pPr>
      <w:r w:rsidRPr="00E01DB8">
        <w:rPr>
          <w:rFonts w:ascii="Arial" w:hAnsi="Arial" w:cs="Arial"/>
        </w:rPr>
        <w:t>Brickability’s HRM is influenced by several political factors</w:t>
      </w:r>
      <w:r w:rsidR="00E01DB8" w:rsidRPr="00E01DB8">
        <w:rPr>
          <w:rFonts w:ascii="Arial" w:hAnsi="Arial" w:cs="Arial"/>
        </w:rPr>
        <w:t xml:space="preserve">, as with any British business, </w:t>
      </w:r>
      <w:r w:rsidRPr="00E01DB8">
        <w:rPr>
          <w:rFonts w:ascii="Arial" w:hAnsi="Arial" w:cs="Arial"/>
        </w:rPr>
        <w:t>Post-Brexit immigration policies have reduced access to EU labour</w:t>
      </w:r>
      <w:r w:rsidR="008851CA" w:rsidRPr="00E01DB8">
        <w:rPr>
          <w:rFonts w:ascii="Arial" w:hAnsi="Arial" w:cs="Arial"/>
        </w:rPr>
        <w:t xml:space="preserve"> with </w:t>
      </w:r>
      <w:r w:rsidRPr="00E01DB8">
        <w:rPr>
          <w:rFonts w:ascii="Arial" w:hAnsi="Arial" w:cs="Arial"/>
        </w:rPr>
        <w:t>increasing pressure on HR to focus on domestic recruitment and training</w:t>
      </w:r>
      <w:r w:rsidR="00E01DB8" w:rsidRPr="00E01DB8">
        <w:rPr>
          <w:rFonts w:ascii="Arial" w:hAnsi="Arial" w:cs="Arial"/>
        </w:rPr>
        <w:t xml:space="preserve"> </w:t>
      </w:r>
      <w:r w:rsidR="00AC4F5D" w:rsidRPr="00E01DB8">
        <w:rPr>
          <w:rFonts w:ascii="Arial" w:hAnsi="Arial" w:cs="Arial"/>
        </w:rPr>
        <w:t>as well</w:t>
      </w:r>
      <w:r w:rsidR="00E01DB8" w:rsidRPr="00E01DB8">
        <w:rPr>
          <w:rFonts w:ascii="Arial" w:hAnsi="Arial" w:cs="Arial"/>
        </w:rPr>
        <w:t xml:space="preserve"> as </w:t>
      </w:r>
      <w:r w:rsidR="00E01DB8" w:rsidRPr="008B59F3">
        <w:rPr>
          <w:rFonts w:ascii="Arial" w:hAnsi="Arial" w:cs="Arial"/>
        </w:rPr>
        <w:t>development</w:t>
      </w:r>
      <w:r w:rsidRPr="008B59F3">
        <w:rPr>
          <w:rFonts w:ascii="Arial" w:hAnsi="Arial" w:cs="Arial"/>
        </w:rPr>
        <w:t>(CIPD, 2023)</w:t>
      </w:r>
      <w:r w:rsidR="008B59F3" w:rsidRPr="008B59F3">
        <w:rPr>
          <w:rFonts w:ascii="Arial" w:hAnsi="Arial" w:cs="Arial"/>
        </w:rPr>
        <w:t xml:space="preserve">, </w:t>
      </w:r>
      <w:r w:rsidRPr="008B59F3">
        <w:rPr>
          <w:rFonts w:ascii="Arial" w:hAnsi="Arial" w:cs="Arial"/>
        </w:rPr>
        <w:t>Additionally, government-backed apprenticeship schemes provide opportunities for talent development</w:t>
      </w:r>
      <w:r w:rsidR="008B59F3" w:rsidRPr="008B59F3">
        <w:rPr>
          <w:rFonts w:ascii="Arial" w:hAnsi="Arial" w:cs="Arial"/>
        </w:rPr>
        <w:t>, which Brickability has taken advantage of with its apprenticeship program,</w:t>
      </w:r>
      <w:r w:rsidRPr="008B59F3">
        <w:rPr>
          <w:rFonts w:ascii="Arial" w:hAnsi="Arial" w:cs="Arial"/>
        </w:rPr>
        <w:t>(Gov.uk, 2023), while sustainability regulations push HR to upskill employees in green practices aligned with ESG goals (Brickability Group Plc, 2023).</w:t>
      </w:r>
    </w:p>
    <w:p w14:paraId="666B620F" w14:textId="47A91CE4" w:rsidR="00C3708E" w:rsidRPr="001B2B92" w:rsidRDefault="00C3708E" w:rsidP="0027140E">
      <w:pPr>
        <w:rPr>
          <w:rFonts w:ascii="Arial" w:hAnsi="Arial" w:cs="Arial"/>
          <w:b/>
          <w:bCs/>
        </w:rPr>
      </w:pPr>
      <w:r w:rsidRPr="001B2B92">
        <w:rPr>
          <w:rFonts w:ascii="Arial" w:hAnsi="Arial" w:cs="Arial"/>
          <w:b/>
          <w:bCs/>
        </w:rPr>
        <w:t>Economic</w:t>
      </w:r>
    </w:p>
    <w:p w14:paraId="1C560298" w14:textId="52320096" w:rsidR="00D1728B" w:rsidRPr="001B2B92" w:rsidRDefault="00C3708E" w:rsidP="00D1728B">
      <w:pPr>
        <w:rPr>
          <w:rFonts w:ascii="Arial" w:hAnsi="Arial" w:cs="Arial"/>
        </w:rPr>
      </w:pPr>
      <w:r w:rsidRPr="001B2B92">
        <w:rPr>
          <w:rFonts w:ascii="Arial" w:hAnsi="Arial" w:cs="Arial"/>
        </w:rPr>
        <w:t xml:space="preserve">The construction industry is sensitive to economic fluctuations. Despite challenges such as rising interest rates and economic uncertainty, Brickability reported </w:t>
      </w:r>
      <w:r w:rsidR="001450F8" w:rsidRPr="001B2B92">
        <w:rPr>
          <w:rFonts w:ascii="Arial" w:hAnsi="Arial" w:cs="Arial"/>
        </w:rPr>
        <w:t>a substantial increase</w:t>
      </w:r>
      <w:r w:rsidRPr="001B2B92">
        <w:rPr>
          <w:rFonts w:ascii="Arial" w:hAnsi="Arial" w:cs="Arial"/>
        </w:rPr>
        <w:t xml:space="preserve"> in pre-tax profits by 87.5% to £34.5 million for the year ending March 2023. This growth was attributed to strong performances across </w:t>
      </w:r>
      <w:r w:rsidR="00AC4F5D" w:rsidRPr="001B2B92">
        <w:rPr>
          <w:rFonts w:ascii="Arial" w:hAnsi="Arial" w:cs="Arial"/>
        </w:rPr>
        <w:t>its</w:t>
      </w:r>
      <w:r w:rsidR="001B2B92" w:rsidRPr="001B2B92">
        <w:rPr>
          <w:rFonts w:ascii="Arial" w:hAnsi="Arial" w:cs="Arial"/>
        </w:rPr>
        <w:t xml:space="preserve"> </w:t>
      </w:r>
      <w:r w:rsidRPr="001B2B92">
        <w:rPr>
          <w:rFonts w:ascii="Arial" w:hAnsi="Arial" w:cs="Arial"/>
        </w:rPr>
        <w:t xml:space="preserve">business divisions and strategic acquisitions. </w:t>
      </w:r>
      <w:r w:rsidR="00D1728B" w:rsidRPr="001B2B92">
        <w:rPr>
          <w:rFonts w:ascii="Arial" w:hAnsi="Arial" w:cs="Arial"/>
        </w:rPr>
        <w:t>(</w:t>
      </w:r>
      <w:r w:rsidR="00D1728B" w:rsidRPr="001B2B92">
        <w:rPr>
          <w:rFonts w:ascii="Arial" w:hAnsi="Arial" w:cs="Arial"/>
        </w:rPr>
        <w:t>thisismoney.co.uk</w:t>
      </w:r>
      <w:r w:rsidR="00D1728B" w:rsidRPr="001B2B92">
        <w:rPr>
          <w:rFonts w:ascii="Arial" w:hAnsi="Arial" w:cs="Arial"/>
        </w:rPr>
        <w:t>,</w:t>
      </w:r>
      <w:r w:rsidR="009D5581" w:rsidRPr="001B2B92">
        <w:rPr>
          <w:rFonts w:ascii="Arial" w:hAnsi="Arial" w:cs="Arial"/>
        </w:rPr>
        <w:t xml:space="preserve"> 2024)</w:t>
      </w:r>
    </w:p>
    <w:p w14:paraId="4F7768A7" w14:textId="61A35249" w:rsidR="00C3708E" w:rsidRPr="001450F8" w:rsidRDefault="00C3708E" w:rsidP="00C3708E">
      <w:pPr>
        <w:rPr>
          <w:rFonts w:ascii="Arial" w:hAnsi="Arial" w:cs="Arial"/>
        </w:rPr>
      </w:pPr>
      <w:r w:rsidRPr="001450F8">
        <w:rPr>
          <w:rFonts w:ascii="Arial" w:hAnsi="Arial" w:cs="Arial"/>
        </w:rPr>
        <w:t xml:space="preserve">Economic prosperity enables organizations to </w:t>
      </w:r>
      <w:r w:rsidR="001B2B92" w:rsidRPr="001450F8">
        <w:rPr>
          <w:rFonts w:ascii="Arial" w:hAnsi="Arial" w:cs="Arial"/>
        </w:rPr>
        <w:t xml:space="preserve">develop </w:t>
      </w:r>
      <w:r w:rsidR="00AC4F5D" w:rsidRPr="001450F8">
        <w:rPr>
          <w:rFonts w:ascii="Arial" w:hAnsi="Arial" w:cs="Arial"/>
        </w:rPr>
        <w:t>it is</w:t>
      </w:r>
      <w:r w:rsidRPr="001450F8">
        <w:rPr>
          <w:rFonts w:ascii="Arial" w:hAnsi="Arial" w:cs="Arial"/>
        </w:rPr>
        <w:t xml:space="preserve"> HR initiatives, including talent acquisition and employee development</w:t>
      </w:r>
      <w:r w:rsidR="009D5581" w:rsidRPr="001450F8">
        <w:rPr>
          <w:rFonts w:ascii="Arial" w:hAnsi="Arial" w:cs="Arial"/>
        </w:rPr>
        <w:t>, with additional</w:t>
      </w:r>
      <w:r w:rsidR="001B2B92" w:rsidRPr="001450F8">
        <w:rPr>
          <w:rFonts w:ascii="Arial" w:hAnsi="Arial" w:cs="Arial"/>
        </w:rPr>
        <w:t xml:space="preserve"> emphasis on retaining and </w:t>
      </w:r>
      <w:r w:rsidR="001450F8" w:rsidRPr="001450F8">
        <w:rPr>
          <w:rFonts w:ascii="Arial" w:hAnsi="Arial" w:cs="Arial"/>
        </w:rPr>
        <w:t xml:space="preserve">promoting existing employees rather than hiring out </w:t>
      </w:r>
      <w:r w:rsidR="00AC4F5D" w:rsidRPr="001450F8">
        <w:rPr>
          <w:rFonts w:ascii="Arial" w:hAnsi="Arial" w:cs="Arial"/>
        </w:rPr>
        <w:t>third</w:t>
      </w:r>
      <w:r w:rsidR="001450F8" w:rsidRPr="001450F8">
        <w:rPr>
          <w:rFonts w:ascii="Arial" w:hAnsi="Arial" w:cs="Arial"/>
        </w:rPr>
        <w:t xml:space="preserve"> parties.</w:t>
      </w:r>
    </w:p>
    <w:p w14:paraId="77AA7D43" w14:textId="6C6868AC" w:rsidR="00C3708E" w:rsidRPr="00631174" w:rsidRDefault="00C3708E" w:rsidP="0027140E">
      <w:pPr>
        <w:rPr>
          <w:rFonts w:ascii="Arial" w:hAnsi="Arial" w:cs="Arial"/>
          <w:b/>
          <w:bCs/>
        </w:rPr>
      </w:pPr>
      <w:r w:rsidRPr="00631174">
        <w:rPr>
          <w:rFonts w:ascii="Arial" w:hAnsi="Arial" w:cs="Arial"/>
          <w:b/>
          <w:bCs/>
        </w:rPr>
        <w:t>Social</w:t>
      </w:r>
    </w:p>
    <w:p w14:paraId="7794B36B" w14:textId="3263712F" w:rsidR="00011287" w:rsidRPr="00631174" w:rsidRDefault="00C3708E" w:rsidP="00011287">
      <w:pPr>
        <w:rPr>
          <w:rFonts w:ascii="Arial" w:hAnsi="Arial" w:cs="Arial"/>
        </w:rPr>
      </w:pPr>
      <w:r w:rsidRPr="00631174">
        <w:rPr>
          <w:rFonts w:ascii="Arial" w:hAnsi="Arial" w:cs="Arial"/>
        </w:rPr>
        <w:t xml:space="preserve">The construction sector faces challenges in attracting younger talent. Brickability addresses this through apprenticeship programs, offering </w:t>
      </w:r>
      <w:r w:rsidR="00E4251A" w:rsidRPr="00631174">
        <w:rPr>
          <w:rFonts w:ascii="Arial" w:hAnsi="Arial" w:cs="Arial"/>
        </w:rPr>
        <w:t xml:space="preserve">Training contracts </w:t>
      </w:r>
      <w:r w:rsidRPr="00631174">
        <w:rPr>
          <w:rFonts w:ascii="Arial" w:hAnsi="Arial" w:cs="Arial"/>
        </w:rPr>
        <w:t xml:space="preserve">in accounting, business administration, IT support, and more. These initiatives not only provide </w:t>
      </w:r>
      <w:r w:rsidR="0081505B" w:rsidRPr="00631174">
        <w:rPr>
          <w:rFonts w:ascii="Arial" w:hAnsi="Arial" w:cs="Arial"/>
        </w:rPr>
        <w:t>direct</w:t>
      </w:r>
      <w:r w:rsidRPr="00631174">
        <w:rPr>
          <w:rFonts w:ascii="Arial" w:hAnsi="Arial" w:cs="Arial"/>
        </w:rPr>
        <w:t xml:space="preserve"> experience but also nationally recognized qualifications, enhancing the company's employer brand</w:t>
      </w:r>
      <w:r w:rsidR="00E4251A" w:rsidRPr="00631174">
        <w:rPr>
          <w:rFonts w:ascii="Arial" w:hAnsi="Arial" w:cs="Arial"/>
        </w:rPr>
        <w:t xml:space="preserve"> and contributing to the </w:t>
      </w:r>
      <w:r w:rsidR="00631174" w:rsidRPr="00631174">
        <w:rPr>
          <w:rFonts w:ascii="Arial" w:hAnsi="Arial" w:cs="Arial"/>
        </w:rPr>
        <w:t xml:space="preserve">development of the employees in the </w:t>
      </w:r>
      <w:r w:rsidR="00FA71DD" w:rsidRPr="00631174">
        <w:rPr>
          <w:rFonts w:ascii="Arial" w:hAnsi="Arial" w:cs="Arial"/>
        </w:rPr>
        <w:t>business’s</w:t>
      </w:r>
      <w:r w:rsidR="00631174" w:rsidRPr="00631174">
        <w:rPr>
          <w:rFonts w:ascii="Arial" w:hAnsi="Arial" w:cs="Arial"/>
        </w:rPr>
        <w:t xml:space="preserve"> vicinity </w:t>
      </w:r>
      <w:r w:rsidR="00011287" w:rsidRPr="00631174">
        <w:rPr>
          <w:rFonts w:ascii="Arial" w:hAnsi="Arial" w:cs="Arial"/>
        </w:rPr>
        <w:t>(</w:t>
      </w:r>
      <w:r w:rsidR="00011287" w:rsidRPr="00631174">
        <w:rPr>
          <w:rFonts w:ascii="Arial" w:hAnsi="Arial" w:cs="Arial"/>
        </w:rPr>
        <w:t>brickabilitygroupplc.com</w:t>
      </w:r>
      <w:r w:rsidR="00011287" w:rsidRPr="00631174">
        <w:rPr>
          <w:rFonts w:ascii="Arial" w:hAnsi="Arial" w:cs="Arial"/>
        </w:rPr>
        <w:t>, 2023)</w:t>
      </w:r>
    </w:p>
    <w:p w14:paraId="003E177C" w14:textId="5B912088" w:rsidR="00C3708E" w:rsidRPr="009E6EAF" w:rsidRDefault="00C3708E" w:rsidP="0027140E">
      <w:pPr>
        <w:rPr>
          <w:rFonts w:ascii="Arial" w:hAnsi="Arial" w:cs="Arial"/>
          <w:b/>
          <w:bCs/>
        </w:rPr>
      </w:pPr>
      <w:r w:rsidRPr="009E6EAF">
        <w:rPr>
          <w:rFonts w:ascii="Arial" w:hAnsi="Arial" w:cs="Arial"/>
          <w:b/>
          <w:bCs/>
        </w:rPr>
        <w:t>Technological</w:t>
      </w:r>
    </w:p>
    <w:p w14:paraId="7AA9032A" w14:textId="5676CACB" w:rsidR="00011287" w:rsidRPr="009E6EAF" w:rsidRDefault="00C3708E" w:rsidP="00011287">
      <w:pPr>
        <w:rPr>
          <w:rFonts w:ascii="Arial" w:hAnsi="Arial" w:cs="Arial"/>
        </w:rPr>
      </w:pPr>
      <w:r w:rsidRPr="009E6EAF">
        <w:rPr>
          <w:rFonts w:ascii="Arial" w:hAnsi="Arial" w:cs="Arial"/>
        </w:rPr>
        <w:t xml:space="preserve">Technological progress necessitates that companies adapt to maintain competitiveness. Brickability's commitment to sustainability, aiming for carbon net-zero operations by 2030, involves adopting </w:t>
      </w:r>
      <w:r w:rsidR="00295945" w:rsidRPr="009E6EAF">
        <w:rPr>
          <w:rFonts w:ascii="Arial" w:hAnsi="Arial" w:cs="Arial"/>
        </w:rPr>
        <w:t>innovative technologies</w:t>
      </w:r>
      <w:r w:rsidRPr="009E6EAF">
        <w:rPr>
          <w:rFonts w:ascii="Arial" w:hAnsi="Arial" w:cs="Arial"/>
        </w:rPr>
        <w:t xml:space="preserve"> and </w:t>
      </w:r>
      <w:r w:rsidR="00EB76AA" w:rsidRPr="009E6EAF">
        <w:rPr>
          <w:rFonts w:ascii="Arial" w:hAnsi="Arial" w:cs="Arial"/>
        </w:rPr>
        <w:t xml:space="preserve">practices. </w:t>
      </w:r>
      <w:r w:rsidR="009E6EAF" w:rsidRPr="009E6EAF">
        <w:rPr>
          <w:rFonts w:ascii="Arial" w:hAnsi="Arial" w:cs="Arial"/>
        </w:rPr>
        <w:t>(brickability.co.uk</w:t>
      </w:r>
      <w:r w:rsidR="008E2AC9" w:rsidRPr="009E6EAF">
        <w:rPr>
          <w:rFonts w:ascii="Arial" w:hAnsi="Arial" w:cs="Arial"/>
        </w:rPr>
        <w:t>, 2023)</w:t>
      </w:r>
    </w:p>
    <w:p w14:paraId="6455BF57" w14:textId="18627447" w:rsidR="00C3708E" w:rsidRPr="00F93677" w:rsidRDefault="00C3708E" w:rsidP="0027140E">
      <w:pPr>
        <w:rPr>
          <w:rFonts w:ascii="Arial" w:hAnsi="Arial" w:cs="Arial"/>
        </w:rPr>
      </w:pPr>
      <w:r w:rsidRPr="009E6EAF">
        <w:rPr>
          <w:rFonts w:ascii="Arial" w:hAnsi="Arial" w:cs="Arial"/>
        </w:rPr>
        <w:lastRenderedPageBreak/>
        <w:t>This shift requires HR to manage change effectively, ensuring employees are trained and equipped to operate within a sustainable framework</w:t>
      </w:r>
      <w:r w:rsidR="003E55A1" w:rsidRPr="009E6EAF">
        <w:rPr>
          <w:rFonts w:ascii="Arial" w:hAnsi="Arial" w:cs="Arial"/>
        </w:rPr>
        <w:t xml:space="preserve">, </w:t>
      </w:r>
      <w:r w:rsidR="009E6EAF" w:rsidRPr="009E6EAF">
        <w:rPr>
          <w:rFonts w:ascii="Arial" w:hAnsi="Arial" w:cs="Arial"/>
        </w:rPr>
        <w:t>as well</w:t>
      </w:r>
      <w:r w:rsidR="003E55A1" w:rsidRPr="009E6EAF">
        <w:rPr>
          <w:rFonts w:ascii="Arial" w:hAnsi="Arial" w:cs="Arial"/>
        </w:rPr>
        <w:t xml:space="preserve"> as implementing </w:t>
      </w:r>
      <w:r w:rsidR="00696E8E" w:rsidRPr="009E6EAF">
        <w:rPr>
          <w:rFonts w:ascii="Arial" w:hAnsi="Arial" w:cs="Arial"/>
        </w:rPr>
        <w:t xml:space="preserve">scalable HR software packages, in the case of Brickability, it’s dedicated HR team </w:t>
      </w:r>
      <w:r w:rsidR="009E6EAF" w:rsidRPr="009E6EAF">
        <w:rPr>
          <w:rFonts w:ascii="Arial" w:hAnsi="Arial" w:cs="Arial"/>
        </w:rPr>
        <w:t xml:space="preserve">has recently taken on a new employee management package, along with </w:t>
      </w:r>
      <w:r w:rsidR="00AC4F5D" w:rsidRPr="009E6EAF">
        <w:rPr>
          <w:rFonts w:ascii="Arial" w:hAnsi="Arial" w:cs="Arial"/>
        </w:rPr>
        <w:t>its</w:t>
      </w:r>
      <w:r w:rsidR="009E6EAF" w:rsidRPr="009E6EAF">
        <w:rPr>
          <w:rFonts w:ascii="Arial" w:hAnsi="Arial" w:cs="Arial"/>
        </w:rPr>
        <w:t xml:space="preserve"> challenges</w:t>
      </w:r>
    </w:p>
    <w:p w14:paraId="4DC4D9D6" w14:textId="5F12C962" w:rsidR="00C3708E" w:rsidRPr="00F93677" w:rsidRDefault="00C3708E" w:rsidP="0027140E">
      <w:pPr>
        <w:rPr>
          <w:rFonts w:ascii="Arial" w:hAnsi="Arial" w:cs="Arial"/>
          <w:b/>
          <w:bCs/>
        </w:rPr>
      </w:pPr>
      <w:r w:rsidRPr="00F93677">
        <w:rPr>
          <w:rFonts w:ascii="Arial" w:hAnsi="Arial" w:cs="Arial"/>
          <w:b/>
          <w:bCs/>
        </w:rPr>
        <w:t xml:space="preserve">Legal </w:t>
      </w:r>
    </w:p>
    <w:p w14:paraId="6036B2BE" w14:textId="38A987FB" w:rsidR="00C3708E" w:rsidRPr="00E01DB8" w:rsidRDefault="00C3708E" w:rsidP="00C3708E">
      <w:pPr>
        <w:rPr>
          <w:rFonts w:ascii="Arial" w:hAnsi="Arial" w:cs="Arial"/>
          <w:highlight w:val="yellow"/>
        </w:rPr>
      </w:pPr>
      <w:r w:rsidRPr="00F93677">
        <w:rPr>
          <w:rFonts w:ascii="Arial" w:hAnsi="Arial" w:cs="Arial"/>
        </w:rPr>
        <w:t xml:space="preserve">Compliance with health and safety regulations is critical in construction. Brickability's commitment to providing a safe workplace is evident through regular safety training and fostering a 'speak up' culture among </w:t>
      </w:r>
      <w:r w:rsidR="00EB76AA" w:rsidRPr="00F93677">
        <w:rPr>
          <w:rFonts w:ascii="Arial" w:hAnsi="Arial" w:cs="Arial"/>
        </w:rPr>
        <w:t>teams. (</w:t>
      </w:r>
      <w:r w:rsidRPr="00F93677">
        <w:rPr>
          <w:rFonts w:ascii="Arial" w:hAnsi="Arial" w:cs="Arial"/>
        </w:rPr>
        <w:t>brickabilitygroupplc.com</w:t>
      </w:r>
      <w:r w:rsidR="00EB76AA" w:rsidRPr="00F93677">
        <w:rPr>
          <w:rFonts w:ascii="Arial" w:hAnsi="Arial" w:cs="Arial"/>
        </w:rPr>
        <w:t>, 2023)</w:t>
      </w:r>
    </w:p>
    <w:p w14:paraId="0A0E8362" w14:textId="14902D5C" w:rsidR="00C3708E" w:rsidRPr="00F93677" w:rsidRDefault="00C3708E" w:rsidP="0027140E">
      <w:pPr>
        <w:rPr>
          <w:rFonts w:ascii="Arial" w:hAnsi="Arial" w:cs="Arial"/>
          <w:b/>
          <w:bCs/>
        </w:rPr>
      </w:pPr>
      <w:r w:rsidRPr="00F93677">
        <w:rPr>
          <w:rFonts w:ascii="Arial" w:hAnsi="Arial" w:cs="Arial"/>
          <w:b/>
          <w:bCs/>
        </w:rPr>
        <w:t>Environmental</w:t>
      </w:r>
    </w:p>
    <w:p w14:paraId="66AEB4B9" w14:textId="775CC649" w:rsidR="001D34EE" w:rsidRPr="00F93677" w:rsidRDefault="001D34EE" w:rsidP="0027140E">
      <w:pPr>
        <w:rPr>
          <w:rFonts w:ascii="Arial" w:hAnsi="Arial" w:cs="Arial"/>
        </w:rPr>
      </w:pPr>
      <w:r w:rsidRPr="00F93677">
        <w:rPr>
          <w:rFonts w:ascii="Arial" w:hAnsi="Arial" w:cs="Arial"/>
        </w:rPr>
        <w:t>Brickability’s HRM is increasingly shaped by environmental imperatives</w:t>
      </w:r>
      <w:r w:rsidR="00F93677" w:rsidRPr="00F93677">
        <w:rPr>
          <w:rFonts w:ascii="Arial" w:hAnsi="Arial" w:cs="Arial"/>
        </w:rPr>
        <w:t xml:space="preserve">, </w:t>
      </w:r>
      <w:r w:rsidRPr="00F93677">
        <w:rPr>
          <w:rFonts w:ascii="Arial" w:hAnsi="Arial" w:cs="Arial"/>
        </w:rPr>
        <w:t>Government regulations and market pressures for sustainable practices push the company to integrate environmental objectives into HR policies, including training programs focused on green competencies (Brickability Group Plc, 2023). The commitment to carbon net-zero by 2030 also necessitates continuous upskilling of staff in sustainable practices, ensuring both compliance and enhanced corporate reputation (Gov.uk, 2023; CIPD, 2023).</w:t>
      </w:r>
    </w:p>
    <w:p w14:paraId="6572DCFB" w14:textId="77777777" w:rsidR="00C3708E" w:rsidRPr="00E01DB8" w:rsidRDefault="00C3708E" w:rsidP="0027140E">
      <w:pPr>
        <w:rPr>
          <w:rFonts w:ascii="Arial" w:hAnsi="Arial" w:cs="Arial"/>
          <w:highlight w:val="yellow"/>
        </w:rPr>
      </w:pPr>
    </w:p>
    <w:p w14:paraId="590F5A15" w14:textId="09E19B2A" w:rsidR="007B0DFB" w:rsidRPr="00F93677" w:rsidRDefault="00F20643" w:rsidP="007B0DFB">
      <w:pPr>
        <w:rPr>
          <w:rFonts w:ascii="Arial" w:hAnsi="Arial" w:cs="Arial"/>
          <w:b/>
          <w:bCs/>
        </w:rPr>
      </w:pPr>
      <w:r w:rsidRPr="00F93677">
        <w:rPr>
          <w:rFonts w:ascii="Arial" w:hAnsi="Arial" w:cs="Arial"/>
          <w:b/>
          <w:bCs/>
        </w:rPr>
        <w:t>2.0</w:t>
      </w:r>
      <w:r w:rsidR="00AA16E0" w:rsidRPr="00F93677">
        <w:rPr>
          <w:rFonts w:ascii="Arial" w:hAnsi="Arial" w:cs="Arial"/>
          <w:b/>
          <w:bCs/>
        </w:rPr>
        <w:t xml:space="preserve"> </w:t>
      </w:r>
      <w:r w:rsidR="007B0DFB" w:rsidRPr="007B0DFB">
        <w:rPr>
          <w:rFonts w:ascii="Arial" w:hAnsi="Arial" w:cs="Arial"/>
          <w:b/>
          <w:bCs/>
        </w:rPr>
        <w:t>SWOT Analysis: Internal HR Environment</w:t>
      </w:r>
    </w:p>
    <w:p w14:paraId="6455F180" w14:textId="659C07FC" w:rsidR="00F20643" w:rsidRPr="007B0DFB" w:rsidRDefault="00F20643" w:rsidP="007B0DFB">
      <w:pPr>
        <w:rPr>
          <w:rFonts w:ascii="Arial" w:hAnsi="Arial" w:cs="Arial"/>
        </w:rPr>
      </w:pPr>
      <w:r w:rsidRPr="00F93677">
        <w:rPr>
          <w:rFonts w:ascii="Arial" w:hAnsi="Arial" w:cs="Arial"/>
        </w:rPr>
        <w:t xml:space="preserve">A </w:t>
      </w:r>
      <w:r w:rsidR="00AA16E0" w:rsidRPr="00F93677">
        <w:rPr>
          <w:rFonts w:ascii="Arial" w:hAnsi="Arial" w:cs="Arial"/>
        </w:rPr>
        <w:t>SWOT</w:t>
      </w:r>
      <w:r w:rsidRPr="00F93677">
        <w:rPr>
          <w:rFonts w:ascii="Arial" w:hAnsi="Arial" w:cs="Arial"/>
        </w:rPr>
        <w:t xml:space="preserve"> analysis </w:t>
      </w:r>
      <w:r w:rsidR="00F25DB7" w:rsidRPr="00F93677">
        <w:rPr>
          <w:rFonts w:ascii="Arial" w:hAnsi="Arial" w:cs="Arial"/>
        </w:rPr>
        <w:t xml:space="preserve">is a </w:t>
      </w:r>
      <w:r w:rsidR="00EB2868" w:rsidRPr="00F93677">
        <w:rPr>
          <w:rFonts w:ascii="Arial" w:hAnsi="Arial" w:cs="Arial"/>
        </w:rPr>
        <w:t>framework</w:t>
      </w:r>
      <w:r w:rsidR="00F25DB7" w:rsidRPr="00F93677">
        <w:rPr>
          <w:rFonts w:ascii="Arial" w:hAnsi="Arial" w:cs="Arial"/>
        </w:rPr>
        <w:t xml:space="preserve"> used to evaluate the internal and external threats to a business, in this case applied to the HRM strategies in the business.</w:t>
      </w:r>
    </w:p>
    <w:p w14:paraId="3CFFBD75" w14:textId="77777777" w:rsidR="007B0DFB" w:rsidRPr="007B0DFB" w:rsidRDefault="007B0DFB" w:rsidP="007B0DFB">
      <w:pPr>
        <w:rPr>
          <w:rFonts w:ascii="Arial" w:hAnsi="Arial" w:cs="Arial"/>
          <w:b/>
          <w:bCs/>
        </w:rPr>
      </w:pPr>
      <w:r w:rsidRPr="007B0DFB">
        <w:rPr>
          <w:rFonts w:ascii="Arial" w:hAnsi="Arial" w:cs="Arial"/>
          <w:b/>
          <w:bCs/>
        </w:rPr>
        <w:t>Strengths</w:t>
      </w:r>
    </w:p>
    <w:p w14:paraId="2D26AA9A" w14:textId="77777777" w:rsidR="007B0DFB" w:rsidRPr="007B0DFB" w:rsidRDefault="007B0DFB" w:rsidP="007B0DFB">
      <w:pPr>
        <w:numPr>
          <w:ilvl w:val="0"/>
          <w:numId w:val="14"/>
        </w:numPr>
        <w:rPr>
          <w:rFonts w:ascii="Arial" w:hAnsi="Arial" w:cs="Arial"/>
        </w:rPr>
      </w:pPr>
      <w:r w:rsidRPr="007B0DFB">
        <w:rPr>
          <w:rFonts w:ascii="Arial" w:hAnsi="Arial" w:cs="Arial"/>
          <w:b/>
          <w:bCs/>
        </w:rPr>
        <w:t>Effective Leadership:</w:t>
      </w:r>
      <w:r w:rsidRPr="007B0DFB">
        <w:rPr>
          <w:rFonts w:ascii="Arial" w:hAnsi="Arial" w:cs="Arial"/>
        </w:rPr>
        <w:br/>
        <w:t>The leadership transition to Frank Hanna in 2023 has reinforced growth and innovation, positively aligning HR strategies with new business goals (This is Money, 2023).</w:t>
      </w:r>
    </w:p>
    <w:p w14:paraId="3F6B9363" w14:textId="77777777" w:rsidR="007B0DFB" w:rsidRPr="007B0DFB" w:rsidRDefault="007B0DFB" w:rsidP="007B0DFB">
      <w:pPr>
        <w:numPr>
          <w:ilvl w:val="0"/>
          <w:numId w:val="14"/>
        </w:numPr>
        <w:rPr>
          <w:rFonts w:ascii="Arial" w:hAnsi="Arial" w:cs="Arial"/>
        </w:rPr>
      </w:pPr>
      <w:r w:rsidRPr="007B0DFB">
        <w:rPr>
          <w:rFonts w:ascii="Arial" w:hAnsi="Arial" w:cs="Arial"/>
          <w:b/>
          <w:bCs/>
        </w:rPr>
        <w:t>Employee Development:</w:t>
      </w:r>
      <w:r w:rsidRPr="007B0DFB">
        <w:rPr>
          <w:rFonts w:ascii="Arial" w:hAnsi="Arial" w:cs="Arial"/>
        </w:rPr>
        <w:br/>
        <w:t>Robust apprenticeship programmes support skill enhancement and career progression, ensuring a well-developed internal talent pool (Brickability Group Plc, 2023).</w:t>
      </w:r>
    </w:p>
    <w:p w14:paraId="1D0214B5" w14:textId="00495491" w:rsidR="007B0DFB" w:rsidRPr="007B0DFB" w:rsidRDefault="007B0DFB" w:rsidP="007B0DFB">
      <w:pPr>
        <w:rPr>
          <w:rFonts w:ascii="Arial" w:hAnsi="Arial" w:cs="Arial"/>
          <w:highlight w:val="yellow"/>
        </w:rPr>
      </w:pPr>
    </w:p>
    <w:p w14:paraId="73E13220" w14:textId="77777777" w:rsidR="007B0DFB" w:rsidRPr="007B0DFB" w:rsidRDefault="007B0DFB" w:rsidP="007B0DFB">
      <w:pPr>
        <w:rPr>
          <w:rFonts w:ascii="Arial" w:hAnsi="Arial" w:cs="Arial"/>
          <w:b/>
          <w:bCs/>
        </w:rPr>
      </w:pPr>
      <w:r w:rsidRPr="007B0DFB">
        <w:rPr>
          <w:rFonts w:ascii="Arial" w:hAnsi="Arial" w:cs="Arial"/>
          <w:b/>
          <w:bCs/>
        </w:rPr>
        <w:t>Weaknesses</w:t>
      </w:r>
    </w:p>
    <w:p w14:paraId="214CF5AE" w14:textId="6F0C8A9A" w:rsidR="007B0DFB" w:rsidRPr="007B0DFB" w:rsidRDefault="007B0DFB" w:rsidP="007B0DFB">
      <w:pPr>
        <w:numPr>
          <w:ilvl w:val="0"/>
          <w:numId w:val="15"/>
        </w:numPr>
        <w:rPr>
          <w:rFonts w:ascii="Arial" w:hAnsi="Arial" w:cs="Arial"/>
        </w:rPr>
      </w:pPr>
      <w:r w:rsidRPr="007B0DFB">
        <w:rPr>
          <w:rFonts w:ascii="Arial" w:hAnsi="Arial" w:cs="Arial"/>
          <w:b/>
          <w:bCs/>
        </w:rPr>
        <w:t>Leadership Transition Risks:</w:t>
      </w:r>
      <w:r w:rsidRPr="007B0DFB">
        <w:rPr>
          <w:rFonts w:ascii="Arial" w:hAnsi="Arial" w:cs="Arial"/>
        </w:rPr>
        <w:br/>
        <w:t>Frequent or rapid leadership changes may create temporary misalignments in HR strategies</w:t>
      </w:r>
      <w:r w:rsidR="00CC4E7B" w:rsidRPr="00256014">
        <w:rPr>
          <w:rFonts w:ascii="Arial" w:hAnsi="Arial" w:cs="Arial"/>
        </w:rPr>
        <w:t xml:space="preserve"> and </w:t>
      </w:r>
      <w:r w:rsidR="00AC4F5D" w:rsidRPr="00256014">
        <w:rPr>
          <w:rFonts w:ascii="Arial" w:hAnsi="Arial" w:cs="Arial"/>
        </w:rPr>
        <w:t>short-term</w:t>
      </w:r>
      <w:r w:rsidR="00CC4E7B" w:rsidRPr="00256014">
        <w:rPr>
          <w:rFonts w:ascii="Arial" w:hAnsi="Arial" w:cs="Arial"/>
        </w:rPr>
        <w:t xml:space="preserve"> </w:t>
      </w:r>
      <w:r w:rsidR="00256014" w:rsidRPr="00256014">
        <w:rPr>
          <w:rFonts w:ascii="Arial" w:hAnsi="Arial" w:cs="Arial"/>
        </w:rPr>
        <w:t xml:space="preserve">problems for staff and HR </w:t>
      </w:r>
      <w:r w:rsidR="00AC4F5D" w:rsidRPr="00256014">
        <w:rPr>
          <w:rFonts w:ascii="Arial" w:hAnsi="Arial" w:cs="Arial"/>
        </w:rPr>
        <w:t>employees</w:t>
      </w:r>
      <w:r w:rsidR="00AC4F5D" w:rsidRPr="007B0DFB">
        <w:rPr>
          <w:rFonts w:ascii="Arial" w:hAnsi="Arial" w:cs="Arial"/>
        </w:rPr>
        <w:t xml:space="preserve"> (</w:t>
      </w:r>
      <w:r w:rsidRPr="007B0DFB">
        <w:rPr>
          <w:rFonts w:ascii="Arial" w:hAnsi="Arial" w:cs="Arial"/>
        </w:rPr>
        <w:t>This is Money, 2023).</w:t>
      </w:r>
    </w:p>
    <w:p w14:paraId="2079D806" w14:textId="10C8C840" w:rsidR="007B0DFB" w:rsidRPr="007B0DFB" w:rsidRDefault="007B0DFB" w:rsidP="007B0DFB">
      <w:pPr>
        <w:numPr>
          <w:ilvl w:val="0"/>
          <w:numId w:val="15"/>
        </w:numPr>
        <w:rPr>
          <w:rFonts w:ascii="Arial" w:hAnsi="Arial" w:cs="Arial"/>
        </w:rPr>
      </w:pPr>
      <w:r w:rsidRPr="007B0DFB">
        <w:rPr>
          <w:rFonts w:ascii="Arial" w:hAnsi="Arial" w:cs="Arial"/>
          <w:b/>
          <w:bCs/>
        </w:rPr>
        <w:lastRenderedPageBreak/>
        <w:t>Overdependence on Internal Development:</w:t>
      </w:r>
      <w:r w:rsidRPr="007B0DFB">
        <w:rPr>
          <w:rFonts w:ascii="Arial" w:hAnsi="Arial" w:cs="Arial"/>
        </w:rPr>
        <w:br/>
        <w:t>A strong focus on internal training might limit the influx of fresh perspectives from external talent sources</w:t>
      </w:r>
      <w:r w:rsidR="00A17785">
        <w:rPr>
          <w:rFonts w:ascii="Arial" w:hAnsi="Arial" w:cs="Arial"/>
        </w:rPr>
        <w:t>, a delicate balance between innovating existing staff and integrating outside hire</w:t>
      </w:r>
      <w:r w:rsidR="00B82E81">
        <w:rPr>
          <w:rFonts w:ascii="Arial" w:hAnsi="Arial" w:cs="Arial"/>
        </w:rPr>
        <w:t>s.</w:t>
      </w:r>
    </w:p>
    <w:p w14:paraId="7D61206A" w14:textId="3EE20792" w:rsidR="007B0DFB" w:rsidRPr="007B0DFB" w:rsidRDefault="007B0DFB" w:rsidP="007B0DFB">
      <w:pPr>
        <w:rPr>
          <w:rFonts w:ascii="Arial" w:hAnsi="Arial" w:cs="Arial"/>
          <w:highlight w:val="yellow"/>
        </w:rPr>
      </w:pPr>
    </w:p>
    <w:p w14:paraId="1225723B" w14:textId="77777777" w:rsidR="007B0DFB" w:rsidRPr="007B0DFB" w:rsidRDefault="007B0DFB" w:rsidP="007B0DFB">
      <w:pPr>
        <w:rPr>
          <w:rFonts w:ascii="Arial" w:hAnsi="Arial" w:cs="Arial"/>
          <w:b/>
          <w:bCs/>
        </w:rPr>
      </w:pPr>
      <w:r w:rsidRPr="007B0DFB">
        <w:rPr>
          <w:rFonts w:ascii="Arial" w:hAnsi="Arial" w:cs="Arial"/>
          <w:b/>
          <w:bCs/>
        </w:rPr>
        <w:t>Opportunities</w:t>
      </w:r>
    </w:p>
    <w:p w14:paraId="16126BB3" w14:textId="588CFBAA" w:rsidR="007B0DFB" w:rsidRPr="007B0DFB" w:rsidRDefault="007B0DFB" w:rsidP="007B0DFB">
      <w:pPr>
        <w:numPr>
          <w:ilvl w:val="0"/>
          <w:numId w:val="16"/>
        </w:numPr>
        <w:rPr>
          <w:rFonts w:ascii="Arial" w:hAnsi="Arial" w:cs="Arial"/>
        </w:rPr>
      </w:pPr>
      <w:r w:rsidRPr="007B0DFB">
        <w:rPr>
          <w:rFonts w:ascii="Arial" w:hAnsi="Arial" w:cs="Arial"/>
          <w:b/>
          <w:bCs/>
        </w:rPr>
        <w:t>Expanding Development Initiatives:</w:t>
      </w:r>
      <w:r w:rsidRPr="007B0DFB">
        <w:rPr>
          <w:rFonts w:ascii="Arial" w:hAnsi="Arial" w:cs="Arial"/>
        </w:rPr>
        <w:br/>
        <w:t xml:space="preserve">Broader training programmes can diversify skills and improve long-term talent </w:t>
      </w:r>
      <w:r w:rsidR="00A965FC" w:rsidRPr="007B0DFB">
        <w:rPr>
          <w:rFonts w:ascii="Arial" w:hAnsi="Arial" w:cs="Arial"/>
        </w:rPr>
        <w:t>management</w:t>
      </w:r>
      <w:r w:rsidR="00A965FC" w:rsidRPr="00A965FC">
        <w:rPr>
          <w:rFonts w:ascii="Arial" w:hAnsi="Arial" w:cs="Arial"/>
        </w:rPr>
        <w:t>;</w:t>
      </w:r>
      <w:r w:rsidR="00B82E81" w:rsidRPr="00A965FC">
        <w:rPr>
          <w:rFonts w:ascii="Arial" w:hAnsi="Arial" w:cs="Arial"/>
        </w:rPr>
        <w:t xml:space="preserve"> by developing accounting, business administration and IT development can create strong bases for </w:t>
      </w:r>
      <w:r w:rsidR="00A965FC" w:rsidRPr="00A965FC">
        <w:rPr>
          <w:rFonts w:ascii="Arial" w:hAnsi="Arial" w:cs="Arial"/>
        </w:rPr>
        <w:t>success.</w:t>
      </w:r>
    </w:p>
    <w:p w14:paraId="5BBA766F" w14:textId="10803113" w:rsidR="007B0DFB" w:rsidRPr="00A965FC" w:rsidRDefault="007B0DFB" w:rsidP="007B0DFB">
      <w:pPr>
        <w:numPr>
          <w:ilvl w:val="0"/>
          <w:numId w:val="16"/>
        </w:numPr>
        <w:rPr>
          <w:rFonts w:ascii="Arial" w:hAnsi="Arial" w:cs="Arial"/>
        </w:rPr>
      </w:pPr>
      <w:r w:rsidRPr="007B0DFB">
        <w:rPr>
          <w:rFonts w:ascii="Arial" w:hAnsi="Arial" w:cs="Arial"/>
          <w:b/>
          <w:bCs/>
        </w:rPr>
        <w:t>Innovative HR Practices:</w:t>
      </w:r>
      <w:r w:rsidRPr="007B0DFB">
        <w:rPr>
          <w:rFonts w:ascii="Arial" w:hAnsi="Arial" w:cs="Arial"/>
        </w:rPr>
        <w:br/>
        <w:t>New leadership offers opportunities to introduce innovative HR strategies that align with emerging business objectives</w:t>
      </w:r>
      <w:r w:rsidR="00B82E81" w:rsidRPr="00A965FC">
        <w:rPr>
          <w:rFonts w:ascii="Arial" w:hAnsi="Arial" w:cs="Arial"/>
        </w:rPr>
        <w:t xml:space="preserve"> and to escape </w:t>
      </w:r>
      <w:r w:rsidR="00A965FC" w:rsidRPr="00A965FC">
        <w:rPr>
          <w:rFonts w:ascii="Arial" w:hAnsi="Arial" w:cs="Arial"/>
        </w:rPr>
        <w:t>any brought forward resentments towards change.</w:t>
      </w:r>
    </w:p>
    <w:p w14:paraId="1286F774" w14:textId="77777777" w:rsidR="007B0DFB" w:rsidRPr="007B0DFB" w:rsidRDefault="007B0DFB" w:rsidP="007B0DFB">
      <w:pPr>
        <w:rPr>
          <w:rFonts w:ascii="Arial" w:hAnsi="Arial" w:cs="Arial"/>
          <w:b/>
          <w:bCs/>
        </w:rPr>
      </w:pPr>
      <w:r w:rsidRPr="007B0DFB">
        <w:rPr>
          <w:rFonts w:ascii="Arial" w:hAnsi="Arial" w:cs="Arial"/>
          <w:b/>
          <w:bCs/>
        </w:rPr>
        <w:t>Threats</w:t>
      </w:r>
    </w:p>
    <w:p w14:paraId="64F63568" w14:textId="6F537009" w:rsidR="007B0DFB" w:rsidRPr="007B0DFB" w:rsidRDefault="007B0DFB" w:rsidP="007B0DFB">
      <w:pPr>
        <w:numPr>
          <w:ilvl w:val="0"/>
          <w:numId w:val="17"/>
        </w:numPr>
        <w:rPr>
          <w:rFonts w:ascii="Arial" w:hAnsi="Arial" w:cs="Arial"/>
        </w:rPr>
      </w:pPr>
      <w:r w:rsidRPr="007B0DFB">
        <w:rPr>
          <w:rFonts w:ascii="Arial" w:hAnsi="Arial" w:cs="Arial"/>
          <w:b/>
          <w:bCs/>
        </w:rPr>
        <w:t>Competitive Talent Market:</w:t>
      </w:r>
      <w:r w:rsidRPr="007B0DFB">
        <w:rPr>
          <w:rFonts w:ascii="Arial" w:hAnsi="Arial" w:cs="Arial"/>
        </w:rPr>
        <w:br/>
        <w:t>Intense competition for skilled employees could challenge Brickability's retention efforts</w:t>
      </w:r>
      <w:r w:rsidR="00A965FC" w:rsidRPr="00DC3F31">
        <w:rPr>
          <w:rFonts w:ascii="Arial" w:hAnsi="Arial" w:cs="Arial"/>
        </w:rPr>
        <w:t xml:space="preserve">, in the worlds of construction, </w:t>
      </w:r>
      <w:r w:rsidR="00C36D8F" w:rsidRPr="00DC3F31">
        <w:rPr>
          <w:rFonts w:ascii="Arial" w:hAnsi="Arial" w:cs="Arial"/>
        </w:rPr>
        <w:t>customers can hire from their suppliers and suppliers can hire from their customers</w:t>
      </w:r>
      <w:r w:rsidR="00672B6E" w:rsidRPr="00DC3F31">
        <w:rPr>
          <w:rFonts w:ascii="Arial" w:hAnsi="Arial" w:cs="Arial"/>
        </w:rPr>
        <w:t xml:space="preserve">, Brickability can train </w:t>
      </w:r>
      <w:r w:rsidR="00DC3F31" w:rsidRPr="00DC3F31">
        <w:rPr>
          <w:rFonts w:ascii="Arial" w:hAnsi="Arial" w:cs="Arial"/>
        </w:rPr>
        <w:t>up staff just for them to be poached by connected parties</w:t>
      </w:r>
      <w:r w:rsidR="008D6FBD">
        <w:rPr>
          <w:rFonts w:ascii="Arial" w:hAnsi="Arial" w:cs="Arial"/>
        </w:rPr>
        <w:t xml:space="preserve">, the HR teams may have to develop </w:t>
      </w:r>
      <w:r w:rsidR="00802611">
        <w:rPr>
          <w:rFonts w:ascii="Arial" w:hAnsi="Arial" w:cs="Arial"/>
        </w:rPr>
        <w:t>non-disclosure</w:t>
      </w:r>
      <w:r w:rsidR="008D6FBD">
        <w:rPr>
          <w:rFonts w:ascii="Arial" w:hAnsi="Arial" w:cs="Arial"/>
        </w:rPr>
        <w:t xml:space="preserve"> and </w:t>
      </w:r>
      <w:r w:rsidR="00802611">
        <w:rPr>
          <w:rFonts w:ascii="Arial" w:hAnsi="Arial" w:cs="Arial"/>
        </w:rPr>
        <w:t>garden leave policies to ensure competitors cannot benefit from tactical hires.</w:t>
      </w:r>
    </w:p>
    <w:p w14:paraId="5CBD7396" w14:textId="77777777" w:rsidR="007B0DFB" w:rsidRPr="00E01DB8" w:rsidRDefault="007B0DFB" w:rsidP="0027140E">
      <w:pPr>
        <w:rPr>
          <w:rFonts w:ascii="Arial" w:hAnsi="Arial" w:cs="Arial"/>
          <w:highlight w:val="yellow"/>
        </w:rPr>
      </w:pPr>
    </w:p>
    <w:p w14:paraId="1E9C86FF" w14:textId="77777777" w:rsidR="0027140E" w:rsidRPr="008F3993" w:rsidRDefault="0027140E" w:rsidP="0027140E">
      <w:pPr>
        <w:rPr>
          <w:rFonts w:ascii="Arial" w:hAnsi="Arial" w:cs="Arial"/>
        </w:rPr>
      </w:pPr>
      <w:r w:rsidRPr="008F3993">
        <w:rPr>
          <w:rFonts w:ascii="Arial" w:hAnsi="Arial" w:cs="Arial"/>
          <w:b/>
          <w:bCs/>
        </w:rPr>
        <w:t>2.1 Organizational Culture</w:t>
      </w:r>
    </w:p>
    <w:p w14:paraId="75F3A5F9" w14:textId="695774C9" w:rsidR="0027140E" w:rsidRPr="008F3993" w:rsidRDefault="0027140E" w:rsidP="0027140E">
      <w:pPr>
        <w:rPr>
          <w:rFonts w:ascii="Arial" w:hAnsi="Arial" w:cs="Arial"/>
        </w:rPr>
      </w:pPr>
      <w:r w:rsidRPr="008F3993">
        <w:rPr>
          <w:rFonts w:ascii="Arial" w:hAnsi="Arial" w:cs="Arial"/>
        </w:rPr>
        <w:t xml:space="preserve">Brickability fosters a culture of inclusion, diversity, and equity. With over </w:t>
      </w:r>
      <w:r w:rsidR="0081505B" w:rsidRPr="008F3993">
        <w:rPr>
          <w:rFonts w:ascii="Arial" w:hAnsi="Arial" w:cs="Arial"/>
        </w:rPr>
        <w:t>eight hundred</w:t>
      </w:r>
      <w:r w:rsidRPr="008F3993">
        <w:rPr>
          <w:rFonts w:ascii="Arial" w:hAnsi="Arial" w:cs="Arial"/>
        </w:rPr>
        <w:t xml:space="preserve"> employees, the company emphasizes creating opportunities and valuing differences, which positively affects employee engagement and retention. </w:t>
      </w:r>
    </w:p>
    <w:p w14:paraId="08E9EA7F" w14:textId="555CB3D6" w:rsidR="0027140E" w:rsidRPr="008F3993" w:rsidRDefault="0027140E" w:rsidP="0027140E">
      <w:pPr>
        <w:rPr>
          <w:rFonts w:ascii="Arial" w:hAnsi="Arial" w:cs="Arial"/>
        </w:rPr>
      </w:pPr>
      <w:r w:rsidRPr="008F3993">
        <w:rPr>
          <w:rFonts w:ascii="Arial" w:hAnsi="Arial" w:cs="Arial"/>
        </w:rPr>
        <w:t>A strong organizational culture aligns with HR practices that promote diversity and inclusivity</w:t>
      </w:r>
      <w:r w:rsidR="00802611">
        <w:rPr>
          <w:rFonts w:ascii="Arial" w:hAnsi="Arial" w:cs="Arial"/>
        </w:rPr>
        <w:t xml:space="preserve">, by baking this into the talent procurement and development process, </w:t>
      </w:r>
      <w:r w:rsidR="003875AA">
        <w:rPr>
          <w:rFonts w:ascii="Arial" w:hAnsi="Arial" w:cs="Arial"/>
        </w:rPr>
        <w:t xml:space="preserve">Brickability can ensure that fairness, legal </w:t>
      </w:r>
      <w:r w:rsidR="00AC4F5D">
        <w:rPr>
          <w:rFonts w:ascii="Arial" w:hAnsi="Arial" w:cs="Arial"/>
        </w:rPr>
        <w:t>compliance,</w:t>
      </w:r>
      <w:r w:rsidR="003875AA">
        <w:rPr>
          <w:rFonts w:ascii="Arial" w:hAnsi="Arial" w:cs="Arial"/>
        </w:rPr>
        <w:t xml:space="preserve"> and the best candidates are being </w:t>
      </w:r>
      <w:r w:rsidR="00284131">
        <w:rPr>
          <w:rFonts w:ascii="Arial" w:hAnsi="Arial" w:cs="Arial"/>
        </w:rPr>
        <w:t xml:space="preserve">hired regardless of their race, </w:t>
      </w:r>
      <w:r w:rsidR="00AC4F5D">
        <w:rPr>
          <w:rFonts w:ascii="Arial" w:hAnsi="Arial" w:cs="Arial"/>
        </w:rPr>
        <w:t>gender,</w:t>
      </w:r>
      <w:r w:rsidR="00284131">
        <w:rPr>
          <w:rFonts w:ascii="Arial" w:hAnsi="Arial" w:cs="Arial"/>
        </w:rPr>
        <w:t xml:space="preserve"> or religious </w:t>
      </w:r>
      <w:r w:rsidR="00AC4F5D">
        <w:rPr>
          <w:rFonts w:ascii="Arial" w:hAnsi="Arial" w:cs="Arial"/>
        </w:rPr>
        <w:t>alignment.</w:t>
      </w:r>
    </w:p>
    <w:p w14:paraId="10D5B18D" w14:textId="77777777" w:rsidR="0027140E" w:rsidRPr="00A56798" w:rsidRDefault="0027140E" w:rsidP="0027140E">
      <w:pPr>
        <w:rPr>
          <w:rFonts w:ascii="Arial" w:hAnsi="Arial" w:cs="Arial"/>
        </w:rPr>
      </w:pPr>
      <w:r w:rsidRPr="00A56798">
        <w:rPr>
          <w:rFonts w:ascii="Arial" w:hAnsi="Arial" w:cs="Arial"/>
          <w:b/>
          <w:bCs/>
        </w:rPr>
        <w:t>2.2 Leadership and Management</w:t>
      </w:r>
    </w:p>
    <w:p w14:paraId="097DBDC0" w14:textId="5544ED95" w:rsidR="0027140E" w:rsidRPr="00A56798" w:rsidRDefault="0027140E" w:rsidP="0027140E">
      <w:pPr>
        <w:rPr>
          <w:rFonts w:ascii="Arial" w:hAnsi="Arial" w:cs="Arial"/>
        </w:rPr>
      </w:pPr>
      <w:r w:rsidRPr="00A56798">
        <w:rPr>
          <w:rFonts w:ascii="Arial" w:hAnsi="Arial" w:cs="Arial"/>
        </w:rPr>
        <w:t xml:space="preserve">Effective leadership is crucial for organizational success. The transition of leadership from Alan Simpson to Frank Hanna in 2023 marked a strategic move to sustain growth and innovation. </w:t>
      </w:r>
      <w:r w:rsidR="00A56798" w:rsidRPr="00A56798">
        <w:rPr>
          <w:rFonts w:ascii="Arial" w:hAnsi="Arial" w:cs="Arial"/>
        </w:rPr>
        <w:t>(</w:t>
      </w:r>
      <w:hyperlink r:id="rId6" w:tgtFrame="_blank" w:history="1">
        <w:r w:rsidRPr="00A56798">
          <w:rPr>
            <w:rStyle w:val="Hyperlink"/>
            <w:rFonts w:ascii="Arial" w:hAnsi="Arial" w:cs="Arial"/>
            <w:color w:val="auto"/>
          </w:rPr>
          <w:t>thisismoney.co.uk</w:t>
        </w:r>
      </w:hyperlink>
      <w:r w:rsidR="00A56798" w:rsidRPr="00A56798">
        <w:rPr>
          <w:rFonts w:ascii="Arial" w:hAnsi="Arial" w:cs="Arial"/>
        </w:rPr>
        <w:t>, 2024)</w:t>
      </w:r>
    </w:p>
    <w:p w14:paraId="37E52706" w14:textId="13B8C0D5" w:rsidR="0027140E" w:rsidRPr="004760AA" w:rsidRDefault="0027140E" w:rsidP="0027140E">
      <w:pPr>
        <w:rPr>
          <w:rFonts w:ascii="Arial" w:hAnsi="Arial" w:cs="Arial"/>
        </w:rPr>
      </w:pPr>
      <w:r w:rsidRPr="004760AA">
        <w:rPr>
          <w:rFonts w:ascii="Arial" w:hAnsi="Arial" w:cs="Arial"/>
        </w:rPr>
        <w:t>Leadership changes can influence HR policies, particularly in aligning talent management strategies with new</w:t>
      </w:r>
      <w:r w:rsidR="004760AA" w:rsidRPr="004760AA">
        <w:rPr>
          <w:rFonts w:ascii="Arial" w:hAnsi="Arial" w:cs="Arial"/>
        </w:rPr>
        <w:t xml:space="preserve"> long-term</w:t>
      </w:r>
      <w:r w:rsidRPr="004760AA">
        <w:rPr>
          <w:rFonts w:ascii="Arial" w:hAnsi="Arial" w:cs="Arial"/>
        </w:rPr>
        <w:t xml:space="preserve"> leadership </w:t>
      </w:r>
      <w:r w:rsidR="00AC4F5D" w:rsidRPr="004760AA">
        <w:rPr>
          <w:rFonts w:ascii="Arial" w:hAnsi="Arial" w:cs="Arial"/>
        </w:rPr>
        <w:t>visions.</w:t>
      </w:r>
    </w:p>
    <w:p w14:paraId="66E2609A" w14:textId="77777777" w:rsidR="0027140E" w:rsidRPr="000F658D" w:rsidRDefault="0027140E" w:rsidP="0027140E">
      <w:pPr>
        <w:rPr>
          <w:rFonts w:ascii="Arial" w:hAnsi="Arial" w:cs="Arial"/>
        </w:rPr>
      </w:pPr>
      <w:r w:rsidRPr="000F658D">
        <w:rPr>
          <w:rFonts w:ascii="Arial" w:hAnsi="Arial" w:cs="Arial"/>
          <w:b/>
          <w:bCs/>
        </w:rPr>
        <w:lastRenderedPageBreak/>
        <w:t>3. Influence on HR Policies and Practices</w:t>
      </w:r>
    </w:p>
    <w:p w14:paraId="15A0DA13" w14:textId="77777777" w:rsidR="0027140E" w:rsidRPr="000F658D" w:rsidRDefault="0027140E" w:rsidP="0027140E">
      <w:pPr>
        <w:rPr>
          <w:rFonts w:ascii="Arial" w:hAnsi="Arial" w:cs="Arial"/>
        </w:rPr>
      </w:pPr>
      <w:r w:rsidRPr="000F658D">
        <w:rPr>
          <w:rFonts w:ascii="Arial" w:hAnsi="Arial" w:cs="Arial"/>
        </w:rPr>
        <w:t>The interplay of internal and external factors shapes Brickability's HR policies and practices.</w:t>
      </w:r>
    </w:p>
    <w:p w14:paraId="56DAD47B" w14:textId="77777777" w:rsidR="0027140E" w:rsidRPr="00A94C1D" w:rsidRDefault="0027140E" w:rsidP="0027140E">
      <w:pPr>
        <w:rPr>
          <w:rFonts w:ascii="Arial" w:hAnsi="Arial" w:cs="Arial"/>
        </w:rPr>
      </w:pPr>
      <w:r w:rsidRPr="00A94C1D">
        <w:rPr>
          <w:rFonts w:ascii="Arial" w:hAnsi="Arial" w:cs="Arial"/>
          <w:b/>
          <w:bCs/>
        </w:rPr>
        <w:t>3.1 Talent Acquisition and Retention</w:t>
      </w:r>
    </w:p>
    <w:p w14:paraId="24165AC3" w14:textId="77777777" w:rsidR="0027140E" w:rsidRPr="00A94C1D" w:rsidRDefault="0027140E" w:rsidP="0027140E">
      <w:pPr>
        <w:rPr>
          <w:rFonts w:ascii="Arial" w:hAnsi="Arial" w:cs="Arial"/>
        </w:rPr>
      </w:pPr>
      <w:r w:rsidRPr="00A94C1D">
        <w:rPr>
          <w:rFonts w:ascii="Arial" w:hAnsi="Arial" w:cs="Arial"/>
        </w:rPr>
        <w:t>In response to industry challenges, Brickability's apprenticeship programs serve as a talent pipeline, attracting and retaining individuals committed to the company's values and goals. This approach aligns with the Resource-Based View (RBV) theory, which posits that a firm's resources, including human capital, are central to achieving competitive advantage.</w:t>
      </w:r>
    </w:p>
    <w:p w14:paraId="66C970B6" w14:textId="6EB37A7E" w:rsidR="00BD4513" w:rsidRPr="00A94C1D" w:rsidRDefault="00BD4513" w:rsidP="0027140E">
      <w:pPr>
        <w:rPr>
          <w:rFonts w:ascii="Arial" w:hAnsi="Arial" w:cs="Arial"/>
        </w:rPr>
      </w:pPr>
      <w:r w:rsidRPr="00A94C1D">
        <w:rPr>
          <w:rFonts w:ascii="Arial" w:hAnsi="Arial" w:cs="Arial"/>
        </w:rPr>
        <w:t>The Resource-Based View (RBV) is a strategic management theory that argues an organisation's internal resources are the key to achieving and sustaining competitive advantage</w:t>
      </w:r>
      <w:r w:rsidR="00780259" w:rsidRPr="00A94C1D">
        <w:rPr>
          <w:rFonts w:ascii="Arial" w:hAnsi="Arial" w:cs="Arial"/>
        </w:rPr>
        <w:t xml:space="preserve"> (</w:t>
      </w:r>
      <w:r w:rsidR="00780259" w:rsidRPr="00A94C1D">
        <w:rPr>
          <w:rFonts w:ascii="Arial" w:hAnsi="Arial" w:cs="Arial"/>
        </w:rPr>
        <w:t>Barney, J.B</w:t>
      </w:r>
      <w:r w:rsidR="00780259" w:rsidRPr="00A94C1D">
        <w:rPr>
          <w:rFonts w:ascii="Arial" w:hAnsi="Arial" w:cs="Arial"/>
        </w:rPr>
        <w:t xml:space="preserve"> ,</w:t>
      </w:r>
      <w:r w:rsidR="00780259" w:rsidRPr="00A94C1D">
        <w:rPr>
          <w:rFonts w:ascii="Arial" w:hAnsi="Arial" w:cs="Arial"/>
        </w:rPr>
        <w:t xml:space="preserve">1991) </w:t>
      </w:r>
    </w:p>
    <w:p w14:paraId="4B984775" w14:textId="66DADD48" w:rsidR="00463CA5" w:rsidRPr="00A94C1D" w:rsidRDefault="00B96932" w:rsidP="0027140E">
      <w:pPr>
        <w:rPr>
          <w:rFonts w:ascii="Arial" w:hAnsi="Arial" w:cs="Arial"/>
        </w:rPr>
      </w:pPr>
      <w:r w:rsidRPr="00A94C1D">
        <w:rPr>
          <w:rFonts w:ascii="Arial" w:hAnsi="Arial" w:cs="Arial"/>
        </w:rPr>
        <w:t xml:space="preserve">Human Capital Theory is an economic and management theory that emphasizes the value of investing in people </w:t>
      </w:r>
      <w:r w:rsidR="00A94C1D" w:rsidRPr="00A94C1D">
        <w:rPr>
          <w:rFonts w:ascii="Arial" w:hAnsi="Arial" w:cs="Arial"/>
        </w:rPr>
        <w:t>to</w:t>
      </w:r>
      <w:r w:rsidRPr="00A94C1D">
        <w:rPr>
          <w:rFonts w:ascii="Arial" w:hAnsi="Arial" w:cs="Arial"/>
        </w:rPr>
        <w:t xml:space="preserve"> increase productivity and gain competitive </w:t>
      </w:r>
      <w:r w:rsidR="00AC4F5D" w:rsidRPr="00A94C1D">
        <w:rPr>
          <w:rFonts w:ascii="Arial" w:hAnsi="Arial" w:cs="Arial"/>
        </w:rPr>
        <w:t>advantage. (</w:t>
      </w:r>
      <w:r w:rsidRPr="00A94C1D">
        <w:rPr>
          <w:rFonts w:ascii="Arial" w:hAnsi="Arial" w:cs="Arial"/>
        </w:rPr>
        <w:t>Becker, 1993)</w:t>
      </w:r>
    </w:p>
    <w:p w14:paraId="437AF0BE" w14:textId="0B2F2A35" w:rsidR="0027140E" w:rsidRPr="001023DC" w:rsidRDefault="0027140E" w:rsidP="0027140E">
      <w:pPr>
        <w:rPr>
          <w:rFonts w:ascii="Arial" w:hAnsi="Arial" w:cs="Arial"/>
        </w:rPr>
      </w:pPr>
      <w:r w:rsidRPr="001023DC">
        <w:rPr>
          <w:rFonts w:ascii="Arial" w:hAnsi="Arial" w:cs="Arial"/>
        </w:rPr>
        <w:t xml:space="preserve">The company's focus on sustainability necessitates continuous employee training. By building employees' sustainability expertise, Brickability drives </w:t>
      </w:r>
      <w:r w:rsidR="0040173A" w:rsidRPr="001023DC">
        <w:rPr>
          <w:rFonts w:ascii="Arial" w:hAnsi="Arial" w:cs="Arial"/>
        </w:rPr>
        <w:t>behaviour</w:t>
      </w:r>
      <w:r w:rsidRPr="001023DC">
        <w:rPr>
          <w:rFonts w:ascii="Arial" w:hAnsi="Arial" w:cs="Arial"/>
        </w:rPr>
        <w:t xml:space="preserve"> change and ensures alignment with environmental goals. </w:t>
      </w:r>
      <w:r w:rsidR="007A5532" w:rsidRPr="001023DC">
        <w:rPr>
          <w:rFonts w:ascii="Arial" w:hAnsi="Arial" w:cs="Arial"/>
        </w:rPr>
        <w:t>(</w:t>
      </w:r>
      <w:r w:rsidRPr="001023DC">
        <w:rPr>
          <w:rFonts w:ascii="Arial" w:hAnsi="Arial" w:cs="Arial"/>
        </w:rPr>
        <w:t>brickability.co.uk</w:t>
      </w:r>
      <w:r w:rsidR="007A5532" w:rsidRPr="001023DC">
        <w:rPr>
          <w:rFonts w:ascii="Arial" w:hAnsi="Arial" w:cs="Arial"/>
        </w:rPr>
        <w:t>, 2023)</w:t>
      </w:r>
    </w:p>
    <w:p w14:paraId="6B2CDD48" w14:textId="461CD8AE" w:rsidR="0027140E" w:rsidRPr="000C5C24" w:rsidRDefault="0027140E" w:rsidP="0027140E">
      <w:pPr>
        <w:rPr>
          <w:rFonts w:ascii="Arial" w:hAnsi="Arial" w:cs="Arial"/>
        </w:rPr>
      </w:pPr>
      <w:r w:rsidRPr="000C5C24">
        <w:rPr>
          <w:rFonts w:ascii="Arial" w:hAnsi="Arial" w:cs="Arial"/>
          <w:b/>
          <w:bCs/>
        </w:rPr>
        <w:t>3.</w:t>
      </w:r>
      <w:r w:rsidR="001023DC" w:rsidRPr="000C5C24">
        <w:rPr>
          <w:rFonts w:ascii="Arial" w:hAnsi="Arial" w:cs="Arial"/>
          <w:b/>
          <w:bCs/>
        </w:rPr>
        <w:t>2</w:t>
      </w:r>
      <w:r w:rsidRPr="000C5C24">
        <w:rPr>
          <w:rFonts w:ascii="Arial" w:hAnsi="Arial" w:cs="Arial"/>
          <w:b/>
          <w:bCs/>
        </w:rPr>
        <w:t xml:space="preserve"> Diversity and Inclusion</w:t>
      </w:r>
    </w:p>
    <w:p w14:paraId="200425DD" w14:textId="2EE35E9D" w:rsidR="0027140E" w:rsidRPr="000C5C24" w:rsidRDefault="0027140E" w:rsidP="0027140E">
      <w:pPr>
        <w:rPr>
          <w:rFonts w:ascii="Arial" w:hAnsi="Arial" w:cs="Arial"/>
        </w:rPr>
      </w:pPr>
      <w:r w:rsidRPr="000C5C24">
        <w:rPr>
          <w:rFonts w:ascii="Arial" w:hAnsi="Arial" w:cs="Arial"/>
        </w:rPr>
        <w:t xml:space="preserve">Brickability's commitment to diversity and inclusion is evident in its efforts to create more opportunities for women at senior levels and widen ethnic diversity across its businesses. </w:t>
      </w:r>
      <w:r w:rsidR="007A27A7" w:rsidRPr="000C5C24">
        <w:rPr>
          <w:rFonts w:ascii="Arial" w:hAnsi="Arial" w:cs="Arial"/>
        </w:rPr>
        <w:t>(</w:t>
      </w:r>
      <w:r w:rsidRPr="000C5C24">
        <w:rPr>
          <w:rFonts w:ascii="Arial" w:hAnsi="Arial" w:cs="Arial"/>
        </w:rPr>
        <w:t>brickabilitygroupplc.com</w:t>
      </w:r>
      <w:r w:rsidR="007A27A7" w:rsidRPr="000C5C24">
        <w:rPr>
          <w:rFonts w:ascii="Arial" w:hAnsi="Arial" w:cs="Arial"/>
        </w:rPr>
        <w:t>, 2023)</w:t>
      </w:r>
    </w:p>
    <w:p w14:paraId="5A2D6228" w14:textId="3B22AB02" w:rsidR="0027140E" w:rsidRPr="000C5C24" w:rsidRDefault="0027140E" w:rsidP="0027140E">
      <w:pPr>
        <w:rPr>
          <w:rFonts w:ascii="Arial" w:hAnsi="Arial" w:cs="Arial"/>
        </w:rPr>
      </w:pPr>
      <w:r w:rsidRPr="000C5C24">
        <w:rPr>
          <w:rFonts w:ascii="Arial" w:hAnsi="Arial" w:cs="Arial"/>
        </w:rPr>
        <w:t>Such policies enhance the company's reputation and appeal to a broader talent pool, fostering innovation and reflecting the Social Identity Theory, which highlights the benefits of diverse groups in enhancing performance</w:t>
      </w:r>
      <w:r w:rsidR="00753563" w:rsidRPr="000C5C24">
        <w:rPr>
          <w:rFonts w:ascii="Arial" w:hAnsi="Arial" w:cs="Arial"/>
        </w:rPr>
        <w:t>-</w:t>
      </w:r>
      <w:r w:rsidR="00380944" w:rsidRPr="000C5C24">
        <w:rPr>
          <w:b/>
          <w:bCs/>
        </w:rPr>
        <w:t xml:space="preserve"> </w:t>
      </w:r>
      <w:r w:rsidR="00380944" w:rsidRPr="000C5C24">
        <w:rPr>
          <w:rFonts w:ascii="Arial" w:hAnsi="Arial" w:cs="Arial"/>
        </w:rPr>
        <w:t>Social Identity Theory explain</w:t>
      </w:r>
      <w:r w:rsidR="00380944" w:rsidRPr="000C5C24">
        <w:rPr>
          <w:rFonts w:ascii="Arial" w:hAnsi="Arial" w:cs="Arial"/>
        </w:rPr>
        <w:t>s</w:t>
      </w:r>
      <w:r w:rsidR="00380944" w:rsidRPr="000C5C24">
        <w:rPr>
          <w:rFonts w:ascii="Arial" w:hAnsi="Arial" w:cs="Arial"/>
        </w:rPr>
        <w:t xml:space="preserve"> how diversity, inclusion, and team cohesion impact workplace dynamics. When employees identify strongly with their organization or team, they are more likely to display loyalty, collaboration, and </w:t>
      </w:r>
      <w:r w:rsidR="00FA66A6" w:rsidRPr="000C5C24">
        <w:rPr>
          <w:rFonts w:ascii="Arial" w:hAnsi="Arial" w:cs="Arial"/>
        </w:rPr>
        <w:t>motivation. (</w:t>
      </w:r>
      <w:r w:rsidR="000C5C24" w:rsidRPr="000C5C24">
        <w:rPr>
          <w:rFonts w:ascii="Arial" w:hAnsi="Arial" w:cs="Arial"/>
        </w:rPr>
        <w:t xml:space="preserve">Tajfel, H. and Turner, J.C. 1979) </w:t>
      </w:r>
    </w:p>
    <w:p w14:paraId="1A1B6E54" w14:textId="413EE138" w:rsidR="0027140E" w:rsidRPr="00BE0A65" w:rsidRDefault="0027140E" w:rsidP="0027140E">
      <w:pPr>
        <w:rPr>
          <w:rFonts w:ascii="Arial" w:hAnsi="Arial" w:cs="Arial"/>
        </w:rPr>
      </w:pPr>
      <w:r w:rsidRPr="00BE0A65">
        <w:rPr>
          <w:rFonts w:ascii="Arial" w:hAnsi="Arial" w:cs="Arial"/>
          <w:b/>
          <w:bCs/>
        </w:rPr>
        <w:t>3.</w:t>
      </w:r>
      <w:r w:rsidR="001023DC" w:rsidRPr="00BE0A65">
        <w:rPr>
          <w:rFonts w:ascii="Arial" w:hAnsi="Arial" w:cs="Arial"/>
          <w:b/>
          <w:bCs/>
        </w:rPr>
        <w:t>3</w:t>
      </w:r>
      <w:r w:rsidRPr="00BE0A65">
        <w:rPr>
          <w:rFonts w:ascii="Arial" w:hAnsi="Arial" w:cs="Arial"/>
          <w:b/>
          <w:bCs/>
        </w:rPr>
        <w:t xml:space="preserve"> Employee Well-being</w:t>
      </w:r>
    </w:p>
    <w:p w14:paraId="29643F2B" w14:textId="77777777" w:rsidR="0027140E" w:rsidRPr="00BE0A65" w:rsidRDefault="0027140E" w:rsidP="0027140E">
      <w:pPr>
        <w:rPr>
          <w:rFonts w:ascii="Arial" w:hAnsi="Arial" w:cs="Arial"/>
        </w:rPr>
      </w:pPr>
      <w:r w:rsidRPr="00BE0A65">
        <w:rPr>
          <w:rFonts w:ascii="Arial" w:hAnsi="Arial" w:cs="Arial"/>
        </w:rPr>
        <w:t xml:space="preserve">The establishment of a network of mental health first aiders and the development of a well-being program demonstrate Brickability's dedication to employee well-being. </w:t>
      </w:r>
    </w:p>
    <w:p w14:paraId="5044C481" w14:textId="251E0479" w:rsidR="0027140E" w:rsidRPr="00BE0A65" w:rsidRDefault="007A5532" w:rsidP="0027140E">
      <w:pPr>
        <w:rPr>
          <w:rFonts w:ascii="Arial" w:hAnsi="Arial" w:cs="Arial"/>
        </w:rPr>
      </w:pPr>
      <w:r w:rsidRPr="00BE0A65">
        <w:rPr>
          <w:rFonts w:ascii="Arial" w:hAnsi="Arial" w:cs="Arial"/>
        </w:rPr>
        <w:t>P</w:t>
      </w:r>
      <w:r w:rsidR="0027140E" w:rsidRPr="00BE0A65">
        <w:rPr>
          <w:rFonts w:ascii="Arial" w:hAnsi="Arial" w:cs="Arial"/>
        </w:rPr>
        <w:t>rioritizing well-being leads to higher job satisfaction and productivity, aligning with the Job Demands-Resources (JD-R) model, which suggests that resources such as support and development opportunities can mitigate job demands and enhance employee engagement</w:t>
      </w:r>
      <w:r w:rsidR="00326FA8" w:rsidRPr="00BE0A65">
        <w:rPr>
          <w:rFonts w:ascii="Arial" w:hAnsi="Arial" w:cs="Arial"/>
        </w:rPr>
        <w:t xml:space="preserve"> ,t</w:t>
      </w:r>
      <w:r w:rsidR="00326FA8" w:rsidRPr="00BE0A65">
        <w:rPr>
          <w:rFonts w:ascii="Arial" w:hAnsi="Arial" w:cs="Arial"/>
        </w:rPr>
        <w:t>he Job Demands-Resources (JD-R) model is a widely used theoretical framework in occupational health psychology that explains employee well-being, motivation, and performance</w:t>
      </w:r>
      <w:r w:rsidR="00326FA8" w:rsidRPr="00BE0A65">
        <w:rPr>
          <w:rFonts w:ascii="Arial" w:hAnsi="Arial" w:cs="Arial"/>
        </w:rPr>
        <w:t xml:space="preserve"> (</w:t>
      </w:r>
      <w:r w:rsidR="00326FA8" w:rsidRPr="00BE0A65">
        <w:rPr>
          <w:rFonts w:ascii="Arial" w:hAnsi="Arial" w:cs="Arial"/>
        </w:rPr>
        <w:t>Demerouti et al. 2001)</w:t>
      </w:r>
    </w:p>
    <w:p w14:paraId="11D841CF" w14:textId="77777777" w:rsidR="0039457B" w:rsidRPr="0039457B" w:rsidRDefault="0039457B" w:rsidP="0039457B">
      <w:pPr>
        <w:spacing w:after="0" w:line="240" w:lineRule="auto"/>
        <w:rPr>
          <w:rFonts w:ascii="Arial" w:eastAsia="Times New Roman" w:hAnsi="Arial" w:cs="Arial"/>
          <w:b/>
          <w:bCs/>
          <w:kern w:val="0"/>
          <w:lang w:eastAsia="en-GB"/>
          <w14:ligatures w14:val="none"/>
        </w:rPr>
      </w:pPr>
      <w:r w:rsidRPr="0039457B">
        <w:rPr>
          <w:rFonts w:ascii="Arial" w:eastAsia="Times New Roman" w:hAnsi="Arial" w:cs="Arial"/>
          <w:b/>
          <w:bCs/>
          <w:kern w:val="0"/>
          <w:lang w:eastAsia="en-GB"/>
          <w14:ligatures w14:val="none"/>
        </w:rPr>
        <w:lastRenderedPageBreak/>
        <w:t>4. Strategic HRM for Competitive Advantage</w:t>
      </w:r>
    </w:p>
    <w:p w14:paraId="30614E55" w14:textId="77777777" w:rsidR="0039457B" w:rsidRPr="0039457B" w:rsidRDefault="0039457B" w:rsidP="0039457B">
      <w:pPr>
        <w:spacing w:after="0" w:line="240" w:lineRule="auto"/>
        <w:rPr>
          <w:rFonts w:ascii="Arial" w:eastAsia="Times New Roman" w:hAnsi="Arial" w:cs="Arial"/>
          <w:kern w:val="0"/>
          <w:highlight w:val="yellow"/>
          <w:lang w:eastAsia="en-GB"/>
          <w14:ligatures w14:val="none"/>
        </w:rPr>
      </w:pPr>
      <w:r w:rsidRPr="0039457B">
        <w:rPr>
          <w:rFonts w:ascii="Arial" w:eastAsia="Times New Roman" w:hAnsi="Arial" w:cs="Arial"/>
          <w:kern w:val="0"/>
          <w:lang w:eastAsia="en-GB"/>
          <w14:ligatures w14:val="none"/>
        </w:rPr>
        <w:t>Brickability’s HR strategies are meticulously crafted to foster a competitive advantage in a highly dynamic and competitive industry. The integration of effective HR practices with the company’s business and sustainability goals allows it to gain and maintain a strong market position.</w:t>
      </w:r>
    </w:p>
    <w:p w14:paraId="2006EC32" w14:textId="0438547D" w:rsidR="0039457B" w:rsidRPr="0039457B" w:rsidRDefault="0039457B" w:rsidP="0039457B">
      <w:pPr>
        <w:spacing w:after="0" w:line="240" w:lineRule="auto"/>
        <w:rPr>
          <w:rFonts w:ascii="Arial" w:eastAsia="Times New Roman" w:hAnsi="Arial" w:cs="Arial"/>
          <w:kern w:val="0"/>
          <w:highlight w:val="yellow"/>
          <w:lang w:eastAsia="en-GB"/>
          <w14:ligatures w14:val="none"/>
        </w:rPr>
      </w:pPr>
    </w:p>
    <w:p w14:paraId="446FCCD1" w14:textId="362C3572" w:rsidR="00335D41" w:rsidRPr="0039457B" w:rsidRDefault="0039457B" w:rsidP="0039457B">
      <w:pPr>
        <w:spacing w:after="0" w:line="240" w:lineRule="auto"/>
        <w:rPr>
          <w:rFonts w:ascii="Arial" w:eastAsia="Times New Roman" w:hAnsi="Arial" w:cs="Arial"/>
          <w:b/>
          <w:bCs/>
          <w:kern w:val="0"/>
          <w:lang w:eastAsia="en-GB"/>
          <w14:ligatures w14:val="none"/>
        </w:rPr>
      </w:pPr>
      <w:r w:rsidRPr="0039457B">
        <w:rPr>
          <w:rFonts w:ascii="Arial" w:eastAsia="Times New Roman" w:hAnsi="Arial" w:cs="Arial"/>
          <w:b/>
          <w:bCs/>
          <w:kern w:val="0"/>
          <w:lang w:eastAsia="en-GB"/>
          <w14:ligatures w14:val="none"/>
        </w:rPr>
        <w:t>4.1 Alignment with Business Strategy</w:t>
      </w:r>
    </w:p>
    <w:p w14:paraId="49635C1C" w14:textId="77777777" w:rsidR="0039457B" w:rsidRPr="0039457B" w:rsidRDefault="0039457B" w:rsidP="0039457B">
      <w:pPr>
        <w:spacing w:after="0" w:line="240" w:lineRule="auto"/>
        <w:rPr>
          <w:rFonts w:ascii="Arial" w:eastAsia="Times New Roman" w:hAnsi="Arial" w:cs="Arial"/>
          <w:kern w:val="0"/>
          <w:lang w:eastAsia="en-GB"/>
          <w14:ligatures w14:val="none"/>
        </w:rPr>
      </w:pPr>
      <w:r w:rsidRPr="0039457B">
        <w:rPr>
          <w:rFonts w:ascii="Arial" w:eastAsia="Times New Roman" w:hAnsi="Arial" w:cs="Arial"/>
          <w:kern w:val="0"/>
          <w:lang w:eastAsia="en-GB"/>
          <w14:ligatures w14:val="none"/>
        </w:rPr>
        <w:t>The integration of Human Resource Management (HRM) with Brickability’s broader business strategy is key to its long-term success. This integration ensures that HR initiatives directly support the organization’s overarching objectives, particularly in the areas of growth, sustainability, and innovation. For example, the company’s focus on sustainability aligns with its HR strategies, particularly around developing green skills, promoting environmental practices, and ensuring employees are trained to contribute to the company’s carbon reduction goals (Brickability Group Plc, 2023). This alignment is foundational in Strategic Human Resource Management (SHRM), which emphasizes the importance of aligning HR practices with organizational strategy to achieve a competitive advantage (Schuler &amp; Jackson, 2007). By aligning HR initiatives with sustainability goals, Brickability not only strengthens its business strategy but also ensures that its workforce is engaged and motivated to meet these evolving objectives.</w:t>
      </w:r>
    </w:p>
    <w:p w14:paraId="03D169C7" w14:textId="77777777" w:rsidR="0039457B" w:rsidRPr="0039457B" w:rsidRDefault="0039457B" w:rsidP="0039457B">
      <w:pPr>
        <w:spacing w:after="0" w:line="240" w:lineRule="auto"/>
        <w:rPr>
          <w:rFonts w:ascii="Arial" w:eastAsia="Times New Roman" w:hAnsi="Arial" w:cs="Arial"/>
          <w:kern w:val="0"/>
          <w:lang w:eastAsia="en-GB"/>
          <w14:ligatures w14:val="none"/>
        </w:rPr>
      </w:pPr>
      <w:r w:rsidRPr="0039457B">
        <w:rPr>
          <w:rFonts w:ascii="Arial" w:eastAsia="Times New Roman" w:hAnsi="Arial" w:cs="Arial"/>
          <w:kern w:val="0"/>
          <w:lang w:eastAsia="en-GB"/>
          <w14:ligatures w14:val="none"/>
        </w:rPr>
        <w:t>Additionally, HR policies such as recruitment, training, and performance management are developed with the organization’s long-term strategic goals in mind. For instance, HR’s role in sourcing talent with expertise in green construction and sustainable technologies is directly aligned with the company’s goal of reducing its carbon footprint and meeting regulatory standards (Brickability Group Plc, 2023). This alignment ensures that all HR activities are aimed at producing a capable workforce that is strategically positioned to meet the challenges of a changing marketplace.</w:t>
      </w:r>
    </w:p>
    <w:p w14:paraId="13D3B556" w14:textId="1DBB9A1C" w:rsidR="0039457B" w:rsidRPr="0039457B" w:rsidRDefault="0039457B" w:rsidP="0039457B">
      <w:pPr>
        <w:spacing w:after="0" w:line="240" w:lineRule="auto"/>
        <w:rPr>
          <w:rFonts w:ascii="Arial" w:eastAsia="Times New Roman" w:hAnsi="Arial" w:cs="Arial"/>
          <w:kern w:val="0"/>
          <w:highlight w:val="yellow"/>
          <w:lang w:eastAsia="en-GB"/>
          <w14:ligatures w14:val="none"/>
        </w:rPr>
      </w:pPr>
    </w:p>
    <w:p w14:paraId="3BE06701" w14:textId="77777777" w:rsidR="0039457B" w:rsidRPr="0039457B" w:rsidRDefault="0039457B" w:rsidP="0039457B">
      <w:pPr>
        <w:spacing w:after="0" w:line="240" w:lineRule="auto"/>
        <w:rPr>
          <w:rFonts w:ascii="Arial" w:eastAsia="Times New Roman" w:hAnsi="Arial" w:cs="Arial"/>
          <w:b/>
          <w:bCs/>
          <w:kern w:val="0"/>
          <w:lang w:eastAsia="en-GB"/>
          <w14:ligatures w14:val="none"/>
        </w:rPr>
      </w:pPr>
      <w:r w:rsidRPr="0039457B">
        <w:rPr>
          <w:rFonts w:ascii="Arial" w:eastAsia="Times New Roman" w:hAnsi="Arial" w:cs="Arial"/>
          <w:b/>
          <w:bCs/>
          <w:kern w:val="0"/>
          <w:lang w:eastAsia="en-GB"/>
          <w14:ligatures w14:val="none"/>
        </w:rPr>
        <w:t>4.2 Adaptability and Innovation</w:t>
      </w:r>
    </w:p>
    <w:p w14:paraId="2ADC6522" w14:textId="77777777" w:rsidR="0039457B" w:rsidRPr="0039457B" w:rsidRDefault="0039457B" w:rsidP="0039457B">
      <w:pPr>
        <w:spacing w:after="0" w:line="240" w:lineRule="auto"/>
        <w:rPr>
          <w:rFonts w:ascii="Arial" w:eastAsia="Times New Roman" w:hAnsi="Arial" w:cs="Arial"/>
          <w:kern w:val="0"/>
          <w:lang w:eastAsia="en-GB"/>
          <w14:ligatures w14:val="none"/>
        </w:rPr>
      </w:pPr>
      <w:r w:rsidRPr="0039457B">
        <w:rPr>
          <w:rFonts w:ascii="Arial" w:eastAsia="Times New Roman" w:hAnsi="Arial" w:cs="Arial"/>
          <w:kern w:val="0"/>
          <w:lang w:eastAsia="en-GB"/>
          <w14:ligatures w14:val="none"/>
        </w:rPr>
        <w:t>In a rapidly evolving industry, adaptability and innovation are critical components of Brickability’s strategic HRM. The company fosters an environment that encourages continuous learning, skill development, and technological adoption, ensuring that its workforce remains agile and capable of responding to industry changes. This approach supports the Dynamic Capabilities Framework (Teece, Pisano, &amp; Shuen, 1997), which underscores the importance of an organization's ability to integrate, build, and reconfigure internal and external competencies to adapt to changing market conditions.</w:t>
      </w:r>
    </w:p>
    <w:p w14:paraId="6420A609" w14:textId="77777777" w:rsidR="0039457B" w:rsidRPr="0039457B" w:rsidRDefault="0039457B" w:rsidP="0039457B">
      <w:pPr>
        <w:spacing w:after="0" w:line="240" w:lineRule="auto"/>
        <w:rPr>
          <w:rFonts w:ascii="Arial" w:eastAsia="Times New Roman" w:hAnsi="Arial" w:cs="Arial"/>
          <w:kern w:val="0"/>
          <w:lang w:eastAsia="en-GB"/>
          <w14:ligatures w14:val="none"/>
        </w:rPr>
      </w:pPr>
      <w:r w:rsidRPr="0039457B">
        <w:rPr>
          <w:rFonts w:ascii="Arial" w:eastAsia="Times New Roman" w:hAnsi="Arial" w:cs="Arial"/>
          <w:kern w:val="0"/>
          <w:lang w:eastAsia="en-GB"/>
          <w14:ligatures w14:val="none"/>
        </w:rPr>
        <w:t>By embracing technological advancements and promoting a culture of continuous learning, Brickability ensures its employees are equipped with the skills needed to leverage emerging technologies, such as digital construction tools, sustainability practices, and automation in brick production. These initiatives enhance the company’s capacity to innovate and stay ahead of competitors. Furthermore, HR supports innovation by providing development programs that encourage employees to think creatively and contribute to process improvements (Brickability Group Plc, 2023). The focus on continuous learning and skill development also supports talent retention, as employees feel empowered and valued in their roles.</w:t>
      </w:r>
    </w:p>
    <w:p w14:paraId="538E9B8F" w14:textId="77777777" w:rsidR="0039457B" w:rsidRPr="0039457B" w:rsidRDefault="0039457B" w:rsidP="0039457B">
      <w:pPr>
        <w:spacing w:after="0" w:line="240" w:lineRule="auto"/>
        <w:rPr>
          <w:rFonts w:ascii="Arial" w:eastAsia="Times New Roman" w:hAnsi="Arial" w:cs="Arial"/>
          <w:kern w:val="0"/>
          <w:highlight w:val="yellow"/>
          <w:lang w:eastAsia="en-GB"/>
          <w14:ligatures w14:val="none"/>
        </w:rPr>
      </w:pPr>
      <w:r w:rsidRPr="0039457B">
        <w:rPr>
          <w:rFonts w:ascii="Arial" w:eastAsia="Times New Roman" w:hAnsi="Arial" w:cs="Arial"/>
          <w:kern w:val="0"/>
          <w:lang w:eastAsia="en-GB"/>
          <w14:ligatures w14:val="none"/>
        </w:rPr>
        <w:t xml:space="preserve">In addition, the company’s adaptability is reinforced by its commitment to cross-functional collaboration and knowledge-sharing. HR plays a crucial role in facilitating these activities by promoting a culture where employees across departments share </w:t>
      </w:r>
      <w:r w:rsidRPr="0039457B">
        <w:rPr>
          <w:rFonts w:ascii="Arial" w:eastAsia="Times New Roman" w:hAnsi="Arial" w:cs="Arial"/>
          <w:kern w:val="0"/>
          <w:lang w:eastAsia="en-GB"/>
          <w14:ligatures w14:val="none"/>
        </w:rPr>
        <w:lastRenderedPageBreak/>
        <w:t>insights and best practices. This ability to leverage internal and external knowledge helps Brickability stay resilient and agile in the face of industry disruptions and technological changes.</w:t>
      </w:r>
    </w:p>
    <w:p w14:paraId="20F29332" w14:textId="4113D71B" w:rsidR="0039457B" w:rsidRPr="0039457B" w:rsidRDefault="0039457B" w:rsidP="0039457B">
      <w:pPr>
        <w:spacing w:after="0" w:line="240" w:lineRule="auto"/>
        <w:rPr>
          <w:rFonts w:ascii="Arial" w:eastAsia="Times New Roman" w:hAnsi="Arial" w:cs="Arial"/>
          <w:kern w:val="0"/>
          <w:highlight w:val="yellow"/>
          <w:lang w:eastAsia="en-GB"/>
          <w14:ligatures w14:val="none"/>
        </w:rPr>
      </w:pPr>
    </w:p>
    <w:p w14:paraId="15059B44" w14:textId="77777777" w:rsidR="0039457B" w:rsidRPr="0039457B" w:rsidRDefault="0039457B" w:rsidP="0039457B">
      <w:pPr>
        <w:spacing w:after="0" w:line="240" w:lineRule="auto"/>
        <w:rPr>
          <w:rFonts w:ascii="Arial" w:eastAsia="Times New Roman" w:hAnsi="Arial" w:cs="Arial"/>
          <w:b/>
          <w:bCs/>
          <w:kern w:val="0"/>
          <w:lang w:eastAsia="en-GB"/>
          <w14:ligatures w14:val="none"/>
        </w:rPr>
      </w:pPr>
      <w:r w:rsidRPr="0039457B">
        <w:rPr>
          <w:rFonts w:ascii="Arial" w:eastAsia="Times New Roman" w:hAnsi="Arial" w:cs="Arial"/>
          <w:b/>
          <w:bCs/>
          <w:kern w:val="0"/>
          <w:lang w:eastAsia="en-GB"/>
          <w14:ligatures w14:val="none"/>
        </w:rPr>
        <w:t>4.3 Employer Branding</w:t>
      </w:r>
    </w:p>
    <w:p w14:paraId="132238BA" w14:textId="77777777" w:rsidR="0039457B" w:rsidRPr="0039457B" w:rsidRDefault="0039457B" w:rsidP="0039457B">
      <w:pPr>
        <w:spacing w:after="0" w:line="240" w:lineRule="auto"/>
        <w:rPr>
          <w:rFonts w:ascii="Arial" w:eastAsia="Times New Roman" w:hAnsi="Arial" w:cs="Arial"/>
          <w:kern w:val="0"/>
          <w:lang w:eastAsia="en-GB"/>
          <w14:ligatures w14:val="none"/>
        </w:rPr>
      </w:pPr>
      <w:r w:rsidRPr="0039457B">
        <w:rPr>
          <w:rFonts w:ascii="Arial" w:eastAsia="Times New Roman" w:hAnsi="Arial" w:cs="Arial"/>
          <w:kern w:val="0"/>
          <w:lang w:eastAsia="en-GB"/>
          <w14:ligatures w14:val="none"/>
        </w:rPr>
        <w:t>Brickability’s HR strategy is integral to building and maintaining a strong employer brand, positioning it as an attractive workplace for top talent. The company’s focus on employee development, diversity, and well-being enhances its reputation, making it an employer of choice within the construction industry. According to Backhaus and Tikoo’s (2004) Employer Branding Model, a strong internal brand leads to higher employee satisfaction and loyalty, while an attractive external brand appeals to prospective candidates. For Brickability, initiatives such as its apprenticeship schemes, employee mental health programs, and sustainability goals all contribute to a compelling employer value proposition.</w:t>
      </w:r>
    </w:p>
    <w:p w14:paraId="22E6F3D1" w14:textId="77777777" w:rsidR="0039457B" w:rsidRPr="0039457B" w:rsidRDefault="0039457B" w:rsidP="0039457B">
      <w:pPr>
        <w:spacing w:after="0" w:line="240" w:lineRule="auto"/>
        <w:rPr>
          <w:rFonts w:ascii="Arial" w:eastAsia="Times New Roman" w:hAnsi="Arial" w:cs="Arial"/>
          <w:kern w:val="0"/>
          <w:lang w:eastAsia="en-GB"/>
          <w14:ligatures w14:val="none"/>
        </w:rPr>
      </w:pPr>
      <w:r w:rsidRPr="0039457B">
        <w:rPr>
          <w:rFonts w:ascii="Arial" w:eastAsia="Times New Roman" w:hAnsi="Arial" w:cs="Arial"/>
          <w:kern w:val="0"/>
          <w:lang w:eastAsia="en-GB"/>
          <w14:ligatures w14:val="none"/>
        </w:rPr>
        <w:t>By offering opportunities for career growth and development, Brickability builds employee loyalty, which in turn drives long-term success. The company’s commitment to diversity and inclusion not only reflects social responsibility but also attracts diverse talent, allowing Brickability to access a broader pool of skills and perspectives (Backhaus &amp; Tikoo, 2004). Furthermore, its employee well-being initiatives, including mental health support, align with industry trends emphasizing employee wellness, making it a highly desirable place to work.</w:t>
      </w:r>
    </w:p>
    <w:p w14:paraId="11244DE7" w14:textId="77777777" w:rsidR="0039457B" w:rsidRPr="0039457B" w:rsidRDefault="0039457B" w:rsidP="0039457B">
      <w:pPr>
        <w:spacing w:after="0" w:line="240" w:lineRule="auto"/>
        <w:rPr>
          <w:rFonts w:ascii="Arial" w:eastAsia="Times New Roman" w:hAnsi="Arial" w:cs="Arial"/>
          <w:kern w:val="0"/>
          <w:lang w:eastAsia="en-GB"/>
          <w14:ligatures w14:val="none"/>
        </w:rPr>
      </w:pPr>
      <w:r w:rsidRPr="0039457B">
        <w:rPr>
          <w:rFonts w:ascii="Arial" w:eastAsia="Times New Roman" w:hAnsi="Arial" w:cs="Arial"/>
          <w:kern w:val="0"/>
          <w:lang w:eastAsia="en-GB"/>
          <w14:ligatures w14:val="none"/>
        </w:rPr>
        <w:t>The focus on employee experience and employer branding is also supported by Psychological Contract Theory, which emphasizes the unspoken expectations between employees and employers (Rousseau, 1995). By fulfilling its obligations through development and well-being initiatives, Brickability creates an environment of trust and commitment, fostering stronger employee relationships and reducing turnover. This not only enhances the company’s internal culture but also improves its external reputation, making it more competitive in attracting high-quality candidates in a tight labour market.</w:t>
      </w:r>
    </w:p>
    <w:p w14:paraId="180FC676" w14:textId="071EAEB3" w:rsidR="00514016" w:rsidRPr="00514016" w:rsidRDefault="00514016" w:rsidP="00514016">
      <w:pPr>
        <w:spacing w:after="0" w:line="240" w:lineRule="auto"/>
        <w:rPr>
          <w:rFonts w:ascii="Arial" w:eastAsia="Times New Roman" w:hAnsi="Arial" w:cs="Arial"/>
          <w:kern w:val="0"/>
          <w:highlight w:val="yellow"/>
          <w:lang w:eastAsia="en-GB"/>
          <w14:ligatures w14:val="none"/>
        </w:rPr>
      </w:pPr>
    </w:p>
    <w:p w14:paraId="303D4A0D" w14:textId="77777777" w:rsidR="00514016" w:rsidRPr="00514016" w:rsidRDefault="00514016" w:rsidP="00514016">
      <w:pPr>
        <w:spacing w:before="100" w:beforeAutospacing="1" w:after="100" w:afterAutospacing="1" w:line="240" w:lineRule="auto"/>
        <w:outlineLvl w:val="1"/>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5. Challenges and Recommendations</w:t>
      </w:r>
    </w:p>
    <w:p w14:paraId="3A4E9C81" w14:textId="77777777" w:rsidR="00514016" w:rsidRPr="00514016" w:rsidRDefault="00514016" w:rsidP="00514016">
      <w:p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Despite Brickability’s strategic HRM, several challenges remain that could threaten its sustained competitive advantage.</w:t>
      </w:r>
    </w:p>
    <w:p w14:paraId="74D6DB26" w14:textId="77777777" w:rsidR="00514016" w:rsidRPr="00514016" w:rsidRDefault="00514016" w:rsidP="00514016">
      <w:pPr>
        <w:spacing w:before="100" w:beforeAutospacing="1" w:after="100" w:afterAutospacing="1" w:line="240" w:lineRule="auto"/>
        <w:outlineLvl w:val="2"/>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5.1 Talent Shortage and Skills Gap</w:t>
      </w:r>
    </w:p>
    <w:p w14:paraId="71A23C49" w14:textId="496CE27A" w:rsidR="00514016" w:rsidRPr="00514016" w:rsidRDefault="00514016" w:rsidP="00514016">
      <w:p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 xml:space="preserve">The UK construction industry continues to face a significant skills shortage, worsened by Brexit, an ageing workforce, and insufficient engagement with younger demographics (CIPD, 2023). Brickability’s apprenticeship programmes are </w:t>
      </w:r>
      <w:r w:rsidR="00295945" w:rsidRPr="00746E54">
        <w:rPr>
          <w:rFonts w:ascii="Arial" w:eastAsia="Times New Roman" w:hAnsi="Arial" w:cs="Arial"/>
          <w:kern w:val="0"/>
          <w:lang w:eastAsia="en-GB"/>
          <w14:ligatures w14:val="none"/>
        </w:rPr>
        <w:t>an initiative-taking</w:t>
      </w:r>
      <w:r w:rsidRPr="00514016">
        <w:rPr>
          <w:rFonts w:ascii="Arial" w:eastAsia="Times New Roman" w:hAnsi="Arial" w:cs="Arial"/>
          <w:kern w:val="0"/>
          <w:lang w:eastAsia="en-GB"/>
          <w14:ligatures w14:val="none"/>
        </w:rPr>
        <w:t xml:space="preserve"> step, but more strategic outreach is required to build a resilient talent pipeline.</w:t>
      </w:r>
    </w:p>
    <w:p w14:paraId="77EFA38B" w14:textId="77777777" w:rsidR="00514016" w:rsidRPr="00514016" w:rsidRDefault="00514016" w:rsidP="00514016">
      <w:p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b/>
          <w:bCs/>
          <w:kern w:val="0"/>
          <w:lang w:eastAsia="en-GB"/>
          <w14:ligatures w14:val="none"/>
        </w:rPr>
        <w:t>Recommendation</w:t>
      </w:r>
      <w:r w:rsidRPr="00514016">
        <w:rPr>
          <w:rFonts w:ascii="Arial" w:eastAsia="Times New Roman" w:hAnsi="Arial" w:cs="Arial"/>
          <w:kern w:val="0"/>
          <w:lang w:eastAsia="en-GB"/>
          <w14:ligatures w14:val="none"/>
        </w:rPr>
        <w:t>: Implementing Strategic Workforce Planning (SWP) models enables Brickability to anticipate future talent needs, reduce risks from skill shortages, and align workforce capabilities with long-term objectives (Ulrich et al., 2008).</w:t>
      </w:r>
    </w:p>
    <w:p w14:paraId="3F620268" w14:textId="4DE5E212" w:rsidR="00514016" w:rsidRPr="00514016" w:rsidRDefault="00514016" w:rsidP="00514016">
      <w:pPr>
        <w:spacing w:after="0" w:line="240" w:lineRule="auto"/>
        <w:rPr>
          <w:rFonts w:ascii="Arial" w:eastAsia="Times New Roman" w:hAnsi="Arial" w:cs="Arial"/>
          <w:kern w:val="0"/>
          <w:highlight w:val="yellow"/>
          <w:lang w:eastAsia="en-GB"/>
          <w14:ligatures w14:val="none"/>
        </w:rPr>
      </w:pPr>
    </w:p>
    <w:p w14:paraId="2E0333D0" w14:textId="77777777" w:rsidR="00514016" w:rsidRPr="00514016" w:rsidRDefault="00514016" w:rsidP="00514016">
      <w:pPr>
        <w:spacing w:before="100" w:beforeAutospacing="1" w:after="100" w:afterAutospacing="1" w:line="240" w:lineRule="auto"/>
        <w:outlineLvl w:val="2"/>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lastRenderedPageBreak/>
        <w:t>5.2 Retention and Succession Planning</w:t>
      </w:r>
    </w:p>
    <w:p w14:paraId="4BE778D8" w14:textId="580A5D57" w:rsidR="00514016" w:rsidRPr="00514016" w:rsidRDefault="00514016" w:rsidP="00514016">
      <w:p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The construction sector is often characterized by high turnover and limited internal mobility</w:t>
      </w:r>
      <w:r w:rsidR="00472127">
        <w:rPr>
          <w:rFonts w:ascii="Arial" w:eastAsia="Times New Roman" w:hAnsi="Arial" w:cs="Arial"/>
          <w:kern w:val="0"/>
          <w:lang w:eastAsia="en-GB"/>
          <w14:ligatures w14:val="none"/>
        </w:rPr>
        <w:t>,</w:t>
      </w:r>
      <w:r w:rsidRPr="00514016">
        <w:rPr>
          <w:rFonts w:ascii="Arial" w:eastAsia="Times New Roman" w:hAnsi="Arial" w:cs="Arial"/>
          <w:kern w:val="0"/>
          <w:lang w:eastAsia="en-GB"/>
          <w14:ligatures w14:val="none"/>
        </w:rPr>
        <w:t xml:space="preserve"> While Brickability promotes career progression through training,</w:t>
      </w:r>
      <w:r w:rsidR="00472127" w:rsidRPr="00472127">
        <w:rPr>
          <w:rFonts w:ascii="Arial" w:eastAsia="Times New Roman" w:hAnsi="Arial" w:cs="Arial"/>
          <w:kern w:val="0"/>
          <w:lang w:eastAsia="en-GB"/>
          <w14:ligatures w14:val="none"/>
        </w:rPr>
        <w:t xml:space="preserve"> </w:t>
      </w:r>
      <w:r w:rsidR="00746E54" w:rsidRPr="00472127">
        <w:rPr>
          <w:rFonts w:ascii="Arial" w:eastAsia="Times New Roman" w:hAnsi="Arial" w:cs="Arial"/>
          <w:kern w:val="0"/>
          <w:lang w:eastAsia="en-GB"/>
          <w14:ligatures w14:val="none"/>
        </w:rPr>
        <w:t xml:space="preserve">there are signs of </w:t>
      </w:r>
      <w:r w:rsidR="00472127" w:rsidRPr="00472127">
        <w:rPr>
          <w:rFonts w:ascii="Arial" w:eastAsia="Times New Roman" w:hAnsi="Arial" w:cs="Arial"/>
          <w:kern w:val="0"/>
          <w:lang w:eastAsia="en-GB"/>
          <w14:ligatures w14:val="none"/>
        </w:rPr>
        <w:t xml:space="preserve">the formation of a formal structure regarding job titles, </w:t>
      </w:r>
      <w:r w:rsidR="00AC4F5D" w:rsidRPr="00472127">
        <w:rPr>
          <w:rFonts w:ascii="Arial" w:eastAsia="Times New Roman" w:hAnsi="Arial" w:cs="Arial"/>
          <w:kern w:val="0"/>
          <w:lang w:eastAsia="en-GB"/>
          <w14:ligatures w14:val="none"/>
        </w:rPr>
        <w:t>progressions,</w:t>
      </w:r>
      <w:r w:rsidR="00472127" w:rsidRPr="00472127">
        <w:rPr>
          <w:rFonts w:ascii="Arial" w:eastAsia="Times New Roman" w:hAnsi="Arial" w:cs="Arial"/>
          <w:kern w:val="0"/>
          <w:lang w:eastAsia="en-GB"/>
          <w14:ligatures w14:val="none"/>
        </w:rPr>
        <w:t xml:space="preserve"> and salary bands</w:t>
      </w:r>
      <w:r w:rsidR="00472127">
        <w:rPr>
          <w:rFonts w:ascii="Arial" w:eastAsia="Times New Roman" w:hAnsi="Arial" w:cs="Arial"/>
          <w:kern w:val="0"/>
          <w:lang w:eastAsia="en-GB"/>
          <w14:ligatures w14:val="none"/>
        </w:rPr>
        <w:t>.</w:t>
      </w:r>
    </w:p>
    <w:p w14:paraId="0A13DED9" w14:textId="77777777" w:rsidR="00514016" w:rsidRPr="00514016" w:rsidRDefault="00514016" w:rsidP="00514016">
      <w:p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b/>
          <w:bCs/>
          <w:kern w:val="0"/>
          <w:lang w:eastAsia="en-GB"/>
          <w14:ligatures w14:val="none"/>
        </w:rPr>
        <w:t>Recommendation</w:t>
      </w:r>
      <w:r w:rsidRPr="00514016">
        <w:rPr>
          <w:rFonts w:ascii="Arial" w:eastAsia="Times New Roman" w:hAnsi="Arial" w:cs="Arial"/>
          <w:kern w:val="0"/>
          <w:lang w:eastAsia="en-GB"/>
          <w14:ligatures w14:val="none"/>
        </w:rPr>
        <w:t>: Brickability should adopt the 9-box grid model (Garman &amp; Glawe, 2004) to identify high-potential talent. This strategic talent mapping, a core part of SHRM, helps ensure leadership continuity and enhances internal career development opportunities (Ulrich et al., 2008).</w:t>
      </w:r>
    </w:p>
    <w:p w14:paraId="3758DF48" w14:textId="1AB5DCD7" w:rsidR="00514016" w:rsidRPr="00514016" w:rsidRDefault="00514016" w:rsidP="00514016">
      <w:pPr>
        <w:spacing w:after="0" w:line="240" w:lineRule="auto"/>
        <w:rPr>
          <w:rFonts w:ascii="Arial" w:eastAsia="Times New Roman" w:hAnsi="Arial" w:cs="Arial"/>
          <w:kern w:val="0"/>
          <w:highlight w:val="yellow"/>
          <w:lang w:eastAsia="en-GB"/>
          <w14:ligatures w14:val="none"/>
        </w:rPr>
      </w:pPr>
    </w:p>
    <w:p w14:paraId="677AACB0" w14:textId="77777777" w:rsidR="00514016" w:rsidRPr="00514016" w:rsidRDefault="00514016" w:rsidP="00514016">
      <w:pPr>
        <w:spacing w:before="100" w:beforeAutospacing="1" w:after="100" w:afterAutospacing="1" w:line="240" w:lineRule="auto"/>
        <w:outlineLvl w:val="2"/>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5.3 Technological Adaptation and Employee Readiness</w:t>
      </w:r>
    </w:p>
    <w:p w14:paraId="683FCC7A" w14:textId="77777777" w:rsidR="00514016" w:rsidRPr="00514016" w:rsidRDefault="00514016" w:rsidP="00514016">
      <w:p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As Brickability invests in sustainable technologies and digitalisation, HR must address resistance to change and varying levels of digital literacy.</w:t>
      </w:r>
    </w:p>
    <w:p w14:paraId="72945DC7" w14:textId="77777777" w:rsidR="00514016" w:rsidRPr="00514016" w:rsidRDefault="00514016" w:rsidP="00514016">
      <w:p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b/>
          <w:bCs/>
          <w:kern w:val="0"/>
          <w:lang w:eastAsia="en-GB"/>
          <w14:ligatures w14:val="none"/>
        </w:rPr>
        <w:t>Recommendation</w:t>
      </w:r>
      <w:r w:rsidRPr="00514016">
        <w:rPr>
          <w:rFonts w:ascii="Arial" w:eastAsia="Times New Roman" w:hAnsi="Arial" w:cs="Arial"/>
          <w:kern w:val="0"/>
          <w:lang w:eastAsia="en-GB"/>
          <w14:ligatures w14:val="none"/>
        </w:rPr>
        <w:t>: Using Kotter’s (1996) 8-Step Change Model would provide a clear roadmap for cultural transformation. Creating urgency, empowering employees, and celebrating small wins are essential to embedding new technological competencies across the workforce.</w:t>
      </w:r>
    </w:p>
    <w:p w14:paraId="40DE85FE" w14:textId="7416688D" w:rsidR="00514016" w:rsidRPr="00514016" w:rsidRDefault="00514016" w:rsidP="00514016">
      <w:pPr>
        <w:spacing w:after="0" w:line="240" w:lineRule="auto"/>
        <w:rPr>
          <w:rFonts w:ascii="Arial" w:eastAsia="Times New Roman" w:hAnsi="Arial" w:cs="Arial"/>
          <w:kern w:val="0"/>
          <w:highlight w:val="yellow"/>
          <w:lang w:eastAsia="en-GB"/>
          <w14:ligatures w14:val="none"/>
        </w:rPr>
      </w:pPr>
    </w:p>
    <w:p w14:paraId="33C72DED" w14:textId="77777777" w:rsidR="00514016" w:rsidRPr="00514016" w:rsidRDefault="00514016" w:rsidP="00514016">
      <w:pPr>
        <w:spacing w:before="100" w:beforeAutospacing="1" w:after="100" w:afterAutospacing="1" w:line="240" w:lineRule="auto"/>
        <w:outlineLvl w:val="2"/>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5.4 Diversity and Inclusion in Senior Leadership</w:t>
      </w:r>
    </w:p>
    <w:p w14:paraId="7B39AFF7" w14:textId="32D55882" w:rsidR="00514016" w:rsidRPr="00514016" w:rsidRDefault="00514016" w:rsidP="00514016">
      <w:p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Despite Brickability’s stated commitment to diversity, the construction industry still suffers from underrepresentation of women and ethnic minorities in leadership (CIPD, 2023)</w:t>
      </w:r>
      <w:r w:rsidR="00746032" w:rsidRPr="00D0398E">
        <w:rPr>
          <w:rFonts w:ascii="Arial" w:eastAsia="Times New Roman" w:hAnsi="Arial" w:cs="Arial"/>
          <w:kern w:val="0"/>
          <w:lang w:eastAsia="en-GB"/>
          <w14:ligatures w14:val="none"/>
        </w:rPr>
        <w:t>,</w:t>
      </w:r>
    </w:p>
    <w:p w14:paraId="6F2092E2" w14:textId="558019B7" w:rsidR="00514016" w:rsidRPr="00514016" w:rsidRDefault="00514016" w:rsidP="00514016">
      <w:p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b/>
          <w:bCs/>
          <w:kern w:val="0"/>
          <w:lang w:eastAsia="en-GB"/>
          <w14:ligatures w14:val="none"/>
        </w:rPr>
        <w:t>Recommendation</w:t>
      </w:r>
      <w:r w:rsidRPr="00514016">
        <w:rPr>
          <w:rFonts w:ascii="Arial" w:eastAsia="Times New Roman" w:hAnsi="Arial" w:cs="Arial"/>
          <w:kern w:val="0"/>
          <w:lang w:eastAsia="en-GB"/>
          <w14:ligatures w14:val="none"/>
        </w:rPr>
        <w:t>: Based on Kanter’s (1977) Theory of Tokenism, Brickability should focus on inclusive leadership training and mentorship schemes for underrepresented groups. Doing so reduces social isolation and supports progression into senior roles</w:t>
      </w:r>
      <w:r w:rsidR="00D0398E">
        <w:rPr>
          <w:rFonts w:ascii="Arial" w:eastAsia="Times New Roman" w:hAnsi="Arial" w:cs="Arial"/>
          <w:kern w:val="0"/>
          <w:lang w:eastAsia="en-GB"/>
          <w14:ligatures w14:val="none"/>
        </w:rPr>
        <w:t>.</w:t>
      </w:r>
    </w:p>
    <w:p w14:paraId="4FAFE78E" w14:textId="7C5C181F" w:rsidR="00514016" w:rsidRPr="00514016" w:rsidRDefault="00514016" w:rsidP="00514016">
      <w:pPr>
        <w:spacing w:after="0" w:line="240" w:lineRule="auto"/>
        <w:rPr>
          <w:rFonts w:ascii="Arial" w:eastAsia="Times New Roman" w:hAnsi="Arial" w:cs="Arial"/>
          <w:kern w:val="0"/>
          <w:highlight w:val="yellow"/>
          <w:lang w:eastAsia="en-GB"/>
          <w14:ligatures w14:val="none"/>
        </w:rPr>
      </w:pPr>
    </w:p>
    <w:p w14:paraId="2A530B61" w14:textId="77777777" w:rsidR="00514016" w:rsidRPr="00514016" w:rsidRDefault="00514016" w:rsidP="00514016">
      <w:pPr>
        <w:spacing w:before="100" w:beforeAutospacing="1" w:after="100" w:afterAutospacing="1" w:line="240" w:lineRule="auto"/>
        <w:outlineLvl w:val="1"/>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6. Conclusion</w:t>
      </w:r>
    </w:p>
    <w:p w14:paraId="3E321FB4" w14:textId="03A9FC7F" w:rsidR="00EE5044" w:rsidRPr="00EE5044" w:rsidRDefault="00EE5044" w:rsidP="00EE5044">
      <w:pPr>
        <w:spacing w:after="0" w:line="240" w:lineRule="auto"/>
        <w:rPr>
          <w:rFonts w:ascii="Arial" w:eastAsia="Times New Roman" w:hAnsi="Arial" w:cs="Arial"/>
          <w:kern w:val="0"/>
          <w:lang w:eastAsia="en-GB"/>
          <w14:ligatures w14:val="none"/>
        </w:rPr>
      </w:pPr>
      <w:r w:rsidRPr="00EE5044">
        <w:rPr>
          <w:rFonts w:ascii="Arial" w:eastAsia="Times New Roman" w:hAnsi="Arial" w:cs="Arial"/>
          <w:kern w:val="0"/>
          <w:lang w:eastAsia="en-GB"/>
          <w14:ligatures w14:val="none"/>
        </w:rPr>
        <w:t xml:space="preserve">In conclusion, Brickability </w:t>
      </w:r>
      <w:r w:rsidR="0040173A" w:rsidRPr="00D0398E">
        <w:rPr>
          <w:rFonts w:ascii="Arial" w:eastAsia="Times New Roman" w:hAnsi="Arial" w:cs="Arial"/>
          <w:kern w:val="0"/>
          <w:lang w:eastAsia="en-GB"/>
          <w14:ligatures w14:val="none"/>
        </w:rPr>
        <w:t>Plc</w:t>
      </w:r>
      <w:r w:rsidRPr="00EE5044">
        <w:rPr>
          <w:rFonts w:ascii="Arial" w:eastAsia="Times New Roman" w:hAnsi="Arial" w:cs="Arial"/>
          <w:kern w:val="0"/>
          <w:lang w:eastAsia="en-GB"/>
          <w14:ligatures w14:val="none"/>
        </w:rPr>
        <w:t>’s HRM and talent management strategies are deeply influenced by both internal and external factors, which shape its resourcing practices and contribute to its competitive advantage. The PESTLE analysis demonstrates how external elements, such as political, economic, and environmental shifts, directly affect HR policies and processes. For example, post-Brexit immigration restrictions and sustainability regulations influence recruitment strategies, talent development, and compliance efforts. Internally, Brickability’s organizational culture, leadership transitions, and employee development programs further shape HR practices, fostering employee engagement and aligning the workforce with business objectives.</w:t>
      </w:r>
    </w:p>
    <w:p w14:paraId="23F70453" w14:textId="77777777" w:rsidR="00EE5044" w:rsidRPr="00EE5044" w:rsidRDefault="00EE5044" w:rsidP="00EE5044">
      <w:pPr>
        <w:spacing w:after="0" w:line="240" w:lineRule="auto"/>
        <w:rPr>
          <w:rFonts w:ascii="Arial" w:eastAsia="Times New Roman" w:hAnsi="Arial" w:cs="Arial"/>
          <w:kern w:val="0"/>
          <w:lang w:eastAsia="en-GB"/>
          <w14:ligatures w14:val="none"/>
        </w:rPr>
      </w:pPr>
      <w:r w:rsidRPr="00EE5044">
        <w:rPr>
          <w:rFonts w:ascii="Arial" w:eastAsia="Times New Roman" w:hAnsi="Arial" w:cs="Arial"/>
          <w:kern w:val="0"/>
          <w:lang w:eastAsia="en-GB"/>
          <w14:ligatures w14:val="none"/>
        </w:rPr>
        <w:lastRenderedPageBreak/>
        <w:t>These internal and external factors directly inform the company’s HR policies, particularly in talent acquisition, training, and retention. The integration of HR strategies with broader business goals, such as sustainability and innovation, aligns with the Strategic Human Resource Management (SHRM) approach, ensuring that HR initiatives are aligned with the company’s competitive objectives. For example, employee development and continuous learning enhance adaptability, while the focus on diversity and inclusion strengthens employer branding, making Brickability an employer of choice in a competitive market.</w:t>
      </w:r>
    </w:p>
    <w:p w14:paraId="566DBD04" w14:textId="2DD0CB1F" w:rsidR="00EE5044" w:rsidRPr="00EE5044" w:rsidRDefault="0081505B" w:rsidP="00EE5044">
      <w:pPr>
        <w:spacing w:after="0" w:line="240" w:lineRule="auto"/>
        <w:rPr>
          <w:rFonts w:ascii="Arial" w:eastAsia="Times New Roman" w:hAnsi="Arial" w:cs="Arial"/>
          <w:kern w:val="0"/>
          <w:lang w:eastAsia="en-GB"/>
          <w14:ligatures w14:val="none"/>
        </w:rPr>
      </w:pPr>
      <w:r w:rsidRPr="00D0398E">
        <w:rPr>
          <w:rFonts w:ascii="Arial" w:eastAsia="Times New Roman" w:hAnsi="Arial" w:cs="Arial"/>
          <w:kern w:val="0"/>
          <w:lang w:eastAsia="en-GB"/>
          <w14:ligatures w14:val="none"/>
        </w:rPr>
        <w:t>The</w:t>
      </w:r>
      <w:r w:rsidR="00EE5044" w:rsidRPr="00EE5044">
        <w:rPr>
          <w:rFonts w:ascii="Arial" w:eastAsia="Times New Roman" w:hAnsi="Arial" w:cs="Arial"/>
          <w:kern w:val="0"/>
          <w:lang w:eastAsia="en-GB"/>
          <w14:ligatures w14:val="none"/>
        </w:rPr>
        <w:t xml:space="preserve"> interplay of internal and external influences shapes the company’s HR processes, ensuring that its resourcing strategies not only address immediate talent needs but also position the organization for sustained growth and success. By responding effectively to these factors, Brickability leverages its HRM practices to maintain a competitive advantage in the construction materials sector.</w:t>
      </w:r>
    </w:p>
    <w:p w14:paraId="372C3EE4" w14:textId="798B9EE8" w:rsidR="00514016" w:rsidRPr="00514016" w:rsidRDefault="00514016" w:rsidP="00514016">
      <w:pPr>
        <w:spacing w:after="0" w:line="240" w:lineRule="auto"/>
        <w:rPr>
          <w:rFonts w:ascii="Arial" w:eastAsia="Times New Roman" w:hAnsi="Arial" w:cs="Arial"/>
          <w:kern w:val="0"/>
          <w:lang w:eastAsia="en-GB"/>
          <w14:ligatures w14:val="none"/>
        </w:rPr>
      </w:pPr>
    </w:p>
    <w:p w14:paraId="3DE7ABB6" w14:textId="62065A20" w:rsidR="00514016" w:rsidRPr="00514016" w:rsidRDefault="00514016" w:rsidP="00514016">
      <w:pPr>
        <w:spacing w:before="100" w:beforeAutospacing="1" w:after="100" w:afterAutospacing="1" w:line="240" w:lineRule="auto"/>
        <w:outlineLvl w:val="1"/>
        <w:rPr>
          <w:rFonts w:ascii="Arial" w:eastAsia="Times New Roman" w:hAnsi="Arial" w:cs="Arial"/>
          <w:b/>
          <w:bCs/>
          <w:kern w:val="0"/>
          <w:lang w:eastAsia="en-GB"/>
          <w14:ligatures w14:val="none"/>
        </w:rPr>
      </w:pPr>
      <w:r w:rsidRPr="00514016">
        <w:rPr>
          <w:rFonts w:ascii="Arial" w:eastAsia="Times New Roman" w:hAnsi="Arial" w:cs="Arial"/>
          <w:b/>
          <w:bCs/>
          <w:kern w:val="0"/>
          <w:lang w:eastAsia="en-GB"/>
          <w14:ligatures w14:val="none"/>
        </w:rPr>
        <w:t xml:space="preserve">7. References </w:t>
      </w:r>
    </w:p>
    <w:p w14:paraId="6E8924AD" w14:textId="77777777" w:rsidR="00D0398E" w:rsidRPr="00856984" w:rsidRDefault="00D0398E" w:rsidP="00856984">
      <w:pPr>
        <w:pStyle w:val="ListParagraph"/>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856984">
        <w:rPr>
          <w:rFonts w:ascii="Arial" w:eastAsia="Times New Roman" w:hAnsi="Arial" w:cs="Arial"/>
          <w:kern w:val="0"/>
          <w:lang w:eastAsia="en-GB"/>
          <w14:ligatures w14:val="none"/>
        </w:rPr>
        <w:t xml:space="preserve">Armstrong, M. (2023) </w:t>
      </w:r>
      <w:r w:rsidRPr="00856984">
        <w:rPr>
          <w:rFonts w:ascii="Arial" w:eastAsia="Times New Roman" w:hAnsi="Arial" w:cs="Arial"/>
          <w:i/>
          <w:iCs/>
          <w:kern w:val="0"/>
          <w:lang w:eastAsia="en-GB"/>
          <w14:ligatures w14:val="none"/>
        </w:rPr>
        <w:t>Armstrong's Handbook of Human Resource Management Practice</w:t>
      </w:r>
      <w:r w:rsidRPr="00856984">
        <w:rPr>
          <w:rFonts w:ascii="Arial" w:eastAsia="Times New Roman" w:hAnsi="Arial" w:cs="Arial"/>
          <w:kern w:val="0"/>
          <w:lang w:eastAsia="en-GB"/>
          <w14:ligatures w14:val="none"/>
        </w:rPr>
        <w:t>. 16th edn. London: Kogan Page.</w:t>
      </w:r>
    </w:p>
    <w:p w14:paraId="1E50EE78" w14:textId="77777777" w:rsidR="00D0398E" w:rsidRPr="00514016"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 xml:space="preserve">Backhaus, K. and Tikoo, S. (2004) ‘Conceptualizing and researching employer branding’, </w:t>
      </w:r>
      <w:r w:rsidRPr="00514016">
        <w:rPr>
          <w:rFonts w:ascii="Arial" w:eastAsia="Times New Roman" w:hAnsi="Arial" w:cs="Arial"/>
          <w:i/>
          <w:iCs/>
          <w:kern w:val="0"/>
          <w:lang w:eastAsia="en-GB"/>
          <w14:ligatures w14:val="none"/>
        </w:rPr>
        <w:t>Career Development International</w:t>
      </w:r>
      <w:r w:rsidRPr="00514016">
        <w:rPr>
          <w:rFonts w:ascii="Arial" w:eastAsia="Times New Roman" w:hAnsi="Arial" w:cs="Arial"/>
          <w:kern w:val="0"/>
          <w:lang w:eastAsia="en-GB"/>
          <w14:ligatures w14:val="none"/>
        </w:rPr>
        <w:t>, 9(5), pp. 501–517.</w:t>
      </w:r>
    </w:p>
    <w:p w14:paraId="21D9418B" w14:textId="77777777" w:rsidR="00D0398E" w:rsidRPr="00514016"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 xml:space="preserve">Barney, J.B. (1991) ‘Firm resources and sustained competitive advantage’, </w:t>
      </w:r>
      <w:r w:rsidRPr="00514016">
        <w:rPr>
          <w:rFonts w:ascii="Arial" w:eastAsia="Times New Roman" w:hAnsi="Arial" w:cs="Arial"/>
          <w:i/>
          <w:iCs/>
          <w:kern w:val="0"/>
          <w:lang w:eastAsia="en-GB"/>
          <w14:ligatures w14:val="none"/>
        </w:rPr>
        <w:t>Journal of Management</w:t>
      </w:r>
      <w:r w:rsidRPr="00514016">
        <w:rPr>
          <w:rFonts w:ascii="Arial" w:eastAsia="Times New Roman" w:hAnsi="Arial" w:cs="Arial"/>
          <w:kern w:val="0"/>
          <w:lang w:eastAsia="en-GB"/>
          <w14:ligatures w14:val="none"/>
        </w:rPr>
        <w:t>, 17(1), pp. 99–120.</w:t>
      </w:r>
    </w:p>
    <w:p w14:paraId="26B44412" w14:textId="77777777" w:rsidR="00D0398E" w:rsidRPr="00BE0A65" w:rsidRDefault="00D0398E" w:rsidP="00514016">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780259">
        <w:rPr>
          <w:rFonts w:ascii="Arial" w:eastAsia="Times New Roman" w:hAnsi="Arial" w:cs="Arial"/>
          <w:kern w:val="0"/>
          <w:lang w:eastAsia="en-GB"/>
          <w14:ligatures w14:val="none"/>
        </w:rPr>
        <w:t xml:space="preserve">Barney, J.B. (1991) </w:t>
      </w:r>
      <w:r w:rsidRPr="00780259">
        <w:rPr>
          <w:rFonts w:ascii="Arial" w:eastAsia="Times New Roman" w:hAnsi="Arial" w:cs="Arial"/>
          <w:i/>
          <w:iCs/>
          <w:kern w:val="0"/>
          <w:lang w:eastAsia="en-GB"/>
          <w14:ligatures w14:val="none"/>
        </w:rPr>
        <w:t>Firm Resources and Sustained Competitive Advantage</w:t>
      </w:r>
      <w:r w:rsidRPr="00780259">
        <w:rPr>
          <w:rFonts w:ascii="Arial" w:eastAsia="Times New Roman" w:hAnsi="Arial" w:cs="Arial"/>
          <w:kern w:val="0"/>
          <w:lang w:eastAsia="en-GB"/>
          <w14:ligatures w14:val="none"/>
        </w:rPr>
        <w:t xml:space="preserve">. </w:t>
      </w:r>
      <w:r w:rsidRPr="00BE0A65">
        <w:rPr>
          <w:rFonts w:ascii="Arial" w:eastAsia="Times New Roman" w:hAnsi="Arial" w:cs="Arial"/>
          <w:kern w:val="0"/>
          <w:lang w:eastAsia="en-GB"/>
          <w14:ligatures w14:val="none"/>
        </w:rPr>
        <w:t>Journal of Management, 17(1), pp. 99–120</w:t>
      </w:r>
    </w:p>
    <w:p w14:paraId="6CA42075" w14:textId="77777777" w:rsidR="00D0398E" w:rsidRDefault="00D0398E" w:rsidP="00514016">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0F658D">
        <w:rPr>
          <w:rFonts w:ascii="Arial" w:eastAsia="Times New Roman" w:hAnsi="Arial" w:cs="Arial"/>
          <w:kern w:val="0"/>
          <w:lang w:eastAsia="en-GB"/>
          <w14:ligatures w14:val="none"/>
        </w:rPr>
        <w:t xml:space="preserve">Becker, G.S. (1993) </w:t>
      </w:r>
      <w:r w:rsidRPr="000F658D">
        <w:rPr>
          <w:rFonts w:ascii="Arial" w:eastAsia="Times New Roman" w:hAnsi="Arial" w:cs="Arial"/>
          <w:i/>
          <w:iCs/>
          <w:kern w:val="0"/>
          <w:lang w:eastAsia="en-GB"/>
          <w14:ligatures w14:val="none"/>
        </w:rPr>
        <w:t>Human Capital: A Theoretical and Empirical Analysis, with Special Reference to Education</w:t>
      </w:r>
      <w:r w:rsidRPr="000F658D">
        <w:rPr>
          <w:rFonts w:ascii="Arial" w:eastAsia="Times New Roman" w:hAnsi="Arial" w:cs="Arial"/>
          <w:kern w:val="0"/>
          <w:lang w:eastAsia="en-GB"/>
          <w14:ligatures w14:val="none"/>
        </w:rPr>
        <w:t>. 3rd edn. Chicago: University of Chicago Press.</w:t>
      </w:r>
    </w:p>
    <w:p w14:paraId="6F7E1200" w14:textId="77777777" w:rsidR="00D0398E" w:rsidRPr="00514016"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 xml:space="preserve">Brickability Group Plc (2023) </w:t>
      </w:r>
      <w:r w:rsidRPr="00514016">
        <w:rPr>
          <w:rFonts w:ascii="Arial" w:eastAsia="Times New Roman" w:hAnsi="Arial" w:cs="Arial"/>
          <w:i/>
          <w:iCs/>
          <w:kern w:val="0"/>
          <w:lang w:eastAsia="en-GB"/>
          <w14:ligatures w14:val="none"/>
        </w:rPr>
        <w:t>Annual Report and Accounts 2023</w:t>
      </w:r>
      <w:r w:rsidRPr="00514016">
        <w:rPr>
          <w:rFonts w:ascii="Arial" w:eastAsia="Times New Roman" w:hAnsi="Arial" w:cs="Arial"/>
          <w:kern w:val="0"/>
          <w:lang w:eastAsia="en-GB"/>
          <w14:ligatures w14:val="none"/>
        </w:rPr>
        <w:t xml:space="preserve">. Available at: https://brickabilitygroupplc.com/investors </w:t>
      </w:r>
    </w:p>
    <w:p w14:paraId="5285809C" w14:textId="77777777" w:rsidR="00D0398E" w:rsidRPr="00514016"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 xml:space="preserve">Brickability Group Plc (2023b) </w:t>
      </w:r>
      <w:r w:rsidRPr="00514016">
        <w:rPr>
          <w:rFonts w:ascii="Arial" w:eastAsia="Times New Roman" w:hAnsi="Arial" w:cs="Arial"/>
          <w:i/>
          <w:iCs/>
          <w:kern w:val="0"/>
          <w:lang w:eastAsia="en-GB"/>
          <w14:ligatures w14:val="none"/>
        </w:rPr>
        <w:t>ESG: People &amp; Culture</w:t>
      </w:r>
      <w:r w:rsidRPr="00514016">
        <w:rPr>
          <w:rFonts w:ascii="Arial" w:eastAsia="Times New Roman" w:hAnsi="Arial" w:cs="Arial"/>
          <w:kern w:val="0"/>
          <w:lang w:eastAsia="en-GB"/>
          <w14:ligatures w14:val="none"/>
        </w:rPr>
        <w:t xml:space="preserve">. Available at: https://brickabilitygroupplc.com/esg/people </w:t>
      </w:r>
    </w:p>
    <w:p w14:paraId="66A3CF30" w14:textId="77777777" w:rsidR="00D0398E" w:rsidRPr="00514016"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 xml:space="preserve">Brickability Group Plc (2023c) </w:t>
      </w:r>
      <w:r w:rsidRPr="00514016">
        <w:rPr>
          <w:rFonts w:ascii="Arial" w:eastAsia="Times New Roman" w:hAnsi="Arial" w:cs="Arial"/>
          <w:i/>
          <w:iCs/>
          <w:kern w:val="0"/>
          <w:lang w:eastAsia="en-GB"/>
          <w14:ligatures w14:val="none"/>
        </w:rPr>
        <w:t>Sustainability Strategy</w:t>
      </w:r>
      <w:r w:rsidRPr="00514016">
        <w:rPr>
          <w:rFonts w:ascii="Arial" w:eastAsia="Times New Roman" w:hAnsi="Arial" w:cs="Arial"/>
          <w:kern w:val="0"/>
          <w:lang w:eastAsia="en-GB"/>
          <w14:ligatures w14:val="none"/>
        </w:rPr>
        <w:t>. Available at: https://brickability.co.uk/sustainability</w:t>
      </w:r>
    </w:p>
    <w:p w14:paraId="35506192" w14:textId="77777777" w:rsidR="00D0398E" w:rsidRPr="00514016"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 xml:space="preserve">CIPD (2023) </w:t>
      </w:r>
      <w:r w:rsidRPr="00514016">
        <w:rPr>
          <w:rFonts w:ascii="Arial" w:eastAsia="Times New Roman" w:hAnsi="Arial" w:cs="Arial"/>
          <w:i/>
          <w:iCs/>
          <w:kern w:val="0"/>
          <w:lang w:eastAsia="en-GB"/>
          <w14:ligatures w14:val="none"/>
        </w:rPr>
        <w:t>Resourcing and Talent Planning Survey</w:t>
      </w:r>
      <w:r w:rsidRPr="00514016">
        <w:rPr>
          <w:rFonts w:ascii="Arial" w:eastAsia="Times New Roman" w:hAnsi="Arial" w:cs="Arial"/>
          <w:kern w:val="0"/>
          <w:lang w:eastAsia="en-GB"/>
          <w14:ligatures w14:val="none"/>
        </w:rPr>
        <w:t xml:space="preserve">. Chartered Institute of Personnel and Development. Available at: https://www.cipd.org </w:t>
      </w:r>
    </w:p>
    <w:p w14:paraId="67BBDE8D" w14:textId="77777777" w:rsidR="00D0398E" w:rsidRPr="00514016" w:rsidRDefault="00D0398E" w:rsidP="00514016">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BE0A65">
        <w:rPr>
          <w:rFonts w:ascii="Arial" w:eastAsia="Times New Roman" w:hAnsi="Arial" w:cs="Arial"/>
          <w:kern w:val="0"/>
          <w:lang w:eastAsia="en-GB"/>
          <w14:ligatures w14:val="none"/>
        </w:rPr>
        <w:t xml:space="preserve">Demerouti, E., Bakker, A.B., Nachreiner, F. and Schaufeli, W.B. (2001) The job demands-resources model of burnout. </w:t>
      </w:r>
      <w:r w:rsidRPr="00BE0A65">
        <w:rPr>
          <w:rFonts w:ascii="Arial" w:eastAsia="Times New Roman" w:hAnsi="Arial" w:cs="Arial"/>
          <w:i/>
          <w:iCs/>
          <w:kern w:val="0"/>
          <w:lang w:eastAsia="en-GB"/>
          <w14:ligatures w14:val="none"/>
        </w:rPr>
        <w:t>Journal of Applied Psychology</w:t>
      </w:r>
      <w:r w:rsidRPr="00BE0A65">
        <w:rPr>
          <w:rFonts w:ascii="Arial" w:eastAsia="Times New Roman" w:hAnsi="Arial" w:cs="Arial"/>
          <w:kern w:val="0"/>
          <w:lang w:eastAsia="en-GB"/>
          <w14:ligatures w14:val="none"/>
        </w:rPr>
        <w:t>, 86(3), pp.499–512.</w:t>
      </w:r>
    </w:p>
    <w:p w14:paraId="2D55B020" w14:textId="77777777" w:rsidR="00D0398E" w:rsidRPr="00514016"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 xml:space="preserve">Garman, A.N. and Glawe, J. (2004) ‘Succession Planning’, </w:t>
      </w:r>
      <w:r w:rsidRPr="00514016">
        <w:rPr>
          <w:rFonts w:ascii="Arial" w:eastAsia="Times New Roman" w:hAnsi="Arial" w:cs="Arial"/>
          <w:i/>
          <w:iCs/>
          <w:kern w:val="0"/>
          <w:lang w:eastAsia="en-GB"/>
          <w14:ligatures w14:val="none"/>
        </w:rPr>
        <w:t>Healthcare Executive</w:t>
      </w:r>
      <w:r w:rsidRPr="00514016">
        <w:rPr>
          <w:rFonts w:ascii="Arial" w:eastAsia="Times New Roman" w:hAnsi="Arial" w:cs="Arial"/>
          <w:kern w:val="0"/>
          <w:lang w:eastAsia="en-GB"/>
          <w14:ligatures w14:val="none"/>
        </w:rPr>
        <w:t>, 19(5), pp. 24–26.</w:t>
      </w:r>
    </w:p>
    <w:p w14:paraId="4B527A7D" w14:textId="77777777" w:rsidR="00D0398E" w:rsidRPr="00856984" w:rsidRDefault="00D0398E" w:rsidP="00856984">
      <w:pPr>
        <w:pStyle w:val="ListParagraph"/>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856984">
        <w:rPr>
          <w:rFonts w:ascii="Arial" w:eastAsia="Times New Roman" w:hAnsi="Arial" w:cs="Arial"/>
          <w:kern w:val="0"/>
          <w:lang w:eastAsia="en-GB"/>
          <w14:ligatures w14:val="none"/>
        </w:rPr>
        <w:t xml:space="preserve">Gold, J., Holden, R., Iles, P., Stewart, J. and Beardwell, J. (2013) </w:t>
      </w:r>
      <w:r w:rsidRPr="00856984">
        <w:rPr>
          <w:rFonts w:ascii="Arial" w:eastAsia="Times New Roman" w:hAnsi="Arial" w:cs="Arial"/>
          <w:i/>
          <w:iCs/>
          <w:kern w:val="0"/>
          <w:lang w:eastAsia="en-GB"/>
          <w14:ligatures w14:val="none"/>
        </w:rPr>
        <w:t>Human Resource Development: Theory and Practice</w:t>
      </w:r>
      <w:r w:rsidRPr="00856984">
        <w:rPr>
          <w:rFonts w:ascii="Arial" w:eastAsia="Times New Roman" w:hAnsi="Arial" w:cs="Arial"/>
          <w:kern w:val="0"/>
          <w:lang w:eastAsia="en-GB"/>
          <w14:ligatures w14:val="none"/>
        </w:rPr>
        <w:t>. 5th edn. Basingstoke: Palgrave Macmillan</w:t>
      </w:r>
    </w:p>
    <w:p w14:paraId="3631F676" w14:textId="77777777" w:rsidR="00D0398E" w:rsidRPr="00856984" w:rsidRDefault="00D0398E" w:rsidP="00856984">
      <w:pPr>
        <w:pStyle w:val="ListParagraph"/>
        <w:numPr>
          <w:ilvl w:val="0"/>
          <w:numId w:val="13"/>
        </w:numPr>
        <w:spacing w:before="100" w:beforeAutospacing="1" w:after="100" w:afterAutospacing="1"/>
        <w:rPr>
          <w:rFonts w:ascii="Arial" w:hAnsi="Arial" w:cs="Arial"/>
        </w:rPr>
      </w:pPr>
      <w:r w:rsidRPr="00856984">
        <w:rPr>
          <w:rFonts w:ascii="Arial" w:hAnsi="Arial" w:cs="Arial"/>
        </w:rPr>
        <w:t>Gov.uk</w:t>
      </w:r>
      <w:r w:rsidRPr="00856984">
        <w:rPr>
          <w:rFonts w:ascii="Arial" w:hAnsi="Arial" w:cs="Arial"/>
        </w:rPr>
        <w:t xml:space="preserve"> (2023) </w:t>
      </w:r>
      <w:r w:rsidRPr="00856984">
        <w:rPr>
          <w:rStyle w:val="Emphasis"/>
          <w:rFonts w:ascii="Arial" w:hAnsi="Arial" w:cs="Arial"/>
        </w:rPr>
        <w:t>Sustainable practices in business – policy updates</w:t>
      </w:r>
      <w:r w:rsidRPr="00856984">
        <w:rPr>
          <w:rFonts w:ascii="Arial" w:hAnsi="Arial" w:cs="Arial"/>
        </w:rPr>
        <w:t xml:space="preserve">. Available at: </w:t>
      </w:r>
      <w:r w:rsidRPr="00D0398E">
        <w:rPr>
          <w:rFonts w:ascii="Arial" w:hAnsi="Arial" w:cs="Arial"/>
        </w:rPr>
        <w:t>https://www.gov.uk</w:t>
      </w:r>
      <w:r w:rsidRPr="00856984">
        <w:rPr>
          <w:rFonts w:ascii="Arial" w:hAnsi="Arial" w:cs="Arial"/>
        </w:rPr>
        <w:t xml:space="preserve"> </w:t>
      </w:r>
    </w:p>
    <w:p w14:paraId="35C8D9AB" w14:textId="77777777" w:rsidR="00D0398E" w:rsidRPr="00856984" w:rsidRDefault="00D0398E" w:rsidP="00856984">
      <w:pPr>
        <w:pStyle w:val="ListParagraph"/>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856984">
        <w:rPr>
          <w:rFonts w:ascii="Arial" w:eastAsia="Times New Roman" w:hAnsi="Arial" w:cs="Arial"/>
          <w:kern w:val="0"/>
          <w:lang w:eastAsia="en-GB"/>
          <w14:ligatures w14:val="none"/>
        </w:rPr>
        <w:t xml:space="preserve">Henderson, I. (2019) </w:t>
      </w:r>
      <w:r w:rsidRPr="00856984">
        <w:rPr>
          <w:rFonts w:ascii="Arial" w:eastAsia="Times New Roman" w:hAnsi="Arial" w:cs="Arial"/>
          <w:i/>
          <w:iCs/>
          <w:kern w:val="0"/>
          <w:lang w:eastAsia="en-GB"/>
          <w14:ligatures w14:val="none"/>
        </w:rPr>
        <w:t>Human Resource Management for MBA Students</w:t>
      </w:r>
      <w:r w:rsidRPr="00856984">
        <w:rPr>
          <w:rFonts w:ascii="Arial" w:eastAsia="Times New Roman" w:hAnsi="Arial" w:cs="Arial"/>
          <w:kern w:val="0"/>
          <w:lang w:eastAsia="en-GB"/>
          <w14:ligatures w14:val="none"/>
        </w:rPr>
        <w:t>. 3rd edn. London: CIPD.</w:t>
      </w:r>
    </w:p>
    <w:p w14:paraId="755355ED" w14:textId="77777777" w:rsidR="00D0398E" w:rsidRPr="00856984"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856984">
        <w:rPr>
          <w:rFonts w:ascii="Arial" w:eastAsia="Times New Roman" w:hAnsi="Arial" w:cs="Arial"/>
          <w:kern w:val="0"/>
          <w:lang w:eastAsia="en-GB"/>
          <w14:ligatures w14:val="none"/>
        </w:rPr>
        <w:t xml:space="preserve">HSE (2024) </w:t>
      </w:r>
      <w:r w:rsidRPr="00856984">
        <w:rPr>
          <w:rFonts w:ascii="Arial" w:eastAsia="Times New Roman" w:hAnsi="Arial" w:cs="Arial"/>
          <w:i/>
          <w:iCs/>
          <w:kern w:val="0"/>
          <w:lang w:eastAsia="en-GB"/>
          <w14:ligatures w14:val="none"/>
        </w:rPr>
        <w:t>Health and Safety at Work etc. Act 1974</w:t>
      </w:r>
      <w:r w:rsidRPr="00856984">
        <w:rPr>
          <w:rFonts w:ascii="Arial" w:eastAsia="Times New Roman" w:hAnsi="Arial" w:cs="Arial"/>
          <w:kern w:val="0"/>
          <w:lang w:eastAsia="en-GB"/>
          <w14:ligatures w14:val="none"/>
        </w:rPr>
        <w:t xml:space="preserve">. Available at: </w:t>
      </w:r>
      <w:r w:rsidRPr="00D0398E">
        <w:rPr>
          <w:rFonts w:ascii="Arial" w:eastAsia="Times New Roman" w:hAnsi="Arial" w:cs="Arial"/>
          <w:kern w:val="0"/>
          <w:lang w:eastAsia="en-GB"/>
          <w14:ligatures w14:val="none"/>
        </w:rPr>
        <w:t>https://www.hse.gov.uk</w:t>
      </w:r>
      <w:r w:rsidRPr="00856984">
        <w:rPr>
          <w:rFonts w:ascii="Arial" w:eastAsia="Times New Roman" w:hAnsi="Arial" w:cs="Arial"/>
          <w:kern w:val="0"/>
          <w:lang w:eastAsia="en-GB"/>
          <w14:ligatures w14:val="none"/>
        </w:rPr>
        <w:t xml:space="preserve"> </w:t>
      </w:r>
    </w:p>
    <w:p w14:paraId="19145904" w14:textId="77777777" w:rsidR="00D0398E" w:rsidRPr="00514016"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lastRenderedPageBreak/>
        <w:t xml:space="preserve">Kanter, R.M. (1977) </w:t>
      </w:r>
      <w:r w:rsidRPr="00514016">
        <w:rPr>
          <w:rFonts w:ascii="Arial" w:eastAsia="Times New Roman" w:hAnsi="Arial" w:cs="Arial"/>
          <w:i/>
          <w:iCs/>
          <w:kern w:val="0"/>
          <w:lang w:eastAsia="en-GB"/>
          <w14:ligatures w14:val="none"/>
        </w:rPr>
        <w:t>Men and Women of the Corporation</w:t>
      </w:r>
      <w:r w:rsidRPr="00514016">
        <w:rPr>
          <w:rFonts w:ascii="Arial" w:eastAsia="Times New Roman" w:hAnsi="Arial" w:cs="Arial"/>
          <w:kern w:val="0"/>
          <w:lang w:eastAsia="en-GB"/>
          <w14:ligatures w14:val="none"/>
        </w:rPr>
        <w:t>. New York: Basic Books.</w:t>
      </w:r>
    </w:p>
    <w:p w14:paraId="3CA7A1EE" w14:textId="77777777" w:rsidR="00D0398E" w:rsidRPr="00514016"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 xml:space="preserve">Kotter, J.P. (1996) </w:t>
      </w:r>
      <w:r w:rsidRPr="00514016">
        <w:rPr>
          <w:rFonts w:ascii="Arial" w:eastAsia="Times New Roman" w:hAnsi="Arial" w:cs="Arial"/>
          <w:i/>
          <w:iCs/>
          <w:kern w:val="0"/>
          <w:lang w:eastAsia="en-GB"/>
          <w14:ligatures w14:val="none"/>
        </w:rPr>
        <w:t>Leading Change</w:t>
      </w:r>
      <w:r w:rsidRPr="00514016">
        <w:rPr>
          <w:rFonts w:ascii="Arial" w:eastAsia="Times New Roman" w:hAnsi="Arial" w:cs="Arial"/>
          <w:kern w:val="0"/>
          <w:lang w:eastAsia="en-GB"/>
          <w14:ligatures w14:val="none"/>
        </w:rPr>
        <w:t>. Boston: Harvard Business School Press.</w:t>
      </w:r>
    </w:p>
    <w:p w14:paraId="05FBF923" w14:textId="77777777" w:rsidR="00D0398E" w:rsidRPr="00856984" w:rsidRDefault="00D0398E" w:rsidP="00856984">
      <w:pPr>
        <w:pStyle w:val="ListParagraph"/>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856984">
        <w:rPr>
          <w:rFonts w:ascii="Arial" w:eastAsia="Times New Roman" w:hAnsi="Arial" w:cs="Arial"/>
          <w:kern w:val="0"/>
          <w:lang w:eastAsia="en-GB"/>
          <w14:ligatures w14:val="none"/>
        </w:rPr>
        <w:t xml:space="preserve">Leatherbarrow, C. and Fletcher, J. (2018) </w:t>
      </w:r>
      <w:r w:rsidRPr="00856984">
        <w:rPr>
          <w:rFonts w:ascii="Arial" w:eastAsia="Times New Roman" w:hAnsi="Arial" w:cs="Arial"/>
          <w:i/>
          <w:iCs/>
          <w:kern w:val="0"/>
          <w:lang w:eastAsia="en-GB"/>
          <w14:ligatures w14:val="none"/>
        </w:rPr>
        <w:t>Introduction to Human Resource Management: A Guide to HR in Practice</w:t>
      </w:r>
      <w:r w:rsidRPr="00856984">
        <w:rPr>
          <w:rFonts w:ascii="Arial" w:eastAsia="Times New Roman" w:hAnsi="Arial" w:cs="Arial"/>
          <w:kern w:val="0"/>
          <w:lang w:eastAsia="en-GB"/>
          <w14:ligatures w14:val="none"/>
        </w:rPr>
        <w:t>. 4th edn. London: CIPD.</w:t>
      </w:r>
    </w:p>
    <w:p w14:paraId="2E9166BE" w14:textId="77777777" w:rsidR="00D0398E" w:rsidRPr="00514016"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 xml:space="preserve">Rousseau, D.M. (1995) </w:t>
      </w:r>
      <w:r w:rsidRPr="00514016">
        <w:rPr>
          <w:rFonts w:ascii="Arial" w:eastAsia="Times New Roman" w:hAnsi="Arial" w:cs="Arial"/>
          <w:i/>
          <w:iCs/>
          <w:kern w:val="0"/>
          <w:lang w:eastAsia="en-GB"/>
          <w14:ligatures w14:val="none"/>
        </w:rPr>
        <w:t>Psychological Contracts in Organizations: Understanding Written and Unwritten Agreements</w:t>
      </w:r>
      <w:r w:rsidRPr="00514016">
        <w:rPr>
          <w:rFonts w:ascii="Arial" w:eastAsia="Times New Roman" w:hAnsi="Arial" w:cs="Arial"/>
          <w:kern w:val="0"/>
          <w:lang w:eastAsia="en-GB"/>
          <w14:ligatures w14:val="none"/>
        </w:rPr>
        <w:t>. Thousand Oaks, CA: Sage.</w:t>
      </w:r>
    </w:p>
    <w:p w14:paraId="1B1F5540" w14:textId="77777777" w:rsidR="00D0398E" w:rsidRPr="00BE0A65" w:rsidRDefault="00D0398E" w:rsidP="00514016">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BE0A65">
        <w:rPr>
          <w:rFonts w:ascii="Arial" w:eastAsia="Times New Roman" w:hAnsi="Arial" w:cs="Arial"/>
          <w:kern w:val="0"/>
          <w:lang w:eastAsia="en-GB"/>
          <w14:ligatures w14:val="none"/>
        </w:rPr>
        <w:t xml:space="preserve">Tajfel, H. and Turner, J.C. (1979) </w:t>
      </w:r>
      <w:r w:rsidRPr="00BE0A65">
        <w:rPr>
          <w:rFonts w:ascii="Arial" w:eastAsia="Times New Roman" w:hAnsi="Arial" w:cs="Arial"/>
          <w:i/>
          <w:iCs/>
          <w:kern w:val="0"/>
          <w:lang w:eastAsia="en-GB"/>
          <w14:ligatures w14:val="none"/>
        </w:rPr>
        <w:t>An integrative theory of intergroup conflict</w:t>
      </w:r>
      <w:r w:rsidRPr="00BE0A65">
        <w:rPr>
          <w:rFonts w:ascii="Arial" w:eastAsia="Times New Roman" w:hAnsi="Arial" w:cs="Arial"/>
          <w:kern w:val="0"/>
          <w:lang w:eastAsia="en-GB"/>
          <w14:ligatures w14:val="none"/>
        </w:rPr>
        <w:t>. In: Austin, W.G. and Worchel, S. (eds.) The Social Psychology of Intergroup Relations. Monterey, CA: Brooks/Cole, pp. 33–47.</w:t>
      </w:r>
    </w:p>
    <w:p w14:paraId="1C164401" w14:textId="1859F967" w:rsidR="00D0398E" w:rsidRPr="00514016"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 xml:space="preserve">This is Money (2023) ‘Brickability defies housing industry gloom with surging annual profits’, </w:t>
      </w:r>
      <w:r w:rsidR="00AC4F5D" w:rsidRPr="00514016">
        <w:rPr>
          <w:rFonts w:ascii="Arial" w:eastAsia="Times New Roman" w:hAnsi="Arial" w:cs="Arial"/>
          <w:i/>
          <w:iCs/>
          <w:kern w:val="0"/>
          <w:lang w:eastAsia="en-GB"/>
          <w14:ligatures w14:val="none"/>
        </w:rPr>
        <w:t>this</w:t>
      </w:r>
      <w:r w:rsidRPr="00514016">
        <w:rPr>
          <w:rFonts w:ascii="Arial" w:eastAsia="Times New Roman" w:hAnsi="Arial" w:cs="Arial"/>
          <w:i/>
          <w:iCs/>
          <w:kern w:val="0"/>
          <w:lang w:eastAsia="en-GB"/>
          <w14:ligatures w14:val="none"/>
        </w:rPr>
        <w:t xml:space="preserve"> is Money</w:t>
      </w:r>
      <w:r w:rsidRPr="00514016">
        <w:rPr>
          <w:rFonts w:ascii="Arial" w:eastAsia="Times New Roman" w:hAnsi="Arial" w:cs="Arial"/>
          <w:kern w:val="0"/>
          <w:lang w:eastAsia="en-GB"/>
          <w14:ligatures w14:val="none"/>
        </w:rPr>
        <w:t>, 12 July.</w:t>
      </w:r>
    </w:p>
    <w:p w14:paraId="1D3BA658" w14:textId="77777777" w:rsidR="00D0398E" w:rsidRPr="00856984"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14016">
        <w:rPr>
          <w:rFonts w:ascii="Arial" w:eastAsia="Times New Roman" w:hAnsi="Arial" w:cs="Arial"/>
          <w:kern w:val="0"/>
          <w:lang w:eastAsia="en-GB"/>
          <w14:ligatures w14:val="none"/>
        </w:rPr>
        <w:t xml:space="preserve">Ulrich, D., Brockbank, W., Johnson, D., Sandholtz, K. and Younger, J. (2008) </w:t>
      </w:r>
      <w:r w:rsidRPr="00514016">
        <w:rPr>
          <w:rFonts w:ascii="Arial" w:eastAsia="Times New Roman" w:hAnsi="Arial" w:cs="Arial"/>
          <w:i/>
          <w:iCs/>
          <w:kern w:val="0"/>
          <w:lang w:eastAsia="en-GB"/>
          <w14:ligatures w14:val="none"/>
        </w:rPr>
        <w:t>HR Competencies: Mastery at the Intersection of People and Business</w:t>
      </w:r>
      <w:r w:rsidRPr="00514016">
        <w:rPr>
          <w:rFonts w:ascii="Arial" w:eastAsia="Times New Roman" w:hAnsi="Arial" w:cs="Arial"/>
          <w:kern w:val="0"/>
          <w:lang w:eastAsia="en-GB"/>
          <w14:ligatures w14:val="none"/>
        </w:rPr>
        <w:t>. Alexandria, VA: Society for Human Resource Management</w:t>
      </w:r>
    </w:p>
    <w:p w14:paraId="1469387E" w14:textId="78148E02" w:rsidR="00D0398E" w:rsidRPr="00856984" w:rsidRDefault="00D0398E" w:rsidP="00856984">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856984">
        <w:rPr>
          <w:rFonts w:ascii="Arial" w:eastAsia="Times New Roman" w:hAnsi="Arial" w:cs="Arial"/>
          <w:kern w:val="0"/>
          <w:lang w:eastAsia="en-GB"/>
          <w14:ligatures w14:val="none"/>
        </w:rPr>
        <w:t>Yüksel, I. (2012) ‘Developing a Multi-</w:t>
      </w:r>
      <w:r w:rsidR="00AC4F5D" w:rsidRPr="00856984">
        <w:rPr>
          <w:rFonts w:ascii="Arial" w:eastAsia="Times New Roman" w:hAnsi="Arial" w:cs="Arial"/>
          <w:kern w:val="0"/>
          <w:lang w:eastAsia="en-GB"/>
          <w14:ligatures w14:val="none"/>
        </w:rPr>
        <w:t>Criteria Decision-Making</w:t>
      </w:r>
      <w:r w:rsidRPr="00856984">
        <w:rPr>
          <w:rFonts w:ascii="Arial" w:eastAsia="Times New Roman" w:hAnsi="Arial" w:cs="Arial"/>
          <w:kern w:val="0"/>
          <w:lang w:eastAsia="en-GB"/>
          <w14:ligatures w14:val="none"/>
        </w:rPr>
        <w:t xml:space="preserve"> Model for PESTLE Analysis’, </w:t>
      </w:r>
      <w:r w:rsidRPr="00856984">
        <w:rPr>
          <w:rFonts w:ascii="Arial" w:eastAsia="Times New Roman" w:hAnsi="Arial" w:cs="Arial"/>
          <w:i/>
          <w:iCs/>
          <w:kern w:val="0"/>
          <w:lang w:eastAsia="en-GB"/>
          <w14:ligatures w14:val="none"/>
        </w:rPr>
        <w:t>International Journal of Business and Management</w:t>
      </w:r>
      <w:r w:rsidRPr="00856984">
        <w:rPr>
          <w:rFonts w:ascii="Arial" w:eastAsia="Times New Roman" w:hAnsi="Arial" w:cs="Arial"/>
          <w:kern w:val="0"/>
          <w:lang w:eastAsia="en-GB"/>
          <w14:ligatures w14:val="none"/>
        </w:rPr>
        <w:t>, 7(24), pp. 117–128.</w:t>
      </w:r>
    </w:p>
    <w:p w14:paraId="5719D75C" w14:textId="77777777" w:rsidR="00514016" w:rsidRPr="0027140E" w:rsidRDefault="00514016" w:rsidP="0027140E"/>
    <w:sectPr w:rsidR="00514016" w:rsidRPr="002714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846E3"/>
    <w:multiLevelType w:val="multilevel"/>
    <w:tmpl w:val="466E5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FC2A84"/>
    <w:multiLevelType w:val="multilevel"/>
    <w:tmpl w:val="A678E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F118D1"/>
    <w:multiLevelType w:val="multilevel"/>
    <w:tmpl w:val="6B46D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182D1A"/>
    <w:multiLevelType w:val="multilevel"/>
    <w:tmpl w:val="13C85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294B87"/>
    <w:multiLevelType w:val="multilevel"/>
    <w:tmpl w:val="8B140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BA4DC3"/>
    <w:multiLevelType w:val="multilevel"/>
    <w:tmpl w:val="FF24B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833991"/>
    <w:multiLevelType w:val="multilevel"/>
    <w:tmpl w:val="39EA5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570A37"/>
    <w:multiLevelType w:val="multilevel"/>
    <w:tmpl w:val="31C47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7264FE"/>
    <w:multiLevelType w:val="multilevel"/>
    <w:tmpl w:val="41968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D11790"/>
    <w:multiLevelType w:val="multilevel"/>
    <w:tmpl w:val="53484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CE4A5B"/>
    <w:multiLevelType w:val="multilevel"/>
    <w:tmpl w:val="AD8C7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A248E0"/>
    <w:multiLevelType w:val="multilevel"/>
    <w:tmpl w:val="160C3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087111"/>
    <w:multiLevelType w:val="multilevel"/>
    <w:tmpl w:val="E2987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E7738C"/>
    <w:multiLevelType w:val="multilevel"/>
    <w:tmpl w:val="17FA3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0BD4362"/>
    <w:multiLevelType w:val="multilevel"/>
    <w:tmpl w:val="AC0E2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A950DE"/>
    <w:multiLevelType w:val="multilevel"/>
    <w:tmpl w:val="53266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945FBE"/>
    <w:multiLevelType w:val="multilevel"/>
    <w:tmpl w:val="7B1C6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1081347">
    <w:abstractNumId w:val="0"/>
  </w:num>
  <w:num w:numId="2" w16cid:durableId="1659848071">
    <w:abstractNumId w:val="3"/>
  </w:num>
  <w:num w:numId="3" w16cid:durableId="1631746608">
    <w:abstractNumId w:val="2"/>
  </w:num>
  <w:num w:numId="4" w16cid:durableId="417361084">
    <w:abstractNumId w:val="1"/>
  </w:num>
  <w:num w:numId="5" w16cid:durableId="2078434860">
    <w:abstractNumId w:val="9"/>
  </w:num>
  <w:num w:numId="6" w16cid:durableId="824782552">
    <w:abstractNumId w:val="11"/>
  </w:num>
  <w:num w:numId="7" w16cid:durableId="837773761">
    <w:abstractNumId w:val="8"/>
  </w:num>
  <w:num w:numId="8" w16cid:durableId="125438402">
    <w:abstractNumId w:val="6"/>
  </w:num>
  <w:num w:numId="9" w16cid:durableId="1787001723">
    <w:abstractNumId w:val="13"/>
  </w:num>
  <w:num w:numId="10" w16cid:durableId="934048857">
    <w:abstractNumId w:val="10"/>
  </w:num>
  <w:num w:numId="11" w16cid:durableId="423767261">
    <w:abstractNumId w:val="7"/>
  </w:num>
  <w:num w:numId="12" w16cid:durableId="489368890">
    <w:abstractNumId w:val="5"/>
  </w:num>
  <w:num w:numId="13" w16cid:durableId="2121416793">
    <w:abstractNumId w:val="16"/>
  </w:num>
  <w:num w:numId="14" w16cid:durableId="1968586496">
    <w:abstractNumId w:val="12"/>
  </w:num>
  <w:num w:numId="15" w16cid:durableId="31422080">
    <w:abstractNumId w:val="4"/>
  </w:num>
  <w:num w:numId="16" w16cid:durableId="635918644">
    <w:abstractNumId w:val="14"/>
  </w:num>
  <w:num w:numId="17" w16cid:durableId="79071067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AEC"/>
    <w:rsid w:val="00011287"/>
    <w:rsid w:val="000708BD"/>
    <w:rsid w:val="000808C3"/>
    <w:rsid w:val="00092546"/>
    <w:rsid w:val="000C5C24"/>
    <w:rsid w:val="000F5527"/>
    <w:rsid w:val="000F658D"/>
    <w:rsid w:val="001023DC"/>
    <w:rsid w:val="001254F2"/>
    <w:rsid w:val="001450F8"/>
    <w:rsid w:val="00197898"/>
    <w:rsid w:val="001B2B92"/>
    <w:rsid w:val="001D34EE"/>
    <w:rsid w:val="00256014"/>
    <w:rsid w:val="00270F15"/>
    <w:rsid w:val="0027140E"/>
    <w:rsid w:val="00284131"/>
    <w:rsid w:val="00295945"/>
    <w:rsid w:val="002C692C"/>
    <w:rsid w:val="00326FA8"/>
    <w:rsid w:val="00335D41"/>
    <w:rsid w:val="00367967"/>
    <w:rsid w:val="00380944"/>
    <w:rsid w:val="003875AA"/>
    <w:rsid w:val="0039457B"/>
    <w:rsid w:val="003B1799"/>
    <w:rsid w:val="003B7590"/>
    <w:rsid w:val="003E2AB0"/>
    <w:rsid w:val="003E55A1"/>
    <w:rsid w:val="0040173A"/>
    <w:rsid w:val="004062EF"/>
    <w:rsid w:val="00463CA5"/>
    <w:rsid w:val="00472127"/>
    <w:rsid w:val="0047456E"/>
    <w:rsid w:val="004760AA"/>
    <w:rsid w:val="00514016"/>
    <w:rsid w:val="0052541F"/>
    <w:rsid w:val="0054018D"/>
    <w:rsid w:val="00630465"/>
    <w:rsid w:val="00631174"/>
    <w:rsid w:val="00634442"/>
    <w:rsid w:val="00672B6E"/>
    <w:rsid w:val="00696E8E"/>
    <w:rsid w:val="00746032"/>
    <w:rsid w:val="00746E54"/>
    <w:rsid w:val="00753563"/>
    <w:rsid w:val="00780259"/>
    <w:rsid w:val="007A27A7"/>
    <w:rsid w:val="007A5532"/>
    <w:rsid w:val="007B0DFB"/>
    <w:rsid w:val="007B48C2"/>
    <w:rsid w:val="00802611"/>
    <w:rsid w:val="0081505B"/>
    <w:rsid w:val="00845723"/>
    <w:rsid w:val="00856984"/>
    <w:rsid w:val="00875D08"/>
    <w:rsid w:val="008851CA"/>
    <w:rsid w:val="008B59F3"/>
    <w:rsid w:val="008D6FBD"/>
    <w:rsid w:val="008E2AC9"/>
    <w:rsid w:val="008F3993"/>
    <w:rsid w:val="00906F6B"/>
    <w:rsid w:val="00911C90"/>
    <w:rsid w:val="00934658"/>
    <w:rsid w:val="009503D8"/>
    <w:rsid w:val="009660F0"/>
    <w:rsid w:val="009809F4"/>
    <w:rsid w:val="009D5581"/>
    <w:rsid w:val="009D62B4"/>
    <w:rsid w:val="009E6EAF"/>
    <w:rsid w:val="00A03541"/>
    <w:rsid w:val="00A06311"/>
    <w:rsid w:val="00A17785"/>
    <w:rsid w:val="00A50361"/>
    <w:rsid w:val="00A56798"/>
    <w:rsid w:val="00A84754"/>
    <w:rsid w:val="00A90B65"/>
    <w:rsid w:val="00A94C1D"/>
    <w:rsid w:val="00A965FC"/>
    <w:rsid w:val="00AA16E0"/>
    <w:rsid w:val="00AB1833"/>
    <w:rsid w:val="00AC4F5D"/>
    <w:rsid w:val="00B82E81"/>
    <w:rsid w:val="00B96932"/>
    <w:rsid w:val="00BB7FBD"/>
    <w:rsid w:val="00BC5786"/>
    <w:rsid w:val="00BD4513"/>
    <w:rsid w:val="00BE0A65"/>
    <w:rsid w:val="00C218B8"/>
    <w:rsid w:val="00C30D33"/>
    <w:rsid w:val="00C36D8F"/>
    <w:rsid w:val="00C3708E"/>
    <w:rsid w:val="00C550B0"/>
    <w:rsid w:val="00CC4E7B"/>
    <w:rsid w:val="00D0398E"/>
    <w:rsid w:val="00D1728B"/>
    <w:rsid w:val="00D22F74"/>
    <w:rsid w:val="00D6007E"/>
    <w:rsid w:val="00D664FD"/>
    <w:rsid w:val="00D832A3"/>
    <w:rsid w:val="00D9155B"/>
    <w:rsid w:val="00DC3F31"/>
    <w:rsid w:val="00E01DB8"/>
    <w:rsid w:val="00E4251A"/>
    <w:rsid w:val="00E70ECC"/>
    <w:rsid w:val="00E70F21"/>
    <w:rsid w:val="00EB2868"/>
    <w:rsid w:val="00EB76AA"/>
    <w:rsid w:val="00EC1AEC"/>
    <w:rsid w:val="00ED39F4"/>
    <w:rsid w:val="00ED45E4"/>
    <w:rsid w:val="00EE5044"/>
    <w:rsid w:val="00F17C23"/>
    <w:rsid w:val="00F20643"/>
    <w:rsid w:val="00F25DB7"/>
    <w:rsid w:val="00F56C8D"/>
    <w:rsid w:val="00F93677"/>
    <w:rsid w:val="00FA66A6"/>
    <w:rsid w:val="00FA71DD"/>
    <w:rsid w:val="00FD3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F7D33"/>
  <w15:chartTrackingRefBased/>
  <w15:docId w15:val="{5A2ABDE6-42B5-4909-A4D1-871A7543A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A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1A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1A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1A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A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1A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A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A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A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A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1A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1A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A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A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A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A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A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AEC"/>
    <w:rPr>
      <w:rFonts w:eastAsiaTheme="majorEastAsia" w:cstheme="majorBidi"/>
      <w:color w:val="272727" w:themeColor="text1" w:themeTint="D8"/>
    </w:rPr>
  </w:style>
  <w:style w:type="paragraph" w:styleId="Title">
    <w:name w:val="Title"/>
    <w:basedOn w:val="Normal"/>
    <w:next w:val="Normal"/>
    <w:link w:val="TitleChar"/>
    <w:uiPriority w:val="10"/>
    <w:qFormat/>
    <w:rsid w:val="00EC1A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A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A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A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AEC"/>
    <w:pPr>
      <w:spacing w:before="160"/>
      <w:jc w:val="center"/>
    </w:pPr>
    <w:rPr>
      <w:i/>
      <w:iCs/>
      <w:color w:val="404040" w:themeColor="text1" w:themeTint="BF"/>
    </w:rPr>
  </w:style>
  <w:style w:type="character" w:customStyle="1" w:styleId="QuoteChar">
    <w:name w:val="Quote Char"/>
    <w:basedOn w:val="DefaultParagraphFont"/>
    <w:link w:val="Quote"/>
    <w:uiPriority w:val="29"/>
    <w:rsid w:val="00EC1AEC"/>
    <w:rPr>
      <w:i/>
      <w:iCs/>
      <w:color w:val="404040" w:themeColor="text1" w:themeTint="BF"/>
    </w:rPr>
  </w:style>
  <w:style w:type="paragraph" w:styleId="ListParagraph">
    <w:name w:val="List Paragraph"/>
    <w:basedOn w:val="Normal"/>
    <w:uiPriority w:val="34"/>
    <w:qFormat/>
    <w:rsid w:val="00EC1AEC"/>
    <w:pPr>
      <w:ind w:left="720"/>
      <w:contextualSpacing/>
    </w:pPr>
  </w:style>
  <w:style w:type="character" w:styleId="IntenseEmphasis">
    <w:name w:val="Intense Emphasis"/>
    <w:basedOn w:val="DefaultParagraphFont"/>
    <w:uiPriority w:val="21"/>
    <w:qFormat/>
    <w:rsid w:val="00EC1AEC"/>
    <w:rPr>
      <w:i/>
      <w:iCs/>
      <w:color w:val="0F4761" w:themeColor="accent1" w:themeShade="BF"/>
    </w:rPr>
  </w:style>
  <w:style w:type="paragraph" w:styleId="IntenseQuote">
    <w:name w:val="Intense Quote"/>
    <w:basedOn w:val="Normal"/>
    <w:next w:val="Normal"/>
    <w:link w:val="IntenseQuoteChar"/>
    <w:uiPriority w:val="30"/>
    <w:qFormat/>
    <w:rsid w:val="00EC1A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AEC"/>
    <w:rPr>
      <w:i/>
      <w:iCs/>
      <w:color w:val="0F4761" w:themeColor="accent1" w:themeShade="BF"/>
    </w:rPr>
  </w:style>
  <w:style w:type="character" w:styleId="IntenseReference">
    <w:name w:val="Intense Reference"/>
    <w:basedOn w:val="DefaultParagraphFont"/>
    <w:uiPriority w:val="32"/>
    <w:qFormat/>
    <w:rsid w:val="00EC1AEC"/>
    <w:rPr>
      <w:b/>
      <w:bCs/>
      <w:smallCaps/>
      <w:color w:val="0F4761" w:themeColor="accent1" w:themeShade="BF"/>
      <w:spacing w:val="5"/>
    </w:rPr>
  </w:style>
  <w:style w:type="character" w:styleId="Hyperlink">
    <w:name w:val="Hyperlink"/>
    <w:basedOn w:val="DefaultParagraphFont"/>
    <w:uiPriority w:val="99"/>
    <w:unhideWhenUsed/>
    <w:rsid w:val="0027140E"/>
    <w:rPr>
      <w:color w:val="467886" w:themeColor="hyperlink"/>
      <w:u w:val="single"/>
    </w:rPr>
  </w:style>
  <w:style w:type="character" w:styleId="UnresolvedMention">
    <w:name w:val="Unresolved Mention"/>
    <w:basedOn w:val="DefaultParagraphFont"/>
    <w:uiPriority w:val="99"/>
    <w:semiHidden/>
    <w:unhideWhenUsed/>
    <w:rsid w:val="0027140E"/>
    <w:rPr>
      <w:color w:val="605E5C"/>
      <w:shd w:val="clear" w:color="auto" w:fill="E1DFDD"/>
    </w:rPr>
  </w:style>
  <w:style w:type="character" w:styleId="Emphasis">
    <w:name w:val="Emphasis"/>
    <w:basedOn w:val="DefaultParagraphFont"/>
    <w:uiPriority w:val="20"/>
    <w:qFormat/>
    <w:rsid w:val="00E70E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68451">
      <w:bodyDiv w:val="1"/>
      <w:marLeft w:val="0"/>
      <w:marRight w:val="0"/>
      <w:marTop w:val="0"/>
      <w:marBottom w:val="0"/>
      <w:divBdr>
        <w:top w:val="none" w:sz="0" w:space="0" w:color="auto"/>
        <w:left w:val="none" w:sz="0" w:space="0" w:color="auto"/>
        <w:bottom w:val="none" w:sz="0" w:space="0" w:color="auto"/>
        <w:right w:val="none" w:sz="0" w:space="0" w:color="auto"/>
      </w:divBdr>
      <w:divsChild>
        <w:div w:id="1602569974">
          <w:marLeft w:val="0"/>
          <w:marRight w:val="0"/>
          <w:marTop w:val="0"/>
          <w:marBottom w:val="0"/>
          <w:divBdr>
            <w:top w:val="none" w:sz="0" w:space="0" w:color="auto"/>
            <w:left w:val="none" w:sz="0" w:space="0" w:color="auto"/>
            <w:bottom w:val="none" w:sz="0" w:space="0" w:color="auto"/>
            <w:right w:val="none" w:sz="0" w:space="0" w:color="auto"/>
          </w:divBdr>
        </w:div>
        <w:div w:id="1755079611">
          <w:marLeft w:val="0"/>
          <w:marRight w:val="0"/>
          <w:marTop w:val="0"/>
          <w:marBottom w:val="0"/>
          <w:divBdr>
            <w:top w:val="none" w:sz="0" w:space="0" w:color="auto"/>
            <w:left w:val="none" w:sz="0" w:space="0" w:color="auto"/>
            <w:bottom w:val="none" w:sz="0" w:space="0" w:color="auto"/>
            <w:right w:val="none" w:sz="0" w:space="0" w:color="auto"/>
          </w:divBdr>
        </w:div>
        <w:div w:id="894312220">
          <w:marLeft w:val="0"/>
          <w:marRight w:val="0"/>
          <w:marTop w:val="0"/>
          <w:marBottom w:val="0"/>
          <w:divBdr>
            <w:top w:val="none" w:sz="0" w:space="0" w:color="auto"/>
            <w:left w:val="none" w:sz="0" w:space="0" w:color="auto"/>
            <w:bottom w:val="none" w:sz="0" w:space="0" w:color="auto"/>
            <w:right w:val="none" w:sz="0" w:space="0" w:color="auto"/>
          </w:divBdr>
        </w:div>
        <w:div w:id="320234163">
          <w:marLeft w:val="0"/>
          <w:marRight w:val="0"/>
          <w:marTop w:val="0"/>
          <w:marBottom w:val="0"/>
          <w:divBdr>
            <w:top w:val="none" w:sz="0" w:space="0" w:color="auto"/>
            <w:left w:val="none" w:sz="0" w:space="0" w:color="auto"/>
            <w:bottom w:val="none" w:sz="0" w:space="0" w:color="auto"/>
            <w:right w:val="none" w:sz="0" w:space="0" w:color="auto"/>
          </w:divBdr>
        </w:div>
        <w:div w:id="73742849">
          <w:marLeft w:val="0"/>
          <w:marRight w:val="0"/>
          <w:marTop w:val="0"/>
          <w:marBottom w:val="0"/>
          <w:divBdr>
            <w:top w:val="none" w:sz="0" w:space="0" w:color="auto"/>
            <w:left w:val="none" w:sz="0" w:space="0" w:color="auto"/>
            <w:bottom w:val="none" w:sz="0" w:space="0" w:color="auto"/>
            <w:right w:val="none" w:sz="0" w:space="0" w:color="auto"/>
          </w:divBdr>
        </w:div>
        <w:div w:id="1386373706">
          <w:marLeft w:val="0"/>
          <w:marRight w:val="0"/>
          <w:marTop w:val="0"/>
          <w:marBottom w:val="0"/>
          <w:divBdr>
            <w:top w:val="none" w:sz="0" w:space="0" w:color="auto"/>
            <w:left w:val="none" w:sz="0" w:space="0" w:color="auto"/>
            <w:bottom w:val="none" w:sz="0" w:space="0" w:color="auto"/>
            <w:right w:val="none" w:sz="0" w:space="0" w:color="auto"/>
          </w:divBdr>
        </w:div>
        <w:div w:id="1428383613">
          <w:marLeft w:val="0"/>
          <w:marRight w:val="0"/>
          <w:marTop w:val="0"/>
          <w:marBottom w:val="0"/>
          <w:divBdr>
            <w:top w:val="none" w:sz="0" w:space="0" w:color="auto"/>
            <w:left w:val="none" w:sz="0" w:space="0" w:color="auto"/>
            <w:bottom w:val="none" w:sz="0" w:space="0" w:color="auto"/>
            <w:right w:val="none" w:sz="0" w:space="0" w:color="auto"/>
          </w:divBdr>
        </w:div>
        <w:div w:id="1600675287">
          <w:marLeft w:val="0"/>
          <w:marRight w:val="0"/>
          <w:marTop w:val="0"/>
          <w:marBottom w:val="0"/>
          <w:divBdr>
            <w:top w:val="none" w:sz="0" w:space="0" w:color="auto"/>
            <w:left w:val="none" w:sz="0" w:space="0" w:color="auto"/>
            <w:bottom w:val="none" w:sz="0" w:space="0" w:color="auto"/>
            <w:right w:val="none" w:sz="0" w:space="0" w:color="auto"/>
          </w:divBdr>
        </w:div>
        <w:div w:id="869951445">
          <w:marLeft w:val="0"/>
          <w:marRight w:val="0"/>
          <w:marTop w:val="0"/>
          <w:marBottom w:val="0"/>
          <w:divBdr>
            <w:top w:val="none" w:sz="0" w:space="0" w:color="auto"/>
            <w:left w:val="none" w:sz="0" w:space="0" w:color="auto"/>
            <w:bottom w:val="none" w:sz="0" w:space="0" w:color="auto"/>
            <w:right w:val="none" w:sz="0" w:space="0" w:color="auto"/>
          </w:divBdr>
        </w:div>
        <w:div w:id="176505539">
          <w:marLeft w:val="0"/>
          <w:marRight w:val="0"/>
          <w:marTop w:val="0"/>
          <w:marBottom w:val="0"/>
          <w:divBdr>
            <w:top w:val="none" w:sz="0" w:space="0" w:color="auto"/>
            <w:left w:val="none" w:sz="0" w:space="0" w:color="auto"/>
            <w:bottom w:val="none" w:sz="0" w:space="0" w:color="auto"/>
            <w:right w:val="none" w:sz="0" w:space="0" w:color="auto"/>
          </w:divBdr>
        </w:div>
        <w:div w:id="1876188560">
          <w:marLeft w:val="0"/>
          <w:marRight w:val="0"/>
          <w:marTop w:val="0"/>
          <w:marBottom w:val="0"/>
          <w:divBdr>
            <w:top w:val="none" w:sz="0" w:space="0" w:color="auto"/>
            <w:left w:val="none" w:sz="0" w:space="0" w:color="auto"/>
            <w:bottom w:val="none" w:sz="0" w:space="0" w:color="auto"/>
            <w:right w:val="none" w:sz="0" w:space="0" w:color="auto"/>
          </w:divBdr>
          <w:divsChild>
            <w:div w:id="652374003">
              <w:marLeft w:val="0"/>
              <w:marRight w:val="0"/>
              <w:marTop w:val="0"/>
              <w:marBottom w:val="0"/>
              <w:divBdr>
                <w:top w:val="none" w:sz="0" w:space="0" w:color="auto"/>
                <w:left w:val="none" w:sz="0" w:space="0" w:color="auto"/>
                <w:bottom w:val="none" w:sz="0" w:space="0" w:color="auto"/>
                <w:right w:val="none" w:sz="0" w:space="0" w:color="auto"/>
              </w:divBdr>
              <w:divsChild>
                <w:div w:id="1543204179">
                  <w:marLeft w:val="0"/>
                  <w:marRight w:val="0"/>
                  <w:marTop w:val="0"/>
                  <w:marBottom w:val="0"/>
                  <w:divBdr>
                    <w:top w:val="none" w:sz="0" w:space="0" w:color="auto"/>
                    <w:left w:val="none" w:sz="0" w:space="0" w:color="auto"/>
                    <w:bottom w:val="none" w:sz="0" w:space="0" w:color="auto"/>
                    <w:right w:val="none" w:sz="0" w:space="0" w:color="auto"/>
                  </w:divBdr>
                </w:div>
                <w:div w:id="516694910">
                  <w:marLeft w:val="0"/>
                  <w:marRight w:val="0"/>
                  <w:marTop w:val="0"/>
                  <w:marBottom w:val="0"/>
                  <w:divBdr>
                    <w:top w:val="none" w:sz="0" w:space="0" w:color="auto"/>
                    <w:left w:val="none" w:sz="0" w:space="0" w:color="auto"/>
                    <w:bottom w:val="none" w:sz="0" w:space="0" w:color="auto"/>
                    <w:right w:val="none" w:sz="0" w:space="0" w:color="auto"/>
                  </w:divBdr>
                </w:div>
                <w:div w:id="889147272">
                  <w:marLeft w:val="0"/>
                  <w:marRight w:val="0"/>
                  <w:marTop w:val="0"/>
                  <w:marBottom w:val="0"/>
                  <w:divBdr>
                    <w:top w:val="none" w:sz="0" w:space="0" w:color="auto"/>
                    <w:left w:val="none" w:sz="0" w:space="0" w:color="auto"/>
                    <w:bottom w:val="none" w:sz="0" w:space="0" w:color="auto"/>
                    <w:right w:val="none" w:sz="0" w:space="0" w:color="auto"/>
                  </w:divBdr>
                </w:div>
              </w:divsChild>
            </w:div>
            <w:div w:id="161836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18071">
      <w:bodyDiv w:val="1"/>
      <w:marLeft w:val="0"/>
      <w:marRight w:val="0"/>
      <w:marTop w:val="0"/>
      <w:marBottom w:val="0"/>
      <w:divBdr>
        <w:top w:val="none" w:sz="0" w:space="0" w:color="auto"/>
        <w:left w:val="none" w:sz="0" w:space="0" w:color="auto"/>
        <w:bottom w:val="none" w:sz="0" w:space="0" w:color="auto"/>
        <w:right w:val="none" w:sz="0" w:space="0" w:color="auto"/>
      </w:divBdr>
    </w:div>
    <w:div w:id="247273340">
      <w:bodyDiv w:val="1"/>
      <w:marLeft w:val="0"/>
      <w:marRight w:val="0"/>
      <w:marTop w:val="0"/>
      <w:marBottom w:val="0"/>
      <w:divBdr>
        <w:top w:val="none" w:sz="0" w:space="0" w:color="auto"/>
        <w:left w:val="none" w:sz="0" w:space="0" w:color="auto"/>
        <w:bottom w:val="none" w:sz="0" w:space="0" w:color="auto"/>
        <w:right w:val="none" w:sz="0" w:space="0" w:color="auto"/>
      </w:divBdr>
    </w:div>
    <w:div w:id="338393864">
      <w:bodyDiv w:val="1"/>
      <w:marLeft w:val="0"/>
      <w:marRight w:val="0"/>
      <w:marTop w:val="0"/>
      <w:marBottom w:val="0"/>
      <w:divBdr>
        <w:top w:val="none" w:sz="0" w:space="0" w:color="auto"/>
        <w:left w:val="none" w:sz="0" w:space="0" w:color="auto"/>
        <w:bottom w:val="none" w:sz="0" w:space="0" w:color="auto"/>
        <w:right w:val="none" w:sz="0" w:space="0" w:color="auto"/>
      </w:divBdr>
    </w:div>
    <w:div w:id="347097685">
      <w:bodyDiv w:val="1"/>
      <w:marLeft w:val="0"/>
      <w:marRight w:val="0"/>
      <w:marTop w:val="0"/>
      <w:marBottom w:val="0"/>
      <w:divBdr>
        <w:top w:val="none" w:sz="0" w:space="0" w:color="auto"/>
        <w:left w:val="none" w:sz="0" w:space="0" w:color="auto"/>
        <w:bottom w:val="none" w:sz="0" w:space="0" w:color="auto"/>
        <w:right w:val="none" w:sz="0" w:space="0" w:color="auto"/>
      </w:divBdr>
    </w:div>
    <w:div w:id="352657031">
      <w:bodyDiv w:val="1"/>
      <w:marLeft w:val="0"/>
      <w:marRight w:val="0"/>
      <w:marTop w:val="0"/>
      <w:marBottom w:val="0"/>
      <w:divBdr>
        <w:top w:val="none" w:sz="0" w:space="0" w:color="auto"/>
        <w:left w:val="none" w:sz="0" w:space="0" w:color="auto"/>
        <w:bottom w:val="none" w:sz="0" w:space="0" w:color="auto"/>
        <w:right w:val="none" w:sz="0" w:space="0" w:color="auto"/>
      </w:divBdr>
      <w:divsChild>
        <w:div w:id="1856260062">
          <w:marLeft w:val="0"/>
          <w:marRight w:val="0"/>
          <w:marTop w:val="0"/>
          <w:marBottom w:val="0"/>
          <w:divBdr>
            <w:top w:val="none" w:sz="0" w:space="0" w:color="auto"/>
            <w:left w:val="none" w:sz="0" w:space="0" w:color="auto"/>
            <w:bottom w:val="none" w:sz="0" w:space="0" w:color="auto"/>
            <w:right w:val="none" w:sz="0" w:space="0" w:color="auto"/>
          </w:divBdr>
        </w:div>
        <w:div w:id="812406809">
          <w:marLeft w:val="0"/>
          <w:marRight w:val="0"/>
          <w:marTop w:val="0"/>
          <w:marBottom w:val="0"/>
          <w:divBdr>
            <w:top w:val="none" w:sz="0" w:space="0" w:color="auto"/>
            <w:left w:val="none" w:sz="0" w:space="0" w:color="auto"/>
            <w:bottom w:val="none" w:sz="0" w:space="0" w:color="auto"/>
            <w:right w:val="none" w:sz="0" w:space="0" w:color="auto"/>
          </w:divBdr>
        </w:div>
        <w:div w:id="1499156767">
          <w:marLeft w:val="0"/>
          <w:marRight w:val="0"/>
          <w:marTop w:val="0"/>
          <w:marBottom w:val="0"/>
          <w:divBdr>
            <w:top w:val="none" w:sz="0" w:space="0" w:color="auto"/>
            <w:left w:val="none" w:sz="0" w:space="0" w:color="auto"/>
            <w:bottom w:val="none" w:sz="0" w:space="0" w:color="auto"/>
            <w:right w:val="none" w:sz="0" w:space="0" w:color="auto"/>
          </w:divBdr>
        </w:div>
        <w:div w:id="327174488">
          <w:marLeft w:val="0"/>
          <w:marRight w:val="0"/>
          <w:marTop w:val="0"/>
          <w:marBottom w:val="0"/>
          <w:divBdr>
            <w:top w:val="none" w:sz="0" w:space="0" w:color="auto"/>
            <w:left w:val="none" w:sz="0" w:space="0" w:color="auto"/>
            <w:bottom w:val="none" w:sz="0" w:space="0" w:color="auto"/>
            <w:right w:val="none" w:sz="0" w:space="0" w:color="auto"/>
          </w:divBdr>
        </w:div>
        <w:div w:id="1106078545">
          <w:marLeft w:val="0"/>
          <w:marRight w:val="0"/>
          <w:marTop w:val="0"/>
          <w:marBottom w:val="0"/>
          <w:divBdr>
            <w:top w:val="none" w:sz="0" w:space="0" w:color="auto"/>
            <w:left w:val="none" w:sz="0" w:space="0" w:color="auto"/>
            <w:bottom w:val="none" w:sz="0" w:space="0" w:color="auto"/>
            <w:right w:val="none" w:sz="0" w:space="0" w:color="auto"/>
          </w:divBdr>
        </w:div>
        <w:div w:id="1504055576">
          <w:marLeft w:val="0"/>
          <w:marRight w:val="0"/>
          <w:marTop w:val="0"/>
          <w:marBottom w:val="0"/>
          <w:divBdr>
            <w:top w:val="none" w:sz="0" w:space="0" w:color="auto"/>
            <w:left w:val="none" w:sz="0" w:space="0" w:color="auto"/>
            <w:bottom w:val="none" w:sz="0" w:space="0" w:color="auto"/>
            <w:right w:val="none" w:sz="0" w:space="0" w:color="auto"/>
          </w:divBdr>
        </w:div>
        <w:div w:id="1383289882">
          <w:marLeft w:val="0"/>
          <w:marRight w:val="0"/>
          <w:marTop w:val="0"/>
          <w:marBottom w:val="0"/>
          <w:divBdr>
            <w:top w:val="none" w:sz="0" w:space="0" w:color="auto"/>
            <w:left w:val="none" w:sz="0" w:space="0" w:color="auto"/>
            <w:bottom w:val="none" w:sz="0" w:space="0" w:color="auto"/>
            <w:right w:val="none" w:sz="0" w:space="0" w:color="auto"/>
          </w:divBdr>
        </w:div>
        <w:div w:id="1092580844">
          <w:marLeft w:val="0"/>
          <w:marRight w:val="0"/>
          <w:marTop w:val="0"/>
          <w:marBottom w:val="0"/>
          <w:divBdr>
            <w:top w:val="none" w:sz="0" w:space="0" w:color="auto"/>
            <w:left w:val="none" w:sz="0" w:space="0" w:color="auto"/>
            <w:bottom w:val="none" w:sz="0" w:space="0" w:color="auto"/>
            <w:right w:val="none" w:sz="0" w:space="0" w:color="auto"/>
          </w:divBdr>
        </w:div>
        <w:div w:id="51008820">
          <w:marLeft w:val="0"/>
          <w:marRight w:val="0"/>
          <w:marTop w:val="0"/>
          <w:marBottom w:val="0"/>
          <w:divBdr>
            <w:top w:val="none" w:sz="0" w:space="0" w:color="auto"/>
            <w:left w:val="none" w:sz="0" w:space="0" w:color="auto"/>
            <w:bottom w:val="none" w:sz="0" w:space="0" w:color="auto"/>
            <w:right w:val="none" w:sz="0" w:space="0" w:color="auto"/>
          </w:divBdr>
        </w:div>
        <w:div w:id="1996760683">
          <w:marLeft w:val="0"/>
          <w:marRight w:val="0"/>
          <w:marTop w:val="0"/>
          <w:marBottom w:val="0"/>
          <w:divBdr>
            <w:top w:val="none" w:sz="0" w:space="0" w:color="auto"/>
            <w:left w:val="none" w:sz="0" w:space="0" w:color="auto"/>
            <w:bottom w:val="none" w:sz="0" w:space="0" w:color="auto"/>
            <w:right w:val="none" w:sz="0" w:space="0" w:color="auto"/>
          </w:divBdr>
        </w:div>
        <w:div w:id="1662192668">
          <w:marLeft w:val="0"/>
          <w:marRight w:val="0"/>
          <w:marTop w:val="0"/>
          <w:marBottom w:val="0"/>
          <w:divBdr>
            <w:top w:val="none" w:sz="0" w:space="0" w:color="auto"/>
            <w:left w:val="none" w:sz="0" w:space="0" w:color="auto"/>
            <w:bottom w:val="none" w:sz="0" w:space="0" w:color="auto"/>
            <w:right w:val="none" w:sz="0" w:space="0" w:color="auto"/>
          </w:divBdr>
        </w:div>
        <w:div w:id="131295939">
          <w:marLeft w:val="0"/>
          <w:marRight w:val="0"/>
          <w:marTop w:val="0"/>
          <w:marBottom w:val="0"/>
          <w:divBdr>
            <w:top w:val="none" w:sz="0" w:space="0" w:color="auto"/>
            <w:left w:val="none" w:sz="0" w:space="0" w:color="auto"/>
            <w:bottom w:val="none" w:sz="0" w:space="0" w:color="auto"/>
            <w:right w:val="none" w:sz="0" w:space="0" w:color="auto"/>
          </w:divBdr>
        </w:div>
        <w:div w:id="1509952494">
          <w:marLeft w:val="0"/>
          <w:marRight w:val="0"/>
          <w:marTop w:val="0"/>
          <w:marBottom w:val="0"/>
          <w:divBdr>
            <w:top w:val="none" w:sz="0" w:space="0" w:color="auto"/>
            <w:left w:val="none" w:sz="0" w:space="0" w:color="auto"/>
            <w:bottom w:val="none" w:sz="0" w:space="0" w:color="auto"/>
            <w:right w:val="none" w:sz="0" w:space="0" w:color="auto"/>
          </w:divBdr>
        </w:div>
        <w:div w:id="1043099584">
          <w:marLeft w:val="0"/>
          <w:marRight w:val="0"/>
          <w:marTop w:val="0"/>
          <w:marBottom w:val="0"/>
          <w:divBdr>
            <w:top w:val="none" w:sz="0" w:space="0" w:color="auto"/>
            <w:left w:val="none" w:sz="0" w:space="0" w:color="auto"/>
            <w:bottom w:val="none" w:sz="0" w:space="0" w:color="auto"/>
            <w:right w:val="none" w:sz="0" w:space="0" w:color="auto"/>
          </w:divBdr>
        </w:div>
        <w:div w:id="1153184598">
          <w:marLeft w:val="0"/>
          <w:marRight w:val="0"/>
          <w:marTop w:val="0"/>
          <w:marBottom w:val="0"/>
          <w:divBdr>
            <w:top w:val="none" w:sz="0" w:space="0" w:color="auto"/>
            <w:left w:val="none" w:sz="0" w:space="0" w:color="auto"/>
            <w:bottom w:val="none" w:sz="0" w:space="0" w:color="auto"/>
            <w:right w:val="none" w:sz="0" w:space="0" w:color="auto"/>
          </w:divBdr>
        </w:div>
        <w:div w:id="2013876263">
          <w:marLeft w:val="0"/>
          <w:marRight w:val="0"/>
          <w:marTop w:val="0"/>
          <w:marBottom w:val="0"/>
          <w:divBdr>
            <w:top w:val="none" w:sz="0" w:space="0" w:color="auto"/>
            <w:left w:val="none" w:sz="0" w:space="0" w:color="auto"/>
            <w:bottom w:val="none" w:sz="0" w:space="0" w:color="auto"/>
            <w:right w:val="none" w:sz="0" w:space="0" w:color="auto"/>
          </w:divBdr>
        </w:div>
      </w:divsChild>
    </w:div>
    <w:div w:id="364260868">
      <w:bodyDiv w:val="1"/>
      <w:marLeft w:val="0"/>
      <w:marRight w:val="0"/>
      <w:marTop w:val="0"/>
      <w:marBottom w:val="0"/>
      <w:divBdr>
        <w:top w:val="none" w:sz="0" w:space="0" w:color="auto"/>
        <w:left w:val="none" w:sz="0" w:space="0" w:color="auto"/>
        <w:bottom w:val="none" w:sz="0" w:space="0" w:color="auto"/>
        <w:right w:val="none" w:sz="0" w:space="0" w:color="auto"/>
      </w:divBdr>
    </w:div>
    <w:div w:id="489176025">
      <w:bodyDiv w:val="1"/>
      <w:marLeft w:val="0"/>
      <w:marRight w:val="0"/>
      <w:marTop w:val="0"/>
      <w:marBottom w:val="0"/>
      <w:divBdr>
        <w:top w:val="none" w:sz="0" w:space="0" w:color="auto"/>
        <w:left w:val="none" w:sz="0" w:space="0" w:color="auto"/>
        <w:bottom w:val="none" w:sz="0" w:space="0" w:color="auto"/>
        <w:right w:val="none" w:sz="0" w:space="0" w:color="auto"/>
      </w:divBdr>
    </w:div>
    <w:div w:id="568424311">
      <w:bodyDiv w:val="1"/>
      <w:marLeft w:val="0"/>
      <w:marRight w:val="0"/>
      <w:marTop w:val="0"/>
      <w:marBottom w:val="0"/>
      <w:divBdr>
        <w:top w:val="none" w:sz="0" w:space="0" w:color="auto"/>
        <w:left w:val="none" w:sz="0" w:space="0" w:color="auto"/>
        <w:bottom w:val="none" w:sz="0" w:space="0" w:color="auto"/>
        <w:right w:val="none" w:sz="0" w:space="0" w:color="auto"/>
      </w:divBdr>
    </w:div>
    <w:div w:id="698700706">
      <w:bodyDiv w:val="1"/>
      <w:marLeft w:val="0"/>
      <w:marRight w:val="0"/>
      <w:marTop w:val="0"/>
      <w:marBottom w:val="0"/>
      <w:divBdr>
        <w:top w:val="none" w:sz="0" w:space="0" w:color="auto"/>
        <w:left w:val="none" w:sz="0" w:space="0" w:color="auto"/>
        <w:bottom w:val="none" w:sz="0" w:space="0" w:color="auto"/>
        <w:right w:val="none" w:sz="0" w:space="0" w:color="auto"/>
      </w:divBdr>
    </w:div>
    <w:div w:id="745686250">
      <w:bodyDiv w:val="1"/>
      <w:marLeft w:val="0"/>
      <w:marRight w:val="0"/>
      <w:marTop w:val="0"/>
      <w:marBottom w:val="0"/>
      <w:divBdr>
        <w:top w:val="none" w:sz="0" w:space="0" w:color="auto"/>
        <w:left w:val="none" w:sz="0" w:space="0" w:color="auto"/>
        <w:bottom w:val="none" w:sz="0" w:space="0" w:color="auto"/>
        <w:right w:val="none" w:sz="0" w:space="0" w:color="auto"/>
      </w:divBdr>
    </w:div>
    <w:div w:id="938758752">
      <w:bodyDiv w:val="1"/>
      <w:marLeft w:val="0"/>
      <w:marRight w:val="0"/>
      <w:marTop w:val="0"/>
      <w:marBottom w:val="0"/>
      <w:divBdr>
        <w:top w:val="none" w:sz="0" w:space="0" w:color="auto"/>
        <w:left w:val="none" w:sz="0" w:space="0" w:color="auto"/>
        <w:bottom w:val="none" w:sz="0" w:space="0" w:color="auto"/>
        <w:right w:val="none" w:sz="0" w:space="0" w:color="auto"/>
      </w:divBdr>
    </w:div>
    <w:div w:id="1089471422">
      <w:bodyDiv w:val="1"/>
      <w:marLeft w:val="0"/>
      <w:marRight w:val="0"/>
      <w:marTop w:val="0"/>
      <w:marBottom w:val="0"/>
      <w:divBdr>
        <w:top w:val="none" w:sz="0" w:space="0" w:color="auto"/>
        <w:left w:val="none" w:sz="0" w:space="0" w:color="auto"/>
        <w:bottom w:val="none" w:sz="0" w:space="0" w:color="auto"/>
        <w:right w:val="none" w:sz="0" w:space="0" w:color="auto"/>
      </w:divBdr>
    </w:div>
    <w:div w:id="1127047031">
      <w:bodyDiv w:val="1"/>
      <w:marLeft w:val="0"/>
      <w:marRight w:val="0"/>
      <w:marTop w:val="0"/>
      <w:marBottom w:val="0"/>
      <w:divBdr>
        <w:top w:val="none" w:sz="0" w:space="0" w:color="auto"/>
        <w:left w:val="none" w:sz="0" w:space="0" w:color="auto"/>
        <w:bottom w:val="none" w:sz="0" w:space="0" w:color="auto"/>
        <w:right w:val="none" w:sz="0" w:space="0" w:color="auto"/>
      </w:divBdr>
    </w:div>
    <w:div w:id="1244610657">
      <w:bodyDiv w:val="1"/>
      <w:marLeft w:val="0"/>
      <w:marRight w:val="0"/>
      <w:marTop w:val="0"/>
      <w:marBottom w:val="0"/>
      <w:divBdr>
        <w:top w:val="none" w:sz="0" w:space="0" w:color="auto"/>
        <w:left w:val="none" w:sz="0" w:space="0" w:color="auto"/>
        <w:bottom w:val="none" w:sz="0" w:space="0" w:color="auto"/>
        <w:right w:val="none" w:sz="0" w:space="0" w:color="auto"/>
      </w:divBdr>
    </w:div>
    <w:div w:id="1262302270">
      <w:bodyDiv w:val="1"/>
      <w:marLeft w:val="0"/>
      <w:marRight w:val="0"/>
      <w:marTop w:val="0"/>
      <w:marBottom w:val="0"/>
      <w:divBdr>
        <w:top w:val="none" w:sz="0" w:space="0" w:color="auto"/>
        <w:left w:val="none" w:sz="0" w:space="0" w:color="auto"/>
        <w:bottom w:val="none" w:sz="0" w:space="0" w:color="auto"/>
        <w:right w:val="none" w:sz="0" w:space="0" w:color="auto"/>
      </w:divBdr>
    </w:div>
    <w:div w:id="1273711041">
      <w:bodyDiv w:val="1"/>
      <w:marLeft w:val="0"/>
      <w:marRight w:val="0"/>
      <w:marTop w:val="0"/>
      <w:marBottom w:val="0"/>
      <w:divBdr>
        <w:top w:val="none" w:sz="0" w:space="0" w:color="auto"/>
        <w:left w:val="none" w:sz="0" w:space="0" w:color="auto"/>
        <w:bottom w:val="none" w:sz="0" w:space="0" w:color="auto"/>
        <w:right w:val="none" w:sz="0" w:space="0" w:color="auto"/>
      </w:divBdr>
    </w:div>
    <w:div w:id="1306668093">
      <w:bodyDiv w:val="1"/>
      <w:marLeft w:val="0"/>
      <w:marRight w:val="0"/>
      <w:marTop w:val="0"/>
      <w:marBottom w:val="0"/>
      <w:divBdr>
        <w:top w:val="none" w:sz="0" w:space="0" w:color="auto"/>
        <w:left w:val="none" w:sz="0" w:space="0" w:color="auto"/>
        <w:bottom w:val="none" w:sz="0" w:space="0" w:color="auto"/>
        <w:right w:val="none" w:sz="0" w:space="0" w:color="auto"/>
      </w:divBdr>
    </w:div>
    <w:div w:id="1316182486">
      <w:bodyDiv w:val="1"/>
      <w:marLeft w:val="0"/>
      <w:marRight w:val="0"/>
      <w:marTop w:val="0"/>
      <w:marBottom w:val="0"/>
      <w:divBdr>
        <w:top w:val="none" w:sz="0" w:space="0" w:color="auto"/>
        <w:left w:val="none" w:sz="0" w:space="0" w:color="auto"/>
        <w:bottom w:val="none" w:sz="0" w:space="0" w:color="auto"/>
        <w:right w:val="none" w:sz="0" w:space="0" w:color="auto"/>
      </w:divBdr>
    </w:div>
    <w:div w:id="1325277713">
      <w:bodyDiv w:val="1"/>
      <w:marLeft w:val="0"/>
      <w:marRight w:val="0"/>
      <w:marTop w:val="0"/>
      <w:marBottom w:val="0"/>
      <w:divBdr>
        <w:top w:val="none" w:sz="0" w:space="0" w:color="auto"/>
        <w:left w:val="none" w:sz="0" w:space="0" w:color="auto"/>
        <w:bottom w:val="none" w:sz="0" w:space="0" w:color="auto"/>
        <w:right w:val="none" w:sz="0" w:space="0" w:color="auto"/>
      </w:divBdr>
    </w:div>
    <w:div w:id="1414467962">
      <w:bodyDiv w:val="1"/>
      <w:marLeft w:val="0"/>
      <w:marRight w:val="0"/>
      <w:marTop w:val="0"/>
      <w:marBottom w:val="0"/>
      <w:divBdr>
        <w:top w:val="none" w:sz="0" w:space="0" w:color="auto"/>
        <w:left w:val="none" w:sz="0" w:space="0" w:color="auto"/>
        <w:bottom w:val="none" w:sz="0" w:space="0" w:color="auto"/>
        <w:right w:val="none" w:sz="0" w:space="0" w:color="auto"/>
      </w:divBdr>
    </w:div>
    <w:div w:id="1437408721">
      <w:bodyDiv w:val="1"/>
      <w:marLeft w:val="0"/>
      <w:marRight w:val="0"/>
      <w:marTop w:val="0"/>
      <w:marBottom w:val="0"/>
      <w:divBdr>
        <w:top w:val="none" w:sz="0" w:space="0" w:color="auto"/>
        <w:left w:val="none" w:sz="0" w:space="0" w:color="auto"/>
        <w:bottom w:val="none" w:sz="0" w:space="0" w:color="auto"/>
        <w:right w:val="none" w:sz="0" w:space="0" w:color="auto"/>
      </w:divBdr>
    </w:div>
    <w:div w:id="1457484905">
      <w:bodyDiv w:val="1"/>
      <w:marLeft w:val="0"/>
      <w:marRight w:val="0"/>
      <w:marTop w:val="0"/>
      <w:marBottom w:val="0"/>
      <w:divBdr>
        <w:top w:val="none" w:sz="0" w:space="0" w:color="auto"/>
        <w:left w:val="none" w:sz="0" w:space="0" w:color="auto"/>
        <w:bottom w:val="none" w:sz="0" w:space="0" w:color="auto"/>
        <w:right w:val="none" w:sz="0" w:space="0" w:color="auto"/>
      </w:divBdr>
    </w:div>
    <w:div w:id="1483699228">
      <w:bodyDiv w:val="1"/>
      <w:marLeft w:val="0"/>
      <w:marRight w:val="0"/>
      <w:marTop w:val="0"/>
      <w:marBottom w:val="0"/>
      <w:divBdr>
        <w:top w:val="none" w:sz="0" w:space="0" w:color="auto"/>
        <w:left w:val="none" w:sz="0" w:space="0" w:color="auto"/>
        <w:bottom w:val="none" w:sz="0" w:space="0" w:color="auto"/>
        <w:right w:val="none" w:sz="0" w:space="0" w:color="auto"/>
      </w:divBdr>
    </w:div>
    <w:div w:id="1497380445">
      <w:bodyDiv w:val="1"/>
      <w:marLeft w:val="0"/>
      <w:marRight w:val="0"/>
      <w:marTop w:val="0"/>
      <w:marBottom w:val="0"/>
      <w:divBdr>
        <w:top w:val="none" w:sz="0" w:space="0" w:color="auto"/>
        <w:left w:val="none" w:sz="0" w:space="0" w:color="auto"/>
        <w:bottom w:val="none" w:sz="0" w:space="0" w:color="auto"/>
        <w:right w:val="none" w:sz="0" w:space="0" w:color="auto"/>
      </w:divBdr>
    </w:div>
    <w:div w:id="1637024909">
      <w:bodyDiv w:val="1"/>
      <w:marLeft w:val="0"/>
      <w:marRight w:val="0"/>
      <w:marTop w:val="0"/>
      <w:marBottom w:val="0"/>
      <w:divBdr>
        <w:top w:val="none" w:sz="0" w:space="0" w:color="auto"/>
        <w:left w:val="none" w:sz="0" w:space="0" w:color="auto"/>
        <w:bottom w:val="none" w:sz="0" w:space="0" w:color="auto"/>
        <w:right w:val="none" w:sz="0" w:space="0" w:color="auto"/>
      </w:divBdr>
    </w:div>
    <w:div w:id="1642930121">
      <w:bodyDiv w:val="1"/>
      <w:marLeft w:val="0"/>
      <w:marRight w:val="0"/>
      <w:marTop w:val="0"/>
      <w:marBottom w:val="0"/>
      <w:divBdr>
        <w:top w:val="none" w:sz="0" w:space="0" w:color="auto"/>
        <w:left w:val="none" w:sz="0" w:space="0" w:color="auto"/>
        <w:bottom w:val="none" w:sz="0" w:space="0" w:color="auto"/>
        <w:right w:val="none" w:sz="0" w:space="0" w:color="auto"/>
      </w:divBdr>
    </w:div>
    <w:div w:id="1646930761">
      <w:bodyDiv w:val="1"/>
      <w:marLeft w:val="0"/>
      <w:marRight w:val="0"/>
      <w:marTop w:val="0"/>
      <w:marBottom w:val="0"/>
      <w:divBdr>
        <w:top w:val="none" w:sz="0" w:space="0" w:color="auto"/>
        <w:left w:val="none" w:sz="0" w:space="0" w:color="auto"/>
        <w:bottom w:val="none" w:sz="0" w:space="0" w:color="auto"/>
        <w:right w:val="none" w:sz="0" w:space="0" w:color="auto"/>
      </w:divBdr>
    </w:div>
    <w:div w:id="1664426411">
      <w:bodyDiv w:val="1"/>
      <w:marLeft w:val="0"/>
      <w:marRight w:val="0"/>
      <w:marTop w:val="0"/>
      <w:marBottom w:val="0"/>
      <w:divBdr>
        <w:top w:val="none" w:sz="0" w:space="0" w:color="auto"/>
        <w:left w:val="none" w:sz="0" w:space="0" w:color="auto"/>
        <w:bottom w:val="none" w:sz="0" w:space="0" w:color="auto"/>
        <w:right w:val="none" w:sz="0" w:space="0" w:color="auto"/>
      </w:divBdr>
      <w:divsChild>
        <w:div w:id="2029212935">
          <w:marLeft w:val="0"/>
          <w:marRight w:val="0"/>
          <w:marTop w:val="0"/>
          <w:marBottom w:val="0"/>
          <w:divBdr>
            <w:top w:val="none" w:sz="0" w:space="0" w:color="auto"/>
            <w:left w:val="none" w:sz="0" w:space="0" w:color="auto"/>
            <w:bottom w:val="none" w:sz="0" w:space="0" w:color="auto"/>
            <w:right w:val="none" w:sz="0" w:space="0" w:color="auto"/>
          </w:divBdr>
          <w:divsChild>
            <w:div w:id="1613587980">
              <w:marLeft w:val="0"/>
              <w:marRight w:val="0"/>
              <w:marTop w:val="0"/>
              <w:marBottom w:val="0"/>
              <w:divBdr>
                <w:top w:val="none" w:sz="0" w:space="0" w:color="auto"/>
                <w:left w:val="none" w:sz="0" w:space="0" w:color="auto"/>
                <w:bottom w:val="none" w:sz="0" w:space="0" w:color="auto"/>
                <w:right w:val="none" w:sz="0" w:space="0" w:color="auto"/>
              </w:divBdr>
              <w:divsChild>
                <w:div w:id="1270964053">
                  <w:marLeft w:val="0"/>
                  <w:marRight w:val="0"/>
                  <w:marTop w:val="0"/>
                  <w:marBottom w:val="0"/>
                  <w:divBdr>
                    <w:top w:val="none" w:sz="0" w:space="0" w:color="auto"/>
                    <w:left w:val="none" w:sz="0" w:space="0" w:color="auto"/>
                    <w:bottom w:val="none" w:sz="0" w:space="0" w:color="auto"/>
                    <w:right w:val="none" w:sz="0" w:space="0" w:color="auto"/>
                  </w:divBdr>
                  <w:divsChild>
                    <w:div w:id="210646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171262">
          <w:marLeft w:val="0"/>
          <w:marRight w:val="0"/>
          <w:marTop w:val="0"/>
          <w:marBottom w:val="0"/>
          <w:divBdr>
            <w:top w:val="none" w:sz="0" w:space="0" w:color="auto"/>
            <w:left w:val="none" w:sz="0" w:space="0" w:color="auto"/>
            <w:bottom w:val="none" w:sz="0" w:space="0" w:color="auto"/>
            <w:right w:val="none" w:sz="0" w:space="0" w:color="auto"/>
          </w:divBdr>
          <w:divsChild>
            <w:div w:id="1614049467">
              <w:marLeft w:val="0"/>
              <w:marRight w:val="0"/>
              <w:marTop w:val="0"/>
              <w:marBottom w:val="0"/>
              <w:divBdr>
                <w:top w:val="none" w:sz="0" w:space="0" w:color="auto"/>
                <w:left w:val="none" w:sz="0" w:space="0" w:color="auto"/>
                <w:bottom w:val="none" w:sz="0" w:space="0" w:color="auto"/>
                <w:right w:val="none" w:sz="0" w:space="0" w:color="auto"/>
              </w:divBdr>
              <w:divsChild>
                <w:div w:id="89857859">
                  <w:marLeft w:val="0"/>
                  <w:marRight w:val="0"/>
                  <w:marTop w:val="0"/>
                  <w:marBottom w:val="0"/>
                  <w:divBdr>
                    <w:top w:val="none" w:sz="0" w:space="0" w:color="auto"/>
                    <w:left w:val="none" w:sz="0" w:space="0" w:color="auto"/>
                    <w:bottom w:val="none" w:sz="0" w:space="0" w:color="auto"/>
                    <w:right w:val="none" w:sz="0" w:space="0" w:color="auto"/>
                  </w:divBdr>
                  <w:divsChild>
                    <w:div w:id="1881162527">
                      <w:marLeft w:val="0"/>
                      <w:marRight w:val="0"/>
                      <w:marTop w:val="0"/>
                      <w:marBottom w:val="0"/>
                      <w:divBdr>
                        <w:top w:val="none" w:sz="0" w:space="0" w:color="auto"/>
                        <w:left w:val="none" w:sz="0" w:space="0" w:color="auto"/>
                        <w:bottom w:val="none" w:sz="0" w:space="0" w:color="auto"/>
                        <w:right w:val="none" w:sz="0" w:space="0" w:color="auto"/>
                      </w:divBdr>
                      <w:divsChild>
                        <w:div w:id="53361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5935012">
      <w:bodyDiv w:val="1"/>
      <w:marLeft w:val="0"/>
      <w:marRight w:val="0"/>
      <w:marTop w:val="0"/>
      <w:marBottom w:val="0"/>
      <w:divBdr>
        <w:top w:val="none" w:sz="0" w:space="0" w:color="auto"/>
        <w:left w:val="none" w:sz="0" w:space="0" w:color="auto"/>
        <w:bottom w:val="none" w:sz="0" w:space="0" w:color="auto"/>
        <w:right w:val="none" w:sz="0" w:space="0" w:color="auto"/>
      </w:divBdr>
    </w:div>
    <w:div w:id="1756199801">
      <w:bodyDiv w:val="1"/>
      <w:marLeft w:val="0"/>
      <w:marRight w:val="0"/>
      <w:marTop w:val="0"/>
      <w:marBottom w:val="0"/>
      <w:divBdr>
        <w:top w:val="none" w:sz="0" w:space="0" w:color="auto"/>
        <w:left w:val="none" w:sz="0" w:space="0" w:color="auto"/>
        <w:bottom w:val="none" w:sz="0" w:space="0" w:color="auto"/>
        <w:right w:val="none" w:sz="0" w:space="0" w:color="auto"/>
      </w:divBdr>
    </w:div>
    <w:div w:id="1791700838">
      <w:bodyDiv w:val="1"/>
      <w:marLeft w:val="0"/>
      <w:marRight w:val="0"/>
      <w:marTop w:val="0"/>
      <w:marBottom w:val="0"/>
      <w:divBdr>
        <w:top w:val="none" w:sz="0" w:space="0" w:color="auto"/>
        <w:left w:val="none" w:sz="0" w:space="0" w:color="auto"/>
        <w:bottom w:val="none" w:sz="0" w:space="0" w:color="auto"/>
        <w:right w:val="none" w:sz="0" w:space="0" w:color="auto"/>
      </w:divBdr>
    </w:div>
    <w:div w:id="1805199659">
      <w:bodyDiv w:val="1"/>
      <w:marLeft w:val="0"/>
      <w:marRight w:val="0"/>
      <w:marTop w:val="0"/>
      <w:marBottom w:val="0"/>
      <w:divBdr>
        <w:top w:val="none" w:sz="0" w:space="0" w:color="auto"/>
        <w:left w:val="none" w:sz="0" w:space="0" w:color="auto"/>
        <w:bottom w:val="none" w:sz="0" w:space="0" w:color="auto"/>
        <w:right w:val="none" w:sz="0" w:space="0" w:color="auto"/>
      </w:divBdr>
      <w:divsChild>
        <w:div w:id="1266037631">
          <w:marLeft w:val="0"/>
          <w:marRight w:val="0"/>
          <w:marTop w:val="0"/>
          <w:marBottom w:val="0"/>
          <w:divBdr>
            <w:top w:val="none" w:sz="0" w:space="0" w:color="auto"/>
            <w:left w:val="none" w:sz="0" w:space="0" w:color="auto"/>
            <w:bottom w:val="none" w:sz="0" w:space="0" w:color="auto"/>
            <w:right w:val="none" w:sz="0" w:space="0" w:color="auto"/>
          </w:divBdr>
          <w:divsChild>
            <w:div w:id="571963345">
              <w:marLeft w:val="0"/>
              <w:marRight w:val="0"/>
              <w:marTop w:val="0"/>
              <w:marBottom w:val="0"/>
              <w:divBdr>
                <w:top w:val="none" w:sz="0" w:space="0" w:color="auto"/>
                <w:left w:val="none" w:sz="0" w:space="0" w:color="auto"/>
                <w:bottom w:val="none" w:sz="0" w:space="0" w:color="auto"/>
                <w:right w:val="none" w:sz="0" w:space="0" w:color="auto"/>
              </w:divBdr>
              <w:divsChild>
                <w:div w:id="530192073">
                  <w:marLeft w:val="0"/>
                  <w:marRight w:val="0"/>
                  <w:marTop w:val="0"/>
                  <w:marBottom w:val="0"/>
                  <w:divBdr>
                    <w:top w:val="none" w:sz="0" w:space="0" w:color="auto"/>
                    <w:left w:val="none" w:sz="0" w:space="0" w:color="auto"/>
                    <w:bottom w:val="none" w:sz="0" w:space="0" w:color="auto"/>
                    <w:right w:val="none" w:sz="0" w:space="0" w:color="auto"/>
                  </w:divBdr>
                  <w:divsChild>
                    <w:div w:id="840704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831865">
          <w:marLeft w:val="0"/>
          <w:marRight w:val="0"/>
          <w:marTop w:val="0"/>
          <w:marBottom w:val="0"/>
          <w:divBdr>
            <w:top w:val="none" w:sz="0" w:space="0" w:color="auto"/>
            <w:left w:val="none" w:sz="0" w:space="0" w:color="auto"/>
            <w:bottom w:val="none" w:sz="0" w:space="0" w:color="auto"/>
            <w:right w:val="none" w:sz="0" w:space="0" w:color="auto"/>
          </w:divBdr>
          <w:divsChild>
            <w:div w:id="277883491">
              <w:marLeft w:val="0"/>
              <w:marRight w:val="0"/>
              <w:marTop w:val="0"/>
              <w:marBottom w:val="0"/>
              <w:divBdr>
                <w:top w:val="none" w:sz="0" w:space="0" w:color="auto"/>
                <w:left w:val="none" w:sz="0" w:space="0" w:color="auto"/>
                <w:bottom w:val="none" w:sz="0" w:space="0" w:color="auto"/>
                <w:right w:val="none" w:sz="0" w:space="0" w:color="auto"/>
              </w:divBdr>
              <w:divsChild>
                <w:div w:id="1644653616">
                  <w:marLeft w:val="0"/>
                  <w:marRight w:val="0"/>
                  <w:marTop w:val="0"/>
                  <w:marBottom w:val="0"/>
                  <w:divBdr>
                    <w:top w:val="none" w:sz="0" w:space="0" w:color="auto"/>
                    <w:left w:val="none" w:sz="0" w:space="0" w:color="auto"/>
                    <w:bottom w:val="none" w:sz="0" w:space="0" w:color="auto"/>
                    <w:right w:val="none" w:sz="0" w:space="0" w:color="auto"/>
                  </w:divBdr>
                  <w:divsChild>
                    <w:div w:id="1844122711">
                      <w:marLeft w:val="0"/>
                      <w:marRight w:val="0"/>
                      <w:marTop w:val="0"/>
                      <w:marBottom w:val="0"/>
                      <w:divBdr>
                        <w:top w:val="none" w:sz="0" w:space="0" w:color="auto"/>
                        <w:left w:val="none" w:sz="0" w:space="0" w:color="auto"/>
                        <w:bottom w:val="none" w:sz="0" w:space="0" w:color="auto"/>
                        <w:right w:val="none" w:sz="0" w:space="0" w:color="auto"/>
                      </w:divBdr>
                      <w:divsChild>
                        <w:div w:id="95317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936760">
      <w:bodyDiv w:val="1"/>
      <w:marLeft w:val="0"/>
      <w:marRight w:val="0"/>
      <w:marTop w:val="0"/>
      <w:marBottom w:val="0"/>
      <w:divBdr>
        <w:top w:val="none" w:sz="0" w:space="0" w:color="auto"/>
        <w:left w:val="none" w:sz="0" w:space="0" w:color="auto"/>
        <w:bottom w:val="none" w:sz="0" w:space="0" w:color="auto"/>
        <w:right w:val="none" w:sz="0" w:space="0" w:color="auto"/>
      </w:divBdr>
    </w:div>
    <w:div w:id="1887444281">
      <w:bodyDiv w:val="1"/>
      <w:marLeft w:val="0"/>
      <w:marRight w:val="0"/>
      <w:marTop w:val="0"/>
      <w:marBottom w:val="0"/>
      <w:divBdr>
        <w:top w:val="none" w:sz="0" w:space="0" w:color="auto"/>
        <w:left w:val="none" w:sz="0" w:space="0" w:color="auto"/>
        <w:bottom w:val="none" w:sz="0" w:space="0" w:color="auto"/>
        <w:right w:val="none" w:sz="0" w:space="0" w:color="auto"/>
      </w:divBdr>
    </w:div>
    <w:div w:id="1936743307">
      <w:bodyDiv w:val="1"/>
      <w:marLeft w:val="0"/>
      <w:marRight w:val="0"/>
      <w:marTop w:val="0"/>
      <w:marBottom w:val="0"/>
      <w:divBdr>
        <w:top w:val="none" w:sz="0" w:space="0" w:color="auto"/>
        <w:left w:val="none" w:sz="0" w:space="0" w:color="auto"/>
        <w:bottom w:val="none" w:sz="0" w:space="0" w:color="auto"/>
        <w:right w:val="none" w:sz="0" w:space="0" w:color="auto"/>
      </w:divBdr>
    </w:div>
    <w:div w:id="2065374252">
      <w:bodyDiv w:val="1"/>
      <w:marLeft w:val="0"/>
      <w:marRight w:val="0"/>
      <w:marTop w:val="0"/>
      <w:marBottom w:val="0"/>
      <w:divBdr>
        <w:top w:val="none" w:sz="0" w:space="0" w:color="auto"/>
        <w:left w:val="none" w:sz="0" w:space="0" w:color="auto"/>
        <w:bottom w:val="none" w:sz="0" w:space="0" w:color="auto"/>
        <w:right w:val="none" w:sz="0" w:space="0" w:color="auto"/>
      </w:divBdr>
      <w:divsChild>
        <w:div w:id="662583467">
          <w:marLeft w:val="0"/>
          <w:marRight w:val="0"/>
          <w:marTop w:val="0"/>
          <w:marBottom w:val="0"/>
          <w:divBdr>
            <w:top w:val="none" w:sz="0" w:space="0" w:color="auto"/>
            <w:left w:val="none" w:sz="0" w:space="0" w:color="auto"/>
            <w:bottom w:val="none" w:sz="0" w:space="0" w:color="auto"/>
            <w:right w:val="none" w:sz="0" w:space="0" w:color="auto"/>
          </w:divBdr>
        </w:div>
        <w:div w:id="19089243">
          <w:marLeft w:val="0"/>
          <w:marRight w:val="0"/>
          <w:marTop w:val="0"/>
          <w:marBottom w:val="0"/>
          <w:divBdr>
            <w:top w:val="none" w:sz="0" w:space="0" w:color="auto"/>
            <w:left w:val="none" w:sz="0" w:space="0" w:color="auto"/>
            <w:bottom w:val="none" w:sz="0" w:space="0" w:color="auto"/>
            <w:right w:val="none" w:sz="0" w:space="0" w:color="auto"/>
          </w:divBdr>
        </w:div>
        <w:div w:id="96102136">
          <w:marLeft w:val="0"/>
          <w:marRight w:val="0"/>
          <w:marTop w:val="0"/>
          <w:marBottom w:val="0"/>
          <w:divBdr>
            <w:top w:val="none" w:sz="0" w:space="0" w:color="auto"/>
            <w:left w:val="none" w:sz="0" w:space="0" w:color="auto"/>
            <w:bottom w:val="none" w:sz="0" w:space="0" w:color="auto"/>
            <w:right w:val="none" w:sz="0" w:space="0" w:color="auto"/>
          </w:divBdr>
        </w:div>
        <w:div w:id="1404059528">
          <w:marLeft w:val="0"/>
          <w:marRight w:val="0"/>
          <w:marTop w:val="0"/>
          <w:marBottom w:val="0"/>
          <w:divBdr>
            <w:top w:val="none" w:sz="0" w:space="0" w:color="auto"/>
            <w:left w:val="none" w:sz="0" w:space="0" w:color="auto"/>
            <w:bottom w:val="none" w:sz="0" w:space="0" w:color="auto"/>
            <w:right w:val="none" w:sz="0" w:space="0" w:color="auto"/>
          </w:divBdr>
        </w:div>
        <w:div w:id="1839802835">
          <w:marLeft w:val="0"/>
          <w:marRight w:val="0"/>
          <w:marTop w:val="0"/>
          <w:marBottom w:val="0"/>
          <w:divBdr>
            <w:top w:val="none" w:sz="0" w:space="0" w:color="auto"/>
            <w:left w:val="none" w:sz="0" w:space="0" w:color="auto"/>
            <w:bottom w:val="none" w:sz="0" w:space="0" w:color="auto"/>
            <w:right w:val="none" w:sz="0" w:space="0" w:color="auto"/>
          </w:divBdr>
        </w:div>
        <w:div w:id="577666528">
          <w:marLeft w:val="0"/>
          <w:marRight w:val="0"/>
          <w:marTop w:val="0"/>
          <w:marBottom w:val="0"/>
          <w:divBdr>
            <w:top w:val="none" w:sz="0" w:space="0" w:color="auto"/>
            <w:left w:val="none" w:sz="0" w:space="0" w:color="auto"/>
            <w:bottom w:val="none" w:sz="0" w:space="0" w:color="auto"/>
            <w:right w:val="none" w:sz="0" w:space="0" w:color="auto"/>
          </w:divBdr>
        </w:div>
        <w:div w:id="960847279">
          <w:marLeft w:val="0"/>
          <w:marRight w:val="0"/>
          <w:marTop w:val="0"/>
          <w:marBottom w:val="0"/>
          <w:divBdr>
            <w:top w:val="none" w:sz="0" w:space="0" w:color="auto"/>
            <w:left w:val="none" w:sz="0" w:space="0" w:color="auto"/>
            <w:bottom w:val="none" w:sz="0" w:space="0" w:color="auto"/>
            <w:right w:val="none" w:sz="0" w:space="0" w:color="auto"/>
          </w:divBdr>
        </w:div>
        <w:div w:id="931471840">
          <w:marLeft w:val="0"/>
          <w:marRight w:val="0"/>
          <w:marTop w:val="0"/>
          <w:marBottom w:val="0"/>
          <w:divBdr>
            <w:top w:val="none" w:sz="0" w:space="0" w:color="auto"/>
            <w:left w:val="none" w:sz="0" w:space="0" w:color="auto"/>
            <w:bottom w:val="none" w:sz="0" w:space="0" w:color="auto"/>
            <w:right w:val="none" w:sz="0" w:space="0" w:color="auto"/>
          </w:divBdr>
        </w:div>
        <w:div w:id="719016028">
          <w:marLeft w:val="0"/>
          <w:marRight w:val="0"/>
          <w:marTop w:val="0"/>
          <w:marBottom w:val="0"/>
          <w:divBdr>
            <w:top w:val="none" w:sz="0" w:space="0" w:color="auto"/>
            <w:left w:val="none" w:sz="0" w:space="0" w:color="auto"/>
            <w:bottom w:val="none" w:sz="0" w:space="0" w:color="auto"/>
            <w:right w:val="none" w:sz="0" w:space="0" w:color="auto"/>
          </w:divBdr>
        </w:div>
        <w:div w:id="131676648">
          <w:marLeft w:val="0"/>
          <w:marRight w:val="0"/>
          <w:marTop w:val="0"/>
          <w:marBottom w:val="0"/>
          <w:divBdr>
            <w:top w:val="none" w:sz="0" w:space="0" w:color="auto"/>
            <w:left w:val="none" w:sz="0" w:space="0" w:color="auto"/>
            <w:bottom w:val="none" w:sz="0" w:space="0" w:color="auto"/>
            <w:right w:val="none" w:sz="0" w:space="0" w:color="auto"/>
          </w:divBdr>
        </w:div>
        <w:div w:id="1625312501">
          <w:marLeft w:val="0"/>
          <w:marRight w:val="0"/>
          <w:marTop w:val="0"/>
          <w:marBottom w:val="0"/>
          <w:divBdr>
            <w:top w:val="none" w:sz="0" w:space="0" w:color="auto"/>
            <w:left w:val="none" w:sz="0" w:space="0" w:color="auto"/>
            <w:bottom w:val="none" w:sz="0" w:space="0" w:color="auto"/>
            <w:right w:val="none" w:sz="0" w:space="0" w:color="auto"/>
          </w:divBdr>
          <w:divsChild>
            <w:div w:id="1750038459">
              <w:marLeft w:val="0"/>
              <w:marRight w:val="0"/>
              <w:marTop w:val="0"/>
              <w:marBottom w:val="0"/>
              <w:divBdr>
                <w:top w:val="none" w:sz="0" w:space="0" w:color="auto"/>
                <w:left w:val="none" w:sz="0" w:space="0" w:color="auto"/>
                <w:bottom w:val="none" w:sz="0" w:space="0" w:color="auto"/>
                <w:right w:val="none" w:sz="0" w:space="0" w:color="auto"/>
              </w:divBdr>
              <w:divsChild>
                <w:div w:id="260799358">
                  <w:marLeft w:val="0"/>
                  <w:marRight w:val="0"/>
                  <w:marTop w:val="0"/>
                  <w:marBottom w:val="0"/>
                  <w:divBdr>
                    <w:top w:val="none" w:sz="0" w:space="0" w:color="auto"/>
                    <w:left w:val="none" w:sz="0" w:space="0" w:color="auto"/>
                    <w:bottom w:val="none" w:sz="0" w:space="0" w:color="auto"/>
                    <w:right w:val="none" w:sz="0" w:space="0" w:color="auto"/>
                  </w:divBdr>
                </w:div>
                <w:div w:id="854806375">
                  <w:marLeft w:val="0"/>
                  <w:marRight w:val="0"/>
                  <w:marTop w:val="0"/>
                  <w:marBottom w:val="0"/>
                  <w:divBdr>
                    <w:top w:val="none" w:sz="0" w:space="0" w:color="auto"/>
                    <w:left w:val="none" w:sz="0" w:space="0" w:color="auto"/>
                    <w:bottom w:val="none" w:sz="0" w:space="0" w:color="auto"/>
                    <w:right w:val="none" w:sz="0" w:space="0" w:color="auto"/>
                  </w:divBdr>
                </w:div>
                <w:div w:id="1243181497">
                  <w:marLeft w:val="0"/>
                  <w:marRight w:val="0"/>
                  <w:marTop w:val="0"/>
                  <w:marBottom w:val="0"/>
                  <w:divBdr>
                    <w:top w:val="none" w:sz="0" w:space="0" w:color="auto"/>
                    <w:left w:val="none" w:sz="0" w:space="0" w:color="auto"/>
                    <w:bottom w:val="none" w:sz="0" w:space="0" w:color="auto"/>
                    <w:right w:val="none" w:sz="0" w:space="0" w:color="auto"/>
                  </w:divBdr>
                </w:div>
              </w:divsChild>
            </w:div>
            <w:div w:id="172190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isismoney.co.uk/money/markets/article-12305913/Brickability-defies-housing-industry-gloom-surging-annual-profits.html?utm_source=chatgpt.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910</TotalTime>
  <Pages>12</Pages>
  <Words>3167</Words>
  <Characters>21188</Characters>
  <Application>Microsoft Office Word</Application>
  <DocSecurity>0</DocSecurity>
  <Lines>557</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Parker</dc:creator>
  <cp:keywords/>
  <dc:description/>
  <cp:lastModifiedBy>Ben Parker</cp:lastModifiedBy>
  <cp:revision>111</cp:revision>
  <dcterms:created xsi:type="dcterms:W3CDTF">2025-03-17T18:11:00Z</dcterms:created>
  <dcterms:modified xsi:type="dcterms:W3CDTF">2025-04-11T22:40:00Z</dcterms:modified>
</cp:coreProperties>
</file>