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jpeg" ContentType="image/jpeg"/>
  <Override PartName="/word/media/image3.png" ContentType="image/png"/>
  <Override PartName="/word/media/image4.png" ContentType="image/png"/>
  <Override PartName="/word/media/image5.png" ContentType="image/png"/>
  <Override PartName="/word/media/image6.png" ContentType="image/png"/>
  <Override PartName="/word/settings.xml" ContentType="application/vnd.openxmlformats-officedocument.wordprocessingml.settings+xml"/>
  <Override PartName="/word/styles.xml" ContentType="application/vnd.openxmlformats-officedocument.wordprocessingml.styles+xml"/>
  <Override PartName="/word/diagrams/data4.xml" ContentType="application/vnd.openxmlformats-officedocument.drawingml.diagramData+xml"/>
  <Override PartName="/word/diagrams/layout4.xml" ContentType="application/vnd.openxmlformats-officedocument.drawingml.diagramLayout+xml"/>
  <Override PartName="/word/diagrams/quickStyle6.xml" ContentType="application/vnd.openxmlformats-officedocument.drawingml.diagramStyle+xml"/>
  <Override PartName="/word/diagrams/quickStyle4.xml" ContentType="application/vnd.openxmlformats-officedocument.drawingml.diagramStyle+xml"/>
  <Override PartName="/word/diagrams/colors4.xml" ContentType="application/vnd.openxmlformats-officedocument.drawingml.diagramColors+xml"/>
  <Override PartName="/word/diagrams/data6.xml" ContentType="application/vnd.openxmlformats-officedocument.drawingml.diagramData+xml"/>
  <Override PartName="/word/diagrams/layout6.xml" ContentType="application/vnd.openxmlformats-officedocument.drawingml.diagramLayout+xml"/>
  <Override PartName="/word/diagrams/drawing4.xml" ContentType="application/vnd.ms-office.drawingml.diagramDrawing+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ntTable.xml" ContentType="application/vnd.openxmlformats-officedocument.wordprocessingml.fontTable+xml"/>
  <Override PartName="/word/footer1.xml" ContentType="application/vnd.openxmlformats-officedocument.wordprocessingml.footer+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240" w:after="160"/>
        <w:jc w:val="center"/>
        <w:rPr>
          <w:rFonts w:ascii="Bahnschrift SemiBold Condensed" w:hAnsi="Bahnschrift SemiBold Condensed"/>
          <w:sz w:val="64"/>
          <w:szCs w:val="64"/>
        </w:rPr>
      </w:pPr>
      <w:r>
        <w:rPr>
          <w:rFonts w:ascii="Bahnschrift SemiBold Condensed" w:hAnsi="Bahnschrift SemiBold Condensed"/>
          <w:sz w:val="64"/>
          <w:szCs w:val="64"/>
        </w:rPr>
        <w:t>Strategic Management and Sustainability</w:t>
      </w:r>
    </w:p>
    <w:p>
      <w:pPr>
        <w:pStyle w:val="Normal"/>
        <w:jc w:val="center"/>
        <w:rPr>
          <w:sz w:val="44"/>
          <w:szCs w:val="52"/>
        </w:rPr>
      </w:pPr>
      <w:r>
        <w:rPr>
          <w:sz w:val="44"/>
          <w:szCs w:val="52"/>
        </w:rPr>
        <w:t>Module Code LCBB6004</w:t>
      </w:r>
    </w:p>
    <w:p>
      <w:pPr>
        <w:pStyle w:val="Normal"/>
        <w:jc w:val="center"/>
        <w:rPr>
          <w:sz w:val="44"/>
          <w:szCs w:val="52"/>
        </w:rPr>
      </w:pPr>
      <w:r>
        <w:rPr>
          <w:sz w:val="44"/>
          <w:szCs w:val="52"/>
        </w:rPr>
        <w:t>Assignement</w:t>
      </w:r>
    </w:p>
    <w:p>
      <w:pPr>
        <w:pStyle w:val="Normal"/>
        <w:jc w:val="center"/>
        <w:rPr>
          <w:sz w:val="44"/>
          <w:szCs w:val="52"/>
        </w:rPr>
      </w:pPr>
      <w:r>
        <w:rPr>
          <w:sz w:val="44"/>
          <w:szCs w:val="52"/>
        </w:rPr>
        <w:t>Student name:Ecaterina Tartamus</w:t>
      </w:r>
    </w:p>
    <w:p>
      <w:pPr>
        <w:pStyle w:val="Normal"/>
        <w:jc w:val="center"/>
        <w:rPr>
          <w:sz w:val="44"/>
          <w:szCs w:val="52"/>
        </w:rPr>
      </w:pPr>
      <w:r>
        <w:rPr>
          <w:sz w:val="44"/>
          <w:szCs w:val="52"/>
        </w:rPr>
        <w:t>Student code:2010309</w:t>
      </w:r>
    </w:p>
    <w:p>
      <w:pPr>
        <w:pStyle w:val="Normal"/>
        <w:jc w:val="center"/>
        <w:rPr>
          <w:sz w:val="44"/>
          <w:szCs w:val="52"/>
        </w:rPr>
      </w:pPr>
      <w:r>
        <w:rPr>
          <w:sz w:val="44"/>
          <w:szCs w:val="52"/>
        </w:rPr>
        <w:t>Module Lecturer’s name:Mohamad Shaijee</w:t>
      </w:r>
    </w:p>
    <w:p>
      <w:pPr>
        <w:pStyle w:val="Normal"/>
        <w:jc w:val="center"/>
        <w:rPr>
          <w:sz w:val="44"/>
          <w:szCs w:val="52"/>
        </w:rPr>
      </w:pPr>
      <w:r>
        <w:rPr>
          <w:sz w:val="44"/>
          <w:szCs w:val="52"/>
        </w:rPr>
      </w:r>
    </w:p>
    <w:p>
      <w:pPr>
        <w:pStyle w:val="Normal"/>
        <w:jc w:val="center"/>
        <w:rPr>
          <w:sz w:val="44"/>
          <w:szCs w:val="52"/>
        </w:rPr>
      </w:pPr>
      <w:r>
        <w:rPr>
          <w:sz w:val="44"/>
          <w:szCs w:val="52"/>
        </w:rPr>
      </w:r>
    </w:p>
    <w:p>
      <w:pPr>
        <w:pStyle w:val="Normal"/>
        <w:jc w:val="center"/>
        <w:rPr>
          <w:sz w:val="44"/>
          <w:szCs w:val="52"/>
        </w:rPr>
      </w:pPr>
      <w:r>
        <w:rPr>
          <w:sz w:val="44"/>
          <w:szCs w:val="52"/>
        </w:rPr>
      </w:r>
    </w:p>
    <w:p>
      <w:pPr>
        <w:pStyle w:val="Normal"/>
        <w:jc w:val="center"/>
        <w:rPr>
          <w:sz w:val="44"/>
          <w:szCs w:val="52"/>
        </w:rPr>
      </w:pPr>
      <w:r>
        <w:rPr>
          <w:sz w:val="44"/>
          <w:szCs w:val="52"/>
        </w:rPr>
      </w:r>
    </w:p>
    <w:p>
      <w:pPr>
        <w:pStyle w:val="Normal"/>
        <w:jc w:val="center"/>
        <w:rPr>
          <w:sz w:val="44"/>
          <w:szCs w:val="52"/>
        </w:rPr>
      </w:pPr>
      <w:r>
        <w:rPr>
          <w:sz w:val="44"/>
          <w:szCs w:val="52"/>
        </w:rPr>
      </w:r>
    </w:p>
    <w:sdt>
      <w:sdtPr>
        <w:docPartObj>
          <w:docPartGallery w:val="Table of Contents"/>
          <w:docPartUnique w:val="true"/>
        </w:docPartObj>
      </w:sdtPr>
      <w:sdtContent>
        <w:p>
          <w:pPr>
            <w:pStyle w:val="ContentsHeading"/>
            <w:spacing w:lineRule="auto" w:line="480"/>
            <w:rPr/>
          </w:pPr>
          <w:r>
            <w:rPr/>
            <w:t>Table of Contents</w:t>
          </w:r>
        </w:p>
        <w:p>
          <w:pPr>
            <w:pStyle w:val="Contents1"/>
            <w:tabs>
              <w:tab w:val="clear" w:pos="720"/>
              <w:tab w:val="right" w:pos="9350" w:leader="dot"/>
            </w:tabs>
            <w:rPr>
              <w:rFonts w:ascii="Calibri" w:hAnsi="Calibri" w:eastAsia="" w:asciiTheme="minorHAnsi" w:eastAsiaTheme="minorEastAsia" w:hAnsiTheme="minorHAnsi"/>
              <w:lang w:eastAsia="en-GB"/>
            </w:rPr>
          </w:pPr>
          <w:r>
            <w:fldChar w:fldCharType="begin"/>
          </w:r>
          <w:r>
            <w:rPr>
              <w:webHidden/>
              <w:rStyle w:val="IndexLink"/>
            </w:rPr>
            <w:instrText xml:space="preserve"> TOC \z \o "1-3" \u \h</w:instrText>
          </w:r>
          <w:r>
            <w:rPr>
              <w:webHidden/>
              <w:rStyle w:val="IndexLink"/>
            </w:rPr>
            <w:fldChar w:fldCharType="separate"/>
          </w:r>
          <w:hyperlink w:anchor="_Toc129085313">
            <w:r>
              <w:rPr>
                <w:webHidden/>
                <w:rStyle w:val="IndexLink"/>
              </w:rPr>
              <w:t>Introduction</w:t>
            </w:r>
            <w:r>
              <w:rPr>
                <w:webHidden/>
              </w:rPr>
              <w:fldChar w:fldCharType="begin"/>
            </w:r>
            <w:r>
              <w:rPr>
                <w:webHidden/>
              </w:rPr>
              <w:instrText xml:space="preserve">PAGEREF _Toc129085313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4">
            <w:r>
              <w:rPr>
                <w:webHidden/>
                <w:rStyle w:val="IndexLink"/>
              </w:rPr>
              <w:t>Company Profile</w:t>
            </w:r>
            <w:r>
              <w:rPr>
                <w:webHidden/>
              </w:rPr>
              <w:fldChar w:fldCharType="begin"/>
            </w:r>
            <w:r>
              <w:rPr>
                <w:webHidden/>
              </w:rPr>
              <w:instrText xml:space="preserve">PAGEREF _Toc129085314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5">
            <w:r>
              <w:rPr>
                <w:webHidden/>
                <w:rStyle w:val="IndexLink"/>
              </w:rPr>
              <w:t>The key business strategies of VW over the past five years</w:t>
            </w:r>
            <w:r>
              <w:rPr>
                <w:webHidden/>
              </w:rPr>
              <w:fldChar w:fldCharType="begin"/>
            </w:r>
            <w:r>
              <w:rPr>
                <w:webHidden/>
              </w:rPr>
              <w:instrText xml:space="preserve">PAGEREF _Toc129085315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6">
            <w:r>
              <w:rPr>
                <w:webHidden/>
                <w:rStyle w:val="IndexLink"/>
              </w:rPr>
              <w:t>Key Findings Using Frameworks</w:t>
            </w:r>
            <w:r>
              <w:rPr>
                <w:webHidden/>
              </w:rPr>
              <w:fldChar w:fldCharType="begin"/>
            </w:r>
            <w:r>
              <w:rPr>
                <w:webHidden/>
              </w:rPr>
              <w:instrText xml:space="preserve">PAGEREF _Toc129085316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7">
            <w:r>
              <w:rPr>
                <w:webHidden/>
                <w:rStyle w:val="IndexLink"/>
              </w:rPr>
              <w:t>The resources and capabilities of Volkswagen over the past five years</w:t>
            </w:r>
            <w:r>
              <w:rPr>
                <w:webHidden/>
              </w:rPr>
              <w:fldChar w:fldCharType="begin"/>
            </w:r>
            <w:r>
              <w:rPr>
                <w:webHidden/>
              </w:rPr>
              <w:instrText xml:space="preserve">PAGEREF _Toc129085317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8">
            <w:r>
              <w:rPr>
                <w:webHidden/>
                <w:rStyle w:val="IndexLink"/>
              </w:rPr>
              <w:t>VW’s Competitiveness while taking into consideration of sustainability and the environment</w:t>
            </w:r>
            <w:r>
              <w:rPr>
                <w:webHidden/>
              </w:rPr>
              <w:fldChar w:fldCharType="begin"/>
            </w:r>
            <w:r>
              <w:rPr>
                <w:webHidden/>
              </w:rPr>
              <w:instrText xml:space="preserve">PAGEREF _Toc129085318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19">
            <w:r>
              <w:rPr>
                <w:webHidden/>
                <w:rStyle w:val="IndexLink"/>
              </w:rPr>
              <w:t>The way sustainability practices can help the VW company to develop competitive advantages</w:t>
            </w:r>
            <w:r>
              <w:rPr>
                <w:webHidden/>
              </w:rPr>
              <w:fldChar w:fldCharType="begin"/>
            </w:r>
            <w:r>
              <w:rPr>
                <w:webHidden/>
              </w:rPr>
              <w:instrText xml:space="preserve">PAGEREF _Toc129085319 \h</w:instrText>
            </w:r>
            <w:r>
              <w:rPr>
                <w:webHidden/>
              </w:rPr>
              <w:fldChar w:fldCharType="separate"/>
            </w:r>
            <w:r>
              <w:rPr>
                <w:rStyle w:val="IndexLink"/>
                <w:vanish w:val="false"/>
              </w:rPr>
              <w:tab/>
              <w:t>12</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20">
            <w:r>
              <w:rPr>
                <w:webHidden/>
                <w:rStyle w:val="IndexLink"/>
              </w:rPr>
              <w:t>Conclusion</w:t>
            </w:r>
            <w:r>
              <w:rPr>
                <w:webHidden/>
              </w:rPr>
              <w:fldChar w:fldCharType="begin"/>
            </w:r>
            <w:r>
              <w:rPr>
                <w:webHidden/>
              </w:rPr>
              <w:instrText xml:space="preserve">PAGEREF _Toc129085320 \h</w:instrText>
            </w:r>
            <w:r>
              <w:rPr>
                <w:webHidden/>
              </w:rPr>
              <w:fldChar w:fldCharType="separate"/>
            </w:r>
            <w:r>
              <w:rPr>
                <w:rStyle w:val="IndexLink"/>
                <w:vanish w:val="false"/>
              </w:rPr>
              <w:tab/>
              <w:t>14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21">
            <w:r>
              <w:rPr>
                <w:webHidden/>
                <w:rStyle w:val="IndexLink"/>
              </w:rPr>
              <w:t>References</w:t>
            </w:r>
            <w:r>
              <w:rPr>
                <w:webHidden/>
              </w:rPr>
              <w:fldChar w:fldCharType="begin"/>
            </w:r>
            <w:r>
              <w:rPr>
                <w:webHidden/>
              </w:rPr>
              <w:instrText xml:space="preserve">PAGEREF _Toc129085321 \h</w:instrText>
            </w:r>
            <w:r>
              <w:rPr>
                <w:webHidden/>
              </w:rPr>
              <w:fldChar w:fldCharType="separate"/>
            </w:r>
            <w:r>
              <w:rPr>
                <w:rStyle w:val="IndexLink"/>
                <w:vanish w:val="false"/>
              </w:rPr>
              <w:tab/>
              <w:t>15</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lang w:eastAsia="en-GB"/>
            </w:rPr>
          </w:pPr>
          <w:hyperlink w:anchor="_Toc129085322">
            <w:r>
              <w:rPr>
                <w:webHidden/>
                <w:rStyle w:val="IndexLink"/>
              </w:rPr>
              <w:t>Appendix</w:t>
            </w:r>
            <w:r>
              <w:rPr>
                <w:webHidden/>
              </w:rPr>
              <w:fldChar w:fldCharType="begin"/>
            </w:r>
            <w:r>
              <w:rPr>
                <w:webHidden/>
              </w:rPr>
              <w:instrText xml:space="preserve">PAGEREF _Toc129085322 \h</w:instrText>
            </w:r>
            <w:r>
              <w:rPr>
                <w:webHidden/>
              </w:rPr>
              <w:fldChar w:fldCharType="separate"/>
            </w:r>
            <w:r>
              <w:rPr>
                <w:rStyle w:val="IndexLink"/>
                <w:vanish w:val="false"/>
              </w:rPr>
              <w:tab/>
              <w:t>16</w:t>
            </w:r>
            <w:r>
              <w:rPr>
                <w:webHidden/>
              </w:rPr>
              <w:fldChar w:fldCharType="end"/>
            </w:r>
          </w:hyperlink>
        </w:p>
        <w:p>
          <w:pPr>
            <w:pStyle w:val="Normal"/>
            <w:rPr/>
          </w:pPr>
          <w:r>
            <w:rPr/>
          </w:r>
          <w:r>
            <w:rPr/>
            <w:fldChar w:fldCharType="end"/>
          </w:r>
        </w:p>
      </w:sdtContent>
    </w:sdt>
    <w:p>
      <w:pPr>
        <w:pStyle w:val="Tableoffigures"/>
        <w:tabs>
          <w:tab w:val="clear" w:pos="720"/>
          <w:tab w:val="right" w:pos="9350" w:leader="dot"/>
        </w:tabs>
        <w:rPr>
          <w:b/>
          <w:bCs/>
          <w:sz w:val="28"/>
          <w:szCs w:val="36"/>
        </w:rPr>
      </w:pPr>
      <w:r>
        <w:rPr>
          <w:b/>
          <w:bCs/>
          <w:sz w:val="28"/>
          <w:szCs w:val="36"/>
        </w:rPr>
        <w:t>Table of Figures</w:t>
      </w:r>
    </w:p>
    <w:p>
      <w:pPr>
        <w:pStyle w:val="Tableoffigures"/>
        <w:tabs>
          <w:tab w:val="clear" w:pos="720"/>
          <w:tab w:val="right" w:pos="9350" w:leader="dot"/>
        </w:tabs>
        <w:rPr/>
      </w:pPr>
      <w:r>
        <w:fldChar w:fldCharType="begin"/>
      </w:r>
      <w:r>
        <w:rPr>
          <w:rStyle w:val="IndexLink"/>
        </w:rPr>
        <w:instrText xml:space="preserve"> TOC \c "Figure" </w:instrText>
      </w:r>
      <w:r>
        <w:rPr>
          <w:rStyle w:val="IndexLink"/>
        </w:rPr>
        <w:fldChar w:fldCharType="separate"/>
      </w:r>
      <w:hyperlink w:anchor="_Toc129085323">
        <w:r>
          <w:rPr>
            <w:rStyle w:val="IndexLink"/>
          </w:rPr>
          <w:t>Figure 1</w:t>
        </w:r>
        <w:r>
          <w:rPr>
            <w:rStyle w:val="IndexLink"/>
            <w:lang w:val="en-US"/>
          </w:rPr>
          <w:t>: Volkswagen</w:t>
        </w:r>
        <w:r>
          <w:rPr>
            <w:webHidden/>
          </w:rPr>
          <w:fldChar w:fldCharType="begin"/>
        </w:r>
        <w:r>
          <w:rPr>
            <w:webHidden/>
          </w:rPr>
          <w:instrText xml:space="preserve">PAGEREF _Toc129085323 \h</w:instrText>
        </w:r>
        <w:r>
          <w:rPr>
            <w:webHidden/>
          </w:rPr>
          <w:fldChar w:fldCharType="separate"/>
        </w:r>
        <w:r>
          <w:rPr>
            <w:rStyle w:val="IndexLink"/>
            <w:vanish w:val="false"/>
          </w:rPr>
          <w:tab/>
          <w:t>4</w:t>
        </w:r>
        <w:r>
          <w:rPr>
            <w:webHidden/>
          </w:rPr>
          <w:fldChar w:fldCharType="end"/>
        </w:r>
      </w:hyperlink>
    </w:p>
    <w:p>
      <w:pPr>
        <w:pStyle w:val="Tableoffigures"/>
        <w:tabs>
          <w:tab w:val="clear" w:pos="720"/>
          <w:tab w:val="right" w:pos="9350" w:leader="dot"/>
        </w:tabs>
        <w:rPr/>
      </w:pPr>
      <w:hyperlink w:anchor="_Toc129085324">
        <w:r>
          <w:rPr>
            <w:rStyle w:val="IndexLink"/>
          </w:rPr>
          <w:t>Figure 2</w:t>
        </w:r>
        <w:r>
          <w:rPr>
            <w:rStyle w:val="IndexLink"/>
            <w:lang w:val="en-US"/>
          </w:rPr>
          <w:t>: Volkswagen Beetle</w:t>
        </w:r>
        <w:r>
          <w:rPr>
            <w:webHidden/>
          </w:rPr>
          <w:fldChar w:fldCharType="begin"/>
        </w:r>
        <w:r>
          <w:rPr>
            <w:webHidden/>
          </w:rPr>
          <w:instrText xml:space="preserve">PAGEREF _Toc129085324 \h</w:instrText>
        </w:r>
        <w:r>
          <w:rPr>
            <w:webHidden/>
          </w:rPr>
          <w:fldChar w:fldCharType="separate"/>
        </w:r>
        <w:r>
          <w:rPr>
            <w:rStyle w:val="IndexLink"/>
            <w:vanish w:val="false"/>
          </w:rPr>
          <w:tab/>
          <w:t>5</w:t>
        </w:r>
        <w:r>
          <w:rPr>
            <w:webHidden/>
          </w:rPr>
          <w:fldChar w:fldCharType="end"/>
        </w:r>
      </w:hyperlink>
    </w:p>
    <w:p>
      <w:pPr>
        <w:pStyle w:val="Tableoffigures"/>
        <w:tabs>
          <w:tab w:val="clear" w:pos="720"/>
          <w:tab w:val="right" w:pos="9350" w:leader="dot"/>
        </w:tabs>
        <w:rPr/>
      </w:pPr>
      <w:hyperlink w:anchor="_Toc129085325">
        <w:r>
          <w:rPr>
            <w:rStyle w:val="IndexLink"/>
          </w:rPr>
          <w:t>Figure 3</w:t>
        </w:r>
        <w:r>
          <w:rPr>
            <w:rStyle w:val="IndexLink"/>
            <w:lang w:val="en-US"/>
          </w:rPr>
          <w:t>: Suppliers of Volkswagen</w:t>
        </w:r>
        <w:r>
          <w:rPr>
            <w:webHidden/>
          </w:rPr>
          <w:fldChar w:fldCharType="begin"/>
        </w:r>
        <w:r>
          <w:rPr>
            <w:webHidden/>
          </w:rPr>
          <w:instrText xml:space="preserve">PAGEREF _Toc129085325 \h</w:instrText>
        </w:r>
        <w:r>
          <w:rPr>
            <w:webHidden/>
          </w:rPr>
          <w:fldChar w:fldCharType="separate"/>
        </w:r>
        <w:r>
          <w:rPr>
            <w:rStyle w:val="IndexLink"/>
            <w:vanish w:val="false"/>
          </w:rPr>
          <w:tab/>
          <w:t>7</w:t>
        </w:r>
        <w:r>
          <w:rPr>
            <w:webHidden/>
          </w:rPr>
          <w:fldChar w:fldCharType="end"/>
        </w:r>
      </w:hyperlink>
    </w:p>
    <w:p>
      <w:pPr>
        <w:pStyle w:val="Tableoffigures"/>
        <w:tabs>
          <w:tab w:val="clear" w:pos="720"/>
          <w:tab w:val="right" w:pos="9350" w:leader="dot"/>
        </w:tabs>
        <w:rPr/>
      </w:pPr>
      <w:hyperlink w:anchor="_Toc129085326">
        <w:r>
          <w:rPr>
            <w:rStyle w:val="IndexLink"/>
          </w:rPr>
          <w:t>Figure 4</w:t>
        </w:r>
        <w:r>
          <w:rPr>
            <w:rStyle w:val="IndexLink"/>
            <w:lang w:val="en-US"/>
          </w:rPr>
          <w:t>: Resources of Volkswagen</w:t>
        </w:r>
        <w:r>
          <w:rPr>
            <w:webHidden/>
          </w:rPr>
          <w:fldChar w:fldCharType="begin"/>
        </w:r>
        <w:r>
          <w:rPr>
            <w:webHidden/>
          </w:rPr>
          <w:instrText xml:space="preserve">PAGEREF _Toc129085326 \h</w:instrText>
        </w:r>
        <w:r>
          <w:rPr>
            <w:webHidden/>
          </w:rPr>
          <w:fldChar w:fldCharType="separate"/>
        </w:r>
        <w:r>
          <w:rPr>
            <w:rStyle w:val="IndexLink"/>
            <w:vanish w:val="false"/>
          </w:rPr>
          <w:tab/>
          <w:t>8</w:t>
        </w:r>
        <w:r>
          <w:rPr>
            <w:webHidden/>
          </w:rPr>
          <w:fldChar w:fldCharType="end"/>
        </w:r>
      </w:hyperlink>
    </w:p>
    <w:p>
      <w:pPr>
        <w:pStyle w:val="Tableoffigures"/>
        <w:tabs>
          <w:tab w:val="clear" w:pos="720"/>
          <w:tab w:val="right" w:pos="9350" w:leader="dot"/>
        </w:tabs>
        <w:rPr/>
      </w:pPr>
      <w:hyperlink w:anchor="_Toc129085327">
        <w:r>
          <w:rPr>
            <w:rStyle w:val="IndexLink"/>
          </w:rPr>
          <w:t>Figure 5</w:t>
        </w:r>
        <w:r>
          <w:rPr>
            <w:rStyle w:val="IndexLink"/>
            <w:lang w:val="en-US"/>
          </w:rPr>
          <w:t>: Volkswagen Competitiveness</w:t>
        </w:r>
        <w:r>
          <w:rPr>
            <w:webHidden/>
          </w:rPr>
          <w:fldChar w:fldCharType="begin"/>
        </w:r>
        <w:r>
          <w:rPr>
            <w:webHidden/>
          </w:rPr>
          <w:instrText xml:space="preserve">PAGEREF _Toc129085327 \h</w:instrText>
        </w:r>
        <w:r>
          <w:rPr>
            <w:webHidden/>
          </w:rPr>
          <w:fldChar w:fldCharType="separate"/>
        </w:r>
        <w:r>
          <w:rPr>
            <w:rStyle w:val="IndexLink"/>
            <w:vanish w:val="false"/>
          </w:rPr>
          <w:tab/>
          <w:t>10</w:t>
        </w:r>
        <w:r>
          <w:rPr>
            <w:webHidden/>
          </w:rPr>
          <w:fldChar w:fldCharType="end"/>
        </w:r>
      </w:hyperlink>
    </w:p>
    <w:p>
      <w:pPr>
        <w:pStyle w:val="Tableoffigures"/>
        <w:tabs>
          <w:tab w:val="clear" w:pos="720"/>
          <w:tab w:val="right" w:pos="9350" w:leader="dot"/>
        </w:tabs>
        <w:rPr/>
      </w:pPr>
      <w:hyperlink w:anchor="_Toc129085328">
        <w:r>
          <w:rPr>
            <w:rStyle w:val="IndexLink"/>
          </w:rPr>
          <w:t>Figure 6</w:t>
        </w:r>
        <w:r>
          <w:rPr>
            <w:rStyle w:val="IndexLink"/>
            <w:lang w:val="en-US"/>
          </w:rPr>
          <w:t>: Volkswagen Key Competitive Features</w:t>
        </w:r>
        <w:r>
          <w:rPr>
            <w:webHidden/>
          </w:rPr>
          <w:fldChar w:fldCharType="begin"/>
        </w:r>
        <w:r>
          <w:rPr>
            <w:webHidden/>
          </w:rPr>
          <w:instrText xml:space="preserve">PAGEREF _Toc129085328 \h</w:instrText>
        </w:r>
        <w:r>
          <w:rPr>
            <w:webHidden/>
          </w:rPr>
          <w:fldChar w:fldCharType="separate"/>
        </w:r>
        <w:r>
          <w:rPr>
            <w:rStyle w:val="IndexLink"/>
            <w:vanish w:val="false"/>
          </w:rPr>
          <w:tab/>
          <w:t>11</w:t>
        </w:r>
        <w:r>
          <w:rPr>
            <w:webHidden/>
          </w:rPr>
          <w:fldChar w:fldCharType="end"/>
        </w:r>
      </w:hyperlink>
    </w:p>
    <w:p>
      <w:pPr>
        <w:pStyle w:val="Tableoffigures"/>
        <w:tabs>
          <w:tab w:val="clear" w:pos="720"/>
          <w:tab w:val="right" w:pos="9350" w:leader="dot"/>
        </w:tabs>
        <w:rPr/>
      </w:pPr>
      <w:hyperlink w:anchor="_Toc129085329">
        <w:r>
          <w:rPr>
            <w:rStyle w:val="IndexLink"/>
          </w:rPr>
          <w:t>Figure 7</w:t>
        </w:r>
        <w:r>
          <w:rPr>
            <w:rStyle w:val="IndexLink"/>
            <w:lang w:val="en-US"/>
          </w:rPr>
          <w:t>: Volkswagen Sustainability Practice</w:t>
        </w:r>
        <w:r>
          <w:rPr>
            <w:webHidden/>
          </w:rPr>
          <w:fldChar w:fldCharType="begin"/>
        </w:r>
        <w:r>
          <w:rPr>
            <w:webHidden/>
          </w:rPr>
          <w:instrText xml:space="preserve">PAGEREF _Toc129085329 \h</w:instrText>
        </w:r>
        <w:r>
          <w:rPr>
            <w:webHidden/>
          </w:rPr>
          <w:fldChar w:fldCharType="separate"/>
        </w:r>
        <w:r>
          <w:rPr>
            <w:rStyle w:val="IndexLink"/>
            <w:vanish w:val="false"/>
          </w:rPr>
          <w:tab/>
          <w:t>13</w:t>
        </w:r>
        <w:r>
          <w:rPr>
            <w:webHidden/>
          </w:rPr>
          <w:fldChar w:fldCharType="end"/>
        </w:r>
      </w:hyperlink>
    </w:p>
    <w:p>
      <w:pPr>
        <w:pStyle w:val="Tableoffigures"/>
        <w:tabs>
          <w:tab w:val="clear" w:pos="720"/>
          <w:tab w:val="right" w:pos="9350" w:leader="dot"/>
        </w:tabs>
        <w:rPr/>
      </w:pPr>
      <w:hyperlink w:anchor="_Toc129085330">
        <w:r>
          <w:rPr>
            <w:rStyle w:val="IndexLink"/>
          </w:rPr>
          <w:t>Figure 8</w:t>
        </w:r>
        <w:r>
          <w:rPr>
            <w:rStyle w:val="IndexLink"/>
            <w:lang w:val="en-US"/>
          </w:rPr>
          <w:t>: Porters Five Force Model</w:t>
        </w:r>
        <w:r>
          <w:rPr>
            <w:webHidden/>
          </w:rPr>
          <w:fldChar w:fldCharType="begin"/>
        </w:r>
        <w:r>
          <w:rPr>
            <w:webHidden/>
          </w:rPr>
          <w:instrText xml:space="preserve">PAGEREF _Toc129085330 \h</w:instrText>
        </w:r>
        <w:r>
          <w:rPr>
            <w:webHidden/>
          </w:rPr>
          <w:fldChar w:fldCharType="separate"/>
        </w:r>
        <w:r>
          <w:rPr>
            <w:rStyle w:val="IndexLink"/>
            <w:vanish w:val="false"/>
          </w:rPr>
          <w:tab/>
          <w:t>17</w:t>
        </w:r>
        <w:r>
          <w:rPr>
            <w:webHidden/>
          </w:rPr>
          <w:fldChar w:fldCharType="end"/>
        </w:r>
      </w:hyperlink>
    </w:p>
    <w:p>
      <w:pPr>
        <w:pStyle w:val="Tableoffigures"/>
        <w:tabs>
          <w:tab w:val="clear" w:pos="720"/>
          <w:tab w:val="right" w:pos="9350" w:leader="dot"/>
        </w:tabs>
        <w:rPr/>
      </w:pPr>
      <w:hyperlink w:anchor="_Toc129085331">
        <w:r>
          <w:rPr>
            <w:rStyle w:val="IndexLink"/>
          </w:rPr>
          <w:t>Figure 9</w:t>
        </w:r>
        <w:r>
          <w:rPr>
            <w:rStyle w:val="IndexLink"/>
            <w:lang w:val="en-US"/>
          </w:rPr>
          <w:t>: PESTEL Analysis</w:t>
        </w:r>
        <w:r>
          <w:rPr>
            <w:webHidden/>
          </w:rPr>
          <w:fldChar w:fldCharType="begin"/>
        </w:r>
        <w:r>
          <w:rPr>
            <w:webHidden/>
          </w:rPr>
          <w:instrText xml:space="preserve">PAGEREF _Toc129085331 \h</w:instrText>
        </w:r>
        <w:r>
          <w:rPr>
            <w:webHidden/>
          </w:rPr>
          <w:fldChar w:fldCharType="separate"/>
        </w:r>
        <w:r>
          <w:rPr>
            <w:rStyle w:val="IndexLink"/>
            <w:vanish w:val="false"/>
          </w:rPr>
          <w:tab/>
          <w:t>19</w:t>
        </w:r>
        <w:r>
          <w:rPr>
            <w:webHidden/>
          </w:rPr>
          <w:fldChar w:fldCharType="end"/>
        </w:r>
      </w:hyperlink>
      <w:r>
        <w:rPr>
          <w:rStyle w:val="IndexLink"/>
          <w:vanish w:val="false"/>
        </w:rPr>
        <w:fldChar w:fldCharType="end"/>
      </w:r>
    </w:p>
    <w:p>
      <w:pPr>
        <w:pStyle w:val="Normal"/>
        <w:rPr/>
      </w:pPr>
      <w:r>
        <w:rPr/>
      </w:r>
    </w:p>
    <w:p>
      <w:pPr>
        <w:pStyle w:val="Normal"/>
        <w:rPr/>
      </w:pPr>
      <w:r>
        <w:rPr/>
      </w:r>
    </w:p>
    <w:p>
      <w:pPr>
        <w:pStyle w:val="Normal"/>
        <w:rPr/>
      </w:pPr>
      <w:r>
        <w:rPr/>
      </w:r>
    </w:p>
    <w:p>
      <w:pPr>
        <w:pStyle w:val="Normal"/>
        <w:rPr/>
      </w:pPr>
      <w:r>
        <w:rPr/>
      </w:r>
    </w:p>
    <w:p>
      <w:pPr>
        <w:pStyle w:val="Normal"/>
        <w:jc w:val="left"/>
        <w:rPr>
          <w:rFonts w:eastAsia="" w:cs="Vrinda" w:cstheme="majorBidi" w:eastAsiaTheme="majorEastAsia"/>
          <w:b/>
          <w:color w:val="000000" w:themeColor="text1"/>
          <w:sz w:val="32"/>
          <w:szCs w:val="32"/>
        </w:rPr>
      </w:pPr>
      <w:r>
        <w:rPr>
          <w:rFonts w:eastAsia="" w:cs="Vrinda" w:cstheme="majorBidi" w:eastAsiaTheme="majorEastAsia"/>
          <w:b/>
          <w:color w:val="000000" w:themeColor="text1"/>
          <w:sz w:val="32"/>
          <w:szCs w:val="32"/>
        </w:rPr>
      </w:r>
      <w:bookmarkStart w:id="0" w:name="_Toc129085313"/>
      <w:bookmarkStart w:id="1" w:name="_Toc129085313"/>
      <w:r>
        <w:br w:type="page"/>
      </w:r>
    </w:p>
    <w:p>
      <w:pPr>
        <w:pStyle w:val="Heading1"/>
        <w:spacing w:lineRule="auto" w:line="480"/>
        <w:rPr/>
      </w:pPr>
      <w:bookmarkStart w:id="2" w:name="_Toc129085313"/>
      <w:r>
        <w:rPr/>
        <w:t>Introduction</w:t>
      </w:r>
      <w:bookmarkEnd w:id="2"/>
    </w:p>
    <w:p>
      <w:pPr>
        <w:pStyle w:val="Normal"/>
        <w:rPr/>
      </w:pPr>
      <w:r>
        <w:rPr/>
        <w:t>Elements of strategic management include continual goal formulation, goal monitoring, goal assessment, and goal analysis. Due to these changes, businesses will need to reassess their development plans frequently to guarantee sustained success. The responsibility of strategic management is to enhance the company's competitiveness and overall value to its stakeholders by introducing new policies and procedures. To remain an attractive proposition to consumers, employees, and investors, sustainability must take centre stage. The strategic management process assists businesses in assessing their situations, devising appropriate answers, putting those actions into action, and evaluating the outcomes. Volkswagen's strategic management will be the topic of this study.</w:t>
      </w:r>
    </w:p>
    <w:p>
      <w:pPr>
        <w:pStyle w:val="Heading1"/>
        <w:spacing w:lineRule="auto" w:line="480"/>
        <w:rPr/>
      </w:pPr>
      <w:bookmarkStart w:id="3" w:name="_Toc129085314"/>
      <w:r>
        <w:rPr/>
        <w:t>Company Profile</w:t>
      </w:r>
      <w:bookmarkEnd w:id="3"/>
    </w:p>
    <w:p>
      <w:pPr>
        <w:pStyle w:val="Normal"/>
        <w:keepNext w:val="true"/>
        <w:jc w:val="center"/>
        <w:rPr/>
      </w:pPr>
      <w:r>
        <w:rPr/>
        <w:drawing>
          <wp:inline distT="0" distB="0" distL="0" distR="0">
            <wp:extent cx="1362075" cy="136207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362075" cy="1362075"/>
                    </a:xfrm>
                    <a:prstGeom prst="rect">
                      <a:avLst/>
                    </a:prstGeom>
                  </pic:spPr>
                </pic:pic>
              </a:graphicData>
            </a:graphic>
          </wp:inline>
        </w:drawing>
      </w:r>
    </w:p>
    <w:p>
      <w:pPr>
        <w:pStyle w:val="Caption1"/>
        <w:spacing w:lineRule="auto" w:line="480"/>
        <w:jc w:val="center"/>
        <w:rPr>
          <w:lang w:val="en-US"/>
        </w:rPr>
      </w:pPr>
      <w:bookmarkStart w:id="4" w:name="_Toc129085323"/>
      <w:r>
        <w:rPr/>
        <w:t xml:space="preserve">Figure </w:t>
      </w:r>
      <w:r>
        <w:rPr/>
        <w:fldChar w:fldCharType="begin"/>
      </w:r>
      <w:r>
        <w:rPr/>
        <w:instrText xml:space="preserve"> SEQ Figure \* ARABIC </w:instrText>
      </w:r>
      <w:r>
        <w:rPr/>
        <w:fldChar w:fldCharType="separate"/>
      </w:r>
      <w:r>
        <w:rPr/>
        <w:t>1</w:t>
      </w:r>
      <w:r>
        <w:rPr/>
        <w:fldChar w:fldCharType="end"/>
      </w:r>
      <w:r>
        <w:rPr>
          <w:lang w:val="en-US"/>
        </w:rPr>
        <w:t>: Volkswagen</w:t>
      </w:r>
      <w:bookmarkEnd w:id="4"/>
    </w:p>
    <w:p>
      <w:pPr>
        <w:pStyle w:val="Normal"/>
        <w:jc w:val="center"/>
        <w:rPr/>
      </w:pPr>
      <w:r>
        <w:rPr>
          <w:lang w:val="en-US"/>
        </w:rPr>
        <w:t xml:space="preserve">Source: </w:t>
      </w:r>
      <w:r>
        <w:rPr/>
        <w:t>(Jung and Sharon, 2019)</w:t>
      </w:r>
    </w:p>
    <w:p>
      <w:pPr>
        <w:pStyle w:val="Normal"/>
        <w:rPr/>
      </w:pPr>
      <w:r>
        <w:rPr/>
        <w:t>Established in 1937, Volkswagen (VW) is a storied German automaker. It's the most recognizable nameplate in the Volkswagen Group stable, which also includes Audi, Porsche, and Bentley. Volkswagen is well-known for manufacturing a broad variety of vehicles, from hatchbacks to sedans to SUVs and even electric automobiles, to cater to a large and diverse consumer base. VW's Golf, Jetta, Passat, Tiguan, and Atlas are among the brand's best-selling automobiles. Volkswagen has had several difficulties over the years, the most notable of which is the 2015 emissions crisis. Nonetheless, they have been investing heavily in new technologies, such as those used in electric vehicles, and expanding their product lines. Volkswagen (VW) has grown into one of the world's biggest automakers, with over 660,000 workers in over 150 countries (Jung and Sharon, 2019). It's a household name in German car culture. Volkswagen can produce 8.09 million vehicles per year and also provides a diverse line-up of autos. Volkswagen will have the greatest market share of any automobile manufacturer in the world by 2020, according to predictions. This manufacturer makes not just caddys, caddy maxis, transporters, and new crafters, but also the bodies, cylinder heads, and steering gears for all of these vehicles. The company reported a total of $254.6 billion in revenue for the year 2020. The business had a profit of $9.52 billion last year. Despite having a massive staff of 6,62,575 individuals spread across several divisions, the corporation can continuously supply high-quality items to its clients.</w:t>
      </w:r>
    </w:p>
    <w:p>
      <w:pPr>
        <w:pStyle w:val="Heading1"/>
        <w:spacing w:lineRule="auto" w:line="480"/>
        <w:rPr/>
      </w:pPr>
      <w:bookmarkStart w:id="5" w:name="_Toc129085315"/>
      <w:r>
        <w:rPr/>
        <w:t>The key business strategies of VW over the past five years</w:t>
      </w:r>
      <w:bookmarkEnd w:id="5"/>
    </w:p>
    <w:p>
      <w:pPr>
        <w:pStyle w:val="Normal"/>
        <w:rPr/>
      </w:pPr>
      <w:r>
        <w:rPr/>
        <w:t xml:space="preserve">There has been a confluence of variables that have led to VW's success during the last several decades. Founded in 1937, the company's first focus was on providing a vehicle that could go at 100 kilometres per hour, hold five people (two adults and three children), and cost no more than a motorcycle. </w:t>
      </w:r>
    </w:p>
    <w:p>
      <w:pPr>
        <w:pStyle w:val="Normal"/>
        <w:keepNext w:val="true"/>
        <w:jc w:val="center"/>
        <w:rPr/>
      </w:pPr>
      <w:r>
        <w:rPr/>
        <w:drawing>
          <wp:inline distT="0" distB="0" distL="0" distR="0">
            <wp:extent cx="3134995" cy="167957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3134995" cy="1679575"/>
                    </a:xfrm>
                    <a:prstGeom prst="rect">
                      <a:avLst/>
                    </a:prstGeom>
                  </pic:spPr>
                </pic:pic>
              </a:graphicData>
            </a:graphic>
          </wp:inline>
        </w:drawing>
      </w:r>
    </w:p>
    <w:p>
      <w:pPr>
        <w:pStyle w:val="Caption1"/>
        <w:spacing w:lineRule="auto" w:line="480"/>
        <w:jc w:val="center"/>
        <w:rPr>
          <w:lang w:val="en-US"/>
        </w:rPr>
      </w:pPr>
      <w:bookmarkStart w:id="6" w:name="_Toc129085324"/>
      <w:r>
        <w:rPr/>
        <w:t xml:space="preserve">Figure </w:t>
      </w:r>
      <w:r>
        <w:rPr/>
        <w:fldChar w:fldCharType="begin"/>
      </w:r>
      <w:r>
        <w:rPr/>
        <w:instrText xml:space="preserve"> SEQ Figure \* ARABIC </w:instrText>
      </w:r>
      <w:r>
        <w:rPr/>
        <w:fldChar w:fldCharType="separate"/>
      </w:r>
      <w:r>
        <w:rPr/>
        <w:t>2</w:t>
      </w:r>
      <w:r>
        <w:rPr/>
        <w:fldChar w:fldCharType="end"/>
      </w:r>
      <w:r>
        <w:rPr>
          <w:lang w:val="en-US"/>
        </w:rPr>
        <w:t>: Volkswagen Beetle</w:t>
      </w:r>
      <w:bookmarkEnd w:id="6"/>
    </w:p>
    <w:p>
      <w:pPr>
        <w:pStyle w:val="Normal"/>
        <w:jc w:val="center"/>
        <w:rPr/>
      </w:pPr>
      <w:r>
        <w:rPr>
          <w:lang w:val="en-US"/>
        </w:rPr>
        <w:t>Source: (</w:t>
      </w:r>
      <w:r>
        <w:rPr/>
        <w:t>Schiermeier, 2015)</w:t>
      </w:r>
    </w:p>
    <w:p>
      <w:pPr>
        <w:pStyle w:val="Normal"/>
        <w:rPr/>
      </w:pPr>
      <w:r>
        <w:rPr/>
        <w:t xml:space="preserve">Schiermeier (2015) analyses that after World War II, Volkswagen introduced the "Beetle," an instantly recognizable vehicle that demonstrated the company's commitment to durability and quality. As a result, they were known as West Germany's "economic miracle," a legendary brand whose vehicles are revered for being both well-engineered and economical. In subsequent years, VW expanded its business via mergers and acquisitions. The corporation expanded greatly as a result of its purchases of luxury automakers including Audi, Porsche, and Lamborghini. As a result of one company controlling such a large share of the car industry, the competition was severely hampered and new entrants faced higher obstacles to entry. Volkswagen was able to take advantage of economies of scale as a result of its mergers and acquisitions by developing standardized vehicle platforms that could be used across brands. Common components across brands are used in all of their factories across the globe, such as seat frames and engine transmission sets. As a result, they were able to significantly improve productivity by cutting expenses and investing more in continuous improvement. Further contributing to the company's success was the eco-friendly nature of VW's diesel engines. Their diesel engines were more efficient than the competition since they used up to 40 percent less fuel each mile. Diesel cars now account for half of VW's sales in Europe, so the company's approach paid off. Finally, just 3% of VW's sales were diesel cars, making the brand less well-known in North America than it is elsewhere (Nunes and Bennett, 2010). VW took a risk by increasing manufacturing to meet the demand for 1 million units sold, and it paid off. </w:t>
      </w:r>
    </w:p>
    <w:p>
      <w:pPr>
        <w:pStyle w:val="Heading1"/>
        <w:spacing w:lineRule="auto" w:line="480"/>
        <w:rPr/>
      </w:pPr>
      <w:bookmarkStart w:id="7" w:name="_Toc129085316"/>
      <w:r>
        <w:rPr/>
        <w:t>Key Findings Using Frameworks</w:t>
      </w:r>
      <w:bookmarkEnd w:id="7"/>
    </w:p>
    <w:p>
      <w:pPr>
        <w:pStyle w:val="Normal"/>
        <w:rPr/>
      </w:pPr>
      <w:r>
        <w:rPr/>
        <w:t>The introduction of new products and the generation of many options has forced Volkswagen to put more pressure on production. Moreover, the competitive market has forced Volkswagen to spend 6% of total business expenses on Research and Findings. Volkswagen has suppliers from many locations which gives them the disadvantage of negotiating with the suppliers.</w:t>
      </w:r>
    </w:p>
    <w:p>
      <w:pPr>
        <w:pStyle w:val="Normal"/>
        <w:keepNext w:val="true"/>
        <w:jc w:val="center"/>
        <w:rPr/>
      </w:pPr>
      <w:r>
        <w:rPr/>
        <w:drawing>
          <wp:inline distT="0" distB="0" distL="0" distR="0">
            <wp:extent cx="5953125" cy="328422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5953125" cy="3284220"/>
                    </a:xfrm>
                    <a:prstGeom prst="rect">
                      <a:avLst/>
                    </a:prstGeom>
                  </pic:spPr>
                </pic:pic>
              </a:graphicData>
            </a:graphic>
          </wp:inline>
        </w:drawing>
      </w:r>
    </w:p>
    <w:p>
      <w:pPr>
        <w:pStyle w:val="Caption1"/>
        <w:spacing w:lineRule="auto" w:line="480"/>
        <w:jc w:val="center"/>
        <w:rPr>
          <w:lang w:val="en-US"/>
        </w:rPr>
      </w:pPr>
      <w:bookmarkStart w:id="8" w:name="_Toc129085325"/>
      <w:r>
        <w:rPr/>
        <w:t xml:space="preserve">Figure </w:t>
      </w:r>
      <w:r>
        <w:rPr/>
        <w:fldChar w:fldCharType="begin"/>
      </w:r>
      <w:r>
        <w:rPr/>
        <w:instrText xml:space="preserve"> SEQ Figure \* ARABIC </w:instrText>
      </w:r>
      <w:r>
        <w:rPr/>
        <w:fldChar w:fldCharType="separate"/>
      </w:r>
      <w:r>
        <w:rPr/>
        <w:t>3</w:t>
      </w:r>
      <w:r>
        <w:rPr/>
        <w:fldChar w:fldCharType="end"/>
      </w:r>
      <w:r>
        <w:rPr>
          <w:lang w:val="en-US"/>
        </w:rPr>
        <w:t>: Suppliers of Volkswagen</w:t>
      </w:r>
      <w:bookmarkEnd w:id="8"/>
    </w:p>
    <w:p>
      <w:pPr>
        <w:pStyle w:val="Normal"/>
        <w:jc w:val="center"/>
        <w:rPr/>
      </w:pPr>
      <w:r>
        <w:rPr>
          <w:lang w:val="en-US"/>
        </w:rPr>
        <w:t xml:space="preserve">Source: </w:t>
      </w:r>
      <w:r>
        <w:rPr/>
        <w:t>(Barrett et al., 2015)</w:t>
      </w:r>
    </w:p>
    <w:p>
      <w:pPr>
        <w:pStyle w:val="Normal"/>
        <w:rPr/>
      </w:pPr>
      <w:r>
        <w:rPr/>
        <w:t xml:space="preserve">Competitors with better facilities extract customers from Volkswagen and the risk is high but the company has covered this situation by recovering. There is a huge advantage in the automobile industry as there is a small chance of new companies entering the market because of Volkswagen's huge market share. But Volkswagen has competition with pricing against huge companies like Nissan, Toyota and Ford. It has forced the company to extensively make expenses on research and developed a team to hold the market position with better pricing. Some external environments are also responsible for Volkswagen to reform of its strategies. The trade tension between Europe and US has a great effect on Business. The Brexit deals have affected Volkswagen's Business in Europe, moreover, the govt has taken initiatives to stop the circulation of diesel and oil by 2040 (Barrett et al., 2015). Due to the coronavirus situation, consumer spending has decreased by as much as 25% which has affected the Volkswagen market. Many employees have lost their job and the ability to buy a new car. Many people like to travel by cycle or use Uber has demotivated them to buy a new expensive car also some luxurious brands motivated high-class people to purchase because of their social status. Tesla is dominating the technological side with better technological advantages like self-driving cars is a big competition for Volkswagen. The world has moved for a sustainable and environment-friendly approach which has reduced the usage of Oil and Diesel and moved to electronic cars. To become competitive in the market Volkswagen has started moving to more green technology. Volkswagen has been involved in the Dieselgate scandal which has cost them to spend billions of dollars in fines and damages </w:t>
      </w:r>
      <w:bookmarkStart w:id="9" w:name="_Hlk129088275"/>
      <w:r>
        <w:rPr/>
        <w:t>(Nunes and Bennett, 2010)</w:t>
      </w:r>
      <w:bookmarkEnd w:id="9"/>
      <w:r>
        <w:rPr/>
        <w:t>. However, the company has recovered from that situation and now has witnessed growth in sales in the US.</w:t>
      </w:r>
    </w:p>
    <w:p>
      <w:pPr>
        <w:pStyle w:val="Heading1"/>
        <w:spacing w:lineRule="auto" w:line="480"/>
        <w:rPr/>
      </w:pPr>
      <w:bookmarkStart w:id="10" w:name="_Toc129085317"/>
      <w:r>
        <w:rPr/>
        <w:t>The resources and capabilities of Volkswagen over the past five years</w:t>
      </w:r>
      <w:bookmarkEnd w:id="10"/>
    </w:p>
    <w:p>
      <w:pPr>
        <w:pStyle w:val="Normal"/>
        <w:keepNext w:val="true"/>
        <w:jc w:val="center"/>
        <w:rPr/>
      </w:pPr>
      <w:r>
        <w:rPr/>
        <w:drawing>
          <wp:inline distT="0" distB="0" distL="0" distR="0" wp14:anchorId="7569E8CF">
            <wp:extent cx="3705225" cy="1847850"/>
            <wp:effectExtent l="0" t="57150" r="0" b="57150"/>
            <wp:docPr id="4" name="Diagram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pPr>
        <w:pStyle w:val="Caption1"/>
        <w:spacing w:lineRule="auto" w:line="480"/>
        <w:jc w:val="center"/>
        <w:rPr>
          <w:lang w:val="en-US"/>
        </w:rPr>
      </w:pPr>
      <w:bookmarkStart w:id="11" w:name="_Toc129085326"/>
      <w:r>
        <w:rPr/>
        <w:t xml:space="preserve">Figure </w:t>
      </w:r>
      <w:r>
        <w:rPr/>
        <w:fldChar w:fldCharType="begin"/>
      </w:r>
      <w:r>
        <w:rPr/>
        <w:instrText xml:space="preserve"> SEQ Figure \* ARABIC </w:instrText>
      </w:r>
      <w:r>
        <w:rPr/>
        <w:fldChar w:fldCharType="separate"/>
      </w:r>
      <w:r>
        <w:rPr/>
        <w:t>4</w:t>
      </w:r>
      <w:r>
        <w:rPr/>
        <w:fldChar w:fldCharType="end"/>
      </w:r>
      <w:r>
        <w:rPr>
          <w:lang w:val="en-US"/>
        </w:rPr>
        <w:t>: Resources of Volkswagen</w:t>
      </w:r>
      <w:bookmarkEnd w:id="11"/>
    </w:p>
    <w:p>
      <w:pPr>
        <w:pStyle w:val="Normal"/>
        <w:jc w:val="center"/>
        <w:rPr>
          <w:lang w:val="en-US"/>
        </w:rPr>
      </w:pPr>
      <w:r>
        <w:rPr>
          <w:lang w:val="en-US"/>
        </w:rPr>
        <w:t>Source: Author</w:t>
      </w:r>
    </w:p>
    <w:p>
      <w:pPr>
        <w:pStyle w:val="Normal"/>
        <w:rPr/>
      </w:pPr>
      <w:r>
        <w:rPr/>
        <w:t xml:space="preserve">Volkswagen's current position in the society in which it works has been influenced by a broad range of influences. It was initially a German enterprise, but it has developed abroad via smart resource management. The firm has used human resources as one of its numerous resources throughout the last five years. The firm has made hiring only the most qualified candidates a top focus. Therefore, the company's local and worldwide success may be largely due to the intelligence, talent, and Rover certification of its leadership teams and middle-level employees. Each year, they boost their workforce by adding new employees. According to Kasych and Vochozka (2017) with the launch of their revolutionary new business model came the need to staff it with the brightest and most capable fresh minds. Staff members are retained via competitive compensation and, where appropriate, career advancement opportunities. Staff members are expected to report on their performance regularly so that they may be assessed about the organization's overall objectives. Due to the authoritarian management style, employees are forced to report regularly. The firm has also made good use of its financial resources by investing in new locations and hiring more staff. </w:t>
      </w:r>
    </w:p>
    <w:p>
      <w:pPr>
        <w:pStyle w:val="Normal"/>
        <w:rPr/>
      </w:pPr>
      <w:r>
        <w:rPr/>
        <w:t>All of the company's cash flow has been put to good use. If you compare the company's sales growth to that of other German automakers, you'll find that it's respectable. Despite a rise in worldwide competition, the rate of return on invested capital has remained relatively unchanged. The rate of increase in income is likewise rising rapidly right now. New investments made in the form of international diversification have also been connected to the rise in income, and they need a comparatively little financial outlay compared to the benefits that would be gained. For example, the corporation has used technological advancements to both start and maintain profitable operations. Due to these benefits, one company has become well-known not only in Germany but also in a large number of other countries. The company's steady financial state has enabled it to maintain its position as a dominant participant in global marketplaces and to maintain its competitive advantage (Sergio and Rylova, 2018). If the firm's financial status were to worsen, its market share and consumers' confidence in its products would diminish. Branding, marketing, and innovation have benefited from the efforts of intelligent, productive, and highly qualified staff.</w:t>
      </w:r>
    </w:p>
    <w:p>
      <w:pPr>
        <w:pStyle w:val="Heading1"/>
        <w:spacing w:lineRule="auto" w:line="480"/>
        <w:rPr/>
      </w:pPr>
      <w:bookmarkStart w:id="12" w:name="_Toc129085318"/>
      <w:r>
        <w:rPr/>
        <w:t>VW’s Competitiveness while taking into consideration of sustainability and the environment</w:t>
      </w:r>
      <w:bookmarkEnd w:id="12"/>
    </w:p>
    <w:p>
      <w:pPr>
        <w:pStyle w:val="Normal"/>
        <w:keepNext w:val="true"/>
        <w:jc w:val="center"/>
        <w:rPr/>
      </w:pPr>
      <w:r>
        <w:rPr/>
        <w:drawing>
          <wp:inline distT="0" distB="0" distL="0" distR="0">
            <wp:extent cx="4009390" cy="2252345"/>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
                    <pic:cNvPicPr>
                      <a:picLocks noChangeAspect="1" noChangeArrowheads="1"/>
                    </pic:cNvPicPr>
                  </pic:nvPicPr>
                  <pic:blipFill>
                    <a:blip r:embed="rId10"/>
                    <a:stretch>
                      <a:fillRect/>
                    </a:stretch>
                  </pic:blipFill>
                  <pic:spPr bwMode="auto">
                    <a:xfrm>
                      <a:off x="0" y="0"/>
                      <a:ext cx="4009390" cy="2252345"/>
                    </a:xfrm>
                    <a:prstGeom prst="rect">
                      <a:avLst/>
                    </a:prstGeom>
                  </pic:spPr>
                </pic:pic>
              </a:graphicData>
            </a:graphic>
          </wp:inline>
        </w:drawing>
      </w:r>
    </w:p>
    <w:p>
      <w:pPr>
        <w:pStyle w:val="Caption1"/>
        <w:spacing w:lineRule="auto" w:line="480"/>
        <w:jc w:val="center"/>
        <w:rPr>
          <w:lang w:val="en-US"/>
        </w:rPr>
      </w:pPr>
      <w:bookmarkStart w:id="13" w:name="_Toc129085327"/>
      <w:r>
        <w:rPr/>
        <w:t xml:space="preserve">Figure </w:t>
      </w:r>
      <w:r>
        <w:rPr/>
        <w:fldChar w:fldCharType="begin"/>
      </w:r>
      <w:r>
        <w:rPr/>
        <w:instrText xml:space="preserve"> SEQ Figure \* ARABIC </w:instrText>
      </w:r>
      <w:r>
        <w:rPr/>
        <w:fldChar w:fldCharType="separate"/>
      </w:r>
      <w:r>
        <w:rPr/>
        <w:t>5</w:t>
      </w:r>
      <w:r>
        <w:rPr/>
        <w:fldChar w:fldCharType="end"/>
      </w:r>
      <w:r>
        <w:rPr>
          <w:lang w:val="en-US"/>
        </w:rPr>
        <w:t>: Volkswagen's Competitiveness</w:t>
      </w:r>
      <w:bookmarkEnd w:id="13"/>
    </w:p>
    <w:p>
      <w:pPr>
        <w:pStyle w:val="Normal"/>
        <w:jc w:val="center"/>
        <w:rPr>
          <w:lang w:val="en-US"/>
        </w:rPr>
      </w:pPr>
      <w:r>
        <w:rPr>
          <w:lang w:val="en-US"/>
        </w:rPr>
        <w:t>Source: (Adamkasi, 2019)</w:t>
      </w:r>
    </w:p>
    <w:p>
      <w:pPr>
        <w:pStyle w:val="Normal"/>
        <w:rPr/>
      </w:pPr>
      <w:r>
        <w:rPr/>
        <w:t xml:space="preserve">Adamkasi (2019) depicts that Volkswagen's current performance is dependent on the company's capacity to provide customers in all of the countries in which it does business with a more comprehensive range of products to choose from. To maintain its position as a market leader, the company has decided to outsource its operations to broaden its product offering and lower its overall operational costs. The company's well-established reputation as an industry leader, which is supplemented by its great organizational abilities, is the most significant factor contributing to the company's competitive edge. In addition to developing a profitable product line, the company has also developed a powerful brand identity. </w:t>
      </w:r>
    </w:p>
    <w:p>
      <w:pPr>
        <w:pStyle w:val="Normal"/>
        <w:keepNext w:val="true"/>
        <w:jc w:val="center"/>
        <w:rPr/>
      </w:pPr>
      <w:r>
        <w:rPr/>
        <w:drawing>
          <wp:inline distT="0" distB="0" distL="0" distR="0" wp14:anchorId="367C28A9">
            <wp:extent cx="6191250" cy="3676650"/>
            <wp:effectExtent l="0" t="57150" r="0" b="57150"/>
            <wp:docPr id="6" name="Diagram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pStyle w:val="Caption1"/>
        <w:spacing w:lineRule="auto" w:line="480"/>
        <w:jc w:val="center"/>
        <w:rPr>
          <w:lang w:val="en-US"/>
        </w:rPr>
      </w:pPr>
      <w:bookmarkStart w:id="14" w:name="_Toc129085328"/>
      <w:r>
        <w:rPr/>
        <w:t xml:space="preserve">Figure </w:t>
      </w:r>
      <w:r>
        <w:rPr/>
        <w:fldChar w:fldCharType="begin"/>
      </w:r>
      <w:r>
        <w:rPr/>
        <w:instrText xml:space="preserve"> SEQ Figure \* ARABIC </w:instrText>
      </w:r>
      <w:r>
        <w:rPr/>
        <w:fldChar w:fldCharType="separate"/>
      </w:r>
      <w:r>
        <w:rPr/>
        <w:t>6</w:t>
      </w:r>
      <w:r>
        <w:rPr/>
        <w:fldChar w:fldCharType="end"/>
      </w:r>
      <w:r>
        <w:rPr>
          <w:lang w:val="en-US"/>
        </w:rPr>
        <w:t>: Volkswagen's Key Competitive Features</w:t>
      </w:r>
      <w:bookmarkEnd w:id="14"/>
    </w:p>
    <w:p>
      <w:pPr>
        <w:pStyle w:val="Normal"/>
        <w:jc w:val="center"/>
        <w:rPr>
          <w:lang w:val="en-US"/>
        </w:rPr>
      </w:pPr>
      <w:r>
        <w:rPr>
          <w:lang w:val="en-US"/>
        </w:rPr>
        <w:t>Source: Author</w:t>
      </w:r>
    </w:p>
    <w:p>
      <w:pPr>
        <w:pStyle w:val="Normal"/>
        <w:rPr/>
      </w:pPr>
      <w:r>
        <w:rPr/>
        <w:t xml:space="preserve">Another area in which the organization shines is its capacity to successfully expand operations to new areas. As a result of its success, this firm now dominates its industry in multiple nations. Volkswagen has been very successful, as shown by the fact that it is currently present in more than 150 countries and has over 70 manufacturing locations worldwide. Recognition of the brand among consumers has also slowed. The company's priority is delivering prompt assistance to customers. Forty thousand vehicles may be produced in a day. According to Bush (2021), the firm is in a solid financial position, allowing it to continue investing in the development of new products and the growth of its business. Research and development are given a high priority in today's businesses. The cornerstones of the company's success are the excellent quality of its automobiles and the unique nature of its technology. The company's worldwide automobile market share is growing. Volkswagen has ensured the availability of low-cost, easily-operated automobiles for countless people all over the world. </w:t>
      </w:r>
    </w:p>
    <w:p>
      <w:pPr>
        <w:pStyle w:val="Normal"/>
        <w:rPr/>
      </w:pPr>
      <w:r>
        <w:rPr/>
        <w:t>The 2030 Group's strategy is a response to pressing issues of the present and future. The company's mission is to provide sustainable modes of transportation for people now and tomorrow. They highlight the guiding concepts for their environmental efforts in the areas of climate change, resources, air quality, and regulatory compliance in their "Environmental Mission Statement," which describes what they do to protect the environment. The Group Environmental Policy Statement provides an overview of the company's activities to lessen the negative effects it has on the environment. This commitment covers activities related to leadership, compliance with regulatory requirements, and contact with others that are interested in the matter. All Group companies and brands have environmental policies that are consistent with the standards set by the rest of the company. Although each of their industrial plants must be a leader in environmental stewardship, this is not the case. Volkswagen is dedicated to minimizing its environmental impact over the full lifespan of every one of its products and services (FitzRoy et al., 2016). As a result, the philosophy and actions of the organization are centred on the entirety of the supply chain, beginning with extraction and ending with recycling. They do this to ensure that the influence on the environment is reduced and eliminated, rather than being transferred from the plants, which would be an unacceptable outcome.</w:t>
      </w:r>
    </w:p>
    <w:p>
      <w:pPr>
        <w:pStyle w:val="Heading1"/>
        <w:spacing w:lineRule="auto" w:line="480"/>
        <w:rPr/>
      </w:pPr>
      <w:bookmarkStart w:id="15" w:name="_Toc129085319"/>
      <w:r>
        <w:rPr/>
        <w:t>The way sustainability practices can help the VW company to develop competitive advantages</w:t>
      </w:r>
      <w:bookmarkEnd w:id="15"/>
    </w:p>
    <w:p>
      <w:pPr>
        <w:pStyle w:val="Normal"/>
        <w:keepNext w:val="true"/>
        <w:jc w:val="center"/>
        <w:rPr/>
      </w:pPr>
      <w:r>
        <w:rPr/>
        <w:drawing>
          <wp:inline distT="0" distB="0" distL="0" distR="0" wp14:anchorId="6CE781FB">
            <wp:extent cx="4362450" cy="2428875"/>
            <wp:effectExtent l="57150" t="0" r="57150" b="0"/>
            <wp:docPr id="7" name="Diagram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pPr>
        <w:pStyle w:val="Caption1"/>
        <w:spacing w:lineRule="auto" w:line="480"/>
        <w:jc w:val="center"/>
        <w:rPr>
          <w:lang w:val="en-US"/>
        </w:rPr>
      </w:pPr>
      <w:bookmarkStart w:id="16" w:name="_Toc129085329"/>
      <w:r>
        <w:rPr/>
        <w:t xml:space="preserve">Figure </w:t>
      </w:r>
      <w:r>
        <w:rPr/>
        <w:fldChar w:fldCharType="begin"/>
      </w:r>
      <w:r>
        <w:rPr/>
        <w:instrText xml:space="preserve"> SEQ Figure \* ARABIC </w:instrText>
      </w:r>
      <w:r>
        <w:rPr/>
        <w:fldChar w:fldCharType="separate"/>
      </w:r>
      <w:r>
        <w:rPr/>
        <w:t>7</w:t>
      </w:r>
      <w:r>
        <w:rPr/>
        <w:fldChar w:fldCharType="end"/>
      </w:r>
      <w:r>
        <w:rPr>
          <w:lang w:val="en-US"/>
        </w:rPr>
        <w:t>: Volkswagen Sustainability Practice</w:t>
      </w:r>
      <w:bookmarkEnd w:id="16"/>
    </w:p>
    <w:p>
      <w:pPr>
        <w:pStyle w:val="Normal"/>
        <w:jc w:val="center"/>
        <w:rPr>
          <w:lang w:val="en-US"/>
        </w:rPr>
      </w:pPr>
      <w:r>
        <w:rPr>
          <w:lang w:val="en-US"/>
        </w:rPr>
        <w:t>Source: Author</w:t>
      </w:r>
    </w:p>
    <w:p>
      <w:pPr>
        <w:pStyle w:val="Normal"/>
        <w:rPr/>
      </w:pPr>
      <w:r>
        <w:rPr/>
        <w:t>It is crucial to have a plan for sustainability because it seeks to improve the organization's achievements, particularly its economic success, while simultaneously reducing the negative effects that the organization has on society and the environment. The promotion of sustainability has a huge effect on the organization along with the environment, the community and society (Smith, 2019).</w:t>
      </w:r>
    </w:p>
    <w:p>
      <w:pPr>
        <w:pStyle w:val="Normal"/>
        <w:rPr/>
      </w:pPr>
      <w:r>
        <w:rPr/>
        <w:t xml:space="preserve">However, these solutions not only improve the performance of the sustainability of other systems but also the performance of individuals. There are three fundamental strategies to employ to make a firm successful over the long term. The terms "change," "reform," and "status quo" is used to refer to these three distinct stances, respectively. Those who support the transformation strategy have underlined the significance of participation from individuals or groups that are not part of established power networks. This idea is the basis for an alternative strategy to the status quo, which prioritizes economic growth as the primary means of addressing societal and environmental issues. The Volkswagen Group recognizes that environmental sustainability is an essential component of business success. Wessel (2012) says that techniques for managing garbage and conserving water are included among these possibilities, which won't put too much strain on one's finances for Volkswagen. This demonstrates that reducing energy and water use, along with the disposal of waste and its subsequent recycling, may increase a company's ability to compete. Volkswagen has come up with a sustainable development strategy such as the packaging, and reduction of carbon has boosted them up to be competitive in this highly cluttered market. According to the findings, Volkswagen Group's chances of attaining major organizational success might be significantly increased by implementing the environmental initiatives that have been researched </w:t>
      </w:r>
      <w:bookmarkStart w:id="17" w:name="_Hlk129088292"/>
      <w:r>
        <w:rPr/>
        <w:t>(Barrett et al., 2015)</w:t>
      </w:r>
      <w:bookmarkEnd w:id="17"/>
      <w:r>
        <w:rPr/>
        <w:t xml:space="preserve">. </w:t>
      </w:r>
    </w:p>
    <w:p>
      <w:pPr>
        <w:pStyle w:val="Normal"/>
        <w:rPr/>
      </w:pPr>
      <w:r>
        <w:rPr/>
        <w:t xml:space="preserve">Several suggestions are made about the Volkswagen Group. Because of the damage that the Diesel scandal has created, the corporate culture at Volkswagen needs to be changed as soon as possible. Things like honesty, fair play, and employee autonomy ought to be elevated to the position of management's topmost priority. In the beginning stages of this transition, the company will focus on moving into a time of ridesharing and electric vehicles. Lastly, the market in the Asia Pacific region is vast. To get a grab on that market the company have to think more about green production at the local level. If VW wants to stay with the growth expansion as current, they have to maintain its current spending investment on research and development </w:t>
      </w:r>
      <w:bookmarkStart w:id="18" w:name="_Hlk129088181"/>
      <w:r>
        <w:rPr/>
        <w:t>(Jung and Sharon, 2019)</w:t>
      </w:r>
      <w:bookmarkEnd w:id="18"/>
      <w:r>
        <w:rPr/>
        <w:t>.</w:t>
      </w:r>
    </w:p>
    <w:p>
      <w:pPr>
        <w:pStyle w:val="Normal"/>
        <w:rPr/>
      </w:pPr>
      <w:r>
        <w:rPr/>
      </w:r>
    </w:p>
    <w:p>
      <w:pPr>
        <w:pStyle w:val="Normal"/>
        <w:rPr/>
      </w:pPr>
      <w:r>
        <w:rPr/>
      </w:r>
    </w:p>
    <w:p>
      <w:pPr>
        <w:pStyle w:val="Normal"/>
        <w:rPr/>
      </w:pPr>
      <w:r>
        <w:rPr/>
      </w:r>
    </w:p>
    <w:p>
      <w:pPr>
        <w:pStyle w:val="Normal"/>
        <w:rPr/>
      </w:pPr>
      <w:r>
        <w:rPr/>
      </w:r>
    </w:p>
    <w:p>
      <w:pPr>
        <w:pStyle w:val="Heading1"/>
        <w:spacing w:lineRule="auto" w:line="480"/>
        <w:rPr/>
      </w:pPr>
      <w:bookmarkStart w:id="19" w:name="_Toc129085320"/>
      <w:r>
        <w:rPr/>
        <w:t>Conclusion</w:t>
      </w:r>
      <w:bookmarkEnd w:id="19"/>
    </w:p>
    <w:p>
      <w:pPr>
        <w:pStyle w:val="Normal"/>
        <w:rPr/>
      </w:pPr>
      <w:r>
        <w:rPr/>
        <w:t>When viewed through the lens of hindsight, the company's approach to the market may be significant. The highly developed strategy to being competitive in the market has helped Volkswagen to grab a huge market share over time. The analysis and findings show that Volkswagen is investing highly in going green technology and being competitive with its pricing strategy. Volkswagen's research and development efforts have increased the company's customer base, but the company's competitors are performing even more admirable. As a result, Volkswagen ought to form partnerships with other manufacturers to increase both its profitability and its market share. This would increase Volkswagen's market share as well as provide the company with its first taste of success in the markets of India, China, and Africa.</w:t>
      </w:r>
    </w:p>
    <w:p>
      <w:pPr>
        <w:pStyle w:val="Normal"/>
        <w:rPr/>
      </w:pPr>
      <w:r>
        <w:rPr/>
      </w:r>
    </w:p>
    <w:p>
      <w:pPr>
        <w:pStyle w:val="Normal"/>
        <w:rPr/>
      </w:pPr>
      <w:r>
        <w:rPr/>
      </w:r>
    </w:p>
    <w:p>
      <w:pPr>
        <w:pStyle w:val="Normal"/>
        <w:rPr/>
      </w:pPr>
      <w:r>
        <w:rPr/>
      </w:r>
    </w:p>
    <w:p>
      <w:pPr>
        <w:pStyle w:val="Normal"/>
        <w:jc w:val="left"/>
        <w:rPr>
          <w:rFonts w:eastAsia="" w:cs="Vrinda" w:cstheme="majorBidi" w:eastAsiaTheme="majorEastAsia"/>
          <w:b/>
          <w:color w:val="000000" w:themeColor="text1"/>
          <w:sz w:val="32"/>
          <w:szCs w:val="32"/>
        </w:rPr>
      </w:pPr>
      <w:r>
        <w:rPr>
          <w:rFonts w:eastAsia="" w:cs="Vrinda" w:cstheme="majorBidi" w:eastAsiaTheme="majorEastAsia"/>
          <w:b/>
          <w:color w:val="000000" w:themeColor="text1"/>
          <w:sz w:val="32"/>
          <w:szCs w:val="32"/>
        </w:rPr>
      </w:r>
      <w:bookmarkStart w:id="20" w:name="_Toc129085321"/>
      <w:bookmarkStart w:id="21" w:name="_Toc129085321"/>
      <w:r>
        <w:br w:type="page"/>
      </w:r>
    </w:p>
    <w:p>
      <w:pPr>
        <w:pStyle w:val="Heading1"/>
        <w:spacing w:lineRule="auto" w:line="480"/>
        <w:rPr>
          <w:sz w:val="22"/>
          <w:szCs w:val="22"/>
        </w:rPr>
      </w:pPr>
      <w:bookmarkStart w:id="22" w:name="_Toc129085321"/>
      <w:r>
        <w:rPr/>
        <w:t>References</w:t>
      </w:r>
      <w:bookmarkEnd w:id="22"/>
    </w:p>
    <w:p>
      <w:pPr>
        <w:pStyle w:val="Normal"/>
        <w:ind w:left="720" w:hanging="720"/>
        <w:rPr>
          <w:szCs w:val="22"/>
        </w:rPr>
      </w:pPr>
      <w:r>
        <w:rPr>
          <w:szCs w:val="22"/>
        </w:rPr>
        <w:t xml:space="preserve">Adamkasi, J. (2019). Porter's five forces analysis (Porter's model) of Volkswagen Group, Porter Analysis. Available at: https://www.porteranalysis.com/porter-five-force-analysis-porters-model-of-volkswagen-group/ (Accessed: March 7, 2023). </w:t>
      </w:r>
    </w:p>
    <w:p>
      <w:pPr>
        <w:pStyle w:val="Normal"/>
        <w:ind w:left="720" w:hanging="720"/>
        <w:rPr>
          <w:color w:val="222222"/>
          <w:szCs w:val="22"/>
          <w:shd w:fill="FFFFFF" w:val="clear"/>
        </w:rPr>
      </w:pPr>
      <w:r>
        <w:rPr>
          <w:color w:val="222222"/>
          <w:szCs w:val="22"/>
          <w:shd w:fill="FFFFFF" w:val="clear"/>
        </w:rPr>
        <w:t>Barrett, S.R., Speth, R.L., Eastham, S.D., Dedoussi, I.C., Ashok, A., Malina, R. and Keith, D.W., 2015. Impact of the Volkswagen emissions controls defeat device on US public health. </w:t>
      </w:r>
      <w:r>
        <w:rPr>
          <w:i/>
          <w:iCs/>
          <w:color w:val="222222"/>
          <w:szCs w:val="22"/>
          <w:shd w:fill="FFFFFF" w:val="clear"/>
        </w:rPr>
        <w:t>Environmental Research Letters</w:t>
      </w:r>
      <w:r>
        <w:rPr>
          <w:color w:val="222222"/>
          <w:szCs w:val="22"/>
          <w:shd w:fill="FFFFFF" w:val="clear"/>
        </w:rPr>
        <w:t>, </w:t>
      </w:r>
      <w:r>
        <w:rPr>
          <w:i/>
          <w:iCs/>
          <w:color w:val="222222"/>
          <w:szCs w:val="22"/>
          <w:shd w:fill="FFFFFF" w:val="clear"/>
        </w:rPr>
        <w:t>10</w:t>
      </w:r>
      <w:r>
        <w:rPr>
          <w:color w:val="222222"/>
          <w:szCs w:val="22"/>
          <w:shd w:fill="FFFFFF" w:val="clear"/>
        </w:rPr>
        <w:t>(11), p.114005.</w:t>
      </w:r>
    </w:p>
    <w:p>
      <w:pPr>
        <w:pStyle w:val="Normal"/>
        <w:ind w:left="720" w:hanging="720"/>
        <w:rPr>
          <w:szCs w:val="22"/>
        </w:rPr>
      </w:pPr>
      <w:r>
        <w:rPr>
          <w:szCs w:val="22"/>
        </w:rPr>
        <w:t xml:space="preserve">Bush, T. (2021). Pestle analysis of Volkswagen Group, PESTLE Analysis. Available at: https://pestleanalysis.com/pestle-analysis-of-volkswagen-group/ (Accessed: March 7, 2023). </w:t>
      </w:r>
    </w:p>
    <w:p>
      <w:pPr>
        <w:pStyle w:val="Normal"/>
        <w:ind w:left="720" w:hanging="720"/>
        <w:rPr>
          <w:szCs w:val="22"/>
        </w:rPr>
      </w:pPr>
      <w:r>
        <w:rPr>
          <w:szCs w:val="22"/>
        </w:rPr>
        <w:t xml:space="preserve">FitzRoy, P.T., Hulbert, J.M. and O'Shannassy, T. (2016). Strategic management: The challenge of creating value. London: Routledge, Taylor &amp;amp; Francis Group. </w:t>
      </w:r>
    </w:p>
    <w:p>
      <w:pPr>
        <w:pStyle w:val="Normal"/>
        <w:ind w:left="720" w:hanging="720"/>
        <w:rPr>
          <w:szCs w:val="22"/>
        </w:rPr>
      </w:pPr>
      <w:r>
        <w:rPr>
          <w:szCs w:val="22"/>
        </w:rPr>
        <w:t>Jung, J.C. and Sharon, E., 2019. The Volkswagen emissions scandal and its aftermath. Global business and organizational excellence, 38(4), pp.6-15.</w:t>
      </w:r>
    </w:p>
    <w:p>
      <w:pPr>
        <w:pStyle w:val="Normal"/>
        <w:ind w:left="720" w:hanging="720"/>
        <w:rPr>
          <w:color w:val="222222"/>
          <w:szCs w:val="22"/>
          <w:shd w:fill="FFFFFF" w:val="clear"/>
        </w:rPr>
      </w:pPr>
      <w:r>
        <w:rPr>
          <w:color w:val="222222"/>
          <w:szCs w:val="22"/>
          <w:shd w:fill="FFFFFF" w:val="clear"/>
        </w:rPr>
        <w:t>Kasych, A. and Vochozka, M., 2017. Theoretical and methodical principles of managing enterprise sustainable development.</w:t>
      </w:r>
    </w:p>
    <w:p>
      <w:pPr>
        <w:pStyle w:val="Normal"/>
        <w:ind w:left="720" w:hanging="720"/>
        <w:rPr>
          <w:szCs w:val="22"/>
        </w:rPr>
      </w:pPr>
      <w:r>
        <w:rPr>
          <w:color w:val="222222"/>
          <w:szCs w:val="22"/>
          <w:shd w:fill="FFFFFF" w:val="clear"/>
        </w:rPr>
        <w:t>Nunes, B. and Bennett, D., 2010. Green operations initiatives in the automotive industry: An environmental reports analysis and benchmarking study. </w:t>
      </w:r>
      <w:r>
        <w:rPr>
          <w:i/>
          <w:iCs/>
          <w:color w:val="222222"/>
          <w:szCs w:val="22"/>
          <w:shd w:fill="FFFFFF" w:val="clear"/>
        </w:rPr>
        <w:t>Benchmarking: An International Journal</w:t>
      </w:r>
      <w:r>
        <w:rPr>
          <w:color w:val="222222"/>
          <w:szCs w:val="22"/>
          <w:shd w:fill="FFFFFF" w:val="clear"/>
        </w:rPr>
        <w:t>.</w:t>
      </w:r>
    </w:p>
    <w:p>
      <w:pPr>
        <w:pStyle w:val="Normal"/>
        <w:ind w:left="720" w:hanging="720"/>
        <w:rPr>
          <w:szCs w:val="22"/>
        </w:rPr>
      </w:pPr>
      <w:r>
        <w:rPr>
          <w:color w:val="222222"/>
          <w:szCs w:val="22"/>
          <w:shd w:fill="FFFFFF" w:val="clear"/>
        </w:rPr>
        <w:t>Schiermeier, Q., 2015. The science behind the Volkswagen emissions scandal. </w:t>
      </w:r>
      <w:r>
        <w:rPr>
          <w:i/>
          <w:iCs/>
          <w:color w:val="222222"/>
          <w:szCs w:val="22"/>
          <w:shd w:fill="FFFFFF" w:val="clear"/>
        </w:rPr>
        <w:t>Nature</w:t>
      </w:r>
      <w:r>
        <w:rPr>
          <w:color w:val="222222"/>
          <w:szCs w:val="22"/>
          <w:shd w:fill="FFFFFF" w:val="clear"/>
        </w:rPr>
        <w:t>, </w:t>
      </w:r>
      <w:r>
        <w:rPr>
          <w:i/>
          <w:iCs/>
          <w:color w:val="222222"/>
          <w:szCs w:val="22"/>
          <w:shd w:fill="FFFFFF" w:val="clear"/>
        </w:rPr>
        <w:t>9</w:t>
      </w:r>
      <w:r>
        <w:rPr>
          <w:color w:val="222222"/>
          <w:szCs w:val="22"/>
          <w:shd w:fill="FFFFFF" w:val="clear"/>
        </w:rPr>
        <w:t>, p.24.</w:t>
      </w:r>
    </w:p>
    <w:p>
      <w:pPr>
        <w:pStyle w:val="Normal"/>
        <w:ind w:left="720" w:hanging="720"/>
        <w:rPr>
          <w:szCs w:val="22"/>
        </w:rPr>
      </w:pPr>
      <w:r>
        <w:rPr>
          <w:color w:val="222222"/>
          <w:szCs w:val="22"/>
          <w:shd w:fill="FFFFFF" w:val="clear"/>
        </w:rPr>
        <w:t>Sergio, R.P. and Rylova, M., 2018. Employee engagement and empowerment as a gateway towards retention: The case of Volkswagen group. </w:t>
      </w:r>
      <w:r>
        <w:rPr>
          <w:i/>
          <w:iCs/>
          <w:color w:val="222222"/>
          <w:szCs w:val="22"/>
          <w:shd w:fill="FFFFFF" w:val="clear"/>
        </w:rPr>
        <w:t>Journal of Eastern European and Central Asian Research</w:t>
      </w:r>
      <w:r>
        <w:rPr>
          <w:color w:val="222222"/>
          <w:szCs w:val="22"/>
          <w:shd w:fill="FFFFFF" w:val="clear"/>
        </w:rPr>
        <w:t>, </w:t>
      </w:r>
      <w:r>
        <w:rPr>
          <w:i/>
          <w:iCs/>
          <w:color w:val="222222"/>
          <w:szCs w:val="22"/>
          <w:shd w:fill="FFFFFF" w:val="clear"/>
        </w:rPr>
        <w:t>5</w:t>
      </w:r>
      <w:r>
        <w:rPr>
          <w:color w:val="222222"/>
          <w:szCs w:val="22"/>
          <w:shd w:fill="FFFFFF" w:val="clear"/>
        </w:rPr>
        <w:t>(2).</w:t>
      </w:r>
    </w:p>
    <w:p>
      <w:pPr>
        <w:pStyle w:val="Normal"/>
        <w:ind w:left="720" w:hanging="720"/>
        <w:rPr>
          <w:szCs w:val="22"/>
        </w:rPr>
      </w:pPr>
      <w:r>
        <w:rPr>
          <w:szCs w:val="22"/>
        </w:rPr>
        <w:t xml:space="preserve">Smith, A. (2019). The Volkswagen Group’s competitive advantage in the international market. Available at: https://woodwardavenue.org/the-volkswagen-groups-competitive-advantage-in-the-international-market/ (Accessed: March 7, 2023). </w:t>
      </w:r>
    </w:p>
    <w:p>
      <w:pPr>
        <w:pStyle w:val="Normal"/>
        <w:ind w:left="720" w:hanging="720"/>
        <w:rPr>
          <w:szCs w:val="22"/>
        </w:rPr>
      </w:pPr>
      <w:r>
        <w:rPr>
          <w:szCs w:val="22"/>
        </w:rPr>
        <w:t>Wessel, O.  (2012). “A comparative study of automation strategies at Volkswagen in Germany and South Africa,” The South African Journal of Industrial Engineering, 19(1). Available at: https://doi.org/10.7166/19-1-112.</w:t>
      </w:r>
    </w:p>
    <w:p>
      <w:pPr>
        <w:pStyle w:val="Normal"/>
        <w:rPr/>
      </w:pPr>
      <w:r>
        <w:rPr/>
      </w:r>
    </w:p>
    <w:p>
      <w:pPr>
        <w:pStyle w:val="Normal"/>
        <w:rPr/>
      </w:pPr>
      <w:r>
        <w:rPr/>
      </w:r>
    </w:p>
    <w:p>
      <w:pPr>
        <w:pStyle w:val="Normal"/>
        <w:rPr/>
      </w:pPr>
      <w:r>
        <w:rPr/>
      </w:r>
    </w:p>
    <w:p>
      <w:pPr>
        <w:pStyle w:val="Normal"/>
        <w:jc w:val="left"/>
        <w:rPr>
          <w:rFonts w:eastAsia="" w:cs="Vrinda" w:cstheme="majorBidi" w:eastAsiaTheme="majorEastAsia"/>
          <w:b/>
          <w:color w:val="000000" w:themeColor="text1"/>
          <w:sz w:val="32"/>
          <w:szCs w:val="32"/>
        </w:rPr>
      </w:pPr>
      <w:r>
        <w:rPr>
          <w:rFonts w:eastAsia="" w:cs="Vrinda" w:cstheme="majorBidi" w:eastAsiaTheme="majorEastAsia"/>
          <w:b/>
          <w:color w:val="000000" w:themeColor="text1"/>
          <w:sz w:val="32"/>
          <w:szCs w:val="32"/>
        </w:rPr>
      </w:r>
      <w:bookmarkStart w:id="23" w:name="_Toc129085322"/>
      <w:bookmarkStart w:id="24" w:name="_Toc129085322"/>
      <w:r>
        <w:br w:type="page"/>
      </w:r>
    </w:p>
    <w:p>
      <w:pPr>
        <w:pStyle w:val="Heading1"/>
        <w:spacing w:lineRule="auto" w:line="480"/>
        <w:rPr/>
      </w:pPr>
      <w:bookmarkStart w:id="25" w:name="_Toc129085322"/>
      <w:r>
        <w:rPr/>
        <w:t>Appendix</w:t>
      </w:r>
      <w:bookmarkEnd w:id="25"/>
    </w:p>
    <w:p>
      <w:pPr>
        <w:pStyle w:val="Normal"/>
        <w:rPr>
          <w:b/>
          <w:bCs/>
        </w:rPr>
      </w:pPr>
      <w:r>
        <w:rPr>
          <w:b/>
          <w:bCs/>
        </w:rPr>
        <w:t>Porters Five Force Model</w:t>
      </w:r>
    </w:p>
    <w:p>
      <w:pPr>
        <w:pStyle w:val="Normal"/>
        <w:keepNext w:val="true"/>
        <w:jc w:val="center"/>
        <w:rPr/>
      </w:pPr>
      <w:r>
        <w:rPr/>
        <w:drawing>
          <wp:inline distT="0" distB="0" distL="0" distR="0">
            <wp:extent cx="3495040" cy="3250565"/>
            <wp:effectExtent l="0" t="0" r="0" b="0"/>
            <wp:docPr id="8"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
                    <pic:cNvPicPr>
                      <a:picLocks noChangeAspect="1" noChangeArrowheads="1"/>
                    </pic:cNvPicPr>
                  </pic:nvPicPr>
                  <pic:blipFill>
                    <a:blip r:embed="rId21"/>
                    <a:stretch>
                      <a:fillRect/>
                    </a:stretch>
                  </pic:blipFill>
                  <pic:spPr bwMode="auto">
                    <a:xfrm>
                      <a:off x="0" y="0"/>
                      <a:ext cx="3495040" cy="3250565"/>
                    </a:xfrm>
                    <a:prstGeom prst="rect">
                      <a:avLst/>
                    </a:prstGeom>
                  </pic:spPr>
                </pic:pic>
              </a:graphicData>
            </a:graphic>
          </wp:inline>
        </w:drawing>
      </w:r>
    </w:p>
    <w:p>
      <w:pPr>
        <w:pStyle w:val="Caption1"/>
        <w:spacing w:lineRule="auto" w:line="480"/>
        <w:jc w:val="center"/>
        <w:rPr/>
      </w:pPr>
      <w:bookmarkStart w:id="26" w:name="_Toc129085330"/>
      <w:r>
        <w:rPr/>
        <w:t xml:space="preserve">Figure </w:t>
      </w:r>
      <w:r>
        <w:rPr/>
        <w:fldChar w:fldCharType="begin"/>
      </w:r>
      <w:r>
        <w:rPr/>
        <w:instrText xml:space="preserve"> SEQ Figure \* ARABIC </w:instrText>
      </w:r>
      <w:r>
        <w:rPr/>
        <w:fldChar w:fldCharType="separate"/>
      </w:r>
      <w:r>
        <w:rPr/>
        <w:t>8</w:t>
      </w:r>
      <w:r>
        <w:rPr/>
        <w:fldChar w:fldCharType="end"/>
      </w:r>
      <w:r>
        <w:rPr>
          <w:lang w:val="en-US"/>
        </w:rPr>
        <w:t>: Porters Five Force Model</w:t>
      </w:r>
      <w:bookmarkEnd w:id="26"/>
    </w:p>
    <w:p>
      <w:pPr>
        <w:pStyle w:val="Normal"/>
        <w:rPr>
          <w:b/>
          <w:bCs/>
        </w:rPr>
      </w:pPr>
      <w:r>
        <w:rPr>
          <w:b/>
          <w:bCs/>
        </w:rPr>
        <w:t>Bargaining Power of Buyers</w:t>
      </w:r>
    </w:p>
    <w:p>
      <w:pPr>
        <w:pStyle w:val="Normal"/>
        <w:rPr/>
      </w:pPr>
      <w:r>
        <w:rPr/>
        <w:t xml:space="preserve">Since there are now more products and brands to choose from, consumers have more leverage in negotiations. Because of this, Volkswagen has felt "pressure" to increase production speed and quality to remain competitive. Furthermore, Volkswagen's astronomical branding and marketing expenses indicate a crowded market in which substantial financial outlays are necessary to attract new consumers. Increased spending on research and development (R&amp;D) accounts for 6% of total business expenses due to the intense level of competition. The consumer now has a lot of leverage due to all these considerations. </w:t>
      </w:r>
    </w:p>
    <w:p>
      <w:pPr>
        <w:pStyle w:val="Normal"/>
        <w:rPr>
          <w:b/>
          <w:bCs/>
        </w:rPr>
      </w:pPr>
      <w:r>
        <w:rPr>
          <w:b/>
          <w:bCs/>
        </w:rPr>
        <w:t xml:space="preserve">Bargaining Power of Suppliers </w:t>
      </w:r>
    </w:p>
    <w:p>
      <w:pPr>
        <w:pStyle w:val="Normal"/>
        <w:rPr/>
      </w:pPr>
      <w:r>
        <w:rPr/>
        <w:t>Since Volkswagen has so many suppliers in so many different locations, its suppliers have little leverage in negotiations. Furthermore, suppliers are bound by Volkswagen's code of conduct, reducing their bargaining power. The demand for excellent goods and, ideally, a long-term partnership that can properly fulfil the needs of a corporation like Volkswagen leaves suppliers of car components with little negotiating leverage over their consumers. Overall, suppliers have little leverage in negotiations.</w:t>
      </w:r>
    </w:p>
    <w:p>
      <w:pPr>
        <w:pStyle w:val="Normal"/>
        <w:rPr>
          <w:b/>
          <w:bCs/>
        </w:rPr>
      </w:pPr>
      <w:r>
        <w:rPr>
          <w:b/>
          <w:bCs/>
        </w:rPr>
        <w:t>The threat of Substitute Products or Services</w:t>
      </w:r>
    </w:p>
    <w:p>
      <w:pPr>
        <w:pStyle w:val="Normal"/>
        <w:rPr/>
      </w:pPr>
      <w:r>
        <w:rPr/>
        <w:t>Volkswagen faces a substantial threat from alternatives due to the abundance of existing rivals in the car sector. Volkswagens are only one example; other modes of transportation and services like Uber exist. Volkswagen's goods were reliable and trustworthy for many years, but once the "Dieselgate" scandal broke, many buyers switched to other brands. The overall danger of replacements is high to moderate, but the impacts of the crisis have been mitigated and faith in the organization is recovering.</w:t>
      </w:r>
    </w:p>
    <w:p>
      <w:pPr>
        <w:pStyle w:val="Normal"/>
        <w:rPr>
          <w:b/>
          <w:bCs/>
        </w:rPr>
      </w:pPr>
      <w:r>
        <w:rPr>
          <w:b/>
          <w:bCs/>
        </w:rPr>
        <w:t>The threat of New Entrants</w:t>
      </w:r>
    </w:p>
    <w:p>
      <w:pPr>
        <w:pStyle w:val="Normal"/>
        <w:rPr/>
      </w:pPr>
      <w:r>
        <w:rPr/>
        <w:t>Given the difficulty of breaking into the car industry, in which Volkswagen works, the competition the company faces is minimal. There is essentially no way for a new firm to join the market and compete with Volkswagen's dominant market share due to the high start-up costs and massive investments required in operations like production, R&amp;D, marketing, supply chain, and distribution (economies of scale). For a new company to succeed in the car market, it is very challenging to build a recognizable brand name that resonates with consumers. Because of this, the danger posed by new entrants is minimal.</w:t>
      </w:r>
    </w:p>
    <w:p>
      <w:pPr>
        <w:pStyle w:val="Normal"/>
        <w:rPr>
          <w:b/>
          <w:bCs/>
        </w:rPr>
      </w:pPr>
      <w:r>
        <w:rPr>
          <w:b/>
          <w:bCs/>
        </w:rPr>
        <w:t>Rivalry Among Existing Competitors</w:t>
      </w:r>
    </w:p>
    <w:p>
      <w:pPr>
        <w:pStyle w:val="Normal"/>
        <w:rPr/>
      </w:pPr>
      <w:r>
        <w:rPr/>
        <w:t>Volkswagen Group confronts substantial pricing competition from rivals like Nissan, Toyota, Ford, etc., contributing to the industry's already high level of competitiveness among current competitors. What's more, you can get similarly dependable, high-quality, and efficient versions across a wide range of manufacturers. Volkswagen was pressured by industry rivals to spend extensively on research and development and marketing to maintain its dominant position in the market. Due to this, there is intense competition in the market.</w:t>
      </w:r>
    </w:p>
    <w:p>
      <w:pPr>
        <w:pStyle w:val="Normal"/>
        <w:rPr>
          <w:b/>
          <w:bCs/>
        </w:rPr>
      </w:pPr>
      <w:r>
        <w:rPr>
          <w:b/>
          <w:bCs/>
        </w:rPr>
        <w:t>PESTEL Analysis</w:t>
      </w:r>
    </w:p>
    <w:p>
      <w:pPr>
        <w:pStyle w:val="Normal"/>
        <w:keepNext w:val="true"/>
        <w:jc w:val="center"/>
        <w:rPr/>
      </w:pPr>
      <w:r>
        <w:rPr/>
        <w:drawing>
          <wp:inline distT="0" distB="0" distL="0" distR="0">
            <wp:extent cx="4781550" cy="3020695"/>
            <wp:effectExtent l="0" t="0" r="0" b="0"/>
            <wp:docPr id="9"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
                    <pic:cNvPicPr>
                      <a:picLocks noChangeAspect="1" noChangeArrowheads="1"/>
                    </pic:cNvPicPr>
                  </pic:nvPicPr>
                  <pic:blipFill>
                    <a:blip r:embed="rId22"/>
                    <a:stretch>
                      <a:fillRect/>
                    </a:stretch>
                  </pic:blipFill>
                  <pic:spPr bwMode="auto">
                    <a:xfrm>
                      <a:off x="0" y="0"/>
                      <a:ext cx="4781550" cy="3020695"/>
                    </a:xfrm>
                    <a:prstGeom prst="rect">
                      <a:avLst/>
                    </a:prstGeom>
                  </pic:spPr>
                </pic:pic>
              </a:graphicData>
            </a:graphic>
          </wp:inline>
        </w:drawing>
      </w:r>
    </w:p>
    <w:p>
      <w:pPr>
        <w:pStyle w:val="Caption1"/>
        <w:spacing w:lineRule="auto" w:line="480"/>
        <w:jc w:val="center"/>
        <w:rPr/>
      </w:pPr>
      <w:bookmarkStart w:id="27" w:name="_Toc129085331"/>
      <w:r>
        <w:rPr/>
        <w:t xml:space="preserve">Figure </w:t>
      </w:r>
      <w:r>
        <w:rPr/>
        <w:fldChar w:fldCharType="begin"/>
      </w:r>
      <w:r>
        <w:rPr/>
        <w:instrText xml:space="preserve"> SEQ Figure \* ARABIC </w:instrText>
      </w:r>
      <w:r>
        <w:rPr/>
        <w:fldChar w:fldCharType="separate"/>
      </w:r>
      <w:r>
        <w:rPr/>
        <w:t>9</w:t>
      </w:r>
      <w:r>
        <w:rPr/>
        <w:fldChar w:fldCharType="end"/>
      </w:r>
      <w:r>
        <w:rPr>
          <w:lang w:val="en-US"/>
        </w:rPr>
        <w:t>: PESTEL Analysis</w:t>
      </w:r>
      <w:bookmarkEnd w:id="27"/>
    </w:p>
    <w:p>
      <w:pPr>
        <w:pStyle w:val="Normal"/>
        <w:rPr>
          <w:b/>
          <w:bCs/>
        </w:rPr>
      </w:pPr>
      <w:r>
        <w:rPr>
          <w:b/>
          <w:bCs/>
        </w:rPr>
      </w:r>
    </w:p>
    <w:p>
      <w:pPr>
        <w:pStyle w:val="Normal"/>
        <w:rPr>
          <w:b/>
          <w:bCs/>
        </w:rPr>
      </w:pPr>
      <w:r>
        <w:rPr>
          <w:b/>
          <w:bCs/>
        </w:rPr>
      </w:r>
    </w:p>
    <w:p>
      <w:pPr>
        <w:pStyle w:val="Normal"/>
        <w:rPr>
          <w:b/>
          <w:bCs/>
        </w:rPr>
      </w:pPr>
      <w:r>
        <w:rPr>
          <w:b/>
          <w:bCs/>
        </w:rPr>
        <w:t>Political Factors</w:t>
      </w:r>
    </w:p>
    <w:p>
      <w:pPr>
        <w:pStyle w:val="Normal"/>
        <w:rPr/>
      </w:pPr>
      <w:r>
        <w:rPr/>
        <w:t>Trade conflicts between Europe and the United States, in which the latter has taken moves to boost its imposed tariffs, are at the heart of these problems. Volkswagen's UK operations are also impacted by the present uncertainty surrounding the Brexit agreement between the EU and the UK. Taxes and free-trade agreements aside, the government has set its sights on eliminating the use of diesel and oil in automobiles by the year 2040.</w:t>
      </w:r>
    </w:p>
    <w:p>
      <w:pPr>
        <w:pStyle w:val="Normal"/>
        <w:rPr>
          <w:b/>
          <w:bCs/>
        </w:rPr>
      </w:pPr>
      <w:r>
        <w:rPr>
          <w:b/>
          <w:bCs/>
        </w:rPr>
        <w:t>Economic Factors</w:t>
      </w:r>
    </w:p>
    <w:p>
      <w:pPr>
        <w:pStyle w:val="Normal"/>
        <w:rPr/>
      </w:pPr>
      <w:r>
        <w:rPr/>
        <w:t>Reduced consumer spending in 2020 due to the coronavirus pandemic is the first economic issue affecting Volkswagen. A lot of individuals have lost their jobs or decided against buying new cars all across the globe, but mainly in the United States and Europe. Further, the automobile had been struggling even before the epidemic hit because of the Brexit upheaval, which caused high inflation and reduced spending.</w:t>
      </w:r>
    </w:p>
    <w:p>
      <w:pPr>
        <w:pStyle w:val="Normal"/>
        <w:rPr>
          <w:b/>
          <w:bCs/>
        </w:rPr>
      </w:pPr>
      <w:r>
        <w:rPr>
          <w:b/>
          <w:bCs/>
        </w:rPr>
        <w:t>Sociocultural Factors</w:t>
      </w:r>
    </w:p>
    <w:p>
      <w:pPr>
        <w:pStyle w:val="Normal"/>
        <w:rPr/>
      </w:pPr>
      <w:r>
        <w:rPr/>
        <w:t>One major cultural trend that is having an impact on Volkswagen is the declining number of car owners, particularly among younger demographics (who are more likely to use rideshare services like Uber and Lyft) (subway or bus). The fact that Volkswagen also owns less desirable brands like Skoda and Seat, in addition to more luxurious ones like Lamborghini, Audi, Porsche, and Bugatti, contributes to the company's polarizing reputation in the eyes of consumers. As a result, many of these names are overshadowed by more prestigious and forward-thinking manufacturers like Tesla and BMW.</w:t>
      </w:r>
    </w:p>
    <w:p>
      <w:pPr>
        <w:pStyle w:val="Normal"/>
        <w:rPr>
          <w:b/>
          <w:bCs/>
        </w:rPr>
      </w:pPr>
      <w:r>
        <w:rPr>
          <w:b/>
          <w:bCs/>
        </w:rPr>
        <w:t>Technological Factors</w:t>
      </w:r>
    </w:p>
    <w:p>
      <w:pPr>
        <w:pStyle w:val="Normal"/>
        <w:rPr/>
      </w:pPr>
      <w:r>
        <w:rPr/>
        <w:t>VW is impacted technologically by Tesla's dominance in the self-driving vehicle market and other developments in the auto sector. Volkswagen has not yet conquered some of the technological hurdles associated with this kind of technology, such as the need for sophisticated hardware and software including high-resolution cameras, sensors, radar technologies, and extensive data analysis. Furthermore, there is a growing interest in eco-friendly and electric automobiles. Volkswagen has shown its expertise in this field with several Porsche and Audi models, and it also has a partnership with Mazda aimed at creating electric vehicle technology and manufacturing solid-state batteries to facilitate the widespread use of BEVs. To remain competitive, VW must stay abreast of consumer tastes and develop technology to choose which features to include in their vehicles.</w:t>
      </w:r>
    </w:p>
    <w:p>
      <w:pPr>
        <w:pStyle w:val="Normal"/>
        <w:rPr>
          <w:b/>
          <w:bCs/>
        </w:rPr>
      </w:pPr>
      <w:r>
        <w:rPr>
          <w:b/>
          <w:bCs/>
        </w:rPr>
        <w:t>Environmental Factors</w:t>
      </w:r>
    </w:p>
    <w:p>
      <w:pPr>
        <w:pStyle w:val="Normal"/>
        <w:rPr/>
      </w:pPr>
      <w:r>
        <w:rPr/>
        <w:t>In this situation, the most important aspect is the worldwide trend toward eco-friendly and sustainable technology, notably electric automobiles. Thus, Volkswagen will need to make more use of green technology and sustainable business practices if it is to continue to thrive in the years to come.</w:t>
      </w:r>
    </w:p>
    <w:p>
      <w:pPr>
        <w:pStyle w:val="Normal"/>
        <w:rPr>
          <w:b/>
          <w:bCs/>
        </w:rPr>
      </w:pPr>
      <w:r>
        <w:rPr>
          <w:b/>
          <w:bCs/>
        </w:rPr>
        <w:t>Legal Factors</w:t>
      </w:r>
    </w:p>
    <w:p>
      <w:pPr>
        <w:pStyle w:val="Normal"/>
        <w:rPr/>
      </w:pPr>
      <w:r>
        <w:rPr/>
        <w:t>Several facets of law must be addressed by a corporation the size of Volkswagen. Volkswagen's legal woes stem mostly from the 2015 "Dieselgate incident," which revealed that the company had used software it created and installed in millions of cars from 2009 to 2015 to falsify the results of diesel engine emissions tests. Due to the fallout from the controversy, sales and the stock price both dropped by significant amounts. It is reasonable to believe that the firm will comply with the law in the future given that it has almost recovered from the incident and seen increased sales in the US.</w:t>
      </w:r>
    </w:p>
    <w:p>
      <w:pPr>
        <w:pStyle w:val="Normal"/>
        <w:widowControl/>
        <w:bidi w:val="0"/>
        <w:spacing w:lineRule="auto" w:line="480" w:before="240" w:after="160"/>
        <w:jc w:val="both"/>
        <w:rPr/>
      </w:pPr>
      <w:r>
        <w:rPr/>
      </w:r>
    </w:p>
    <w:sectPr>
      <w:footerReference w:type="default" r:id="rId23"/>
      <w:type w:val="nextPage"/>
      <w:pgSz w:w="12240" w:h="15840"/>
      <w:pgMar w:left="709" w:right="709" w:gutter="0" w:header="0" w:top="1440" w:footer="72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Liberation Sans">
    <w:altName w:val="Arial"/>
    <w:charset w:val="00"/>
    <w:family w:val="swiss"/>
    <w:pitch w:val="variable"/>
  </w:font>
  <w:font w:name="Calibri Light">
    <w:charset w:val="00"/>
    <w:family w:val="roman"/>
    <w:pitch w:val="variable"/>
  </w:font>
  <w:font w:name="Bahnschrift SemiBold Condensed">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918237669"/>
    </w:sdtPr>
    <w:sdtContent>
      <w:p>
        <w:pPr>
          <w:pStyle w:val="Footer"/>
          <w:jc w:val="right"/>
          <w:rPr/>
        </w:pPr>
        <w:r>
          <w:rPr/>
          <w:fldChar w:fldCharType="begin"/>
        </w:r>
        <w:r>
          <w:rPr/>
          <w:instrText xml:space="preserve"> PAGE </w:instrText>
        </w:r>
        <w:r>
          <w:rPr/>
          <w:fldChar w:fldCharType="separate"/>
        </w:r>
        <w:r>
          <w:rPr/>
          <w:t>22</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eastAsiaTheme="minorHAnsi" w:hAnsiTheme="minorHAnsi"/>
        <w:kern w:val="2"/>
        <w:sz w:val="22"/>
        <w:szCs w:val="28"/>
        <w:lang w:val="en-GB" w:eastAsia="en-US" w:bidi="bn-IN"/>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e17f9"/>
    <w:pPr>
      <w:widowControl/>
      <w:bidi w:val="0"/>
      <w:spacing w:lineRule="auto" w:line="480" w:before="240" w:after="160"/>
      <w:jc w:val="both"/>
    </w:pPr>
    <w:rPr>
      <w:rFonts w:ascii="Arial" w:hAnsi="Arial" w:eastAsia="Calibri" w:cs="Vrinda"/>
      <w:color w:val="auto"/>
      <w:kern w:val="0"/>
      <w:sz w:val="22"/>
      <w:szCs w:val="28"/>
      <w:lang w:val="en-GB" w:eastAsia="en-US" w:bidi="bn-IN"/>
      <w14:ligatures w14:val="none"/>
    </w:rPr>
  </w:style>
  <w:style w:type="paragraph" w:styleId="Heading1">
    <w:name w:val="Heading 1"/>
    <w:basedOn w:val="Normal"/>
    <w:next w:val="Normal"/>
    <w:link w:val="Heading1Char"/>
    <w:autoRedefine/>
    <w:uiPriority w:val="9"/>
    <w:qFormat/>
    <w:rsid w:val="00641be6"/>
    <w:pPr>
      <w:keepNext w:val="true"/>
      <w:keepLines/>
      <w:spacing w:lineRule="auto" w:line="360" w:before="240" w:after="0"/>
      <w:outlineLvl w:val="0"/>
    </w:pPr>
    <w:rPr>
      <w:rFonts w:eastAsia="" w:cs="Vrinda" w:cstheme="majorBidi" w:eastAsiaTheme="majorEastAsia"/>
      <w:b/>
      <w:color w:val="000000" w:themeColor="text1"/>
      <w:sz w:val="32"/>
      <w:szCs w:val="32"/>
    </w:rPr>
  </w:style>
  <w:style w:type="paragraph" w:styleId="Heading2">
    <w:name w:val="Heading 2"/>
    <w:basedOn w:val="Normal"/>
    <w:next w:val="Normal"/>
    <w:link w:val="Heading2Char"/>
    <w:autoRedefine/>
    <w:uiPriority w:val="9"/>
    <w:unhideWhenUsed/>
    <w:qFormat/>
    <w:rsid w:val="000e0662"/>
    <w:pPr>
      <w:keepNext w:val="true"/>
      <w:keepLines/>
      <w:spacing w:before="40" w:after="0"/>
      <w:outlineLvl w:val="1"/>
    </w:pPr>
    <w:rPr>
      <w:rFonts w:eastAsia="" w:cs="Vrinda" w:cstheme="majorBidi" w:eastAsiaTheme="majorEastAsia"/>
      <w:b/>
      <w:color w:val="000000" w:themeColor="text1"/>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41be6"/>
    <w:rPr>
      <w:rFonts w:ascii="Arial" w:hAnsi="Arial" w:eastAsia="" w:cs="Vrinda" w:cstheme="majorBidi" w:eastAsiaTheme="majorEastAsia"/>
      <w:b/>
      <w:color w:val="000000" w:themeColor="text1"/>
      <w:kern w:val="0"/>
      <w:sz w:val="32"/>
      <w:szCs w:val="32"/>
      <w14:ligatures w14:val="none"/>
    </w:rPr>
  </w:style>
  <w:style w:type="character" w:styleId="Heading2Char" w:customStyle="1">
    <w:name w:val="Heading 2 Char"/>
    <w:basedOn w:val="DefaultParagraphFont"/>
    <w:link w:val="Heading2"/>
    <w:uiPriority w:val="9"/>
    <w:qFormat/>
    <w:rsid w:val="000e0662"/>
    <w:rPr>
      <w:rFonts w:ascii="Times New Roman" w:hAnsi="Times New Roman" w:eastAsia="" w:cs="Vrinda" w:cstheme="majorBidi" w:eastAsiaTheme="majorEastAsia"/>
      <w:b/>
      <w:color w:val="000000" w:themeColor="text1"/>
      <w:sz w:val="26"/>
      <w:szCs w:val="26"/>
      <w:lang w:val="en-GB"/>
    </w:rPr>
  </w:style>
  <w:style w:type="character" w:styleId="InternetLink">
    <w:name w:val="Hyperlink"/>
    <w:basedOn w:val="DefaultParagraphFont"/>
    <w:uiPriority w:val="99"/>
    <w:unhideWhenUsed/>
    <w:rsid w:val="005a74f4"/>
    <w:rPr>
      <w:color w:val="0563C1" w:themeColor="hyperlink"/>
      <w:u w:val="single"/>
    </w:rPr>
  </w:style>
  <w:style w:type="character" w:styleId="HeaderChar" w:customStyle="1">
    <w:name w:val="Header Char"/>
    <w:basedOn w:val="DefaultParagraphFont"/>
    <w:link w:val="Header"/>
    <w:uiPriority w:val="99"/>
    <w:qFormat/>
    <w:rsid w:val="00535bd9"/>
    <w:rPr>
      <w:rFonts w:ascii="Arial" w:hAnsi="Arial"/>
      <w:kern w:val="0"/>
      <w14:ligatures w14:val="none"/>
    </w:rPr>
  </w:style>
  <w:style w:type="character" w:styleId="FooterChar" w:customStyle="1">
    <w:name w:val="Footer Char"/>
    <w:basedOn w:val="DefaultParagraphFont"/>
    <w:link w:val="Footer"/>
    <w:uiPriority w:val="99"/>
    <w:qFormat/>
    <w:rsid w:val="00535bd9"/>
    <w:rPr>
      <w:rFonts w:ascii="Arial" w:hAnsi="Arial"/>
      <w:kern w:val="0"/>
      <w14:ligatures w14:val="non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e17f9"/>
    <w:pPr>
      <w:spacing w:lineRule="auto" w:line="259"/>
      <w:jc w:val="left"/>
      <w:outlineLvl w:val="9"/>
    </w:pPr>
    <w:rPr>
      <w:rFonts w:ascii="Calibri Light" w:hAnsi="Calibri Light" w:asciiTheme="majorHAnsi" w:hAnsiTheme="majorHAnsi"/>
      <w:b w:val="false"/>
      <w:color w:val="2F5496" w:themeColor="accent1" w:themeShade="bf"/>
      <w:lang w:val="en-US" w:bidi="ar-SA"/>
    </w:rPr>
  </w:style>
  <w:style w:type="paragraph" w:styleId="ListParagraph">
    <w:name w:val="List Paragraph"/>
    <w:basedOn w:val="Normal"/>
    <w:uiPriority w:val="34"/>
    <w:qFormat/>
    <w:rsid w:val="001653c2"/>
    <w:pPr>
      <w:spacing w:before="240" w:after="160"/>
      <w:ind w:left="720" w:hanging="0"/>
      <w:contextualSpacing/>
    </w:pPr>
    <w:rPr/>
  </w:style>
  <w:style w:type="paragraph" w:styleId="Contents1">
    <w:name w:val="TOC 1"/>
    <w:basedOn w:val="Normal"/>
    <w:next w:val="Normal"/>
    <w:autoRedefine/>
    <w:uiPriority w:val="39"/>
    <w:unhideWhenUsed/>
    <w:rsid w:val="005a74f4"/>
    <w:pPr>
      <w:spacing w:before="240" w:after="100"/>
    </w:pPr>
    <w:rPr/>
  </w:style>
  <w:style w:type="paragraph" w:styleId="Contents2">
    <w:name w:val="TOC 2"/>
    <w:basedOn w:val="Normal"/>
    <w:next w:val="Normal"/>
    <w:autoRedefine/>
    <w:uiPriority w:val="39"/>
    <w:unhideWhenUsed/>
    <w:rsid w:val="005a74f4"/>
    <w:pPr>
      <w:spacing w:before="240" w:after="100"/>
      <w:ind w:left="22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535bd9"/>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535bd9"/>
    <w:pPr>
      <w:tabs>
        <w:tab w:val="clear" w:pos="720"/>
        <w:tab w:val="center" w:pos="4513" w:leader="none"/>
        <w:tab w:val="right" w:pos="9026" w:leader="none"/>
      </w:tabs>
      <w:spacing w:lineRule="auto" w:line="240" w:before="0" w:after="0"/>
    </w:pPr>
    <w:rPr/>
  </w:style>
  <w:style w:type="paragraph" w:styleId="Caption1">
    <w:name w:val="caption"/>
    <w:basedOn w:val="Normal"/>
    <w:next w:val="Normal"/>
    <w:uiPriority w:val="35"/>
    <w:unhideWhenUsed/>
    <w:qFormat/>
    <w:rsid w:val="00be4dcd"/>
    <w:pPr>
      <w:spacing w:lineRule="auto" w:line="240" w:before="0" w:after="200"/>
    </w:pPr>
    <w:rPr>
      <w:i/>
      <w:iCs/>
      <w:color w:val="44546A" w:themeColor="text2"/>
      <w:sz w:val="18"/>
      <w:szCs w:val="22"/>
    </w:rPr>
  </w:style>
  <w:style w:type="paragraph" w:styleId="Tableoffigures">
    <w:name w:val="table of figures"/>
    <w:basedOn w:val="Normal"/>
    <w:next w:val="Normal"/>
    <w:uiPriority w:val="99"/>
    <w:unhideWhenUsed/>
    <w:qFormat/>
    <w:rsid w:val="00be4dcd"/>
    <w:pPr>
      <w:spacing w:before="24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diagramData" Target="diagrams/data4.xml"/><Relationship Id="rId6" Type="http://schemas.openxmlformats.org/officeDocument/2006/relationships/diagramLayout" Target="diagrams/layout4.xml"/><Relationship Id="rId7" Type="http://schemas.openxmlformats.org/officeDocument/2006/relationships/diagramQuickStyle" Target="diagrams/quickStyle4.xml"/><Relationship Id="rId8" Type="http://schemas.openxmlformats.org/officeDocument/2006/relationships/diagramColors" Target="diagrams/colors4.xml"/><Relationship Id="rId9" Type="http://schemas.microsoft.com/office/2007/relationships/diagramDrawing" Target="diagrams/drawing4.xml"/><Relationship Id="rId10" Type="http://schemas.openxmlformats.org/officeDocument/2006/relationships/image" Target="media/image4.png"/><Relationship Id="rId11" Type="http://schemas.openxmlformats.org/officeDocument/2006/relationships/diagramData" Target="diagrams/data6.xml"/><Relationship Id="rId12" Type="http://schemas.openxmlformats.org/officeDocument/2006/relationships/diagramLayout" Target="diagrams/layout6.xml"/><Relationship Id="rId13" Type="http://schemas.openxmlformats.org/officeDocument/2006/relationships/diagramQuickStyle" Target="diagrams/quickStyle6.xml"/><Relationship Id="rId14" Type="http://schemas.openxmlformats.org/officeDocument/2006/relationships/diagramColors" Target="diagrams/colors6.xml"/><Relationship Id="rId15" Type="http://schemas.microsoft.com/office/2007/relationships/diagramDrawing" Target="diagrams/drawing6.xml"/><Relationship Id="rId16" Type="http://schemas.openxmlformats.org/officeDocument/2006/relationships/diagramData" Target="diagrams/data7.xml"/><Relationship Id="rId17" Type="http://schemas.openxmlformats.org/officeDocument/2006/relationships/diagramLayout" Target="diagrams/layout7.xml"/><Relationship Id="rId18" Type="http://schemas.openxmlformats.org/officeDocument/2006/relationships/diagramQuickStyle" Target="diagrams/quickStyle7.xml"/><Relationship Id="rId19" Type="http://schemas.openxmlformats.org/officeDocument/2006/relationships/diagramColors" Target="diagrams/colors7.xml"/><Relationship Id="rId20" Type="http://schemas.microsoft.com/office/2007/relationships/diagramDrawing" Target="diagrams/drawing7.xml"/><Relationship Id="rId21" Type="http://schemas.openxmlformats.org/officeDocument/2006/relationships/image" Target="media/image5.png"/><Relationship Id="rId22" Type="http://schemas.openxmlformats.org/officeDocument/2006/relationships/image" Target="media/image6.png"/><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Relationship Id="rId27" Type="http://schemas.openxmlformats.org/officeDocument/2006/relationships/customXml" Target="../customXml/item1.xml"/>
</Relationships>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4.xml><?xml version="1.0" encoding="utf-8"?>
<dgm:dataModel xmlns:dgm="http://schemas.openxmlformats.org/drawingml/2006/diagram" xmlns:a="http://schemas.openxmlformats.org/drawingml/2006/main">
  <dgm:ptLst>
    <dgm:pt modelId="{3AC767EE-3499-4F92-A4AD-1FE43CAE7970}" type="doc">
      <dgm:prSet loTypeId="urn:microsoft.com/office/officeart/2005/8/layout/default" loCatId="list" qsTypeId="urn:microsoft.com/office/officeart/2005/8/quickstyle/3d3" qsCatId="3D" csTypeId="urn:microsoft.com/office/officeart/2005/8/colors/colorful4" csCatId="colorful" phldr="1"/>
      <dgm:spPr/>
      <dgm:t>
        <a:bodyPr/>
        <a:lstStyle/>
        <a:p>
          <a:endParaRPr lang="en-GB"/>
        </a:p>
      </dgm:t>
    </dgm:pt>
    <dgm:pt modelId="{8CC32E0A-6215-41C4-8EC3-F419752A142E}">
      <dgm:prSet phldrT="[Text]"/>
      <dgm:spPr/>
      <dgm:t>
        <a:bodyPr/>
        <a:lstStyle/>
        <a:p>
          <a:pPr algn="ctr"/>
          <a:r>
            <a:rPr lang="en-GB">
              <a:latin typeface="Arial" panose="020B0604020202020204" pitchFamily="34" charset="0"/>
              <a:cs typeface="Arial" panose="020B0604020202020204" pitchFamily="34" charset="0"/>
            </a:rPr>
            <a:t>Human Resource </a:t>
          </a:r>
        </a:p>
      </dgm:t>
    </dgm:pt>
    <dgm:pt modelId="{7ADCD0B3-B0A2-4F69-85BA-43A3C620CE66}" type="parTrans" cxnId="{5B1E8CD4-92D9-4E4D-B537-A822F1AC2A5C}">
      <dgm:prSet/>
      <dgm:spPr/>
      <dgm:t>
        <a:bodyPr/>
        <a:lstStyle/>
        <a:p>
          <a:pPr algn="ctr"/>
          <a:endParaRPr lang="en-GB"/>
        </a:p>
      </dgm:t>
    </dgm:pt>
    <dgm:pt modelId="{557C3429-09EE-41A3-A160-2A18430D8716}" type="sibTrans" cxnId="{5B1E8CD4-92D9-4E4D-B537-A822F1AC2A5C}">
      <dgm:prSet/>
      <dgm:spPr/>
      <dgm:t>
        <a:bodyPr/>
        <a:lstStyle/>
        <a:p>
          <a:pPr algn="ctr"/>
          <a:endParaRPr lang="en-GB"/>
        </a:p>
      </dgm:t>
    </dgm:pt>
    <dgm:pt modelId="{CC2E5857-3FD6-4C9A-9EF5-03E5E75135FA}">
      <dgm:prSet phldrT="[Text]"/>
      <dgm:spPr/>
      <dgm:t>
        <a:bodyPr/>
        <a:lstStyle/>
        <a:p>
          <a:pPr algn="ctr"/>
          <a:r>
            <a:rPr lang="en-GB">
              <a:latin typeface="Arial" panose="020B0604020202020204" pitchFamily="34" charset="0"/>
              <a:cs typeface="Arial" panose="020B0604020202020204" pitchFamily="34" charset="0"/>
            </a:rPr>
            <a:t>Financial Resources</a:t>
          </a:r>
        </a:p>
      </dgm:t>
    </dgm:pt>
    <dgm:pt modelId="{EB323B7F-005E-402D-AAEC-C200FB43477B}" type="parTrans" cxnId="{DC210E03-DA24-4AD9-BDA5-7B9E4BB0A841}">
      <dgm:prSet/>
      <dgm:spPr/>
      <dgm:t>
        <a:bodyPr/>
        <a:lstStyle/>
        <a:p>
          <a:pPr algn="ctr"/>
          <a:endParaRPr lang="en-GB"/>
        </a:p>
      </dgm:t>
    </dgm:pt>
    <dgm:pt modelId="{263F2170-0E3F-4C6A-A04B-126843293235}" type="sibTrans" cxnId="{DC210E03-DA24-4AD9-BDA5-7B9E4BB0A841}">
      <dgm:prSet/>
      <dgm:spPr/>
      <dgm:t>
        <a:bodyPr/>
        <a:lstStyle/>
        <a:p>
          <a:pPr algn="ctr"/>
          <a:endParaRPr lang="en-GB"/>
        </a:p>
      </dgm:t>
    </dgm:pt>
    <dgm:pt modelId="{A36D3415-BD89-45BF-A13C-C83C814959E2}">
      <dgm:prSet phldrT="[Text]"/>
      <dgm:spPr/>
      <dgm:t>
        <a:bodyPr/>
        <a:lstStyle/>
        <a:p>
          <a:pPr algn="ctr"/>
          <a:r>
            <a:rPr lang="en-GB">
              <a:latin typeface="Arial" panose="020B0604020202020204" pitchFamily="34" charset="0"/>
              <a:cs typeface="Arial" panose="020B0604020202020204" pitchFamily="34" charset="0"/>
            </a:rPr>
            <a:t>Technological Resources</a:t>
          </a:r>
        </a:p>
      </dgm:t>
    </dgm:pt>
    <dgm:pt modelId="{2F9EB482-97A1-4C4F-86F8-679BE6317891}" type="parTrans" cxnId="{A88E491E-C484-4610-86F0-7C2A0969ED9A}">
      <dgm:prSet/>
      <dgm:spPr/>
      <dgm:t>
        <a:bodyPr/>
        <a:lstStyle/>
        <a:p>
          <a:pPr algn="ctr"/>
          <a:endParaRPr lang="en-GB"/>
        </a:p>
      </dgm:t>
    </dgm:pt>
    <dgm:pt modelId="{031AED83-E6D9-49B4-AE6D-2686EE3EA72F}" type="sibTrans" cxnId="{A88E491E-C484-4610-86F0-7C2A0969ED9A}">
      <dgm:prSet/>
      <dgm:spPr/>
      <dgm:t>
        <a:bodyPr/>
        <a:lstStyle/>
        <a:p>
          <a:pPr algn="ctr"/>
          <a:endParaRPr lang="en-GB"/>
        </a:p>
      </dgm:t>
    </dgm:pt>
    <dgm:pt modelId="{A9CD15E1-62E8-49EB-92DC-ACAEBD706DDC}" type="pres">
      <dgm:prSet presAssocID="{3AC767EE-3499-4F92-A4AD-1FE43CAE7970}" presName="diagram" presStyleCnt="0">
        <dgm:presLayoutVars>
          <dgm:dir/>
          <dgm:resizeHandles val="exact"/>
        </dgm:presLayoutVars>
      </dgm:prSet>
      <dgm:spPr/>
    </dgm:pt>
    <dgm:pt modelId="{867BF8CF-098E-4B6D-87B7-31E482D5B619}" type="pres">
      <dgm:prSet presAssocID="{8CC32E0A-6215-41C4-8EC3-F419752A142E}" presName="node" presStyleLbl="node1" presStyleIdx="0" presStyleCnt="3">
        <dgm:presLayoutVars>
          <dgm:bulletEnabled val="1"/>
        </dgm:presLayoutVars>
      </dgm:prSet>
      <dgm:spPr/>
    </dgm:pt>
    <dgm:pt modelId="{71F988CE-B424-45C6-9198-86D29D7E4B11}" type="pres">
      <dgm:prSet presAssocID="{557C3429-09EE-41A3-A160-2A18430D8716}" presName="sibTrans" presStyleCnt="0"/>
      <dgm:spPr/>
    </dgm:pt>
    <dgm:pt modelId="{34EB9AEC-B536-4A85-AB37-7709658DA122}" type="pres">
      <dgm:prSet presAssocID="{CC2E5857-3FD6-4C9A-9EF5-03E5E75135FA}" presName="node" presStyleLbl="node1" presStyleIdx="1" presStyleCnt="3">
        <dgm:presLayoutVars>
          <dgm:bulletEnabled val="1"/>
        </dgm:presLayoutVars>
      </dgm:prSet>
      <dgm:spPr/>
    </dgm:pt>
    <dgm:pt modelId="{E5FC9C3E-08FE-49EB-AD56-B759D2BF9EAE}" type="pres">
      <dgm:prSet presAssocID="{263F2170-0E3F-4C6A-A04B-126843293235}" presName="sibTrans" presStyleCnt="0"/>
      <dgm:spPr/>
    </dgm:pt>
    <dgm:pt modelId="{8ECD434E-A8BD-42CA-926C-D6D1AC702DD5}" type="pres">
      <dgm:prSet presAssocID="{A36D3415-BD89-45BF-A13C-C83C814959E2}" presName="node" presStyleLbl="node1" presStyleIdx="2" presStyleCnt="3">
        <dgm:presLayoutVars>
          <dgm:bulletEnabled val="1"/>
        </dgm:presLayoutVars>
      </dgm:prSet>
      <dgm:spPr/>
    </dgm:pt>
  </dgm:ptLst>
  <dgm:cxnLst>
    <dgm:cxn modelId="{DC210E03-DA24-4AD9-BDA5-7B9E4BB0A841}" srcId="{3AC767EE-3499-4F92-A4AD-1FE43CAE7970}" destId="{CC2E5857-3FD6-4C9A-9EF5-03E5E75135FA}" srcOrd="1" destOrd="0" parTransId="{EB323B7F-005E-402D-AAEC-C200FB43477B}" sibTransId="{263F2170-0E3F-4C6A-A04B-126843293235}"/>
    <dgm:cxn modelId="{C590330D-4702-4217-9F67-4512A9EE3F45}" type="presOf" srcId="{8CC32E0A-6215-41C4-8EC3-F419752A142E}" destId="{867BF8CF-098E-4B6D-87B7-31E482D5B619}" srcOrd="0" destOrd="0" presId="urn:microsoft.com/office/officeart/2005/8/layout/default"/>
    <dgm:cxn modelId="{A88E491E-C484-4610-86F0-7C2A0969ED9A}" srcId="{3AC767EE-3499-4F92-A4AD-1FE43CAE7970}" destId="{A36D3415-BD89-45BF-A13C-C83C814959E2}" srcOrd="2" destOrd="0" parTransId="{2F9EB482-97A1-4C4F-86F8-679BE6317891}" sibTransId="{031AED83-E6D9-49B4-AE6D-2686EE3EA72F}"/>
    <dgm:cxn modelId="{8140C849-E37F-4C0E-968D-48FEC94853FB}" type="presOf" srcId="{A36D3415-BD89-45BF-A13C-C83C814959E2}" destId="{8ECD434E-A8BD-42CA-926C-D6D1AC702DD5}" srcOrd="0" destOrd="0" presId="urn:microsoft.com/office/officeart/2005/8/layout/default"/>
    <dgm:cxn modelId="{491BC872-A4D4-4EF4-BFEF-A8A05E153782}" type="presOf" srcId="{3AC767EE-3499-4F92-A4AD-1FE43CAE7970}" destId="{A9CD15E1-62E8-49EB-92DC-ACAEBD706DDC}" srcOrd="0" destOrd="0" presId="urn:microsoft.com/office/officeart/2005/8/layout/default"/>
    <dgm:cxn modelId="{5B1E8CD4-92D9-4E4D-B537-A822F1AC2A5C}" srcId="{3AC767EE-3499-4F92-A4AD-1FE43CAE7970}" destId="{8CC32E0A-6215-41C4-8EC3-F419752A142E}" srcOrd="0" destOrd="0" parTransId="{7ADCD0B3-B0A2-4F69-85BA-43A3C620CE66}" sibTransId="{557C3429-09EE-41A3-A160-2A18430D8716}"/>
    <dgm:cxn modelId="{D5CDDFE2-336D-4EA9-860C-E12E9B328C50}" type="presOf" srcId="{CC2E5857-3FD6-4C9A-9EF5-03E5E75135FA}" destId="{34EB9AEC-B536-4A85-AB37-7709658DA122}" srcOrd="0" destOrd="0" presId="urn:microsoft.com/office/officeart/2005/8/layout/default"/>
    <dgm:cxn modelId="{44AFD500-B602-472D-89F9-B5A1654F63D6}" type="presParOf" srcId="{A9CD15E1-62E8-49EB-92DC-ACAEBD706DDC}" destId="{867BF8CF-098E-4B6D-87B7-31E482D5B619}" srcOrd="0" destOrd="0" presId="urn:microsoft.com/office/officeart/2005/8/layout/default"/>
    <dgm:cxn modelId="{A804BC1E-2D69-4744-B1BD-82047E466F0C}" type="presParOf" srcId="{A9CD15E1-62E8-49EB-92DC-ACAEBD706DDC}" destId="{71F988CE-B424-45C6-9198-86D29D7E4B11}" srcOrd="1" destOrd="0" presId="urn:microsoft.com/office/officeart/2005/8/layout/default"/>
    <dgm:cxn modelId="{5E056B8B-F204-4C7E-B740-402D150A6E64}" type="presParOf" srcId="{A9CD15E1-62E8-49EB-92DC-ACAEBD706DDC}" destId="{34EB9AEC-B536-4A85-AB37-7709658DA122}" srcOrd="2" destOrd="0" presId="urn:microsoft.com/office/officeart/2005/8/layout/default"/>
    <dgm:cxn modelId="{4D26B048-E72E-4D77-9202-3E462ACEFBA6}" type="presParOf" srcId="{A9CD15E1-62E8-49EB-92DC-ACAEBD706DDC}" destId="{E5FC9C3E-08FE-49EB-AD56-B759D2BF9EAE}" srcOrd="3" destOrd="0" presId="urn:microsoft.com/office/officeart/2005/8/layout/default"/>
    <dgm:cxn modelId="{7710BD47-A773-4A1A-8C29-76E04E46BDFA}" type="presParOf" srcId="{A9CD15E1-62E8-49EB-92DC-ACAEBD706DDC}" destId="{8ECD434E-A8BD-42CA-926C-D6D1AC702DD5}" srcOrd="4" destOrd="0" presId="urn:microsoft.com/office/officeart/2005/8/layout/default"/>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52154DB-9E35-48BE-B6E8-FDBD4030A560}" type="doc">
      <dgm:prSet loTypeId="urn:microsoft.com/office/officeart/2005/8/layout/cycle5" loCatId="cycle" qsTypeId="urn:microsoft.com/office/officeart/2005/8/quickstyle/3d3" qsCatId="3D" csTypeId="urn:microsoft.com/office/officeart/2005/8/colors/colorful4" csCatId="colorful" phldr="1"/>
      <dgm:spPr/>
      <dgm:t>
        <a:bodyPr/>
        <a:lstStyle/>
        <a:p>
          <a:endParaRPr lang="en-GB"/>
        </a:p>
      </dgm:t>
    </dgm:pt>
    <dgm:pt modelId="{5174CAE4-409E-4FC2-993A-3203CDC6D172}">
      <dgm:prSet phldrT="[Text]"/>
      <dgm:spPr/>
      <dgm:t>
        <a:bodyPr/>
        <a:lstStyle/>
        <a:p>
          <a:r>
            <a:rPr lang="en-GB">
              <a:latin typeface="Arial" panose="020B0604020202020204" pitchFamily="34" charset="0"/>
              <a:cs typeface="Arial" panose="020B0604020202020204" pitchFamily="34" charset="0"/>
            </a:rPr>
            <a:t>Capacity to Provide Customers</a:t>
          </a:r>
        </a:p>
      </dgm:t>
    </dgm:pt>
    <dgm:pt modelId="{B46D95E3-C954-40ED-BA18-B2E0F39DA7A0}" type="parTrans" cxnId="{B4A121AE-767B-474D-B76A-BD3B40B7462A}">
      <dgm:prSet/>
      <dgm:spPr/>
      <dgm:t>
        <a:bodyPr/>
        <a:lstStyle/>
        <a:p>
          <a:endParaRPr lang="en-GB"/>
        </a:p>
      </dgm:t>
    </dgm:pt>
    <dgm:pt modelId="{DA2DD661-5125-4E94-AE61-BC42AAB1B259}" type="sibTrans" cxnId="{B4A121AE-767B-474D-B76A-BD3B40B7462A}">
      <dgm:prSet/>
      <dgm:spPr/>
      <dgm:t>
        <a:bodyPr/>
        <a:lstStyle/>
        <a:p>
          <a:endParaRPr lang="en-GB"/>
        </a:p>
      </dgm:t>
    </dgm:pt>
    <dgm:pt modelId="{69193E23-80CF-45C9-BBF9-E56B8C2F2C05}">
      <dgm:prSet phldrT="[Text]"/>
      <dgm:spPr/>
      <dgm:t>
        <a:bodyPr/>
        <a:lstStyle/>
        <a:p>
          <a:r>
            <a:rPr lang="en-GB">
              <a:latin typeface="Arial" panose="020B0604020202020204" pitchFamily="34" charset="0"/>
              <a:cs typeface="Arial" panose="020B0604020202020204" pitchFamily="34" charset="0"/>
            </a:rPr>
            <a:t>Powerful Brand Identity</a:t>
          </a:r>
        </a:p>
      </dgm:t>
    </dgm:pt>
    <dgm:pt modelId="{37C89DD7-4A42-40A5-8159-ABF7A604B0F7}" type="parTrans" cxnId="{40F182F7-B76B-44F6-AE29-99F801277C84}">
      <dgm:prSet/>
      <dgm:spPr/>
      <dgm:t>
        <a:bodyPr/>
        <a:lstStyle/>
        <a:p>
          <a:endParaRPr lang="en-GB"/>
        </a:p>
      </dgm:t>
    </dgm:pt>
    <dgm:pt modelId="{5997496F-88E4-4F7D-9781-DD802FE8F662}" type="sibTrans" cxnId="{40F182F7-B76B-44F6-AE29-99F801277C84}">
      <dgm:prSet/>
      <dgm:spPr/>
      <dgm:t>
        <a:bodyPr/>
        <a:lstStyle/>
        <a:p>
          <a:endParaRPr lang="en-GB"/>
        </a:p>
      </dgm:t>
    </dgm:pt>
    <dgm:pt modelId="{02E9BD5D-5EA3-451F-8740-BEEED5D18AB2}">
      <dgm:prSet phldrT="[Text]"/>
      <dgm:spPr/>
      <dgm:t>
        <a:bodyPr/>
        <a:lstStyle/>
        <a:p>
          <a:r>
            <a:rPr lang="en-GB">
              <a:latin typeface="Arial" panose="020B0604020202020204" pitchFamily="34" charset="0"/>
              <a:cs typeface="Arial" panose="020B0604020202020204" pitchFamily="34" charset="0"/>
            </a:rPr>
            <a:t>Lower Operational Cost</a:t>
          </a:r>
        </a:p>
      </dgm:t>
    </dgm:pt>
    <dgm:pt modelId="{61DD0ED0-57AA-44AA-BEBF-6D47F92B4054}" type="parTrans" cxnId="{CC61A00D-5290-428A-A17D-4D6D2888FA55}">
      <dgm:prSet/>
      <dgm:spPr/>
      <dgm:t>
        <a:bodyPr/>
        <a:lstStyle/>
        <a:p>
          <a:endParaRPr lang="en-GB"/>
        </a:p>
      </dgm:t>
    </dgm:pt>
    <dgm:pt modelId="{A31D42D7-9DCC-4D24-BBE2-59AB9E378388}" type="sibTrans" cxnId="{CC61A00D-5290-428A-A17D-4D6D2888FA55}">
      <dgm:prSet/>
      <dgm:spPr/>
      <dgm:t>
        <a:bodyPr/>
        <a:lstStyle/>
        <a:p>
          <a:endParaRPr lang="en-GB"/>
        </a:p>
      </dgm:t>
    </dgm:pt>
    <dgm:pt modelId="{9BAE2402-4775-43D0-97C8-E3D3CC0A9812}">
      <dgm:prSet phldrT="[Text]"/>
      <dgm:spPr/>
      <dgm:t>
        <a:bodyPr/>
        <a:lstStyle/>
        <a:p>
          <a:r>
            <a:rPr lang="en-GB">
              <a:latin typeface="Arial" panose="020B0604020202020204" pitchFamily="34" charset="0"/>
              <a:cs typeface="Arial" panose="020B0604020202020204" pitchFamily="34" charset="0"/>
            </a:rPr>
            <a:t>Operations in New Areas</a:t>
          </a:r>
        </a:p>
      </dgm:t>
    </dgm:pt>
    <dgm:pt modelId="{534C751E-976E-4292-957C-F69774E535CF}" type="parTrans" cxnId="{184F7655-306D-4FCB-8DF5-EB58ECD76797}">
      <dgm:prSet/>
      <dgm:spPr/>
      <dgm:t>
        <a:bodyPr/>
        <a:lstStyle/>
        <a:p>
          <a:endParaRPr lang="en-GB"/>
        </a:p>
      </dgm:t>
    </dgm:pt>
    <dgm:pt modelId="{B7CCE783-F630-4FEA-B29C-84A6C01CB833}" type="sibTrans" cxnId="{184F7655-306D-4FCB-8DF5-EB58ECD76797}">
      <dgm:prSet/>
      <dgm:spPr/>
      <dgm:t>
        <a:bodyPr/>
        <a:lstStyle/>
        <a:p>
          <a:endParaRPr lang="en-GB"/>
        </a:p>
      </dgm:t>
    </dgm:pt>
    <dgm:pt modelId="{EFB3EDC6-0CE6-407D-8C00-56DC858DAD0D}">
      <dgm:prSet phldrT="[Text]"/>
      <dgm:spPr/>
      <dgm:t>
        <a:bodyPr/>
        <a:lstStyle/>
        <a:p>
          <a:r>
            <a:rPr lang="en-GB">
              <a:latin typeface="Arial" panose="020B0604020202020204" pitchFamily="34" charset="0"/>
              <a:cs typeface="Arial" panose="020B0604020202020204" pitchFamily="34" charset="0"/>
            </a:rPr>
            <a:t>Priority delivery</a:t>
          </a:r>
        </a:p>
      </dgm:t>
    </dgm:pt>
    <dgm:pt modelId="{1512D3D5-C8E0-4338-8A3E-F33221E56BFD}" type="parTrans" cxnId="{5322DDA6-84EF-49AE-8E27-09DAAE5DDE9F}">
      <dgm:prSet/>
      <dgm:spPr/>
      <dgm:t>
        <a:bodyPr/>
        <a:lstStyle/>
        <a:p>
          <a:endParaRPr lang="en-GB"/>
        </a:p>
      </dgm:t>
    </dgm:pt>
    <dgm:pt modelId="{1A58A317-3691-4F97-8664-945E1B26FC98}" type="sibTrans" cxnId="{5322DDA6-84EF-49AE-8E27-09DAAE5DDE9F}">
      <dgm:prSet/>
      <dgm:spPr/>
      <dgm:t>
        <a:bodyPr/>
        <a:lstStyle/>
        <a:p>
          <a:endParaRPr lang="en-GB"/>
        </a:p>
      </dgm:t>
    </dgm:pt>
    <dgm:pt modelId="{C2FAFFF9-483A-430C-AD53-AE0DCA662FC2}">
      <dgm:prSet phldrT="[Text]"/>
      <dgm:spPr/>
      <dgm:t>
        <a:bodyPr/>
        <a:lstStyle/>
        <a:p>
          <a:r>
            <a:rPr lang="en-GB">
              <a:latin typeface="Arial" panose="020B0604020202020204" pitchFamily="34" charset="0"/>
              <a:cs typeface="Arial" panose="020B0604020202020204" pitchFamily="34" charset="0"/>
            </a:rPr>
            <a:t>Research and Development</a:t>
          </a:r>
        </a:p>
      </dgm:t>
    </dgm:pt>
    <dgm:pt modelId="{4F27A296-C8A2-4F50-9BD2-64D62BA79D42}" type="parTrans" cxnId="{DAE8DF68-B283-4805-80E3-34EE82B72697}">
      <dgm:prSet/>
      <dgm:spPr/>
      <dgm:t>
        <a:bodyPr/>
        <a:lstStyle/>
        <a:p>
          <a:endParaRPr lang="en-GB"/>
        </a:p>
      </dgm:t>
    </dgm:pt>
    <dgm:pt modelId="{78C45624-6D97-45F9-A1CD-EBAAF7096779}" type="sibTrans" cxnId="{DAE8DF68-B283-4805-80E3-34EE82B72697}">
      <dgm:prSet/>
      <dgm:spPr/>
      <dgm:t>
        <a:bodyPr/>
        <a:lstStyle/>
        <a:p>
          <a:endParaRPr lang="en-GB"/>
        </a:p>
      </dgm:t>
    </dgm:pt>
    <dgm:pt modelId="{54481D57-AC7A-4D1B-9B8F-86B8CCD34FBD}" type="pres">
      <dgm:prSet presAssocID="{552154DB-9E35-48BE-B6E8-FDBD4030A560}" presName="cycle" presStyleCnt="0">
        <dgm:presLayoutVars>
          <dgm:dir/>
          <dgm:resizeHandles val="exact"/>
        </dgm:presLayoutVars>
      </dgm:prSet>
      <dgm:spPr/>
    </dgm:pt>
    <dgm:pt modelId="{66698468-133A-4780-924E-9A2356299ECC}" type="pres">
      <dgm:prSet presAssocID="{5174CAE4-409E-4FC2-993A-3203CDC6D172}" presName="node" presStyleLbl="node1" presStyleIdx="0" presStyleCnt="6">
        <dgm:presLayoutVars>
          <dgm:bulletEnabled val="1"/>
        </dgm:presLayoutVars>
      </dgm:prSet>
      <dgm:spPr/>
    </dgm:pt>
    <dgm:pt modelId="{5342834D-EB99-4305-BC61-41DB73813BFB}" type="pres">
      <dgm:prSet presAssocID="{5174CAE4-409E-4FC2-993A-3203CDC6D172}" presName="spNode" presStyleCnt="0"/>
      <dgm:spPr/>
    </dgm:pt>
    <dgm:pt modelId="{BB76638F-D687-4FC6-BBF9-18224D113B8E}" type="pres">
      <dgm:prSet presAssocID="{DA2DD661-5125-4E94-AE61-BC42AAB1B259}" presName="sibTrans" presStyleLbl="sibTrans1D1" presStyleIdx="0" presStyleCnt="6"/>
      <dgm:spPr/>
    </dgm:pt>
    <dgm:pt modelId="{5F92F4DE-90F4-472A-9C92-861660AA08EC}" type="pres">
      <dgm:prSet presAssocID="{69193E23-80CF-45C9-BBF9-E56B8C2F2C05}" presName="node" presStyleLbl="node1" presStyleIdx="1" presStyleCnt="6">
        <dgm:presLayoutVars>
          <dgm:bulletEnabled val="1"/>
        </dgm:presLayoutVars>
      </dgm:prSet>
      <dgm:spPr/>
    </dgm:pt>
    <dgm:pt modelId="{D6E31FDB-E656-4954-B54B-ED52F8319EE0}" type="pres">
      <dgm:prSet presAssocID="{69193E23-80CF-45C9-BBF9-E56B8C2F2C05}" presName="spNode" presStyleCnt="0"/>
      <dgm:spPr/>
    </dgm:pt>
    <dgm:pt modelId="{37F857A4-DDBE-4252-9E8F-E3D70A474B1E}" type="pres">
      <dgm:prSet presAssocID="{5997496F-88E4-4F7D-9781-DD802FE8F662}" presName="sibTrans" presStyleLbl="sibTrans1D1" presStyleIdx="1" presStyleCnt="6"/>
      <dgm:spPr/>
    </dgm:pt>
    <dgm:pt modelId="{80940D34-26C6-4BA5-AFA1-3D0A27BFBFDD}" type="pres">
      <dgm:prSet presAssocID="{02E9BD5D-5EA3-451F-8740-BEEED5D18AB2}" presName="node" presStyleLbl="node1" presStyleIdx="2" presStyleCnt="6">
        <dgm:presLayoutVars>
          <dgm:bulletEnabled val="1"/>
        </dgm:presLayoutVars>
      </dgm:prSet>
      <dgm:spPr/>
    </dgm:pt>
    <dgm:pt modelId="{0DE3566B-38D9-42BF-8DC6-4036ADD4934F}" type="pres">
      <dgm:prSet presAssocID="{02E9BD5D-5EA3-451F-8740-BEEED5D18AB2}" presName="spNode" presStyleCnt="0"/>
      <dgm:spPr/>
    </dgm:pt>
    <dgm:pt modelId="{0B27D04F-23C2-40A5-BD11-CD10A44B597D}" type="pres">
      <dgm:prSet presAssocID="{A31D42D7-9DCC-4D24-BBE2-59AB9E378388}" presName="sibTrans" presStyleLbl="sibTrans1D1" presStyleIdx="2" presStyleCnt="6"/>
      <dgm:spPr/>
    </dgm:pt>
    <dgm:pt modelId="{76549246-6AD6-4DB2-A53C-5184D0E77EDE}" type="pres">
      <dgm:prSet presAssocID="{9BAE2402-4775-43D0-97C8-E3D3CC0A9812}" presName="node" presStyleLbl="node1" presStyleIdx="3" presStyleCnt="6">
        <dgm:presLayoutVars>
          <dgm:bulletEnabled val="1"/>
        </dgm:presLayoutVars>
      </dgm:prSet>
      <dgm:spPr/>
    </dgm:pt>
    <dgm:pt modelId="{4640849E-CAB2-42E2-AB46-E79CB4403C81}" type="pres">
      <dgm:prSet presAssocID="{9BAE2402-4775-43D0-97C8-E3D3CC0A9812}" presName="spNode" presStyleCnt="0"/>
      <dgm:spPr/>
    </dgm:pt>
    <dgm:pt modelId="{D5519029-51A1-4FBE-9436-A25F10D77308}" type="pres">
      <dgm:prSet presAssocID="{B7CCE783-F630-4FEA-B29C-84A6C01CB833}" presName="sibTrans" presStyleLbl="sibTrans1D1" presStyleIdx="3" presStyleCnt="6"/>
      <dgm:spPr/>
    </dgm:pt>
    <dgm:pt modelId="{D9966E50-95C4-4880-9A3D-A94D6645D893}" type="pres">
      <dgm:prSet presAssocID="{EFB3EDC6-0CE6-407D-8C00-56DC858DAD0D}" presName="node" presStyleLbl="node1" presStyleIdx="4" presStyleCnt="6">
        <dgm:presLayoutVars>
          <dgm:bulletEnabled val="1"/>
        </dgm:presLayoutVars>
      </dgm:prSet>
      <dgm:spPr/>
    </dgm:pt>
    <dgm:pt modelId="{65D08DD3-3BAB-4F9F-917F-989A09AABC4A}" type="pres">
      <dgm:prSet presAssocID="{EFB3EDC6-0CE6-407D-8C00-56DC858DAD0D}" presName="spNode" presStyleCnt="0"/>
      <dgm:spPr/>
    </dgm:pt>
    <dgm:pt modelId="{0810B91A-576B-4D4A-A627-E1C242B6314C}" type="pres">
      <dgm:prSet presAssocID="{1A58A317-3691-4F97-8664-945E1B26FC98}" presName="sibTrans" presStyleLbl="sibTrans1D1" presStyleIdx="4" presStyleCnt="6"/>
      <dgm:spPr/>
    </dgm:pt>
    <dgm:pt modelId="{9ACF998C-0B24-4FC2-9325-88103FE51E28}" type="pres">
      <dgm:prSet presAssocID="{C2FAFFF9-483A-430C-AD53-AE0DCA662FC2}" presName="node" presStyleLbl="node1" presStyleIdx="5" presStyleCnt="6">
        <dgm:presLayoutVars>
          <dgm:bulletEnabled val="1"/>
        </dgm:presLayoutVars>
      </dgm:prSet>
      <dgm:spPr/>
    </dgm:pt>
    <dgm:pt modelId="{C7C356E1-EC5A-4C2E-B21F-9FCFBEBAF448}" type="pres">
      <dgm:prSet presAssocID="{C2FAFFF9-483A-430C-AD53-AE0DCA662FC2}" presName="spNode" presStyleCnt="0"/>
      <dgm:spPr/>
    </dgm:pt>
    <dgm:pt modelId="{EF24F668-5505-4EC2-BC48-0EF129F7D2D3}" type="pres">
      <dgm:prSet presAssocID="{78C45624-6D97-45F9-A1CD-EBAAF7096779}" presName="sibTrans" presStyleLbl="sibTrans1D1" presStyleIdx="5" presStyleCnt="6"/>
      <dgm:spPr/>
    </dgm:pt>
  </dgm:ptLst>
  <dgm:cxnLst>
    <dgm:cxn modelId="{A7297109-415A-4FED-BBC5-9212091881E9}" type="presOf" srcId="{C2FAFFF9-483A-430C-AD53-AE0DCA662FC2}" destId="{9ACF998C-0B24-4FC2-9325-88103FE51E28}" srcOrd="0" destOrd="0" presId="urn:microsoft.com/office/officeart/2005/8/layout/cycle5"/>
    <dgm:cxn modelId="{CC61A00D-5290-428A-A17D-4D6D2888FA55}" srcId="{552154DB-9E35-48BE-B6E8-FDBD4030A560}" destId="{02E9BD5D-5EA3-451F-8740-BEEED5D18AB2}" srcOrd="2" destOrd="0" parTransId="{61DD0ED0-57AA-44AA-BEBF-6D47F92B4054}" sibTransId="{A31D42D7-9DCC-4D24-BBE2-59AB9E378388}"/>
    <dgm:cxn modelId="{5DAAA634-048B-4D7D-83B5-0CA6AC133984}" type="presOf" srcId="{DA2DD661-5125-4E94-AE61-BC42AAB1B259}" destId="{BB76638F-D687-4FC6-BBF9-18224D113B8E}" srcOrd="0" destOrd="0" presId="urn:microsoft.com/office/officeart/2005/8/layout/cycle5"/>
    <dgm:cxn modelId="{DAE8DF68-B283-4805-80E3-34EE82B72697}" srcId="{552154DB-9E35-48BE-B6E8-FDBD4030A560}" destId="{C2FAFFF9-483A-430C-AD53-AE0DCA662FC2}" srcOrd="5" destOrd="0" parTransId="{4F27A296-C8A2-4F50-9BD2-64D62BA79D42}" sibTransId="{78C45624-6D97-45F9-A1CD-EBAAF7096779}"/>
    <dgm:cxn modelId="{704B5A4E-23B2-4454-B93B-6078B290C76F}" type="presOf" srcId="{9BAE2402-4775-43D0-97C8-E3D3CC0A9812}" destId="{76549246-6AD6-4DB2-A53C-5184D0E77EDE}" srcOrd="0" destOrd="0" presId="urn:microsoft.com/office/officeart/2005/8/layout/cycle5"/>
    <dgm:cxn modelId="{9959DA73-5B9B-4187-BA73-C65A7AAE84B6}" type="presOf" srcId="{69193E23-80CF-45C9-BBF9-E56B8C2F2C05}" destId="{5F92F4DE-90F4-472A-9C92-861660AA08EC}" srcOrd="0" destOrd="0" presId="urn:microsoft.com/office/officeart/2005/8/layout/cycle5"/>
    <dgm:cxn modelId="{184F7655-306D-4FCB-8DF5-EB58ECD76797}" srcId="{552154DB-9E35-48BE-B6E8-FDBD4030A560}" destId="{9BAE2402-4775-43D0-97C8-E3D3CC0A9812}" srcOrd="3" destOrd="0" parTransId="{534C751E-976E-4292-957C-F69774E535CF}" sibTransId="{B7CCE783-F630-4FEA-B29C-84A6C01CB833}"/>
    <dgm:cxn modelId="{8E9BB693-83F0-4AD4-8A82-BD24E18CDBAF}" type="presOf" srcId="{5997496F-88E4-4F7D-9781-DD802FE8F662}" destId="{37F857A4-DDBE-4252-9E8F-E3D70A474B1E}" srcOrd="0" destOrd="0" presId="urn:microsoft.com/office/officeart/2005/8/layout/cycle5"/>
    <dgm:cxn modelId="{A3C60FA0-D0A5-4F6C-B4F4-0E83422D4FE0}" type="presOf" srcId="{EFB3EDC6-0CE6-407D-8C00-56DC858DAD0D}" destId="{D9966E50-95C4-4880-9A3D-A94D6645D893}" srcOrd="0" destOrd="0" presId="urn:microsoft.com/office/officeart/2005/8/layout/cycle5"/>
    <dgm:cxn modelId="{01C4A8A6-E20C-4382-A72D-4D948D179A05}" type="presOf" srcId="{78C45624-6D97-45F9-A1CD-EBAAF7096779}" destId="{EF24F668-5505-4EC2-BC48-0EF129F7D2D3}" srcOrd="0" destOrd="0" presId="urn:microsoft.com/office/officeart/2005/8/layout/cycle5"/>
    <dgm:cxn modelId="{5322DDA6-84EF-49AE-8E27-09DAAE5DDE9F}" srcId="{552154DB-9E35-48BE-B6E8-FDBD4030A560}" destId="{EFB3EDC6-0CE6-407D-8C00-56DC858DAD0D}" srcOrd="4" destOrd="0" parTransId="{1512D3D5-C8E0-4338-8A3E-F33221E56BFD}" sibTransId="{1A58A317-3691-4F97-8664-945E1B26FC98}"/>
    <dgm:cxn modelId="{B4A121AE-767B-474D-B76A-BD3B40B7462A}" srcId="{552154DB-9E35-48BE-B6E8-FDBD4030A560}" destId="{5174CAE4-409E-4FC2-993A-3203CDC6D172}" srcOrd="0" destOrd="0" parTransId="{B46D95E3-C954-40ED-BA18-B2E0F39DA7A0}" sibTransId="{DA2DD661-5125-4E94-AE61-BC42AAB1B259}"/>
    <dgm:cxn modelId="{E078EBAF-E6E5-4C93-9181-6DDA43153A03}" type="presOf" srcId="{552154DB-9E35-48BE-B6E8-FDBD4030A560}" destId="{54481D57-AC7A-4D1B-9B8F-86B8CCD34FBD}" srcOrd="0" destOrd="0" presId="urn:microsoft.com/office/officeart/2005/8/layout/cycle5"/>
    <dgm:cxn modelId="{426C29CE-8FF7-4DF2-95C7-BF4034BC6B04}" type="presOf" srcId="{B7CCE783-F630-4FEA-B29C-84A6C01CB833}" destId="{D5519029-51A1-4FBE-9436-A25F10D77308}" srcOrd="0" destOrd="0" presId="urn:microsoft.com/office/officeart/2005/8/layout/cycle5"/>
    <dgm:cxn modelId="{EBF09ADE-31B6-4195-8CDE-7F1234EA80CC}" type="presOf" srcId="{A31D42D7-9DCC-4D24-BBE2-59AB9E378388}" destId="{0B27D04F-23C2-40A5-BD11-CD10A44B597D}" srcOrd="0" destOrd="0" presId="urn:microsoft.com/office/officeart/2005/8/layout/cycle5"/>
    <dgm:cxn modelId="{CF368FE4-167A-4995-AF10-7C775D20948B}" type="presOf" srcId="{5174CAE4-409E-4FC2-993A-3203CDC6D172}" destId="{66698468-133A-4780-924E-9A2356299ECC}" srcOrd="0" destOrd="0" presId="urn:microsoft.com/office/officeart/2005/8/layout/cycle5"/>
    <dgm:cxn modelId="{45AD63F6-D760-43A8-A5DB-B88503B19165}" type="presOf" srcId="{02E9BD5D-5EA3-451F-8740-BEEED5D18AB2}" destId="{80940D34-26C6-4BA5-AFA1-3D0A27BFBFDD}" srcOrd="0" destOrd="0" presId="urn:microsoft.com/office/officeart/2005/8/layout/cycle5"/>
    <dgm:cxn modelId="{047CFDF6-0336-495D-8377-B6E9CEDEEEAB}" type="presOf" srcId="{1A58A317-3691-4F97-8664-945E1B26FC98}" destId="{0810B91A-576B-4D4A-A627-E1C242B6314C}" srcOrd="0" destOrd="0" presId="urn:microsoft.com/office/officeart/2005/8/layout/cycle5"/>
    <dgm:cxn modelId="{40F182F7-B76B-44F6-AE29-99F801277C84}" srcId="{552154DB-9E35-48BE-B6E8-FDBD4030A560}" destId="{69193E23-80CF-45C9-BBF9-E56B8C2F2C05}" srcOrd="1" destOrd="0" parTransId="{37C89DD7-4A42-40A5-8159-ABF7A604B0F7}" sibTransId="{5997496F-88E4-4F7D-9781-DD802FE8F662}"/>
    <dgm:cxn modelId="{3DD86E27-C4F4-4C71-B429-8BF987C4C0D3}" type="presParOf" srcId="{54481D57-AC7A-4D1B-9B8F-86B8CCD34FBD}" destId="{66698468-133A-4780-924E-9A2356299ECC}" srcOrd="0" destOrd="0" presId="urn:microsoft.com/office/officeart/2005/8/layout/cycle5"/>
    <dgm:cxn modelId="{8F331755-37EA-4BF0-87A6-91FB4CCE7E52}" type="presParOf" srcId="{54481D57-AC7A-4D1B-9B8F-86B8CCD34FBD}" destId="{5342834D-EB99-4305-BC61-41DB73813BFB}" srcOrd="1" destOrd="0" presId="urn:microsoft.com/office/officeart/2005/8/layout/cycle5"/>
    <dgm:cxn modelId="{6F9546BE-2285-44EB-BDFB-6ECED3DBB178}" type="presParOf" srcId="{54481D57-AC7A-4D1B-9B8F-86B8CCD34FBD}" destId="{BB76638F-D687-4FC6-BBF9-18224D113B8E}" srcOrd="2" destOrd="0" presId="urn:microsoft.com/office/officeart/2005/8/layout/cycle5"/>
    <dgm:cxn modelId="{6D7B3B75-DA5B-4969-8ADC-736C600949FE}" type="presParOf" srcId="{54481D57-AC7A-4D1B-9B8F-86B8CCD34FBD}" destId="{5F92F4DE-90F4-472A-9C92-861660AA08EC}" srcOrd="3" destOrd="0" presId="urn:microsoft.com/office/officeart/2005/8/layout/cycle5"/>
    <dgm:cxn modelId="{6BB5B062-AD73-4EC3-B31B-B2C33AB990F7}" type="presParOf" srcId="{54481D57-AC7A-4D1B-9B8F-86B8CCD34FBD}" destId="{D6E31FDB-E656-4954-B54B-ED52F8319EE0}" srcOrd="4" destOrd="0" presId="urn:microsoft.com/office/officeart/2005/8/layout/cycle5"/>
    <dgm:cxn modelId="{B2AE362C-533B-493B-A7B0-5462D0492C89}" type="presParOf" srcId="{54481D57-AC7A-4D1B-9B8F-86B8CCD34FBD}" destId="{37F857A4-DDBE-4252-9E8F-E3D70A474B1E}" srcOrd="5" destOrd="0" presId="urn:microsoft.com/office/officeart/2005/8/layout/cycle5"/>
    <dgm:cxn modelId="{96F2A723-E1B6-4446-B8EC-130A8E6C187F}" type="presParOf" srcId="{54481D57-AC7A-4D1B-9B8F-86B8CCD34FBD}" destId="{80940D34-26C6-4BA5-AFA1-3D0A27BFBFDD}" srcOrd="6" destOrd="0" presId="urn:microsoft.com/office/officeart/2005/8/layout/cycle5"/>
    <dgm:cxn modelId="{E884A0E0-542F-4B8D-B821-AF0C4459B82F}" type="presParOf" srcId="{54481D57-AC7A-4D1B-9B8F-86B8CCD34FBD}" destId="{0DE3566B-38D9-42BF-8DC6-4036ADD4934F}" srcOrd="7" destOrd="0" presId="urn:microsoft.com/office/officeart/2005/8/layout/cycle5"/>
    <dgm:cxn modelId="{550F9CCC-DF14-425C-A145-BD32A571785B}" type="presParOf" srcId="{54481D57-AC7A-4D1B-9B8F-86B8CCD34FBD}" destId="{0B27D04F-23C2-40A5-BD11-CD10A44B597D}" srcOrd="8" destOrd="0" presId="urn:microsoft.com/office/officeart/2005/8/layout/cycle5"/>
    <dgm:cxn modelId="{2B8BEFD4-033A-4B9C-9489-02572F207E11}" type="presParOf" srcId="{54481D57-AC7A-4D1B-9B8F-86B8CCD34FBD}" destId="{76549246-6AD6-4DB2-A53C-5184D0E77EDE}" srcOrd="9" destOrd="0" presId="urn:microsoft.com/office/officeart/2005/8/layout/cycle5"/>
    <dgm:cxn modelId="{2A0570A1-745C-4A84-AD48-6F5DECD75598}" type="presParOf" srcId="{54481D57-AC7A-4D1B-9B8F-86B8CCD34FBD}" destId="{4640849E-CAB2-42E2-AB46-E79CB4403C81}" srcOrd="10" destOrd="0" presId="urn:microsoft.com/office/officeart/2005/8/layout/cycle5"/>
    <dgm:cxn modelId="{6DABE03E-3195-46D7-BE40-1CC46898B010}" type="presParOf" srcId="{54481D57-AC7A-4D1B-9B8F-86B8CCD34FBD}" destId="{D5519029-51A1-4FBE-9436-A25F10D77308}" srcOrd="11" destOrd="0" presId="urn:microsoft.com/office/officeart/2005/8/layout/cycle5"/>
    <dgm:cxn modelId="{000B4923-4B21-414D-A033-CB91436A45F5}" type="presParOf" srcId="{54481D57-AC7A-4D1B-9B8F-86B8CCD34FBD}" destId="{D9966E50-95C4-4880-9A3D-A94D6645D893}" srcOrd="12" destOrd="0" presId="urn:microsoft.com/office/officeart/2005/8/layout/cycle5"/>
    <dgm:cxn modelId="{9A4D8E8B-AA37-4543-99AD-A7D0787A33DC}" type="presParOf" srcId="{54481D57-AC7A-4D1B-9B8F-86B8CCD34FBD}" destId="{65D08DD3-3BAB-4F9F-917F-989A09AABC4A}" srcOrd="13" destOrd="0" presId="urn:microsoft.com/office/officeart/2005/8/layout/cycle5"/>
    <dgm:cxn modelId="{3D1769A8-D5ED-4286-BFAD-1C6E9A06AF73}" type="presParOf" srcId="{54481D57-AC7A-4D1B-9B8F-86B8CCD34FBD}" destId="{0810B91A-576B-4D4A-A627-E1C242B6314C}" srcOrd="14" destOrd="0" presId="urn:microsoft.com/office/officeart/2005/8/layout/cycle5"/>
    <dgm:cxn modelId="{63791246-02D3-43D6-96A9-116616651B5F}" type="presParOf" srcId="{54481D57-AC7A-4D1B-9B8F-86B8CCD34FBD}" destId="{9ACF998C-0B24-4FC2-9325-88103FE51E28}" srcOrd="15" destOrd="0" presId="urn:microsoft.com/office/officeart/2005/8/layout/cycle5"/>
    <dgm:cxn modelId="{0A79BAC5-3332-49A8-A45E-74580C582A7F}" type="presParOf" srcId="{54481D57-AC7A-4D1B-9B8F-86B8CCD34FBD}" destId="{C7C356E1-EC5A-4C2E-B21F-9FCFBEBAF448}" srcOrd="16" destOrd="0" presId="urn:microsoft.com/office/officeart/2005/8/layout/cycle5"/>
    <dgm:cxn modelId="{42208DA7-9205-4C64-B20C-2A428F0ADA86}" type="presParOf" srcId="{54481D57-AC7A-4D1B-9B8F-86B8CCD34FBD}" destId="{EF24F668-5505-4EC2-BC48-0EF129F7D2D3}" srcOrd="17"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C854E4AD-76A5-4A3C-A2F8-50615302F064}" type="doc">
      <dgm:prSet loTypeId="urn:microsoft.com/office/officeart/2005/8/layout/default" loCatId="list" qsTypeId="urn:microsoft.com/office/officeart/2005/8/quickstyle/3d3" qsCatId="3D" csTypeId="urn:microsoft.com/office/officeart/2005/8/colors/colorful4" csCatId="colorful" phldr="1"/>
      <dgm:spPr/>
      <dgm:t>
        <a:bodyPr/>
        <a:lstStyle/>
        <a:p>
          <a:endParaRPr lang="en-GB"/>
        </a:p>
      </dgm:t>
    </dgm:pt>
    <dgm:pt modelId="{7542257E-740F-43E9-87AA-A3D0AA75D69C}">
      <dgm:prSet phldrT="[Text]"/>
      <dgm:spPr/>
      <dgm:t>
        <a:bodyPr/>
        <a:lstStyle/>
        <a:p>
          <a:r>
            <a:rPr lang="en-GB">
              <a:latin typeface="Arial" panose="020B0604020202020204" pitchFamily="34" charset="0"/>
              <a:cs typeface="Arial" panose="020B0604020202020204" pitchFamily="34" charset="0"/>
            </a:rPr>
            <a:t>Handling of Garbage and Conserving water</a:t>
          </a:r>
        </a:p>
      </dgm:t>
    </dgm:pt>
    <dgm:pt modelId="{AC578BE3-EF04-4AA7-8026-58D9AC74FC50}" type="parTrans" cxnId="{463825CC-6E84-41CE-AD35-E9629899774C}">
      <dgm:prSet/>
      <dgm:spPr/>
      <dgm:t>
        <a:bodyPr/>
        <a:lstStyle/>
        <a:p>
          <a:endParaRPr lang="en-GB"/>
        </a:p>
      </dgm:t>
    </dgm:pt>
    <dgm:pt modelId="{0DF5D78A-4D2C-4CED-A0B9-4D405C17DDA3}" type="sibTrans" cxnId="{463825CC-6E84-41CE-AD35-E9629899774C}">
      <dgm:prSet/>
      <dgm:spPr/>
      <dgm:t>
        <a:bodyPr/>
        <a:lstStyle/>
        <a:p>
          <a:endParaRPr lang="en-GB"/>
        </a:p>
      </dgm:t>
    </dgm:pt>
    <dgm:pt modelId="{C1A2A123-2E64-470B-9F22-5ABF90A783FD}">
      <dgm:prSet phldrT="[Text]"/>
      <dgm:spPr/>
      <dgm:t>
        <a:bodyPr/>
        <a:lstStyle/>
        <a:p>
          <a:r>
            <a:rPr lang="en-GB">
              <a:latin typeface="Arial" panose="020B0604020202020204" pitchFamily="34" charset="0"/>
              <a:cs typeface="Arial" panose="020B0604020202020204" pitchFamily="34" charset="0"/>
            </a:rPr>
            <a:t>Reducing energy use</a:t>
          </a:r>
        </a:p>
      </dgm:t>
    </dgm:pt>
    <dgm:pt modelId="{B046EA84-45D0-46A4-8632-67CD064E4CDB}" type="parTrans" cxnId="{216412D8-F449-4A01-A6FB-453C53B903F5}">
      <dgm:prSet/>
      <dgm:spPr/>
      <dgm:t>
        <a:bodyPr/>
        <a:lstStyle/>
        <a:p>
          <a:endParaRPr lang="en-GB"/>
        </a:p>
      </dgm:t>
    </dgm:pt>
    <dgm:pt modelId="{0E49C874-FEAC-42FC-89E5-273756E78AD9}" type="sibTrans" cxnId="{216412D8-F449-4A01-A6FB-453C53B903F5}">
      <dgm:prSet/>
      <dgm:spPr/>
      <dgm:t>
        <a:bodyPr/>
        <a:lstStyle/>
        <a:p>
          <a:endParaRPr lang="en-GB"/>
        </a:p>
      </dgm:t>
    </dgm:pt>
    <dgm:pt modelId="{EEE6C14B-0C57-4D33-BDFB-DA73E8DAE72C}">
      <dgm:prSet phldrT="[Text]"/>
      <dgm:spPr/>
      <dgm:t>
        <a:bodyPr/>
        <a:lstStyle/>
        <a:p>
          <a:r>
            <a:rPr lang="en-GB">
              <a:latin typeface="Arial" panose="020B0604020202020204" pitchFamily="34" charset="0"/>
              <a:cs typeface="Arial" panose="020B0604020202020204" pitchFamily="34" charset="0"/>
            </a:rPr>
            <a:t>Green Packaging</a:t>
          </a:r>
        </a:p>
      </dgm:t>
    </dgm:pt>
    <dgm:pt modelId="{9496749F-4654-41C6-84C1-19EC483BA050}" type="parTrans" cxnId="{311EE21E-AA39-4876-8E54-4145BFE49C38}">
      <dgm:prSet/>
      <dgm:spPr/>
      <dgm:t>
        <a:bodyPr/>
        <a:lstStyle/>
        <a:p>
          <a:endParaRPr lang="en-GB"/>
        </a:p>
      </dgm:t>
    </dgm:pt>
    <dgm:pt modelId="{291BE535-EADB-4D56-8577-F366953F3F70}" type="sibTrans" cxnId="{311EE21E-AA39-4876-8E54-4145BFE49C38}">
      <dgm:prSet/>
      <dgm:spPr/>
      <dgm:t>
        <a:bodyPr/>
        <a:lstStyle/>
        <a:p>
          <a:endParaRPr lang="en-GB"/>
        </a:p>
      </dgm:t>
    </dgm:pt>
    <dgm:pt modelId="{0C84319C-F3BE-4F26-98EE-6A84E651BB3B}">
      <dgm:prSet phldrT="[Text]"/>
      <dgm:spPr/>
      <dgm:t>
        <a:bodyPr/>
        <a:lstStyle/>
        <a:p>
          <a:r>
            <a:rPr lang="en-GB">
              <a:latin typeface="Arial" panose="020B0604020202020204" pitchFamily="34" charset="0"/>
              <a:cs typeface="Arial" panose="020B0604020202020204" pitchFamily="34" charset="0"/>
            </a:rPr>
            <a:t>Reduction of Carbon</a:t>
          </a:r>
        </a:p>
      </dgm:t>
    </dgm:pt>
    <dgm:pt modelId="{DB032FF1-0F35-434A-8ABB-7EF5D6F2E3B5}" type="parTrans" cxnId="{D13DFDA2-B3DA-41B4-9CEC-AE527F132AA2}">
      <dgm:prSet/>
      <dgm:spPr/>
      <dgm:t>
        <a:bodyPr/>
        <a:lstStyle/>
        <a:p>
          <a:endParaRPr lang="en-GB"/>
        </a:p>
      </dgm:t>
    </dgm:pt>
    <dgm:pt modelId="{89A55E00-F14D-4026-9D0D-58A166A2CAEA}" type="sibTrans" cxnId="{D13DFDA2-B3DA-41B4-9CEC-AE527F132AA2}">
      <dgm:prSet/>
      <dgm:spPr/>
      <dgm:t>
        <a:bodyPr/>
        <a:lstStyle/>
        <a:p>
          <a:endParaRPr lang="en-GB"/>
        </a:p>
      </dgm:t>
    </dgm:pt>
    <dgm:pt modelId="{C316980E-8D49-4464-B065-5BA7FBBACB06}">
      <dgm:prSet phldrT="[Text]"/>
      <dgm:spPr/>
      <dgm:t>
        <a:bodyPr/>
        <a:lstStyle/>
        <a:p>
          <a:r>
            <a:rPr lang="en-GB">
              <a:latin typeface="Arial" panose="020B0604020202020204" pitchFamily="34" charset="0"/>
              <a:cs typeface="Arial" panose="020B0604020202020204" pitchFamily="34" charset="0"/>
            </a:rPr>
            <a:t>Changes in Corporate culture</a:t>
          </a:r>
        </a:p>
      </dgm:t>
    </dgm:pt>
    <dgm:pt modelId="{E838B2A1-F320-446D-BF0C-B3F38F62BC2E}" type="parTrans" cxnId="{8BB6F13D-611D-45CC-8008-3DAD8D9B15DA}">
      <dgm:prSet/>
      <dgm:spPr/>
      <dgm:t>
        <a:bodyPr/>
        <a:lstStyle/>
        <a:p>
          <a:endParaRPr lang="en-GB"/>
        </a:p>
      </dgm:t>
    </dgm:pt>
    <dgm:pt modelId="{28BAA6E2-411B-4AC4-BB01-6132DF082409}" type="sibTrans" cxnId="{8BB6F13D-611D-45CC-8008-3DAD8D9B15DA}">
      <dgm:prSet/>
      <dgm:spPr/>
      <dgm:t>
        <a:bodyPr/>
        <a:lstStyle/>
        <a:p>
          <a:endParaRPr lang="en-GB"/>
        </a:p>
      </dgm:t>
    </dgm:pt>
    <dgm:pt modelId="{BDA5C86C-9F77-4FF2-BC2D-AD61C03AC71A}">
      <dgm:prSet phldrT="[Text]"/>
      <dgm:spPr/>
      <dgm:t>
        <a:bodyPr/>
        <a:lstStyle/>
        <a:p>
          <a:r>
            <a:rPr lang="en-GB">
              <a:latin typeface="Arial" panose="020B0604020202020204" pitchFamily="34" charset="0"/>
              <a:cs typeface="Arial" panose="020B0604020202020204" pitchFamily="34" charset="0"/>
            </a:rPr>
            <a:t>Green Production</a:t>
          </a:r>
        </a:p>
      </dgm:t>
    </dgm:pt>
    <dgm:pt modelId="{0996727B-3A5E-48A9-A249-2B1B4A2394A1}" type="parTrans" cxnId="{D5E3C645-B638-4E84-B9B6-9C7D34659BBF}">
      <dgm:prSet/>
      <dgm:spPr/>
      <dgm:t>
        <a:bodyPr/>
        <a:lstStyle/>
        <a:p>
          <a:endParaRPr lang="en-GB"/>
        </a:p>
      </dgm:t>
    </dgm:pt>
    <dgm:pt modelId="{F046EBA0-04BD-4343-BF6D-B857E40DA45A}" type="sibTrans" cxnId="{D5E3C645-B638-4E84-B9B6-9C7D34659BBF}">
      <dgm:prSet/>
      <dgm:spPr/>
      <dgm:t>
        <a:bodyPr/>
        <a:lstStyle/>
        <a:p>
          <a:endParaRPr lang="en-GB"/>
        </a:p>
      </dgm:t>
    </dgm:pt>
    <dgm:pt modelId="{679A70BF-8D0B-4479-8357-033A4048D6CC}" type="pres">
      <dgm:prSet presAssocID="{C854E4AD-76A5-4A3C-A2F8-50615302F064}" presName="diagram" presStyleCnt="0">
        <dgm:presLayoutVars>
          <dgm:dir/>
          <dgm:resizeHandles val="exact"/>
        </dgm:presLayoutVars>
      </dgm:prSet>
      <dgm:spPr/>
    </dgm:pt>
    <dgm:pt modelId="{F54C867A-7768-42BC-A009-94FC952D595E}" type="pres">
      <dgm:prSet presAssocID="{7542257E-740F-43E9-87AA-A3D0AA75D69C}" presName="node" presStyleLbl="node1" presStyleIdx="0" presStyleCnt="6">
        <dgm:presLayoutVars>
          <dgm:bulletEnabled val="1"/>
        </dgm:presLayoutVars>
      </dgm:prSet>
      <dgm:spPr/>
    </dgm:pt>
    <dgm:pt modelId="{D586959F-67C2-4D0F-95DF-B957A4A3E1BC}" type="pres">
      <dgm:prSet presAssocID="{0DF5D78A-4D2C-4CED-A0B9-4D405C17DDA3}" presName="sibTrans" presStyleCnt="0"/>
      <dgm:spPr/>
    </dgm:pt>
    <dgm:pt modelId="{44DA6D92-D917-41E8-95CC-6BF01D11435A}" type="pres">
      <dgm:prSet presAssocID="{C1A2A123-2E64-470B-9F22-5ABF90A783FD}" presName="node" presStyleLbl="node1" presStyleIdx="1" presStyleCnt="6">
        <dgm:presLayoutVars>
          <dgm:bulletEnabled val="1"/>
        </dgm:presLayoutVars>
      </dgm:prSet>
      <dgm:spPr/>
    </dgm:pt>
    <dgm:pt modelId="{D752A133-D4A8-4EB1-B8E5-521AE5604B7C}" type="pres">
      <dgm:prSet presAssocID="{0E49C874-FEAC-42FC-89E5-273756E78AD9}" presName="sibTrans" presStyleCnt="0"/>
      <dgm:spPr/>
    </dgm:pt>
    <dgm:pt modelId="{D69E663E-B888-4C58-85A3-20A6C6F5F50A}" type="pres">
      <dgm:prSet presAssocID="{EEE6C14B-0C57-4D33-BDFB-DA73E8DAE72C}" presName="node" presStyleLbl="node1" presStyleIdx="2" presStyleCnt="6">
        <dgm:presLayoutVars>
          <dgm:bulletEnabled val="1"/>
        </dgm:presLayoutVars>
      </dgm:prSet>
      <dgm:spPr/>
    </dgm:pt>
    <dgm:pt modelId="{85D081D6-A927-4CEB-B570-58575D374145}" type="pres">
      <dgm:prSet presAssocID="{291BE535-EADB-4D56-8577-F366953F3F70}" presName="sibTrans" presStyleCnt="0"/>
      <dgm:spPr/>
    </dgm:pt>
    <dgm:pt modelId="{8BA0562F-A351-4F5F-B7ED-465800C2414F}" type="pres">
      <dgm:prSet presAssocID="{0C84319C-F3BE-4F26-98EE-6A84E651BB3B}" presName="node" presStyleLbl="node1" presStyleIdx="3" presStyleCnt="6">
        <dgm:presLayoutVars>
          <dgm:bulletEnabled val="1"/>
        </dgm:presLayoutVars>
      </dgm:prSet>
      <dgm:spPr/>
    </dgm:pt>
    <dgm:pt modelId="{75B12190-F686-4E61-A94D-AB90724DF2C3}" type="pres">
      <dgm:prSet presAssocID="{89A55E00-F14D-4026-9D0D-58A166A2CAEA}" presName="sibTrans" presStyleCnt="0"/>
      <dgm:spPr/>
    </dgm:pt>
    <dgm:pt modelId="{F544102A-BCE7-43B6-A35F-2704C73985A5}" type="pres">
      <dgm:prSet presAssocID="{C316980E-8D49-4464-B065-5BA7FBBACB06}" presName="node" presStyleLbl="node1" presStyleIdx="4" presStyleCnt="6">
        <dgm:presLayoutVars>
          <dgm:bulletEnabled val="1"/>
        </dgm:presLayoutVars>
      </dgm:prSet>
      <dgm:spPr/>
    </dgm:pt>
    <dgm:pt modelId="{D816F896-891F-4355-8744-7D2151A10F75}" type="pres">
      <dgm:prSet presAssocID="{28BAA6E2-411B-4AC4-BB01-6132DF082409}" presName="sibTrans" presStyleCnt="0"/>
      <dgm:spPr/>
    </dgm:pt>
    <dgm:pt modelId="{981DA20E-71F4-4D09-A203-BB40DDA47336}" type="pres">
      <dgm:prSet presAssocID="{BDA5C86C-9F77-4FF2-BC2D-AD61C03AC71A}" presName="node" presStyleLbl="node1" presStyleIdx="5" presStyleCnt="6">
        <dgm:presLayoutVars>
          <dgm:bulletEnabled val="1"/>
        </dgm:presLayoutVars>
      </dgm:prSet>
      <dgm:spPr/>
    </dgm:pt>
  </dgm:ptLst>
  <dgm:cxnLst>
    <dgm:cxn modelId="{63246B0D-4EFC-473F-868F-C02C8FA63BC3}" type="presOf" srcId="{BDA5C86C-9F77-4FF2-BC2D-AD61C03AC71A}" destId="{981DA20E-71F4-4D09-A203-BB40DDA47336}" srcOrd="0" destOrd="0" presId="urn:microsoft.com/office/officeart/2005/8/layout/default"/>
    <dgm:cxn modelId="{311EE21E-AA39-4876-8E54-4145BFE49C38}" srcId="{C854E4AD-76A5-4A3C-A2F8-50615302F064}" destId="{EEE6C14B-0C57-4D33-BDFB-DA73E8DAE72C}" srcOrd="2" destOrd="0" parTransId="{9496749F-4654-41C6-84C1-19EC483BA050}" sibTransId="{291BE535-EADB-4D56-8577-F366953F3F70}"/>
    <dgm:cxn modelId="{67356C2C-009A-4E27-9A1E-1895EDBB2155}" type="presOf" srcId="{C316980E-8D49-4464-B065-5BA7FBBACB06}" destId="{F544102A-BCE7-43B6-A35F-2704C73985A5}" srcOrd="0" destOrd="0" presId="urn:microsoft.com/office/officeart/2005/8/layout/default"/>
    <dgm:cxn modelId="{8BB6F13D-611D-45CC-8008-3DAD8D9B15DA}" srcId="{C854E4AD-76A5-4A3C-A2F8-50615302F064}" destId="{C316980E-8D49-4464-B065-5BA7FBBACB06}" srcOrd="4" destOrd="0" parTransId="{E838B2A1-F320-446D-BF0C-B3F38F62BC2E}" sibTransId="{28BAA6E2-411B-4AC4-BB01-6132DF082409}"/>
    <dgm:cxn modelId="{0EEDFE42-DA17-4309-B123-91F705E4E7BF}" type="presOf" srcId="{7542257E-740F-43E9-87AA-A3D0AA75D69C}" destId="{F54C867A-7768-42BC-A009-94FC952D595E}" srcOrd="0" destOrd="0" presId="urn:microsoft.com/office/officeart/2005/8/layout/default"/>
    <dgm:cxn modelId="{D5E3C645-B638-4E84-B9B6-9C7D34659BBF}" srcId="{C854E4AD-76A5-4A3C-A2F8-50615302F064}" destId="{BDA5C86C-9F77-4FF2-BC2D-AD61C03AC71A}" srcOrd="5" destOrd="0" parTransId="{0996727B-3A5E-48A9-A249-2B1B4A2394A1}" sibTransId="{F046EBA0-04BD-4343-BF6D-B857E40DA45A}"/>
    <dgm:cxn modelId="{9E94804A-C679-4BD4-A47C-F07D9C8DD5B8}" type="presOf" srcId="{EEE6C14B-0C57-4D33-BDFB-DA73E8DAE72C}" destId="{D69E663E-B888-4C58-85A3-20A6C6F5F50A}" srcOrd="0" destOrd="0" presId="urn:microsoft.com/office/officeart/2005/8/layout/default"/>
    <dgm:cxn modelId="{E50FFD4F-1517-43CB-93FE-795DEFE68B7C}" type="presOf" srcId="{0C84319C-F3BE-4F26-98EE-6A84E651BB3B}" destId="{8BA0562F-A351-4F5F-B7ED-465800C2414F}" srcOrd="0" destOrd="0" presId="urn:microsoft.com/office/officeart/2005/8/layout/default"/>
    <dgm:cxn modelId="{33EC6770-EB88-4D4E-B4EB-16E98A262EBE}" type="presOf" srcId="{C1A2A123-2E64-470B-9F22-5ABF90A783FD}" destId="{44DA6D92-D917-41E8-95CC-6BF01D11435A}" srcOrd="0" destOrd="0" presId="urn:microsoft.com/office/officeart/2005/8/layout/default"/>
    <dgm:cxn modelId="{D13DFDA2-B3DA-41B4-9CEC-AE527F132AA2}" srcId="{C854E4AD-76A5-4A3C-A2F8-50615302F064}" destId="{0C84319C-F3BE-4F26-98EE-6A84E651BB3B}" srcOrd="3" destOrd="0" parTransId="{DB032FF1-0F35-434A-8ABB-7EF5D6F2E3B5}" sibTransId="{89A55E00-F14D-4026-9D0D-58A166A2CAEA}"/>
    <dgm:cxn modelId="{7449D5C3-6973-4B57-A1A0-05D678AD8F92}" type="presOf" srcId="{C854E4AD-76A5-4A3C-A2F8-50615302F064}" destId="{679A70BF-8D0B-4479-8357-033A4048D6CC}" srcOrd="0" destOrd="0" presId="urn:microsoft.com/office/officeart/2005/8/layout/default"/>
    <dgm:cxn modelId="{463825CC-6E84-41CE-AD35-E9629899774C}" srcId="{C854E4AD-76A5-4A3C-A2F8-50615302F064}" destId="{7542257E-740F-43E9-87AA-A3D0AA75D69C}" srcOrd="0" destOrd="0" parTransId="{AC578BE3-EF04-4AA7-8026-58D9AC74FC50}" sibTransId="{0DF5D78A-4D2C-4CED-A0B9-4D405C17DDA3}"/>
    <dgm:cxn modelId="{216412D8-F449-4A01-A6FB-453C53B903F5}" srcId="{C854E4AD-76A5-4A3C-A2F8-50615302F064}" destId="{C1A2A123-2E64-470B-9F22-5ABF90A783FD}" srcOrd="1" destOrd="0" parTransId="{B046EA84-45D0-46A4-8632-67CD064E4CDB}" sibTransId="{0E49C874-FEAC-42FC-89E5-273756E78AD9}"/>
    <dgm:cxn modelId="{F411003A-A601-46C0-96E5-9C179E70662F}" type="presParOf" srcId="{679A70BF-8D0B-4479-8357-033A4048D6CC}" destId="{F54C867A-7768-42BC-A009-94FC952D595E}" srcOrd="0" destOrd="0" presId="urn:microsoft.com/office/officeart/2005/8/layout/default"/>
    <dgm:cxn modelId="{574CD080-8735-4C6A-AC21-FF19605832B4}" type="presParOf" srcId="{679A70BF-8D0B-4479-8357-033A4048D6CC}" destId="{D586959F-67C2-4D0F-95DF-B957A4A3E1BC}" srcOrd="1" destOrd="0" presId="urn:microsoft.com/office/officeart/2005/8/layout/default"/>
    <dgm:cxn modelId="{DAE266FE-96FE-46B9-846F-EE934B4424A5}" type="presParOf" srcId="{679A70BF-8D0B-4479-8357-033A4048D6CC}" destId="{44DA6D92-D917-41E8-95CC-6BF01D11435A}" srcOrd="2" destOrd="0" presId="urn:microsoft.com/office/officeart/2005/8/layout/default"/>
    <dgm:cxn modelId="{65B47207-F0AB-4793-9482-746BBF253857}" type="presParOf" srcId="{679A70BF-8D0B-4479-8357-033A4048D6CC}" destId="{D752A133-D4A8-4EB1-B8E5-521AE5604B7C}" srcOrd="3" destOrd="0" presId="urn:microsoft.com/office/officeart/2005/8/layout/default"/>
    <dgm:cxn modelId="{5A0C58CB-2943-4535-ACCE-081F941A66FF}" type="presParOf" srcId="{679A70BF-8D0B-4479-8357-033A4048D6CC}" destId="{D69E663E-B888-4C58-85A3-20A6C6F5F50A}" srcOrd="4" destOrd="0" presId="urn:microsoft.com/office/officeart/2005/8/layout/default"/>
    <dgm:cxn modelId="{ED365A5E-29D8-4A65-965D-B59521CABFA5}" type="presParOf" srcId="{679A70BF-8D0B-4479-8357-033A4048D6CC}" destId="{85D081D6-A927-4CEB-B570-58575D374145}" srcOrd="5" destOrd="0" presId="urn:microsoft.com/office/officeart/2005/8/layout/default"/>
    <dgm:cxn modelId="{C71B05A6-9C1C-4ED3-9D89-0C56CFC69B76}" type="presParOf" srcId="{679A70BF-8D0B-4479-8357-033A4048D6CC}" destId="{8BA0562F-A351-4F5F-B7ED-465800C2414F}" srcOrd="6" destOrd="0" presId="urn:microsoft.com/office/officeart/2005/8/layout/default"/>
    <dgm:cxn modelId="{85342CEA-90C0-491D-83BE-C2976D588552}" type="presParOf" srcId="{679A70BF-8D0B-4479-8357-033A4048D6CC}" destId="{75B12190-F686-4E61-A94D-AB90724DF2C3}" srcOrd="7" destOrd="0" presId="urn:microsoft.com/office/officeart/2005/8/layout/default"/>
    <dgm:cxn modelId="{94F896D2-5D05-42E1-8B07-6B82E65981D7}" type="presParOf" srcId="{679A70BF-8D0B-4479-8357-033A4048D6CC}" destId="{F544102A-BCE7-43B6-A35F-2704C73985A5}" srcOrd="8" destOrd="0" presId="urn:microsoft.com/office/officeart/2005/8/layout/default"/>
    <dgm:cxn modelId="{0821F6EB-7E0D-4E8F-8D59-5FADC4AF43F8}" type="presParOf" srcId="{679A70BF-8D0B-4479-8357-033A4048D6CC}" destId="{D816F896-891F-4355-8744-7D2151A10F75}" srcOrd="9" destOrd="0" presId="urn:microsoft.com/office/officeart/2005/8/layout/default"/>
    <dgm:cxn modelId="{8F970DE2-6A0E-4C57-9442-CB640D5E6714}" type="presParOf" srcId="{679A70BF-8D0B-4479-8357-033A4048D6CC}" destId="{981DA20E-71F4-4D09-A203-BB40DDA47336}" srcOrd="10"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7BF8CF-098E-4B6D-87B7-31E482D5B619}">
      <dsp:nvSpPr>
        <dsp:cNvPr id="0" name=""/>
        <dsp:cNvSpPr/>
      </dsp:nvSpPr>
      <dsp:spPr>
        <a:xfrm>
          <a:off x="361386" y="784"/>
          <a:ext cx="1420215" cy="852129"/>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Human Resource </a:t>
          </a:r>
        </a:p>
      </dsp:txBody>
      <dsp:txXfrm>
        <a:off x="361386" y="784"/>
        <a:ext cx="1420215" cy="852129"/>
      </dsp:txXfrm>
    </dsp:sp>
    <dsp:sp modelId="{34EB9AEC-B536-4A85-AB37-7709658DA122}">
      <dsp:nvSpPr>
        <dsp:cNvPr id="0" name=""/>
        <dsp:cNvSpPr/>
      </dsp:nvSpPr>
      <dsp:spPr>
        <a:xfrm>
          <a:off x="1923623" y="784"/>
          <a:ext cx="1420215" cy="852129"/>
        </a:xfrm>
        <a:prstGeom prst="rect">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Financial Resources</a:t>
          </a:r>
        </a:p>
      </dsp:txBody>
      <dsp:txXfrm>
        <a:off x="1923623" y="784"/>
        <a:ext cx="1420215" cy="852129"/>
      </dsp:txXfrm>
    </dsp:sp>
    <dsp:sp modelId="{8ECD434E-A8BD-42CA-926C-D6D1AC702DD5}">
      <dsp:nvSpPr>
        <dsp:cNvPr id="0" name=""/>
        <dsp:cNvSpPr/>
      </dsp:nvSpPr>
      <dsp:spPr>
        <a:xfrm>
          <a:off x="1142504" y="994935"/>
          <a:ext cx="1420215" cy="852129"/>
        </a:xfrm>
        <a:prstGeom prst="rect">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Technological Resources</a:t>
          </a:r>
        </a:p>
      </dsp:txBody>
      <dsp:txXfrm>
        <a:off x="1142504" y="994935"/>
        <a:ext cx="1420215" cy="85212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698468-133A-4780-924E-9A2356299ECC}">
      <dsp:nvSpPr>
        <dsp:cNvPr id="0" name=""/>
        <dsp:cNvSpPr/>
      </dsp:nvSpPr>
      <dsp:spPr>
        <a:xfrm>
          <a:off x="2601352" y="1201"/>
          <a:ext cx="988544" cy="642553"/>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Capacity to Provide Customers</a:t>
          </a:r>
        </a:p>
      </dsp:txBody>
      <dsp:txXfrm>
        <a:off x="2632719" y="32568"/>
        <a:ext cx="925810" cy="579819"/>
      </dsp:txXfrm>
    </dsp:sp>
    <dsp:sp modelId="{BB76638F-D687-4FC6-BBF9-18224D113B8E}">
      <dsp:nvSpPr>
        <dsp:cNvPr id="0" name=""/>
        <dsp:cNvSpPr/>
      </dsp:nvSpPr>
      <dsp:spPr>
        <a:xfrm>
          <a:off x="1579778" y="322478"/>
          <a:ext cx="3031693" cy="3031693"/>
        </a:xfrm>
        <a:custGeom>
          <a:avLst/>
          <a:gdLst/>
          <a:ahLst/>
          <a:cxnLst/>
          <a:rect l="0" t="0" r="0" b="0"/>
          <a:pathLst>
            <a:path>
              <a:moveTo>
                <a:pt x="2134892" y="132165"/>
              </a:moveTo>
              <a:arcTo wR="1515846" hR="1515846" stAng="17646197" swAng="925825"/>
            </a:path>
          </a:pathLst>
        </a:custGeom>
        <a:noFill/>
        <a:ln w="6350" cap="flat" cmpd="sng" algn="ctr">
          <a:solidFill>
            <a:schemeClr val="accent4">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5F92F4DE-90F4-472A-9C92-861660AA08EC}">
      <dsp:nvSpPr>
        <dsp:cNvPr id="0" name=""/>
        <dsp:cNvSpPr/>
      </dsp:nvSpPr>
      <dsp:spPr>
        <a:xfrm>
          <a:off x="3914114" y="759124"/>
          <a:ext cx="988544" cy="642553"/>
        </a:xfrm>
        <a:prstGeom prst="roundRect">
          <a:avLst/>
        </a:prstGeom>
        <a:solidFill>
          <a:schemeClr val="accent4">
            <a:hueOff val="1960178"/>
            <a:satOff val="-8155"/>
            <a:lumOff val="1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Powerful Brand Identity</a:t>
          </a:r>
        </a:p>
      </dsp:txBody>
      <dsp:txXfrm>
        <a:off x="3945481" y="790491"/>
        <a:ext cx="925810" cy="579819"/>
      </dsp:txXfrm>
    </dsp:sp>
    <dsp:sp modelId="{37F857A4-DDBE-4252-9E8F-E3D70A474B1E}">
      <dsp:nvSpPr>
        <dsp:cNvPr id="0" name=""/>
        <dsp:cNvSpPr/>
      </dsp:nvSpPr>
      <dsp:spPr>
        <a:xfrm>
          <a:off x="1579778" y="322478"/>
          <a:ext cx="3031693" cy="3031693"/>
        </a:xfrm>
        <a:custGeom>
          <a:avLst/>
          <a:gdLst/>
          <a:ahLst/>
          <a:cxnLst/>
          <a:rect l="0" t="0" r="0" b="0"/>
          <a:pathLst>
            <a:path>
              <a:moveTo>
                <a:pt x="3008017" y="1248981"/>
              </a:moveTo>
              <a:arcTo wR="1515846" hR="1515846" stAng="20991612" swAng="1216775"/>
            </a:path>
          </a:pathLst>
        </a:custGeom>
        <a:noFill/>
        <a:ln w="6350" cap="flat" cmpd="sng" algn="ctr">
          <a:solidFill>
            <a:schemeClr val="accent4">
              <a:hueOff val="1960178"/>
              <a:satOff val="-8155"/>
              <a:lumOff val="1922"/>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80940D34-26C6-4BA5-AFA1-3D0A27BFBFDD}">
      <dsp:nvSpPr>
        <dsp:cNvPr id="0" name=""/>
        <dsp:cNvSpPr/>
      </dsp:nvSpPr>
      <dsp:spPr>
        <a:xfrm>
          <a:off x="3914114" y="2274971"/>
          <a:ext cx="988544" cy="642553"/>
        </a:xfrm>
        <a:prstGeom prst="roundRect">
          <a:avLst/>
        </a:prstGeom>
        <a:solidFill>
          <a:schemeClr val="accent4">
            <a:hueOff val="3920356"/>
            <a:satOff val="-16311"/>
            <a:lumOff val="384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Lower Operational Cost</a:t>
          </a:r>
        </a:p>
      </dsp:txBody>
      <dsp:txXfrm>
        <a:off x="3945481" y="2306338"/>
        <a:ext cx="925810" cy="579819"/>
      </dsp:txXfrm>
    </dsp:sp>
    <dsp:sp modelId="{0B27D04F-23C2-40A5-BD11-CD10A44B597D}">
      <dsp:nvSpPr>
        <dsp:cNvPr id="0" name=""/>
        <dsp:cNvSpPr/>
      </dsp:nvSpPr>
      <dsp:spPr>
        <a:xfrm>
          <a:off x="1579778" y="322478"/>
          <a:ext cx="3031693" cy="3031693"/>
        </a:xfrm>
        <a:custGeom>
          <a:avLst/>
          <a:gdLst/>
          <a:ahLst/>
          <a:cxnLst/>
          <a:rect l="0" t="0" r="0" b="0"/>
          <a:pathLst>
            <a:path>
              <a:moveTo>
                <a:pt x="2480731" y="2684944"/>
              </a:moveTo>
              <a:arcTo wR="1515846" hR="1515846" stAng="3027978" swAng="925825"/>
            </a:path>
          </a:pathLst>
        </a:custGeom>
        <a:noFill/>
        <a:ln w="6350" cap="flat" cmpd="sng" algn="ctr">
          <a:solidFill>
            <a:schemeClr val="accent4">
              <a:hueOff val="3920356"/>
              <a:satOff val="-16311"/>
              <a:lumOff val="3843"/>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76549246-6AD6-4DB2-A53C-5184D0E77EDE}">
      <dsp:nvSpPr>
        <dsp:cNvPr id="0" name=""/>
        <dsp:cNvSpPr/>
      </dsp:nvSpPr>
      <dsp:spPr>
        <a:xfrm>
          <a:off x="2601352" y="3032894"/>
          <a:ext cx="988544" cy="642553"/>
        </a:xfrm>
        <a:prstGeom prst="roundRect">
          <a:avLst/>
        </a:prstGeom>
        <a:solidFill>
          <a:schemeClr val="accent4">
            <a:hueOff val="5880535"/>
            <a:satOff val="-24466"/>
            <a:lumOff val="5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Operations in New Areas</a:t>
          </a:r>
        </a:p>
      </dsp:txBody>
      <dsp:txXfrm>
        <a:off x="2632719" y="3064261"/>
        <a:ext cx="925810" cy="579819"/>
      </dsp:txXfrm>
    </dsp:sp>
    <dsp:sp modelId="{D5519029-51A1-4FBE-9436-A25F10D77308}">
      <dsp:nvSpPr>
        <dsp:cNvPr id="0" name=""/>
        <dsp:cNvSpPr/>
      </dsp:nvSpPr>
      <dsp:spPr>
        <a:xfrm>
          <a:off x="1579778" y="322478"/>
          <a:ext cx="3031693" cy="3031693"/>
        </a:xfrm>
        <a:custGeom>
          <a:avLst/>
          <a:gdLst/>
          <a:ahLst/>
          <a:cxnLst/>
          <a:rect l="0" t="0" r="0" b="0"/>
          <a:pathLst>
            <a:path>
              <a:moveTo>
                <a:pt x="896801" y="2899528"/>
              </a:moveTo>
              <a:arcTo wR="1515846" hR="1515846" stAng="6846197" swAng="925825"/>
            </a:path>
          </a:pathLst>
        </a:custGeom>
        <a:noFill/>
        <a:ln w="6350" cap="flat" cmpd="sng" algn="ctr">
          <a:solidFill>
            <a:schemeClr val="accent4">
              <a:hueOff val="5880535"/>
              <a:satOff val="-24466"/>
              <a:lumOff val="5765"/>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D9966E50-95C4-4880-9A3D-A94D6645D893}">
      <dsp:nvSpPr>
        <dsp:cNvPr id="0" name=""/>
        <dsp:cNvSpPr/>
      </dsp:nvSpPr>
      <dsp:spPr>
        <a:xfrm>
          <a:off x="1288590" y="2274971"/>
          <a:ext cx="988544" cy="642553"/>
        </a:xfrm>
        <a:prstGeom prst="roundRect">
          <a:avLst/>
        </a:prstGeom>
        <a:solidFill>
          <a:schemeClr val="accent4">
            <a:hueOff val="7840713"/>
            <a:satOff val="-32622"/>
            <a:lumOff val="768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Priority delivery</a:t>
          </a:r>
        </a:p>
      </dsp:txBody>
      <dsp:txXfrm>
        <a:off x="1319957" y="2306338"/>
        <a:ext cx="925810" cy="579819"/>
      </dsp:txXfrm>
    </dsp:sp>
    <dsp:sp modelId="{0810B91A-576B-4D4A-A627-E1C242B6314C}">
      <dsp:nvSpPr>
        <dsp:cNvPr id="0" name=""/>
        <dsp:cNvSpPr/>
      </dsp:nvSpPr>
      <dsp:spPr>
        <a:xfrm>
          <a:off x="1579778" y="322478"/>
          <a:ext cx="3031693" cy="3031693"/>
        </a:xfrm>
        <a:custGeom>
          <a:avLst/>
          <a:gdLst/>
          <a:ahLst/>
          <a:cxnLst/>
          <a:rect l="0" t="0" r="0" b="0"/>
          <a:pathLst>
            <a:path>
              <a:moveTo>
                <a:pt x="23675" y="1782712"/>
              </a:moveTo>
              <a:arcTo wR="1515846" hR="1515846" stAng="10191612" swAng="1216775"/>
            </a:path>
          </a:pathLst>
        </a:custGeom>
        <a:noFill/>
        <a:ln w="6350" cap="flat" cmpd="sng" algn="ctr">
          <a:solidFill>
            <a:schemeClr val="accent4">
              <a:hueOff val="7840713"/>
              <a:satOff val="-32622"/>
              <a:lumOff val="7686"/>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9ACF998C-0B24-4FC2-9325-88103FE51E28}">
      <dsp:nvSpPr>
        <dsp:cNvPr id="0" name=""/>
        <dsp:cNvSpPr/>
      </dsp:nvSpPr>
      <dsp:spPr>
        <a:xfrm>
          <a:off x="1288590" y="759124"/>
          <a:ext cx="988544" cy="642553"/>
        </a:xfrm>
        <a:prstGeom prst="roundRect">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Research and Development</a:t>
          </a:r>
        </a:p>
      </dsp:txBody>
      <dsp:txXfrm>
        <a:off x="1319957" y="790491"/>
        <a:ext cx="925810" cy="579819"/>
      </dsp:txXfrm>
    </dsp:sp>
    <dsp:sp modelId="{EF24F668-5505-4EC2-BC48-0EF129F7D2D3}">
      <dsp:nvSpPr>
        <dsp:cNvPr id="0" name=""/>
        <dsp:cNvSpPr/>
      </dsp:nvSpPr>
      <dsp:spPr>
        <a:xfrm>
          <a:off x="1579778" y="322478"/>
          <a:ext cx="3031693" cy="3031693"/>
        </a:xfrm>
        <a:custGeom>
          <a:avLst/>
          <a:gdLst/>
          <a:ahLst/>
          <a:cxnLst/>
          <a:rect l="0" t="0" r="0" b="0"/>
          <a:pathLst>
            <a:path>
              <a:moveTo>
                <a:pt x="550961" y="346749"/>
              </a:moveTo>
              <a:arcTo wR="1515846" hR="1515846" stAng="13827978" swAng="925825"/>
            </a:path>
          </a:pathLst>
        </a:custGeom>
        <a:noFill/>
        <a:ln w="6350" cap="flat" cmpd="sng" algn="ctr">
          <a:solidFill>
            <a:schemeClr val="accent4">
              <a:hueOff val="9800891"/>
              <a:satOff val="-40777"/>
              <a:lumOff val="9608"/>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4C867A-7768-42BC-A009-94FC952D595E}">
      <dsp:nvSpPr>
        <dsp:cNvPr id="0" name=""/>
        <dsp:cNvSpPr/>
      </dsp:nvSpPr>
      <dsp:spPr>
        <a:xfrm>
          <a:off x="0" y="328314"/>
          <a:ext cx="1363265" cy="817959"/>
        </a:xfrm>
        <a:prstGeom prst="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Handling of Garbage and Conserving water</a:t>
          </a:r>
        </a:p>
      </dsp:txBody>
      <dsp:txXfrm>
        <a:off x="0" y="328314"/>
        <a:ext cx="1363265" cy="817959"/>
      </dsp:txXfrm>
    </dsp:sp>
    <dsp:sp modelId="{44DA6D92-D917-41E8-95CC-6BF01D11435A}">
      <dsp:nvSpPr>
        <dsp:cNvPr id="0" name=""/>
        <dsp:cNvSpPr/>
      </dsp:nvSpPr>
      <dsp:spPr>
        <a:xfrm>
          <a:off x="1499592" y="328314"/>
          <a:ext cx="1363265" cy="817959"/>
        </a:xfrm>
        <a:prstGeom prst="rect">
          <a:avLst/>
        </a:prstGeom>
        <a:solidFill>
          <a:schemeClr val="accent4">
            <a:hueOff val="1960178"/>
            <a:satOff val="-8155"/>
            <a:lumOff val="1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Reducing energy use</a:t>
          </a:r>
        </a:p>
      </dsp:txBody>
      <dsp:txXfrm>
        <a:off x="1499592" y="328314"/>
        <a:ext cx="1363265" cy="817959"/>
      </dsp:txXfrm>
    </dsp:sp>
    <dsp:sp modelId="{D69E663E-B888-4C58-85A3-20A6C6F5F50A}">
      <dsp:nvSpPr>
        <dsp:cNvPr id="0" name=""/>
        <dsp:cNvSpPr/>
      </dsp:nvSpPr>
      <dsp:spPr>
        <a:xfrm>
          <a:off x="2999184" y="328314"/>
          <a:ext cx="1363265" cy="817959"/>
        </a:xfrm>
        <a:prstGeom prst="rect">
          <a:avLst/>
        </a:prstGeom>
        <a:solidFill>
          <a:schemeClr val="accent4">
            <a:hueOff val="3920356"/>
            <a:satOff val="-16311"/>
            <a:lumOff val="384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Green Packaging</a:t>
          </a:r>
        </a:p>
      </dsp:txBody>
      <dsp:txXfrm>
        <a:off x="2999184" y="328314"/>
        <a:ext cx="1363265" cy="817959"/>
      </dsp:txXfrm>
    </dsp:sp>
    <dsp:sp modelId="{8BA0562F-A351-4F5F-B7ED-465800C2414F}">
      <dsp:nvSpPr>
        <dsp:cNvPr id="0" name=""/>
        <dsp:cNvSpPr/>
      </dsp:nvSpPr>
      <dsp:spPr>
        <a:xfrm>
          <a:off x="0" y="1282600"/>
          <a:ext cx="1363265" cy="817959"/>
        </a:xfrm>
        <a:prstGeom prst="rect">
          <a:avLst/>
        </a:prstGeom>
        <a:solidFill>
          <a:schemeClr val="accent4">
            <a:hueOff val="5880535"/>
            <a:satOff val="-24466"/>
            <a:lumOff val="5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Reduction of Carbon</a:t>
          </a:r>
        </a:p>
      </dsp:txBody>
      <dsp:txXfrm>
        <a:off x="0" y="1282600"/>
        <a:ext cx="1363265" cy="817959"/>
      </dsp:txXfrm>
    </dsp:sp>
    <dsp:sp modelId="{F544102A-BCE7-43B6-A35F-2704C73985A5}">
      <dsp:nvSpPr>
        <dsp:cNvPr id="0" name=""/>
        <dsp:cNvSpPr/>
      </dsp:nvSpPr>
      <dsp:spPr>
        <a:xfrm>
          <a:off x="1499592" y="1282600"/>
          <a:ext cx="1363265" cy="817959"/>
        </a:xfrm>
        <a:prstGeom prst="rect">
          <a:avLst/>
        </a:prstGeom>
        <a:solidFill>
          <a:schemeClr val="accent4">
            <a:hueOff val="7840713"/>
            <a:satOff val="-32622"/>
            <a:lumOff val="768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Changes in Corporate culture</a:t>
          </a:r>
        </a:p>
      </dsp:txBody>
      <dsp:txXfrm>
        <a:off x="1499592" y="1282600"/>
        <a:ext cx="1363265" cy="817959"/>
      </dsp:txXfrm>
    </dsp:sp>
    <dsp:sp modelId="{981DA20E-71F4-4D09-A203-BB40DDA47336}">
      <dsp:nvSpPr>
        <dsp:cNvPr id="0" name=""/>
        <dsp:cNvSpPr/>
      </dsp:nvSpPr>
      <dsp:spPr>
        <a:xfrm>
          <a:off x="2999184" y="1282600"/>
          <a:ext cx="1363265" cy="817959"/>
        </a:xfrm>
        <a:prstGeom prst="rect">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Green Production</a:t>
          </a:r>
        </a:p>
      </dsp:txBody>
      <dsp:txXfrm>
        <a:off x="2999184" y="1282600"/>
        <a:ext cx="1363265" cy="817959"/>
      </dsp:txXfrm>
    </dsp:sp>
  </dsp:spTree>
</dsp:drawing>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82ACF5-100B-4E26-9FBB-726092117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Application>LibreOffice/7.5.0.3$Windows_X86_64 LibreOffice_project/c21113d003cd3efa8c53188764377a8272d9d6de</Application>
  <AppVersion>15.0000</AppVersion>
  <Pages>22</Pages>
  <Words>3919</Words>
  <Characters>22162</Characters>
  <CharactersWithSpaces>25990</CharactersWithSpaces>
  <Paragraphs>113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2023-03-07T11:44:00Z</dcterms:created>
  <dc:creator/>
  <dc:description/>
  <dc:language>en-GB</dc:language>
  <cp:lastModifiedBy/>
  <dcterms:modified xsi:type="dcterms:W3CDTF">2023-03-29T11:59:34Z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