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ADD8E1" w14:textId="5E8D015F" w:rsidR="002A1C18" w:rsidRDefault="002A1C18" w:rsidP="002A1C18">
      <w:pPr>
        <w:jc w:val="center"/>
        <w:rPr>
          <w:rFonts w:ascii="Arial" w:hAnsi="Arial" w:cs="Arial"/>
          <w:u w:val="single"/>
        </w:rPr>
      </w:pPr>
      <w:r w:rsidRPr="002A1C18">
        <w:rPr>
          <w:rFonts w:ascii="Arial" w:hAnsi="Arial" w:cs="Arial"/>
          <w:u w:val="single"/>
        </w:rPr>
        <w:t>Chapter 3- Methodology Chapter (DRAFT 2)</w:t>
      </w:r>
    </w:p>
    <w:p w14:paraId="5799BD95" w14:textId="77777777" w:rsidR="002A1C18" w:rsidRPr="002A1C18" w:rsidRDefault="002A1C18" w:rsidP="002A1C18">
      <w:pPr>
        <w:spacing w:before="100" w:beforeAutospacing="1" w:after="100" w:afterAutospacing="1" w:line="240" w:lineRule="auto"/>
        <w:outlineLvl w:val="1"/>
        <w:rPr>
          <w:rFonts w:ascii="Arial" w:hAnsi="Arial" w:cs="Arial"/>
        </w:rPr>
      </w:pPr>
    </w:p>
    <w:p w14:paraId="6C2CDDCB" w14:textId="23C4FFE5" w:rsidR="002A1C18" w:rsidRPr="002A1C18" w:rsidRDefault="002A1C18" w:rsidP="002A1C18">
      <w:pPr>
        <w:spacing w:before="100" w:beforeAutospacing="1" w:after="100" w:afterAutospacing="1" w:line="360" w:lineRule="auto"/>
        <w:outlineLvl w:val="1"/>
        <w:rPr>
          <w:rFonts w:ascii="Arial" w:eastAsia="Times New Roman" w:hAnsi="Arial" w:cs="Arial"/>
          <w:b/>
          <w:bCs/>
          <w:color w:val="000000"/>
          <w:kern w:val="0"/>
          <w:u w:val="single"/>
          <w:lang w:eastAsia="en-GB"/>
          <w14:ligatures w14:val="none"/>
        </w:rPr>
      </w:pPr>
      <w:r w:rsidRPr="002A1C18">
        <w:rPr>
          <w:rFonts w:ascii="Arial" w:eastAsia="Times New Roman" w:hAnsi="Arial" w:cs="Arial"/>
          <w:b/>
          <w:bCs/>
          <w:color w:val="000000"/>
          <w:kern w:val="0"/>
          <w:u w:val="single"/>
          <w:lang w:eastAsia="en-GB"/>
          <w14:ligatures w14:val="none"/>
        </w:rPr>
        <w:t>3.1 Introduction</w:t>
      </w:r>
    </w:p>
    <w:p w14:paraId="10459B40"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This chapter outlines and justifies the methodological approach adopted to examine the extent to which perceptions of police culture influence women’s willingness to report violence against women and girls (VAWG) in Wales. Methodology concerns the broader philosophical assumptions and rationale underpinning research, while research methods refer to the techniques used to collect and analyse data (Saunders, </w:t>
      </w:r>
      <w:proofErr w:type="gramStart"/>
      <w:r w:rsidRPr="002A1C18">
        <w:rPr>
          <w:rFonts w:ascii="Arial" w:eastAsia="Times New Roman" w:hAnsi="Arial" w:cs="Arial"/>
          <w:color w:val="000000"/>
          <w:kern w:val="0"/>
          <w:lang w:eastAsia="en-GB"/>
          <w14:ligatures w14:val="none"/>
        </w:rPr>
        <w:t>Lewis</w:t>
      </w:r>
      <w:proofErr w:type="gramEnd"/>
      <w:r w:rsidRPr="002A1C18">
        <w:rPr>
          <w:rFonts w:ascii="Arial" w:eastAsia="Times New Roman" w:hAnsi="Arial" w:cs="Arial"/>
          <w:color w:val="000000"/>
          <w:kern w:val="0"/>
          <w:lang w:eastAsia="en-GB"/>
          <w14:ligatures w14:val="none"/>
        </w:rPr>
        <w:t xml:space="preserve"> and Thornhill, 2023).</w:t>
      </w:r>
    </w:p>
    <w:p w14:paraId="5961AC4F"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The study adopts a quantitative, cross-sectional survey design using an online questionnaire completed by women aged 18 years and over living in Wales. The methodological decisions were informed by the Research Onion, which provides a structured framework for considering research philosophy, approach to theory development, methodological choice, strategy, time horizon and methods of data collection and analysis (Saunders, </w:t>
      </w:r>
      <w:proofErr w:type="gramStart"/>
      <w:r w:rsidRPr="002A1C18">
        <w:rPr>
          <w:rFonts w:ascii="Arial" w:eastAsia="Times New Roman" w:hAnsi="Arial" w:cs="Arial"/>
          <w:color w:val="000000"/>
          <w:kern w:val="0"/>
          <w:lang w:eastAsia="en-GB"/>
          <w14:ligatures w14:val="none"/>
        </w:rPr>
        <w:t>Lewis</w:t>
      </w:r>
      <w:proofErr w:type="gramEnd"/>
      <w:r w:rsidRPr="002A1C18">
        <w:rPr>
          <w:rFonts w:ascii="Arial" w:eastAsia="Times New Roman" w:hAnsi="Arial" w:cs="Arial"/>
          <w:color w:val="000000"/>
          <w:kern w:val="0"/>
          <w:lang w:eastAsia="en-GB"/>
          <w14:ligatures w14:val="none"/>
        </w:rPr>
        <w:t xml:space="preserve"> and Thornhill, 2019).</w:t>
      </w:r>
    </w:p>
    <w:p w14:paraId="131C262C" w14:textId="77777777" w:rsid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The chapter discusses the research philosophy and design, sampling and recruitment, questionnaire development, data collection and analysis, ethical considerations, reliability and validity, and the methodological limitations of the study.</w:t>
      </w:r>
    </w:p>
    <w:p w14:paraId="26C55BC6"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p>
    <w:p w14:paraId="39F126CC" w14:textId="77777777" w:rsidR="002A1C18" w:rsidRPr="002A1C18" w:rsidRDefault="002A1C18" w:rsidP="002A1C18">
      <w:pPr>
        <w:spacing w:before="100" w:beforeAutospacing="1" w:after="100" w:afterAutospacing="1" w:line="360" w:lineRule="auto"/>
        <w:outlineLvl w:val="1"/>
        <w:rPr>
          <w:rFonts w:ascii="Arial" w:eastAsia="Times New Roman" w:hAnsi="Arial" w:cs="Arial"/>
          <w:b/>
          <w:bCs/>
          <w:color w:val="000000"/>
          <w:kern w:val="0"/>
          <w:u w:val="single"/>
          <w:lang w:eastAsia="en-GB"/>
          <w14:ligatures w14:val="none"/>
        </w:rPr>
      </w:pPr>
      <w:r w:rsidRPr="002A1C18">
        <w:rPr>
          <w:rFonts w:ascii="Arial" w:eastAsia="Times New Roman" w:hAnsi="Arial" w:cs="Arial"/>
          <w:b/>
          <w:bCs/>
          <w:color w:val="000000"/>
          <w:kern w:val="0"/>
          <w:u w:val="single"/>
          <w:lang w:eastAsia="en-GB"/>
          <w14:ligatures w14:val="none"/>
        </w:rPr>
        <w:t>3.2 Research Philosophy and Methodological Approach</w:t>
      </w:r>
    </w:p>
    <w:p w14:paraId="736A3E84" w14:textId="77777777" w:rsid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The methodological design was informed by Saunders, </w:t>
      </w:r>
      <w:proofErr w:type="gramStart"/>
      <w:r w:rsidRPr="002A1C18">
        <w:rPr>
          <w:rFonts w:ascii="Arial" w:eastAsia="Times New Roman" w:hAnsi="Arial" w:cs="Arial"/>
          <w:color w:val="000000"/>
          <w:kern w:val="0"/>
          <w:lang w:eastAsia="en-GB"/>
          <w14:ligatures w14:val="none"/>
        </w:rPr>
        <w:t>Lewis</w:t>
      </w:r>
      <w:proofErr w:type="gramEnd"/>
      <w:r w:rsidRPr="002A1C18">
        <w:rPr>
          <w:rFonts w:ascii="Arial" w:eastAsia="Times New Roman" w:hAnsi="Arial" w:cs="Arial"/>
          <w:color w:val="000000"/>
          <w:kern w:val="0"/>
          <w:lang w:eastAsia="en-GB"/>
          <w14:ligatures w14:val="none"/>
        </w:rPr>
        <w:t xml:space="preserve"> and Thornhill’s (2019) Research Onion. The framework demonstrates how research decisions progress from philosophical assumptions through theory development, methodological choice, strategy and time horizon to data collection and analysis. The areas highlighted in Figure 1 represent the methodological choices adopted within this study.</w:t>
      </w:r>
    </w:p>
    <w:p w14:paraId="7B8CCE01" w14:textId="12D8C775"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lastRenderedPageBreak/>
        <w:drawing>
          <wp:inline distT="0" distB="0" distL="0" distR="0" wp14:anchorId="21689AB0" wp14:editId="68E9FBC4">
            <wp:extent cx="5731510" cy="3618230"/>
            <wp:effectExtent l="0" t="0" r="0" b="1270"/>
            <wp:docPr id="585752500" name="Picture 3"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752500" name="Picture 3" descr="A diagram of a 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618230"/>
                    </a:xfrm>
                    <a:prstGeom prst="rect">
                      <a:avLst/>
                    </a:prstGeom>
                  </pic:spPr>
                </pic:pic>
              </a:graphicData>
            </a:graphic>
          </wp:inline>
        </w:drawing>
      </w:r>
    </w:p>
    <w:p w14:paraId="2318AF13"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b/>
          <w:bCs/>
          <w:color w:val="000000"/>
          <w:kern w:val="0"/>
          <w:lang w:eastAsia="en-GB"/>
          <w14:ligatures w14:val="none"/>
        </w:rPr>
        <w:t>Figure 1. The Research Onion</w:t>
      </w:r>
      <w:r w:rsidRPr="002A1C18">
        <w:rPr>
          <w:rFonts w:ascii="Arial" w:eastAsia="Times New Roman" w:hAnsi="Arial" w:cs="Arial"/>
          <w:color w:val="000000"/>
          <w:kern w:val="0"/>
          <w:lang w:eastAsia="en-GB"/>
          <w14:ligatures w14:val="none"/>
        </w:rPr>
        <w:br/>
      </w:r>
      <w:r w:rsidRPr="002A1C18">
        <w:rPr>
          <w:rFonts w:ascii="Arial" w:eastAsia="Times New Roman" w:hAnsi="Arial" w:cs="Arial"/>
          <w:i/>
          <w:iCs/>
          <w:color w:val="000000"/>
          <w:kern w:val="0"/>
          <w:lang w:eastAsia="en-GB"/>
          <w14:ligatures w14:val="none"/>
        </w:rPr>
        <w:t xml:space="preserve">Source: Adapted from Saunders, </w:t>
      </w:r>
      <w:proofErr w:type="gramStart"/>
      <w:r w:rsidRPr="002A1C18">
        <w:rPr>
          <w:rFonts w:ascii="Arial" w:eastAsia="Times New Roman" w:hAnsi="Arial" w:cs="Arial"/>
          <w:i/>
          <w:iCs/>
          <w:color w:val="000000"/>
          <w:kern w:val="0"/>
          <w:lang w:eastAsia="en-GB"/>
          <w14:ligatures w14:val="none"/>
        </w:rPr>
        <w:t>Lewis</w:t>
      </w:r>
      <w:proofErr w:type="gramEnd"/>
      <w:r w:rsidRPr="002A1C18">
        <w:rPr>
          <w:rFonts w:ascii="Arial" w:eastAsia="Times New Roman" w:hAnsi="Arial" w:cs="Arial"/>
          <w:i/>
          <w:iCs/>
          <w:color w:val="000000"/>
          <w:kern w:val="0"/>
          <w:lang w:eastAsia="en-GB"/>
          <w14:ligatures w14:val="none"/>
        </w:rPr>
        <w:t xml:space="preserve"> and Thornhill (2019).</w:t>
      </w:r>
    </w:p>
    <w:p w14:paraId="05013197"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The study was positioned primarily within a post-positivist orientation. Post-positivism recognises that social phenomena can be investigated systematically through empirical methods while acknowledging that complete objectivity is difficult when researching human attitudes and behaviour (Syed and McLean, 2022). This was appropriate because the study examines subjective concepts including perceptions of police culture, trust, confidence, </w:t>
      </w:r>
      <w:proofErr w:type="gramStart"/>
      <w:r w:rsidRPr="002A1C18">
        <w:rPr>
          <w:rFonts w:ascii="Arial" w:eastAsia="Times New Roman" w:hAnsi="Arial" w:cs="Arial"/>
          <w:color w:val="000000"/>
          <w:kern w:val="0"/>
          <w:lang w:eastAsia="en-GB"/>
          <w14:ligatures w14:val="none"/>
        </w:rPr>
        <w:t>legitimacy</w:t>
      </w:r>
      <w:proofErr w:type="gramEnd"/>
      <w:r w:rsidRPr="002A1C18">
        <w:rPr>
          <w:rFonts w:ascii="Arial" w:eastAsia="Times New Roman" w:hAnsi="Arial" w:cs="Arial"/>
          <w:color w:val="000000"/>
          <w:kern w:val="0"/>
          <w:lang w:eastAsia="en-GB"/>
          <w14:ligatures w14:val="none"/>
        </w:rPr>
        <w:t xml:space="preserve"> and willingness to report VAWG. Such concepts can be measured systematically through participant responses while recognising that interpretation and individual experience may influence those responses (Wright, 2023).</w:t>
      </w:r>
    </w:p>
    <w:p w14:paraId="19D81E7D" w14:textId="1308F04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A predominantly deductive approach was adopted. Deductive research uses existing theory and literature to inform the concepts subsequently examined through empirical data </w:t>
      </w:r>
      <w:r w:rsidRPr="002A1C18">
        <w:rPr>
          <w:rFonts w:ascii="Arial" w:eastAsia="Times New Roman" w:hAnsi="Arial" w:cs="Arial"/>
          <w:color w:val="000000"/>
          <w:kern w:val="0"/>
          <w:lang w:eastAsia="en-GB"/>
          <w14:ligatures w14:val="none"/>
        </w:rPr>
        <w:t>(</w:t>
      </w:r>
      <w:r w:rsidRPr="002A1C18">
        <w:rPr>
          <w:rFonts w:ascii="Arial" w:hAnsi="Arial" w:cs="Arial"/>
          <w:color w:val="000000"/>
        </w:rPr>
        <w:t>Saunders et al</w:t>
      </w:r>
      <w:r w:rsidRPr="002A1C18">
        <w:rPr>
          <w:rFonts w:ascii="Arial" w:hAnsi="Arial" w:cs="Arial"/>
          <w:color w:val="000000"/>
        </w:rPr>
        <w:t xml:space="preserve">, </w:t>
      </w:r>
      <w:r w:rsidRPr="002A1C18">
        <w:rPr>
          <w:rFonts w:ascii="Arial" w:hAnsi="Arial" w:cs="Arial"/>
          <w:color w:val="000000"/>
        </w:rPr>
        <w:t>2023)</w:t>
      </w:r>
      <w:r>
        <w:rPr>
          <w:rFonts w:ascii="Arial" w:hAnsi="Arial" w:cs="Arial"/>
          <w:color w:val="000000"/>
        </w:rPr>
        <w:t xml:space="preserve">. </w:t>
      </w:r>
      <w:r w:rsidRPr="002A1C18">
        <w:rPr>
          <w:rFonts w:ascii="Arial" w:eastAsia="Times New Roman" w:hAnsi="Arial" w:cs="Arial"/>
          <w:color w:val="000000"/>
          <w:kern w:val="0"/>
          <w:lang w:eastAsia="en-GB"/>
          <w14:ligatures w14:val="none"/>
        </w:rPr>
        <w:t xml:space="preserve">The literature review identified recurring themes surrounding police culture, procedural justice, legitimacy, trust, </w:t>
      </w:r>
      <w:proofErr w:type="gramStart"/>
      <w:r w:rsidRPr="002A1C18">
        <w:rPr>
          <w:rFonts w:ascii="Arial" w:eastAsia="Times New Roman" w:hAnsi="Arial" w:cs="Arial"/>
          <w:color w:val="000000"/>
          <w:kern w:val="0"/>
          <w:lang w:eastAsia="en-GB"/>
          <w14:ligatures w14:val="none"/>
        </w:rPr>
        <w:t>confidence</w:t>
      </w:r>
      <w:proofErr w:type="gramEnd"/>
      <w:r w:rsidRPr="002A1C18">
        <w:rPr>
          <w:rFonts w:ascii="Arial" w:eastAsia="Times New Roman" w:hAnsi="Arial" w:cs="Arial"/>
          <w:color w:val="000000"/>
          <w:kern w:val="0"/>
          <w:lang w:eastAsia="en-GB"/>
          <w14:ligatures w14:val="none"/>
        </w:rPr>
        <w:t xml:space="preserve"> and crime reporting, which informed the development of the questionnaire and the variables explored within the study.</w:t>
      </w:r>
    </w:p>
    <w:p w14:paraId="13165078"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lastRenderedPageBreak/>
        <w:t>The methodological choice was mono-method quantitative. Quantitative research is appropriate where a study seeks to identify patterns and relationships between measurable variables across a sample (Creswell and Creswell, 2023). This approach therefore supported the study’s aim of examining relationships between perceptions of policing and stated willingness to report VAWG.</w:t>
      </w:r>
    </w:p>
    <w:p w14:paraId="5A19C1C4" w14:textId="75225724" w:rsid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A survey strategy and cross-sectional time horizon were adopted. Cross-sectional research collects data during a defined period and provides a snapshot of attitudes or characteristics at that point in time </w:t>
      </w:r>
      <w:r>
        <w:rPr>
          <w:rFonts w:ascii="Arial" w:eastAsia="Times New Roman" w:hAnsi="Arial" w:cs="Arial"/>
          <w:color w:val="000000"/>
          <w:kern w:val="0"/>
          <w:lang w:eastAsia="en-GB"/>
          <w14:ligatures w14:val="none"/>
        </w:rPr>
        <w:t>(</w:t>
      </w:r>
      <w:r w:rsidRPr="002A1C18">
        <w:rPr>
          <w:rFonts w:ascii="Arial" w:hAnsi="Arial" w:cs="Arial"/>
          <w:color w:val="000000"/>
        </w:rPr>
        <w:t>Saunders et al</w:t>
      </w:r>
      <w:r w:rsidRPr="002A1C18">
        <w:rPr>
          <w:rFonts w:ascii="Arial" w:hAnsi="Arial" w:cs="Arial"/>
          <w:color w:val="000000"/>
        </w:rPr>
        <w:t xml:space="preserve">, </w:t>
      </w:r>
      <w:r w:rsidRPr="002A1C18">
        <w:rPr>
          <w:rFonts w:ascii="Arial" w:hAnsi="Arial" w:cs="Arial"/>
          <w:color w:val="000000"/>
        </w:rPr>
        <w:t>2023)</w:t>
      </w:r>
      <w:r w:rsidRPr="002A1C18">
        <w:rPr>
          <w:rFonts w:ascii="Arial" w:hAnsi="Arial" w:cs="Arial"/>
          <w:color w:val="000000"/>
        </w:rPr>
        <w:t>.</w:t>
      </w:r>
      <w:r>
        <w:rPr>
          <w:rFonts w:ascii="-webkit-standard" w:hAnsi="-webkit-standard"/>
          <w:color w:val="000000"/>
          <w:sz w:val="27"/>
          <w:szCs w:val="27"/>
        </w:rPr>
        <w:t xml:space="preserve"> </w:t>
      </w:r>
      <w:r w:rsidRPr="002A1C18">
        <w:rPr>
          <w:rFonts w:ascii="Arial" w:eastAsia="Times New Roman" w:hAnsi="Arial" w:cs="Arial"/>
          <w:color w:val="000000"/>
          <w:kern w:val="0"/>
          <w:lang w:eastAsia="en-GB"/>
          <w14:ligatures w14:val="none"/>
        </w:rPr>
        <w:t>Together, these choices provided a coherent methodological framework for addressing the research objectives.</w:t>
      </w:r>
    </w:p>
    <w:p w14:paraId="51283623"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p>
    <w:p w14:paraId="292B628F" w14:textId="77777777" w:rsidR="002A1C18" w:rsidRPr="002A1C18" w:rsidRDefault="002A1C18" w:rsidP="002A1C18">
      <w:pPr>
        <w:spacing w:before="100" w:beforeAutospacing="1" w:after="100" w:afterAutospacing="1" w:line="360" w:lineRule="auto"/>
        <w:outlineLvl w:val="1"/>
        <w:rPr>
          <w:rFonts w:ascii="Arial" w:eastAsia="Times New Roman" w:hAnsi="Arial" w:cs="Arial"/>
          <w:b/>
          <w:bCs/>
          <w:color w:val="000000"/>
          <w:kern w:val="0"/>
          <w:u w:val="single"/>
          <w:lang w:eastAsia="en-GB"/>
          <w14:ligatures w14:val="none"/>
        </w:rPr>
      </w:pPr>
      <w:r w:rsidRPr="002A1C18">
        <w:rPr>
          <w:rFonts w:ascii="Arial" w:eastAsia="Times New Roman" w:hAnsi="Arial" w:cs="Arial"/>
          <w:b/>
          <w:bCs/>
          <w:color w:val="000000"/>
          <w:kern w:val="0"/>
          <w:u w:val="single"/>
          <w:lang w:eastAsia="en-GB"/>
          <w14:ligatures w14:val="none"/>
        </w:rPr>
        <w:t>3.3 Research Design</w:t>
      </w:r>
    </w:p>
    <w:p w14:paraId="0070C013"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A quantitative cross-sectional survey design was selected because the study sought to identify patterns and relationships across a wider participant sample. Quantitative research enables standardised information to be collected and compared systematically, making it appropriate for examining perceptions, attitudes and intended behaviours (Creswell and Creswell, 2023).</w:t>
      </w:r>
    </w:p>
    <w:p w14:paraId="00854E41"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A structured online survey was considered suitable because participants could respond to the same core questions, supporting consistency across the dataset (Wright, 2023). The online format also enabled participation from women living across Wales without the geographical restrictions associated with face-to-face research.</w:t>
      </w:r>
    </w:p>
    <w:p w14:paraId="1517D3AE"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A cross-sectional design was appropriate because the research aimed to capture contemporary perceptions of police culture and reporting intentions rather than changes over time (Wang and Cheng, 2020). Qualitative interviews or focus groups may have produced richer individual accounts; however, they would have been less suited to the principal aim of systematically comparing responses across a wider sample (Creswell and Creswell, 2023). A quantitative survey was therefore considered the most proportionate design for the aims and scope of the study.</w:t>
      </w:r>
    </w:p>
    <w:p w14:paraId="4E2084CD" w14:textId="77777777" w:rsidR="002A1C18" w:rsidRPr="002A1C18" w:rsidRDefault="002A1C18" w:rsidP="002A1C18">
      <w:pPr>
        <w:spacing w:before="100" w:beforeAutospacing="1" w:after="100" w:afterAutospacing="1" w:line="360" w:lineRule="auto"/>
        <w:outlineLvl w:val="1"/>
        <w:rPr>
          <w:rFonts w:ascii="Arial" w:eastAsia="Times New Roman" w:hAnsi="Arial" w:cs="Arial"/>
          <w:b/>
          <w:bCs/>
          <w:color w:val="000000"/>
          <w:kern w:val="0"/>
          <w:u w:val="single"/>
          <w:lang w:eastAsia="en-GB"/>
          <w14:ligatures w14:val="none"/>
        </w:rPr>
      </w:pPr>
      <w:r w:rsidRPr="002A1C18">
        <w:rPr>
          <w:rFonts w:ascii="Arial" w:eastAsia="Times New Roman" w:hAnsi="Arial" w:cs="Arial"/>
          <w:b/>
          <w:bCs/>
          <w:color w:val="000000"/>
          <w:kern w:val="0"/>
          <w:u w:val="single"/>
          <w:lang w:eastAsia="en-GB"/>
          <w14:ligatures w14:val="none"/>
        </w:rPr>
        <w:lastRenderedPageBreak/>
        <w:t>3.4 Sampling Strategy and Participant Recruitment</w:t>
      </w:r>
    </w:p>
    <w:p w14:paraId="50937BB5"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The target population comprised women aged 18 years and over who reside in Wales. This reflected the geographical and substantive focus of the research and established clear inclusion criteria for participation (Saunders, </w:t>
      </w:r>
      <w:proofErr w:type="gramStart"/>
      <w:r w:rsidRPr="002A1C18">
        <w:rPr>
          <w:rFonts w:ascii="Arial" w:eastAsia="Times New Roman" w:hAnsi="Arial" w:cs="Arial"/>
          <w:color w:val="000000"/>
          <w:kern w:val="0"/>
          <w:lang w:eastAsia="en-GB"/>
          <w14:ligatures w14:val="none"/>
        </w:rPr>
        <w:t>Lewis</w:t>
      </w:r>
      <w:proofErr w:type="gramEnd"/>
      <w:r w:rsidRPr="002A1C18">
        <w:rPr>
          <w:rFonts w:ascii="Arial" w:eastAsia="Times New Roman" w:hAnsi="Arial" w:cs="Arial"/>
          <w:color w:val="000000"/>
          <w:kern w:val="0"/>
          <w:lang w:eastAsia="en-GB"/>
          <w14:ligatures w14:val="none"/>
        </w:rPr>
        <w:t xml:space="preserve"> and Thornhill, 2019).</w:t>
      </w:r>
    </w:p>
    <w:p w14:paraId="44FDBF12"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A non-probability sampling strategy was adopted because a complete sampling frame of all eligible women in Wales was not available. More specifically, a combination of convenience and self-selection sampling was used. Participants encountered the survey through accessible online channels and independently chose whether to participate, an approach commonly used within online survey research (Mercer and Lau, 2023).</w:t>
      </w:r>
    </w:p>
    <w:p w14:paraId="5597FA18"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Participants were required to identify as women, be aged 18 years or over and live in Wales. Previous experience of VAWG or previous contact with the police was not required, because the research examines broader perceptions of police culture and stated reporting intentions rather than solely the experiences of victim-survivors.</w:t>
      </w:r>
    </w:p>
    <w:p w14:paraId="42623B6B" w14:textId="77777777" w:rsid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The use of non-probability sampling limits statistical representativeness because individuals who encounter and complete the survey may differ from those who do not participate (Mercer and Lau, 2023). The findings will therefore be interpreted as representing patterns within the participant sample rather than as statistically representative of all women living in Wales.</w:t>
      </w:r>
    </w:p>
    <w:p w14:paraId="6F6C7F5B"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p>
    <w:p w14:paraId="549DE145" w14:textId="47D809C7" w:rsidR="002A1C18" w:rsidRPr="002A1C18" w:rsidRDefault="002A1C18" w:rsidP="002A1C18">
      <w:pPr>
        <w:spacing w:before="100" w:beforeAutospacing="1" w:after="100" w:afterAutospacing="1" w:line="360" w:lineRule="auto"/>
        <w:outlineLvl w:val="1"/>
        <w:rPr>
          <w:rFonts w:ascii="Arial" w:eastAsia="Times New Roman" w:hAnsi="Arial" w:cs="Arial"/>
          <w:b/>
          <w:bCs/>
          <w:color w:val="000000"/>
          <w:kern w:val="0"/>
          <w:u w:val="single"/>
          <w:lang w:eastAsia="en-GB"/>
          <w14:ligatures w14:val="none"/>
        </w:rPr>
      </w:pPr>
      <w:r w:rsidRPr="002A1C18">
        <w:rPr>
          <w:rFonts w:ascii="Arial" w:eastAsia="Times New Roman" w:hAnsi="Arial" w:cs="Arial"/>
          <w:b/>
          <w:bCs/>
          <w:color w:val="000000"/>
          <w:kern w:val="0"/>
          <w:u w:val="single"/>
          <w:lang w:eastAsia="en-GB"/>
          <w14:ligatures w14:val="none"/>
        </w:rPr>
        <w:t>3.5 Questionnaire Design and Development</w:t>
      </w:r>
    </w:p>
    <w:p w14:paraId="65BC7D7D"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A structured online questionnaire was developed as the primary data collection instrument. Questionnaires enable standardised information concerning attitudes, perceptions and intended behaviours to be collected and analysed quantitatively (Creswell and Creswell, 2023). The questionnaire was therefore developed around the research objectives and themes identified within the literature review, including police culture, trust, confidence, </w:t>
      </w:r>
      <w:proofErr w:type="gramStart"/>
      <w:r w:rsidRPr="002A1C18">
        <w:rPr>
          <w:rFonts w:ascii="Arial" w:eastAsia="Times New Roman" w:hAnsi="Arial" w:cs="Arial"/>
          <w:color w:val="000000"/>
          <w:kern w:val="0"/>
          <w:lang w:eastAsia="en-GB"/>
          <w14:ligatures w14:val="none"/>
        </w:rPr>
        <w:t>legitimacy</w:t>
      </w:r>
      <w:proofErr w:type="gramEnd"/>
      <w:r w:rsidRPr="002A1C18">
        <w:rPr>
          <w:rFonts w:ascii="Arial" w:eastAsia="Times New Roman" w:hAnsi="Arial" w:cs="Arial"/>
          <w:color w:val="000000"/>
          <w:kern w:val="0"/>
          <w:lang w:eastAsia="en-GB"/>
          <w14:ligatures w14:val="none"/>
        </w:rPr>
        <w:t xml:space="preserve"> and willingness to report VAWG.</w:t>
      </w:r>
    </w:p>
    <w:p w14:paraId="0B2711A9"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lastRenderedPageBreak/>
        <w:t xml:space="preserve">The questionnaire primarily uses closed-ended questions, which support consistent categorisation and comparison across participants (Hill et al., 2022). Questions were written using clear and accessible language and designed to avoid ambiguity, leading </w:t>
      </w:r>
      <w:proofErr w:type="gramStart"/>
      <w:r w:rsidRPr="002A1C18">
        <w:rPr>
          <w:rFonts w:ascii="Arial" w:eastAsia="Times New Roman" w:hAnsi="Arial" w:cs="Arial"/>
          <w:color w:val="000000"/>
          <w:kern w:val="0"/>
          <w:lang w:eastAsia="en-GB"/>
          <w14:ligatures w14:val="none"/>
        </w:rPr>
        <w:t>wording</w:t>
      </w:r>
      <w:proofErr w:type="gramEnd"/>
      <w:r w:rsidRPr="002A1C18">
        <w:rPr>
          <w:rFonts w:ascii="Arial" w:eastAsia="Times New Roman" w:hAnsi="Arial" w:cs="Arial"/>
          <w:color w:val="000000"/>
          <w:kern w:val="0"/>
          <w:lang w:eastAsia="en-GB"/>
          <w14:ligatures w14:val="none"/>
        </w:rPr>
        <w:t xml:space="preserve"> and unnecessarily complex terminology.</w:t>
      </w:r>
    </w:p>
    <w:p w14:paraId="74DD2D6C"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Attitudinal questions use Likert-type response scales, which are commonly employed to measure attitudes and perceptions by asking participants to indicate the extent to which they agree or disagree with </w:t>
      </w:r>
      <w:proofErr w:type="gramStart"/>
      <w:r w:rsidRPr="002A1C18">
        <w:rPr>
          <w:rFonts w:ascii="Arial" w:eastAsia="Times New Roman" w:hAnsi="Arial" w:cs="Arial"/>
          <w:color w:val="000000"/>
          <w:kern w:val="0"/>
          <w:lang w:eastAsia="en-GB"/>
          <w14:ligatures w14:val="none"/>
        </w:rPr>
        <w:t>particular statements</w:t>
      </w:r>
      <w:proofErr w:type="gramEnd"/>
      <w:r w:rsidRPr="002A1C18">
        <w:rPr>
          <w:rFonts w:ascii="Arial" w:eastAsia="Times New Roman" w:hAnsi="Arial" w:cs="Arial"/>
          <w:color w:val="000000"/>
          <w:kern w:val="0"/>
          <w:lang w:eastAsia="en-GB"/>
          <w14:ligatures w14:val="none"/>
        </w:rPr>
        <w:t xml:space="preserve"> (</w:t>
      </w:r>
      <w:proofErr w:type="spellStart"/>
      <w:r w:rsidRPr="002A1C18">
        <w:rPr>
          <w:rFonts w:ascii="Arial" w:eastAsia="Times New Roman" w:hAnsi="Arial" w:cs="Arial"/>
          <w:color w:val="000000"/>
          <w:kern w:val="0"/>
          <w:lang w:eastAsia="en-GB"/>
          <w14:ligatures w14:val="none"/>
        </w:rPr>
        <w:t>Jebb</w:t>
      </w:r>
      <w:proofErr w:type="spellEnd"/>
      <w:r w:rsidRPr="002A1C18">
        <w:rPr>
          <w:rFonts w:ascii="Arial" w:eastAsia="Times New Roman" w:hAnsi="Arial" w:cs="Arial"/>
          <w:color w:val="000000"/>
          <w:kern w:val="0"/>
          <w:lang w:eastAsia="en-GB"/>
          <w14:ligatures w14:val="none"/>
        </w:rPr>
        <w:t>, Ng and Tay, 2021). Consistent response categories will be used wherever possible to improve clarity and comparability.</w:t>
      </w:r>
    </w:p>
    <w:p w14:paraId="64248ECE"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Relevant demographic questions are also included to describe the sample and provide context for interpreting the findings. Only information considered necessary to address the research objectives will be collected (Saunders, </w:t>
      </w:r>
      <w:proofErr w:type="gramStart"/>
      <w:r w:rsidRPr="002A1C18">
        <w:rPr>
          <w:rFonts w:ascii="Arial" w:eastAsia="Times New Roman" w:hAnsi="Arial" w:cs="Arial"/>
          <w:color w:val="000000"/>
          <w:kern w:val="0"/>
          <w:lang w:eastAsia="en-GB"/>
          <w14:ligatures w14:val="none"/>
        </w:rPr>
        <w:t>Lewis</w:t>
      </w:r>
      <w:proofErr w:type="gramEnd"/>
      <w:r w:rsidRPr="002A1C18">
        <w:rPr>
          <w:rFonts w:ascii="Arial" w:eastAsia="Times New Roman" w:hAnsi="Arial" w:cs="Arial"/>
          <w:color w:val="000000"/>
          <w:kern w:val="0"/>
          <w:lang w:eastAsia="en-GB"/>
          <w14:ligatures w14:val="none"/>
        </w:rPr>
        <w:t xml:space="preserve"> and Thornhill, 2019).</w:t>
      </w:r>
    </w:p>
    <w:p w14:paraId="6987575D" w14:textId="77777777" w:rsid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Prior to formal distribution, the questionnaire will be pilot tested with a small convenience sample of family members. Pilot testing can identify unclear wording, problems with question order, technical </w:t>
      </w:r>
      <w:proofErr w:type="gramStart"/>
      <w:r w:rsidRPr="002A1C18">
        <w:rPr>
          <w:rFonts w:ascii="Arial" w:eastAsia="Times New Roman" w:hAnsi="Arial" w:cs="Arial"/>
          <w:color w:val="000000"/>
          <w:kern w:val="0"/>
          <w:lang w:eastAsia="en-GB"/>
          <w14:ligatures w14:val="none"/>
        </w:rPr>
        <w:t>difficulties</w:t>
      </w:r>
      <w:proofErr w:type="gramEnd"/>
      <w:r w:rsidRPr="002A1C18">
        <w:rPr>
          <w:rFonts w:ascii="Arial" w:eastAsia="Times New Roman" w:hAnsi="Arial" w:cs="Arial"/>
          <w:color w:val="000000"/>
          <w:kern w:val="0"/>
          <w:lang w:eastAsia="en-GB"/>
          <w14:ligatures w14:val="none"/>
        </w:rPr>
        <w:t xml:space="preserve"> and issues with survey length before formal data collection begins (Saunders, Lewis and Thornhill, 2019). Feedback will be used to make any necessary amendments, and pilot responses will not be included within the final dataset.</w:t>
      </w:r>
    </w:p>
    <w:p w14:paraId="3B0ED65F"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p>
    <w:p w14:paraId="082F8585" w14:textId="77777777" w:rsidR="002A1C18" w:rsidRPr="002A1C18" w:rsidRDefault="002A1C18" w:rsidP="002A1C18">
      <w:pPr>
        <w:spacing w:before="100" w:beforeAutospacing="1" w:after="100" w:afterAutospacing="1" w:line="360" w:lineRule="auto"/>
        <w:outlineLvl w:val="1"/>
        <w:rPr>
          <w:rFonts w:ascii="Arial" w:eastAsia="Times New Roman" w:hAnsi="Arial" w:cs="Arial"/>
          <w:b/>
          <w:bCs/>
          <w:color w:val="000000"/>
          <w:kern w:val="0"/>
          <w:u w:val="single"/>
          <w:lang w:eastAsia="en-GB"/>
          <w14:ligatures w14:val="none"/>
        </w:rPr>
      </w:pPr>
      <w:r w:rsidRPr="002A1C18">
        <w:rPr>
          <w:rFonts w:ascii="Arial" w:eastAsia="Times New Roman" w:hAnsi="Arial" w:cs="Arial"/>
          <w:b/>
          <w:bCs/>
          <w:color w:val="000000"/>
          <w:kern w:val="0"/>
          <w:u w:val="single"/>
          <w:lang w:eastAsia="en-GB"/>
          <w14:ligatures w14:val="none"/>
        </w:rPr>
        <w:t>3.6 Data Collection Procedure</w:t>
      </w:r>
    </w:p>
    <w:p w14:paraId="22220706"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Data will be collected through an online questionnaire hosted on SurveyMonkey. SurveyMonkey provides an accessible platform through which participants can independently complete the questionnaire and responses can subsequently be exported for analysis.</w:t>
      </w:r>
    </w:p>
    <w:p w14:paraId="0E744481" w14:textId="09A6045E"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The formal data collection period will run from </w:t>
      </w:r>
      <w:r w:rsidRPr="002A1C18">
        <w:rPr>
          <w:rFonts w:ascii="Arial" w:eastAsia="Times New Roman" w:hAnsi="Arial" w:cs="Arial"/>
          <w:b/>
          <w:bCs/>
          <w:color w:val="000000"/>
          <w:kern w:val="0"/>
          <w:highlight w:val="yellow"/>
          <w:lang w:eastAsia="en-GB"/>
          <w14:ligatures w14:val="none"/>
        </w:rPr>
        <w:t>START DATE TO END DATE</w:t>
      </w:r>
      <w:r>
        <w:rPr>
          <w:rFonts w:ascii="Arial" w:eastAsia="Times New Roman" w:hAnsi="Arial" w:cs="Arial"/>
          <w:b/>
          <w:bCs/>
          <w:color w:val="000000"/>
          <w:kern w:val="0"/>
          <w:lang w:eastAsia="en-GB"/>
          <w14:ligatures w14:val="none"/>
        </w:rPr>
        <w:t xml:space="preserve"> </w:t>
      </w:r>
      <w:r w:rsidRPr="002A1C18">
        <w:rPr>
          <w:rFonts w:ascii="Arial" w:eastAsia="Times New Roman" w:hAnsi="Arial" w:cs="Arial"/>
          <w:color w:val="000000"/>
          <w:kern w:val="0"/>
          <w:lang w:eastAsia="en-GB"/>
          <w14:ligatures w14:val="none"/>
        </w:rPr>
        <w:t>Pilot testing will be completed before the survey is formally distributed.</w:t>
      </w:r>
    </w:p>
    <w:p w14:paraId="1D74BBBE"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lastRenderedPageBreak/>
        <w:t>Before accessing the questionnaire, participants will receive information explaining the purpose of the research, what participation involves, how their data will be used and the voluntary nature of participation. Participants will be required to provide informed consent before proceeding (Yusof, Teo and Ng, 2022).</w:t>
      </w:r>
    </w:p>
    <w:p w14:paraId="22532850"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Eligibility questions will confirm that participants identify as women, are aged 18 years or over and live in Wales. No financial or other incentive will be offered.</w:t>
      </w:r>
    </w:p>
    <w:p w14:paraId="6B3E590E" w14:textId="79B9FFD2"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The SurveyMonkey link will be distributed through Facebook and Instagram. Social media recruitment provides an efficient means of accessing geographically dispersed participants, although it also introduces self-selection and coverage bias because participation depends upon individuals encountering the survey and choosing to respond (</w:t>
      </w:r>
      <w:proofErr w:type="spellStart"/>
      <w:r w:rsidRPr="002A1C18">
        <w:rPr>
          <w:rFonts w:ascii="Arial" w:hAnsi="Arial" w:cs="Arial"/>
          <w:color w:val="000000"/>
        </w:rPr>
        <w:t>Cornesse</w:t>
      </w:r>
      <w:proofErr w:type="spellEnd"/>
      <w:r w:rsidRPr="002A1C18">
        <w:rPr>
          <w:rFonts w:ascii="Arial" w:hAnsi="Arial" w:cs="Arial"/>
          <w:color w:val="000000"/>
        </w:rPr>
        <w:t xml:space="preserve"> et al</w:t>
      </w:r>
      <w:r w:rsidRPr="002A1C18">
        <w:rPr>
          <w:rFonts w:ascii="Arial" w:hAnsi="Arial" w:cs="Arial"/>
          <w:color w:val="000000"/>
        </w:rPr>
        <w:t xml:space="preserve">, </w:t>
      </w:r>
      <w:r w:rsidRPr="002A1C18">
        <w:rPr>
          <w:rFonts w:ascii="Arial" w:hAnsi="Arial" w:cs="Arial"/>
          <w:color w:val="000000"/>
        </w:rPr>
        <w:t>2020</w:t>
      </w:r>
      <w:r w:rsidRPr="002A1C18">
        <w:rPr>
          <w:rFonts w:ascii="Arial" w:hAnsi="Arial" w:cs="Arial"/>
          <w:color w:val="000000"/>
        </w:rPr>
        <w:t>)</w:t>
      </w:r>
    </w:p>
    <w:p w14:paraId="51EB5FAD" w14:textId="68B5A040" w:rsid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Following closure of the questionnaire on </w:t>
      </w:r>
      <w:r w:rsidRPr="002A1C18">
        <w:rPr>
          <w:rFonts w:ascii="Arial" w:eastAsia="Times New Roman" w:hAnsi="Arial" w:cs="Arial"/>
          <w:b/>
          <w:bCs/>
          <w:color w:val="000000"/>
          <w:kern w:val="0"/>
          <w:highlight w:val="yellow"/>
          <w:lang w:eastAsia="en-GB"/>
          <w14:ligatures w14:val="none"/>
        </w:rPr>
        <w:t>END DATE</w:t>
      </w:r>
      <w:r w:rsidRPr="002A1C18">
        <w:rPr>
          <w:rFonts w:ascii="Arial" w:eastAsia="Times New Roman" w:hAnsi="Arial" w:cs="Arial"/>
          <w:color w:val="000000"/>
          <w:kern w:val="0"/>
          <w:lang w:eastAsia="en-GB"/>
          <w14:ligatures w14:val="none"/>
        </w:rPr>
        <w:t xml:space="preserve"> responses will be exported and checked for completeness and eligibility before analysis. Any exclusion of unusable responses will be applied consistently and reported transparently.</w:t>
      </w:r>
    </w:p>
    <w:p w14:paraId="76DA1874"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p>
    <w:p w14:paraId="4DC257C6" w14:textId="77777777" w:rsidR="002A1C18" w:rsidRPr="002A1C18" w:rsidRDefault="002A1C18" w:rsidP="002A1C18">
      <w:pPr>
        <w:spacing w:before="100" w:beforeAutospacing="1" w:after="100" w:afterAutospacing="1" w:line="360" w:lineRule="auto"/>
        <w:outlineLvl w:val="1"/>
        <w:rPr>
          <w:rFonts w:ascii="Arial" w:eastAsia="Times New Roman" w:hAnsi="Arial" w:cs="Arial"/>
          <w:b/>
          <w:bCs/>
          <w:color w:val="000000"/>
          <w:kern w:val="0"/>
          <w:u w:val="single"/>
          <w:lang w:eastAsia="en-GB"/>
          <w14:ligatures w14:val="none"/>
        </w:rPr>
      </w:pPr>
      <w:r w:rsidRPr="002A1C18">
        <w:rPr>
          <w:rFonts w:ascii="Arial" w:eastAsia="Times New Roman" w:hAnsi="Arial" w:cs="Arial"/>
          <w:b/>
          <w:bCs/>
          <w:color w:val="000000"/>
          <w:kern w:val="0"/>
          <w:u w:val="single"/>
          <w:lang w:eastAsia="en-GB"/>
          <w14:ligatures w14:val="none"/>
        </w:rPr>
        <w:t>3.7 Data Analysis</w:t>
      </w:r>
    </w:p>
    <w:p w14:paraId="33AE1E4C"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Questionnaire responses will be exported from SurveyMonkey into Microsoft Excel for organisation, </w:t>
      </w:r>
      <w:proofErr w:type="gramStart"/>
      <w:r w:rsidRPr="002A1C18">
        <w:rPr>
          <w:rFonts w:ascii="Arial" w:eastAsia="Times New Roman" w:hAnsi="Arial" w:cs="Arial"/>
          <w:color w:val="000000"/>
          <w:kern w:val="0"/>
          <w:lang w:eastAsia="en-GB"/>
          <w14:ligatures w14:val="none"/>
        </w:rPr>
        <w:t>cleaning</w:t>
      </w:r>
      <w:proofErr w:type="gramEnd"/>
      <w:r w:rsidRPr="002A1C18">
        <w:rPr>
          <w:rFonts w:ascii="Arial" w:eastAsia="Times New Roman" w:hAnsi="Arial" w:cs="Arial"/>
          <w:color w:val="000000"/>
          <w:kern w:val="0"/>
          <w:lang w:eastAsia="en-GB"/>
          <w14:ligatures w14:val="none"/>
        </w:rPr>
        <w:t xml:space="preserve"> and analysis. The first stage will involve checking responses for completeness, </w:t>
      </w:r>
      <w:proofErr w:type="gramStart"/>
      <w:r w:rsidRPr="002A1C18">
        <w:rPr>
          <w:rFonts w:ascii="Arial" w:eastAsia="Times New Roman" w:hAnsi="Arial" w:cs="Arial"/>
          <w:color w:val="000000"/>
          <w:kern w:val="0"/>
          <w:lang w:eastAsia="en-GB"/>
          <w14:ligatures w14:val="none"/>
        </w:rPr>
        <w:t>eligibility</w:t>
      </w:r>
      <w:proofErr w:type="gramEnd"/>
      <w:r w:rsidRPr="002A1C18">
        <w:rPr>
          <w:rFonts w:ascii="Arial" w:eastAsia="Times New Roman" w:hAnsi="Arial" w:cs="Arial"/>
          <w:color w:val="000000"/>
          <w:kern w:val="0"/>
          <w:lang w:eastAsia="en-GB"/>
          <w14:ligatures w14:val="none"/>
        </w:rPr>
        <w:t xml:space="preserve"> and obvious inconsistencies before producing the final dataset (Field, 2024).</w:t>
      </w:r>
    </w:p>
    <w:p w14:paraId="39CD1B82"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The analysis will primarily use descriptive statistics. Frequencies and percentages will be calculated for categorical variables and questionnaire responses, while Likert-type responses concerning police culture, trust, confidence, </w:t>
      </w:r>
      <w:proofErr w:type="gramStart"/>
      <w:r w:rsidRPr="002A1C18">
        <w:rPr>
          <w:rFonts w:ascii="Arial" w:eastAsia="Times New Roman" w:hAnsi="Arial" w:cs="Arial"/>
          <w:color w:val="000000"/>
          <w:kern w:val="0"/>
          <w:lang w:eastAsia="en-GB"/>
          <w14:ligatures w14:val="none"/>
        </w:rPr>
        <w:t>legitimacy</w:t>
      </w:r>
      <w:proofErr w:type="gramEnd"/>
      <w:r w:rsidRPr="002A1C18">
        <w:rPr>
          <w:rFonts w:ascii="Arial" w:eastAsia="Times New Roman" w:hAnsi="Arial" w:cs="Arial"/>
          <w:color w:val="000000"/>
          <w:kern w:val="0"/>
          <w:lang w:eastAsia="en-GB"/>
          <w14:ligatures w14:val="none"/>
        </w:rPr>
        <w:t xml:space="preserve"> and willingness to report VAWG will be summarised to identify overall patterns within the sample (Creswell and Creswell, 2023; </w:t>
      </w:r>
      <w:proofErr w:type="spellStart"/>
      <w:r w:rsidRPr="002A1C18">
        <w:rPr>
          <w:rFonts w:ascii="Arial" w:eastAsia="Times New Roman" w:hAnsi="Arial" w:cs="Arial"/>
          <w:color w:val="000000"/>
          <w:kern w:val="0"/>
          <w:lang w:eastAsia="en-GB"/>
          <w14:ligatures w14:val="none"/>
        </w:rPr>
        <w:t>Jebb</w:t>
      </w:r>
      <w:proofErr w:type="spellEnd"/>
      <w:r w:rsidRPr="002A1C18">
        <w:rPr>
          <w:rFonts w:ascii="Arial" w:eastAsia="Times New Roman" w:hAnsi="Arial" w:cs="Arial"/>
          <w:color w:val="000000"/>
          <w:kern w:val="0"/>
          <w:lang w:eastAsia="en-GB"/>
          <w14:ligatures w14:val="none"/>
        </w:rPr>
        <w:t>, Ng and Tay, 2021).</w:t>
      </w:r>
    </w:p>
    <w:p w14:paraId="0CA51229"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Where appropriate, responses will also be compared across relevant demographic characteristics to explore whether noticeable differences appear between participant groups. Any differences will be interpreted cautiously because the non-probability </w:t>
      </w:r>
      <w:r w:rsidRPr="002A1C18">
        <w:rPr>
          <w:rFonts w:ascii="Arial" w:eastAsia="Times New Roman" w:hAnsi="Arial" w:cs="Arial"/>
          <w:color w:val="000000"/>
          <w:kern w:val="0"/>
          <w:lang w:eastAsia="en-GB"/>
          <w14:ligatures w14:val="none"/>
        </w:rPr>
        <w:lastRenderedPageBreak/>
        <w:t xml:space="preserve">sampling strategy does not support statistical generalisation to all women in Wales (Saunders, </w:t>
      </w:r>
      <w:proofErr w:type="gramStart"/>
      <w:r w:rsidRPr="002A1C18">
        <w:rPr>
          <w:rFonts w:ascii="Arial" w:eastAsia="Times New Roman" w:hAnsi="Arial" w:cs="Arial"/>
          <w:color w:val="000000"/>
          <w:kern w:val="0"/>
          <w:lang w:eastAsia="en-GB"/>
          <w14:ligatures w14:val="none"/>
        </w:rPr>
        <w:t>Lewis</w:t>
      </w:r>
      <w:proofErr w:type="gramEnd"/>
      <w:r w:rsidRPr="002A1C18">
        <w:rPr>
          <w:rFonts w:ascii="Arial" w:eastAsia="Times New Roman" w:hAnsi="Arial" w:cs="Arial"/>
          <w:color w:val="000000"/>
          <w:kern w:val="0"/>
          <w:lang w:eastAsia="en-GB"/>
          <w14:ligatures w14:val="none"/>
        </w:rPr>
        <w:t xml:space="preserve"> and Thornhill, 2019).</w:t>
      </w:r>
    </w:p>
    <w:p w14:paraId="33B670C2" w14:textId="77777777" w:rsid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Findings will be presented using tables, percentages and appropriate graphs, including bar charts where </w:t>
      </w:r>
      <w:proofErr w:type="gramStart"/>
      <w:r w:rsidRPr="002A1C18">
        <w:rPr>
          <w:rFonts w:ascii="Arial" w:eastAsia="Times New Roman" w:hAnsi="Arial" w:cs="Arial"/>
          <w:color w:val="000000"/>
          <w:kern w:val="0"/>
          <w:lang w:eastAsia="en-GB"/>
          <w14:ligatures w14:val="none"/>
        </w:rPr>
        <w:t>these assist interpretation</w:t>
      </w:r>
      <w:proofErr w:type="gramEnd"/>
      <w:r w:rsidRPr="002A1C18">
        <w:rPr>
          <w:rFonts w:ascii="Arial" w:eastAsia="Times New Roman" w:hAnsi="Arial" w:cs="Arial"/>
          <w:color w:val="000000"/>
          <w:kern w:val="0"/>
          <w:lang w:eastAsia="en-GB"/>
          <w14:ligatures w14:val="none"/>
        </w:rPr>
        <w:t>. Particular attention will be given to patterns between perceptions of police culture and stated willingness to report VAWG. As the study is cross-sectional and observational, identified patterns will be interpreted as associations rather than evidence of causal relationships (Wang and Cheng, 2020).</w:t>
      </w:r>
    </w:p>
    <w:p w14:paraId="32378FA7"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p>
    <w:p w14:paraId="79108F5A" w14:textId="77777777" w:rsidR="002A1C18" w:rsidRPr="002A1C18" w:rsidRDefault="002A1C18" w:rsidP="002A1C18">
      <w:pPr>
        <w:spacing w:before="100" w:beforeAutospacing="1" w:after="100" w:afterAutospacing="1" w:line="360" w:lineRule="auto"/>
        <w:outlineLvl w:val="1"/>
        <w:rPr>
          <w:rFonts w:ascii="Arial" w:eastAsia="Times New Roman" w:hAnsi="Arial" w:cs="Arial"/>
          <w:b/>
          <w:bCs/>
          <w:color w:val="000000"/>
          <w:kern w:val="0"/>
          <w:u w:val="single"/>
          <w:lang w:eastAsia="en-GB"/>
          <w14:ligatures w14:val="none"/>
        </w:rPr>
      </w:pPr>
      <w:r w:rsidRPr="002A1C18">
        <w:rPr>
          <w:rFonts w:ascii="Arial" w:eastAsia="Times New Roman" w:hAnsi="Arial" w:cs="Arial"/>
          <w:b/>
          <w:bCs/>
          <w:color w:val="000000"/>
          <w:kern w:val="0"/>
          <w:u w:val="single"/>
          <w:lang w:eastAsia="en-GB"/>
          <w14:ligatures w14:val="none"/>
        </w:rPr>
        <w:t>3.8 Ethical Considerations</w:t>
      </w:r>
    </w:p>
    <w:p w14:paraId="0B585779"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Ethical considerations are particularly important because the research concerns VAWG and perceptions of policing, both of which may involve sensitive experiences. Research involving violence and abuse requires careful consideration of informed consent, participant welfare, </w:t>
      </w:r>
      <w:proofErr w:type="gramStart"/>
      <w:r w:rsidRPr="002A1C18">
        <w:rPr>
          <w:rFonts w:ascii="Arial" w:eastAsia="Times New Roman" w:hAnsi="Arial" w:cs="Arial"/>
          <w:color w:val="000000"/>
          <w:kern w:val="0"/>
          <w:lang w:eastAsia="en-GB"/>
          <w14:ligatures w14:val="none"/>
        </w:rPr>
        <w:t>privacy</w:t>
      </w:r>
      <w:proofErr w:type="gramEnd"/>
      <w:r w:rsidRPr="002A1C18">
        <w:rPr>
          <w:rFonts w:ascii="Arial" w:eastAsia="Times New Roman" w:hAnsi="Arial" w:cs="Arial"/>
          <w:color w:val="000000"/>
          <w:kern w:val="0"/>
          <w:lang w:eastAsia="en-GB"/>
          <w14:ligatures w14:val="none"/>
        </w:rPr>
        <w:t xml:space="preserve"> and potential distress (UKRI, 2025).</w:t>
      </w:r>
    </w:p>
    <w:p w14:paraId="57208676"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Prior to formal data collection, ethical approval will be obtained through the relevant university ethics process, and data collection will not begin until approval has been granted.</w:t>
      </w:r>
    </w:p>
    <w:p w14:paraId="15D33DFA"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Participation will be based on informed and voluntary consent. Participants will receive clear information concerning the research and will be free to stop completing the questionnaire before submission (UKRI, 2025). Because responses will be anonymous, participants will also be informed that it may not be possible to identify and remove their data after submission.</w:t>
      </w:r>
    </w:p>
    <w:p w14:paraId="63FD62E1"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The questionnaire will not intentionally collect unnecessary identifying information. Data will be handled in accordance with the UK GDPR, Data Protection Act </w:t>
      </w:r>
      <w:proofErr w:type="gramStart"/>
      <w:r w:rsidRPr="002A1C18">
        <w:rPr>
          <w:rFonts w:ascii="Arial" w:eastAsia="Times New Roman" w:hAnsi="Arial" w:cs="Arial"/>
          <w:color w:val="000000"/>
          <w:kern w:val="0"/>
          <w:lang w:eastAsia="en-GB"/>
          <w14:ligatures w14:val="none"/>
        </w:rPr>
        <w:t>2018</w:t>
      </w:r>
      <w:proofErr w:type="gramEnd"/>
      <w:r w:rsidRPr="002A1C18">
        <w:rPr>
          <w:rFonts w:ascii="Arial" w:eastAsia="Times New Roman" w:hAnsi="Arial" w:cs="Arial"/>
          <w:color w:val="000000"/>
          <w:kern w:val="0"/>
          <w:lang w:eastAsia="en-GB"/>
          <w14:ligatures w14:val="none"/>
        </w:rPr>
        <w:t xml:space="preserve"> and university requirements, with access restricted appropriately and information retained only for the required period (ICO, 2026).</w:t>
      </w:r>
    </w:p>
    <w:p w14:paraId="0AC74163"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The questionnaire will avoid unnecessarily intrusive questions and participants will not be required to disclose personal experiences of victimisation. At the end of the </w:t>
      </w:r>
      <w:r w:rsidRPr="002A1C18">
        <w:rPr>
          <w:rFonts w:ascii="Arial" w:eastAsia="Times New Roman" w:hAnsi="Arial" w:cs="Arial"/>
          <w:color w:val="000000"/>
          <w:kern w:val="0"/>
          <w:lang w:eastAsia="en-GB"/>
          <w14:ligatures w14:val="none"/>
        </w:rPr>
        <w:lastRenderedPageBreak/>
        <w:t>questionnaire, participants will receive a debriefing statement and details of relevant support services should the content cause distress, including the Live Fear Free Helpline in Wales (0808 80 10 800). Providing appropriate support information is particularly important when researching potentially sensitive experiences (UKRI, 2025).</w:t>
      </w:r>
    </w:p>
    <w:p w14:paraId="192418CE" w14:textId="77777777" w:rsid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Recruitment through Facebook and Instagram will also be conducted transparently, with posts clearly explaining the study purpose and eligibility requirements so that individuals can independently decide whether to participate.</w:t>
      </w:r>
    </w:p>
    <w:p w14:paraId="36BA3D6A"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p>
    <w:p w14:paraId="18D86643" w14:textId="77777777" w:rsidR="002A1C18" w:rsidRPr="002A1C18" w:rsidRDefault="002A1C18" w:rsidP="002A1C18">
      <w:pPr>
        <w:spacing w:before="100" w:beforeAutospacing="1" w:after="100" w:afterAutospacing="1" w:line="360" w:lineRule="auto"/>
        <w:outlineLvl w:val="1"/>
        <w:rPr>
          <w:rFonts w:ascii="Arial" w:eastAsia="Times New Roman" w:hAnsi="Arial" w:cs="Arial"/>
          <w:b/>
          <w:bCs/>
          <w:color w:val="000000"/>
          <w:kern w:val="0"/>
          <w:u w:val="single"/>
          <w:lang w:eastAsia="en-GB"/>
          <w14:ligatures w14:val="none"/>
        </w:rPr>
      </w:pPr>
      <w:r w:rsidRPr="002A1C18">
        <w:rPr>
          <w:rFonts w:ascii="Arial" w:eastAsia="Times New Roman" w:hAnsi="Arial" w:cs="Arial"/>
          <w:b/>
          <w:bCs/>
          <w:color w:val="000000"/>
          <w:kern w:val="0"/>
          <w:u w:val="single"/>
          <w:lang w:eastAsia="en-GB"/>
          <w14:ligatures w14:val="none"/>
        </w:rPr>
        <w:t>3.9 Reliability and Validity</w:t>
      </w:r>
    </w:p>
    <w:p w14:paraId="40D7E07F"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Reliability concerns the consistency of a research instrument, while validity concerns whether it adequately measures the concepts it is intended to examine (Creswell and Creswell, 2023; Saunders, </w:t>
      </w:r>
      <w:proofErr w:type="gramStart"/>
      <w:r w:rsidRPr="002A1C18">
        <w:rPr>
          <w:rFonts w:ascii="Arial" w:eastAsia="Times New Roman" w:hAnsi="Arial" w:cs="Arial"/>
          <w:color w:val="000000"/>
          <w:kern w:val="0"/>
          <w:lang w:eastAsia="en-GB"/>
          <w14:ligatures w14:val="none"/>
        </w:rPr>
        <w:t>Lewis</w:t>
      </w:r>
      <w:proofErr w:type="gramEnd"/>
      <w:r w:rsidRPr="002A1C18">
        <w:rPr>
          <w:rFonts w:ascii="Arial" w:eastAsia="Times New Roman" w:hAnsi="Arial" w:cs="Arial"/>
          <w:color w:val="000000"/>
          <w:kern w:val="0"/>
          <w:lang w:eastAsia="en-GB"/>
          <w14:ligatures w14:val="none"/>
        </w:rPr>
        <w:t xml:space="preserve"> and Thornhill, 2019).</w:t>
      </w:r>
    </w:p>
    <w:p w14:paraId="34CC3EE8"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Reliability will be supported </w:t>
      </w:r>
      <w:proofErr w:type="gramStart"/>
      <w:r w:rsidRPr="002A1C18">
        <w:rPr>
          <w:rFonts w:ascii="Arial" w:eastAsia="Times New Roman" w:hAnsi="Arial" w:cs="Arial"/>
          <w:color w:val="000000"/>
          <w:kern w:val="0"/>
          <w:lang w:eastAsia="en-GB"/>
          <w14:ligatures w14:val="none"/>
        </w:rPr>
        <w:t>through the use of</w:t>
      </w:r>
      <w:proofErr w:type="gramEnd"/>
      <w:r w:rsidRPr="002A1C18">
        <w:rPr>
          <w:rFonts w:ascii="Arial" w:eastAsia="Times New Roman" w:hAnsi="Arial" w:cs="Arial"/>
          <w:color w:val="000000"/>
          <w:kern w:val="0"/>
          <w:lang w:eastAsia="en-GB"/>
          <w14:ligatures w14:val="none"/>
        </w:rPr>
        <w:t xml:space="preserve"> a standardised questionnaire in which participants receive the same core questions and response options. Clearly worded questions and consistent Likert-type scales will further improve comparability between responses (</w:t>
      </w:r>
      <w:proofErr w:type="spellStart"/>
      <w:r w:rsidRPr="002A1C18">
        <w:rPr>
          <w:rFonts w:ascii="Arial" w:eastAsia="Times New Roman" w:hAnsi="Arial" w:cs="Arial"/>
          <w:color w:val="000000"/>
          <w:kern w:val="0"/>
          <w:lang w:eastAsia="en-GB"/>
          <w14:ligatures w14:val="none"/>
        </w:rPr>
        <w:t>Jebb</w:t>
      </w:r>
      <w:proofErr w:type="spellEnd"/>
      <w:r w:rsidRPr="002A1C18">
        <w:rPr>
          <w:rFonts w:ascii="Arial" w:eastAsia="Times New Roman" w:hAnsi="Arial" w:cs="Arial"/>
          <w:color w:val="000000"/>
          <w:kern w:val="0"/>
          <w:lang w:eastAsia="en-GB"/>
          <w14:ligatures w14:val="none"/>
        </w:rPr>
        <w:t>, Ng and Tay, 2021). Pilot testing will provide an additional opportunity to identify ambiguous or unclear items before formal distribution.</w:t>
      </w:r>
    </w:p>
    <w:p w14:paraId="1A960ACC" w14:textId="77777777" w:rsid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Validity will be supported by ensuring that questionnaire items are directly linked to the research objectives and concepts established within the literature review. Questions relating to police culture, trust, confidence, legitimacy and reporting intentions will therefore be informed by existing academic research rather than developed without a theoretical basis (Creswell and Creswell, 2023).</w:t>
      </w:r>
    </w:p>
    <w:p w14:paraId="2FAA5C0D"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p>
    <w:p w14:paraId="0928F6A6" w14:textId="77777777" w:rsidR="002A1C18" w:rsidRPr="002A1C18" w:rsidRDefault="002A1C18" w:rsidP="002A1C18">
      <w:pPr>
        <w:spacing w:before="100" w:beforeAutospacing="1" w:after="100" w:afterAutospacing="1" w:line="360" w:lineRule="auto"/>
        <w:outlineLvl w:val="1"/>
        <w:rPr>
          <w:rFonts w:ascii="Arial" w:eastAsia="Times New Roman" w:hAnsi="Arial" w:cs="Arial"/>
          <w:b/>
          <w:bCs/>
          <w:color w:val="000000"/>
          <w:kern w:val="0"/>
          <w:u w:val="single"/>
          <w:lang w:eastAsia="en-GB"/>
          <w14:ligatures w14:val="none"/>
        </w:rPr>
      </w:pPr>
      <w:r w:rsidRPr="002A1C18">
        <w:rPr>
          <w:rFonts w:ascii="Arial" w:eastAsia="Times New Roman" w:hAnsi="Arial" w:cs="Arial"/>
          <w:b/>
          <w:bCs/>
          <w:color w:val="000000"/>
          <w:kern w:val="0"/>
          <w:u w:val="single"/>
          <w:lang w:eastAsia="en-GB"/>
          <w14:ligatures w14:val="none"/>
        </w:rPr>
        <w:t>3.10 Methodological Limitations</w:t>
      </w:r>
    </w:p>
    <w:p w14:paraId="038AFD2C"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Several methodological limitations should be recognised. First, the use of non-probability self-selection sampling through Facebook and Instagram means that the </w:t>
      </w:r>
      <w:r w:rsidRPr="002A1C18">
        <w:rPr>
          <w:rFonts w:ascii="Arial" w:eastAsia="Times New Roman" w:hAnsi="Arial" w:cs="Arial"/>
          <w:color w:val="000000"/>
          <w:kern w:val="0"/>
          <w:lang w:eastAsia="en-GB"/>
          <w14:ligatures w14:val="none"/>
        </w:rPr>
        <w:lastRenderedPageBreak/>
        <w:t>sample may not represent all women living in Wales. Individuals who use these platforms or who choose to participate may differ systematically from those who do not, limiting wider generalisability (</w:t>
      </w:r>
      <w:proofErr w:type="spellStart"/>
      <w:r w:rsidRPr="002A1C18">
        <w:rPr>
          <w:rFonts w:ascii="Arial" w:eastAsia="Times New Roman" w:hAnsi="Arial" w:cs="Arial"/>
          <w:color w:val="000000"/>
          <w:kern w:val="0"/>
          <w:lang w:eastAsia="en-GB"/>
          <w14:ligatures w14:val="none"/>
        </w:rPr>
        <w:t>Cornesse</w:t>
      </w:r>
      <w:proofErr w:type="spellEnd"/>
      <w:r w:rsidRPr="002A1C18">
        <w:rPr>
          <w:rFonts w:ascii="Arial" w:eastAsia="Times New Roman" w:hAnsi="Arial" w:cs="Arial"/>
          <w:color w:val="000000"/>
          <w:kern w:val="0"/>
          <w:lang w:eastAsia="en-GB"/>
          <w14:ligatures w14:val="none"/>
        </w:rPr>
        <w:t xml:space="preserve"> and </w:t>
      </w:r>
      <w:proofErr w:type="spellStart"/>
      <w:r w:rsidRPr="002A1C18">
        <w:rPr>
          <w:rFonts w:ascii="Arial" w:eastAsia="Times New Roman" w:hAnsi="Arial" w:cs="Arial"/>
          <w:color w:val="000000"/>
          <w:kern w:val="0"/>
          <w:lang w:eastAsia="en-GB"/>
          <w14:ligatures w14:val="none"/>
        </w:rPr>
        <w:t>Blom</w:t>
      </w:r>
      <w:proofErr w:type="spellEnd"/>
      <w:r w:rsidRPr="002A1C18">
        <w:rPr>
          <w:rFonts w:ascii="Arial" w:eastAsia="Times New Roman" w:hAnsi="Arial" w:cs="Arial"/>
          <w:color w:val="000000"/>
          <w:kern w:val="0"/>
          <w:lang w:eastAsia="en-GB"/>
          <w14:ligatures w14:val="none"/>
        </w:rPr>
        <w:t>, 2023).</w:t>
      </w:r>
    </w:p>
    <w:p w14:paraId="061F43AD"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Second, the study relies upon self-reported attitudes and intended behaviour. What participants state they would do when considering a hypothetical reporting situation may not necessarily correspond with their behaviour in real circumstances, where decisions can be influenced by situational and emotional factors (Ajzen, 2020).</w:t>
      </w:r>
    </w:p>
    <w:p w14:paraId="7873EA48"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Third, the cross-sectional design provides a snapshot of perceptions at one point in time and cannot establish temporal or causal relationships between variables (Wang and Cheng, 2020). Any identified relationships will therefore be interpreted as associations.</w:t>
      </w:r>
    </w:p>
    <w:p w14:paraId="11EFD354"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Finally, the use of predominantly closed-ended questionnaire items limits the depth with which participants can explain their perceptions. Qualitative interviews or a mixed-methods design could provide richer contextual understanding, although this was beyond the scope of the present study (Creswell and Creswell, 2023).</w:t>
      </w:r>
    </w:p>
    <w:p w14:paraId="388B0B11" w14:textId="77777777" w:rsid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The geographical focus on adult women living in Wales also means that findings should not automatically be generalised to other populations or policing contexts.</w:t>
      </w:r>
    </w:p>
    <w:p w14:paraId="790B5763"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p>
    <w:p w14:paraId="493464F1" w14:textId="77777777" w:rsidR="002A1C18" w:rsidRPr="002A1C18" w:rsidRDefault="002A1C18" w:rsidP="002A1C18">
      <w:pPr>
        <w:spacing w:before="100" w:beforeAutospacing="1" w:after="100" w:afterAutospacing="1" w:line="360" w:lineRule="auto"/>
        <w:outlineLvl w:val="1"/>
        <w:rPr>
          <w:rFonts w:ascii="Arial" w:eastAsia="Times New Roman" w:hAnsi="Arial" w:cs="Arial"/>
          <w:b/>
          <w:bCs/>
          <w:color w:val="000000"/>
          <w:kern w:val="0"/>
          <w:u w:val="single"/>
          <w:lang w:eastAsia="en-GB"/>
          <w14:ligatures w14:val="none"/>
        </w:rPr>
      </w:pPr>
      <w:r w:rsidRPr="002A1C18">
        <w:rPr>
          <w:rFonts w:ascii="Arial" w:eastAsia="Times New Roman" w:hAnsi="Arial" w:cs="Arial"/>
          <w:b/>
          <w:bCs/>
          <w:color w:val="000000"/>
          <w:kern w:val="0"/>
          <w:u w:val="single"/>
          <w:lang w:eastAsia="en-GB"/>
          <w14:ligatures w14:val="none"/>
        </w:rPr>
        <w:t>3.11 Chapter Summary</w:t>
      </w:r>
    </w:p>
    <w:p w14:paraId="7A113C40"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r w:rsidRPr="002A1C18">
        <w:rPr>
          <w:rFonts w:ascii="Arial" w:eastAsia="Times New Roman" w:hAnsi="Arial" w:cs="Arial"/>
          <w:color w:val="000000"/>
          <w:kern w:val="0"/>
          <w:lang w:eastAsia="en-GB"/>
          <w14:ligatures w14:val="none"/>
        </w:rPr>
        <w:t xml:space="preserve">This chapter has outlined and justified the methodological approach adopted within the study. Guided by the Research Onion, a predominantly post-positivist, deductive, mono-method quantitative and cross-sectional survey design was selected (Saunders, </w:t>
      </w:r>
      <w:proofErr w:type="gramStart"/>
      <w:r w:rsidRPr="002A1C18">
        <w:rPr>
          <w:rFonts w:ascii="Arial" w:eastAsia="Times New Roman" w:hAnsi="Arial" w:cs="Arial"/>
          <w:color w:val="000000"/>
          <w:kern w:val="0"/>
          <w:lang w:eastAsia="en-GB"/>
          <w14:ligatures w14:val="none"/>
        </w:rPr>
        <w:t>Lewis</w:t>
      </w:r>
      <w:proofErr w:type="gramEnd"/>
      <w:r w:rsidRPr="002A1C18">
        <w:rPr>
          <w:rFonts w:ascii="Arial" w:eastAsia="Times New Roman" w:hAnsi="Arial" w:cs="Arial"/>
          <w:color w:val="000000"/>
          <w:kern w:val="0"/>
          <w:lang w:eastAsia="en-GB"/>
          <w14:ligatures w14:val="none"/>
        </w:rPr>
        <w:t xml:space="preserve"> and Thornhill, 2019). Data will be collected through SurveyMonkey, distributed via Facebook and </w:t>
      </w:r>
      <w:proofErr w:type="gramStart"/>
      <w:r w:rsidRPr="002A1C18">
        <w:rPr>
          <w:rFonts w:ascii="Arial" w:eastAsia="Times New Roman" w:hAnsi="Arial" w:cs="Arial"/>
          <w:color w:val="000000"/>
          <w:kern w:val="0"/>
          <w:lang w:eastAsia="en-GB"/>
          <w14:ligatures w14:val="none"/>
        </w:rPr>
        <w:t>Instagram</w:t>
      </w:r>
      <w:proofErr w:type="gramEnd"/>
      <w:r w:rsidRPr="002A1C18">
        <w:rPr>
          <w:rFonts w:ascii="Arial" w:eastAsia="Times New Roman" w:hAnsi="Arial" w:cs="Arial"/>
          <w:color w:val="000000"/>
          <w:kern w:val="0"/>
          <w:lang w:eastAsia="en-GB"/>
          <w14:ligatures w14:val="none"/>
        </w:rPr>
        <w:t xml:space="preserve"> and analysed using Microsoft Excel. Ethical considerations, reliability, </w:t>
      </w:r>
      <w:proofErr w:type="gramStart"/>
      <w:r w:rsidRPr="002A1C18">
        <w:rPr>
          <w:rFonts w:ascii="Arial" w:eastAsia="Times New Roman" w:hAnsi="Arial" w:cs="Arial"/>
          <w:color w:val="000000"/>
          <w:kern w:val="0"/>
          <w:lang w:eastAsia="en-GB"/>
          <w14:ligatures w14:val="none"/>
        </w:rPr>
        <w:t>validity</w:t>
      </w:r>
      <w:proofErr w:type="gramEnd"/>
      <w:r w:rsidRPr="002A1C18">
        <w:rPr>
          <w:rFonts w:ascii="Arial" w:eastAsia="Times New Roman" w:hAnsi="Arial" w:cs="Arial"/>
          <w:color w:val="000000"/>
          <w:kern w:val="0"/>
          <w:lang w:eastAsia="en-GB"/>
          <w14:ligatures w14:val="none"/>
        </w:rPr>
        <w:t xml:space="preserve"> and methodological limitations have also been addressed. The following chapter will present the findings generated from the questionnaire.</w:t>
      </w:r>
    </w:p>
    <w:p w14:paraId="235CE902"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p>
    <w:p w14:paraId="53429EBF" w14:textId="0ECBC425" w:rsidR="002A1C18" w:rsidRPr="002A1C18" w:rsidRDefault="002A1C18" w:rsidP="002A1C18">
      <w:pPr>
        <w:spacing w:before="100" w:beforeAutospacing="1" w:after="100" w:afterAutospacing="1" w:line="360" w:lineRule="auto"/>
        <w:rPr>
          <w:rFonts w:ascii="Arial" w:eastAsia="Times New Roman" w:hAnsi="Arial" w:cs="Arial"/>
          <w:b/>
          <w:bCs/>
          <w:color w:val="000000"/>
          <w:kern w:val="0"/>
          <w:u w:val="single"/>
          <w:lang w:eastAsia="en-GB"/>
          <w14:ligatures w14:val="none"/>
        </w:rPr>
      </w:pPr>
      <w:r>
        <w:rPr>
          <w:rFonts w:ascii="Arial" w:eastAsia="Times New Roman" w:hAnsi="Arial" w:cs="Arial"/>
          <w:b/>
          <w:bCs/>
          <w:color w:val="000000"/>
          <w:kern w:val="0"/>
          <w:u w:val="single"/>
          <w:lang w:eastAsia="en-GB"/>
          <w14:ligatures w14:val="none"/>
        </w:rPr>
        <w:lastRenderedPageBreak/>
        <w:t xml:space="preserve">3.12 </w:t>
      </w:r>
      <w:r w:rsidRPr="002A1C18">
        <w:rPr>
          <w:rFonts w:ascii="Arial" w:eastAsia="Times New Roman" w:hAnsi="Arial" w:cs="Arial"/>
          <w:b/>
          <w:bCs/>
          <w:color w:val="000000"/>
          <w:kern w:val="0"/>
          <w:u w:val="single"/>
          <w:lang w:eastAsia="en-GB"/>
          <w14:ligatures w14:val="none"/>
        </w:rPr>
        <w:t xml:space="preserve">References </w:t>
      </w:r>
    </w:p>
    <w:p w14:paraId="305C2445" w14:textId="77777777" w:rsidR="002A1C18" w:rsidRPr="002A1C18" w:rsidRDefault="002A1C18" w:rsidP="002A1C18">
      <w:pPr>
        <w:pStyle w:val="pdq2pgselectionanchorcontainer"/>
        <w:spacing w:line="360" w:lineRule="auto"/>
        <w:rPr>
          <w:rFonts w:ascii="Arial" w:hAnsi="Arial" w:cs="Arial"/>
          <w:color w:val="000000"/>
        </w:rPr>
      </w:pPr>
      <w:r w:rsidRPr="002A1C18">
        <w:rPr>
          <w:rFonts w:ascii="Arial" w:hAnsi="Arial" w:cs="Arial"/>
          <w:color w:val="000000"/>
        </w:rPr>
        <w:t xml:space="preserve">Ajzen, I. (2020) ‘The theory of planned </w:t>
      </w:r>
      <w:proofErr w:type="spellStart"/>
      <w:r w:rsidRPr="002A1C18">
        <w:rPr>
          <w:rFonts w:ascii="Arial" w:hAnsi="Arial" w:cs="Arial"/>
          <w:color w:val="000000"/>
        </w:rPr>
        <w:t>behavior</w:t>
      </w:r>
      <w:proofErr w:type="spellEnd"/>
      <w:r w:rsidRPr="002A1C18">
        <w:rPr>
          <w:rFonts w:ascii="Arial" w:hAnsi="Arial" w:cs="Arial"/>
          <w:color w:val="000000"/>
        </w:rPr>
        <w:t>: Frequently asked questions’,</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 xml:space="preserve">Human </w:t>
      </w:r>
      <w:proofErr w:type="spellStart"/>
      <w:r w:rsidRPr="002A1C18">
        <w:rPr>
          <w:rStyle w:val="Emphasis"/>
          <w:rFonts w:ascii="Arial" w:eastAsiaTheme="majorEastAsia" w:hAnsi="Arial" w:cs="Arial"/>
          <w:color w:val="000000"/>
        </w:rPr>
        <w:t>Behavior</w:t>
      </w:r>
      <w:proofErr w:type="spellEnd"/>
      <w:r w:rsidRPr="002A1C18">
        <w:rPr>
          <w:rStyle w:val="Emphasis"/>
          <w:rFonts w:ascii="Arial" w:eastAsiaTheme="majorEastAsia" w:hAnsi="Arial" w:cs="Arial"/>
          <w:color w:val="000000"/>
        </w:rPr>
        <w:t xml:space="preserve"> and Emerging Technologies</w:t>
      </w:r>
      <w:r w:rsidRPr="002A1C18">
        <w:rPr>
          <w:rFonts w:ascii="Arial" w:hAnsi="Arial" w:cs="Arial"/>
          <w:color w:val="000000"/>
        </w:rPr>
        <w:t xml:space="preserve">, 2(4), pp. 314–324. </w:t>
      </w:r>
      <w:proofErr w:type="spellStart"/>
      <w:r w:rsidRPr="002A1C18">
        <w:rPr>
          <w:rFonts w:ascii="Arial" w:hAnsi="Arial" w:cs="Arial"/>
          <w:color w:val="000000"/>
        </w:rPr>
        <w:t>doi</w:t>
      </w:r>
      <w:proofErr w:type="spellEnd"/>
      <w:r w:rsidRPr="002A1C18">
        <w:rPr>
          <w:rFonts w:ascii="Arial" w:hAnsi="Arial" w:cs="Arial"/>
          <w:color w:val="000000"/>
        </w:rPr>
        <w:t>: 10.1002/hbe2.195.</w:t>
      </w:r>
    </w:p>
    <w:p w14:paraId="59E82D74" w14:textId="77777777" w:rsidR="002A1C18" w:rsidRPr="002A1C18" w:rsidRDefault="002A1C18" w:rsidP="002A1C18">
      <w:pPr>
        <w:pStyle w:val="NormalWeb"/>
        <w:spacing w:line="360" w:lineRule="auto"/>
        <w:rPr>
          <w:rFonts w:ascii="Arial" w:hAnsi="Arial" w:cs="Arial"/>
          <w:color w:val="000000"/>
        </w:rPr>
      </w:pPr>
      <w:proofErr w:type="spellStart"/>
      <w:r w:rsidRPr="002A1C18">
        <w:rPr>
          <w:rFonts w:ascii="Arial" w:hAnsi="Arial" w:cs="Arial"/>
          <w:color w:val="000000"/>
        </w:rPr>
        <w:t>Cornesse</w:t>
      </w:r>
      <w:proofErr w:type="spellEnd"/>
      <w:r w:rsidRPr="002A1C18">
        <w:rPr>
          <w:rFonts w:ascii="Arial" w:hAnsi="Arial" w:cs="Arial"/>
          <w:color w:val="000000"/>
        </w:rPr>
        <w:t xml:space="preserve">, C., </w:t>
      </w:r>
      <w:proofErr w:type="spellStart"/>
      <w:r w:rsidRPr="002A1C18">
        <w:rPr>
          <w:rFonts w:ascii="Arial" w:hAnsi="Arial" w:cs="Arial"/>
          <w:color w:val="000000"/>
        </w:rPr>
        <w:t>Blom</w:t>
      </w:r>
      <w:proofErr w:type="spellEnd"/>
      <w:r w:rsidRPr="002A1C18">
        <w:rPr>
          <w:rFonts w:ascii="Arial" w:hAnsi="Arial" w:cs="Arial"/>
          <w:color w:val="000000"/>
        </w:rPr>
        <w:t xml:space="preserve">, A.G., </w:t>
      </w:r>
      <w:proofErr w:type="spellStart"/>
      <w:r w:rsidRPr="002A1C18">
        <w:rPr>
          <w:rFonts w:ascii="Arial" w:hAnsi="Arial" w:cs="Arial"/>
          <w:color w:val="000000"/>
        </w:rPr>
        <w:t>Dutwin</w:t>
      </w:r>
      <w:proofErr w:type="spellEnd"/>
      <w:r w:rsidRPr="002A1C18">
        <w:rPr>
          <w:rFonts w:ascii="Arial" w:hAnsi="Arial" w:cs="Arial"/>
          <w:color w:val="000000"/>
        </w:rPr>
        <w:t xml:space="preserve">, D., Krosnick, J.A., de Leeuw, E.D., </w:t>
      </w:r>
      <w:proofErr w:type="spellStart"/>
      <w:r w:rsidRPr="002A1C18">
        <w:rPr>
          <w:rFonts w:ascii="Arial" w:hAnsi="Arial" w:cs="Arial"/>
          <w:color w:val="000000"/>
        </w:rPr>
        <w:t>Legleye</w:t>
      </w:r>
      <w:proofErr w:type="spellEnd"/>
      <w:r w:rsidRPr="002A1C18">
        <w:rPr>
          <w:rFonts w:ascii="Arial" w:hAnsi="Arial" w:cs="Arial"/>
          <w:color w:val="000000"/>
        </w:rPr>
        <w:t xml:space="preserve">, S., </w:t>
      </w:r>
      <w:proofErr w:type="spellStart"/>
      <w:r w:rsidRPr="002A1C18">
        <w:rPr>
          <w:rFonts w:ascii="Arial" w:hAnsi="Arial" w:cs="Arial"/>
          <w:color w:val="000000"/>
        </w:rPr>
        <w:t>Pasek</w:t>
      </w:r>
      <w:proofErr w:type="spellEnd"/>
      <w:r w:rsidRPr="002A1C18">
        <w:rPr>
          <w:rFonts w:ascii="Arial" w:hAnsi="Arial" w:cs="Arial"/>
          <w:color w:val="000000"/>
        </w:rPr>
        <w:t xml:space="preserve">, J., </w:t>
      </w:r>
      <w:proofErr w:type="spellStart"/>
      <w:r w:rsidRPr="002A1C18">
        <w:rPr>
          <w:rFonts w:ascii="Arial" w:hAnsi="Arial" w:cs="Arial"/>
          <w:color w:val="000000"/>
        </w:rPr>
        <w:t>Pennay</w:t>
      </w:r>
      <w:proofErr w:type="spellEnd"/>
      <w:r w:rsidRPr="002A1C18">
        <w:rPr>
          <w:rFonts w:ascii="Arial" w:hAnsi="Arial" w:cs="Arial"/>
          <w:color w:val="000000"/>
        </w:rPr>
        <w:t xml:space="preserve">, D., Phillips, B., </w:t>
      </w:r>
      <w:proofErr w:type="spellStart"/>
      <w:r w:rsidRPr="002A1C18">
        <w:rPr>
          <w:rFonts w:ascii="Arial" w:hAnsi="Arial" w:cs="Arial"/>
          <w:color w:val="000000"/>
        </w:rPr>
        <w:t>Sakshaug</w:t>
      </w:r>
      <w:proofErr w:type="spellEnd"/>
      <w:r w:rsidRPr="002A1C18">
        <w:rPr>
          <w:rFonts w:ascii="Arial" w:hAnsi="Arial" w:cs="Arial"/>
          <w:color w:val="000000"/>
        </w:rPr>
        <w:t xml:space="preserve">, J.W., </w:t>
      </w:r>
      <w:proofErr w:type="spellStart"/>
      <w:r w:rsidRPr="002A1C18">
        <w:rPr>
          <w:rFonts w:ascii="Arial" w:hAnsi="Arial" w:cs="Arial"/>
          <w:color w:val="000000"/>
        </w:rPr>
        <w:t>Struminskaya</w:t>
      </w:r>
      <w:proofErr w:type="spellEnd"/>
      <w:r w:rsidRPr="002A1C18">
        <w:rPr>
          <w:rFonts w:ascii="Arial" w:hAnsi="Arial" w:cs="Arial"/>
          <w:color w:val="000000"/>
        </w:rPr>
        <w:t>, B. and Wenz, A. (2020) ‘A review of conceptual approaches and empirical evidence on probability and nonprobability sample survey research’,</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Journal of Survey Statistics and Methodology</w:t>
      </w:r>
      <w:r w:rsidRPr="002A1C18">
        <w:rPr>
          <w:rFonts w:ascii="Arial" w:hAnsi="Arial" w:cs="Arial"/>
          <w:color w:val="000000"/>
        </w:rPr>
        <w:t xml:space="preserve">, 8(1), pp. 4–36. </w:t>
      </w:r>
      <w:proofErr w:type="spellStart"/>
      <w:r w:rsidRPr="002A1C18">
        <w:rPr>
          <w:rFonts w:ascii="Arial" w:hAnsi="Arial" w:cs="Arial"/>
          <w:color w:val="000000"/>
        </w:rPr>
        <w:t>doi</w:t>
      </w:r>
      <w:proofErr w:type="spellEnd"/>
      <w:r w:rsidRPr="002A1C18">
        <w:rPr>
          <w:rFonts w:ascii="Arial" w:hAnsi="Arial" w:cs="Arial"/>
          <w:color w:val="000000"/>
        </w:rPr>
        <w:t>: 10.1093/</w:t>
      </w:r>
      <w:proofErr w:type="spellStart"/>
      <w:r w:rsidRPr="002A1C18">
        <w:rPr>
          <w:rFonts w:ascii="Arial" w:hAnsi="Arial" w:cs="Arial"/>
          <w:color w:val="000000"/>
        </w:rPr>
        <w:t>jssam</w:t>
      </w:r>
      <w:proofErr w:type="spellEnd"/>
      <w:r w:rsidRPr="002A1C18">
        <w:rPr>
          <w:rFonts w:ascii="Arial" w:hAnsi="Arial" w:cs="Arial"/>
          <w:color w:val="000000"/>
        </w:rPr>
        <w:t>/smz041.</w:t>
      </w:r>
    </w:p>
    <w:p w14:paraId="3B24926F" w14:textId="77777777" w:rsidR="002A1C18" w:rsidRPr="002A1C18" w:rsidRDefault="002A1C18" w:rsidP="002A1C18">
      <w:pPr>
        <w:pStyle w:val="NormalWeb"/>
        <w:spacing w:line="360" w:lineRule="auto"/>
        <w:rPr>
          <w:rFonts w:ascii="Arial" w:hAnsi="Arial" w:cs="Arial"/>
          <w:color w:val="000000"/>
        </w:rPr>
      </w:pPr>
      <w:r w:rsidRPr="002A1C18">
        <w:rPr>
          <w:rFonts w:ascii="Arial" w:hAnsi="Arial" w:cs="Arial"/>
          <w:color w:val="000000"/>
        </w:rPr>
        <w:t>Creswell, J.W. and Creswell, J.D. (2023)</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Research Design: Qualitative, Quantitative, and Mixed Methods Approaches</w:t>
      </w:r>
      <w:r w:rsidRPr="002A1C18">
        <w:rPr>
          <w:rFonts w:ascii="Arial" w:hAnsi="Arial" w:cs="Arial"/>
          <w:color w:val="000000"/>
        </w:rPr>
        <w:t xml:space="preserve">. 6th </w:t>
      </w:r>
      <w:proofErr w:type="spellStart"/>
      <w:r w:rsidRPr="002A1C18">
        <w:rPr>
          <w:rFonts w:ascii="Arial" w:hAnsi="Arial" w:cs="Arial"/>
          <w:color w:val="000000"/>
        </w:rPr>
        <w:t>edn</w:t>
      </w:r>
      <w:proofErr w:type="spellEnd"/>
      <w:r w:rsidRPr="002A1C18">
        <w:rPr>
          <w:rFonts w:ascii="Arial" w:hAnsi="Arial" w:cs="Arial"/>
          <w:color w:val="000000"/>
        </w:rPr>
        <w:t>. Thousand Oaks, CA: SAGE Publications.</w:t>
      </w:r>
    </w:p>
    <w:p w14:paraId="05127742" w14:textId="77777777" w:rsidR="002A1C18" w:rsidRPr="002A1C18" w:rsidRDefault="002A1C18" w:rsidP="002A1C18">
      <w:pPr>
        <w:pStyle w:val="NormalWeb"/>
        <w:spacing w:line="360" w:lineRule="auto"/>
        <w:rPr>
          <w:rFonts w:ascii="Arial" w:hAnsi="Arial" w:cs="Arial"/>
          <w:color w:val="000000"/>
        </w:rPr>
      </w:pPr>
      <w:r w:rsidRPr="002A1C18">
        <w:rPr>
          <w:rFonts w:ascii="Arial" w:hAnsi="Arial" w:cs="Arial"/>
          <w:color w:val="000000"/>
        </w:rPr>
        <w:t>Field, A. (2024)</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Discovering Statistics Using IBM SPSS Statistics</w:t>
      </w:r>
      <w:r w:rsidRPr="002A1C18">
        <w:rPr>
          <w:rFonts w:ascii="Arial" w:hAnsi="Arial" w:cs="Arial"/>
          <w:color w:val="000000"/>
        </w:rPr>
        <w:t xml:space="preserve">. 6th </w:t>
      </w:r>
      <w:proofErr w:type="spellStart"/>
      <w:r w:rsidRPr="002A1C18">
        <w:rPr>
          <w:rFonts w:ascii="Arial" w:hAnsi="Arial" w:cs="Arial"/>
          <w:color w:val="000000"/>
        </w:rPr>
        <w:t>edn</w:t>
      </w:r>
      <w:proofErr w:type="spellEnd"/>
      <w:r w:rsidRPr="002A1C18">
        <w:rPr>
          <w:rFonts w:ascii="Arial" w:hAnsi="Arial" w:cs="Arial"/>
          <w:color w:val="000000"/>
        </w:rPr>
        <w:t>. London: SAGE Publications.</w:t>
      </w:r>
    </w:p>
    <w:p w14:paraId="3075C4AB" w14:textId="77777777" w:rsidR="002A1C18" w:rsidRPr="002A1C18" w:rsidRDefault="002A1C18" w:rsidP="002A1C18">
      <w:pPr>
        <w:pStyle w:val="NormalWeb"/>
        <w:spacing w:line="360" w:lineRule="auto"/>
        <w:rPr>
          <w:rFonts w:ascii="Arial" w:hAnsi="Arial" w:cs="Arial"/>
          <w:color w:val="000000"/>
        </w:rPr>
      </w:pPr>
      <w:r w:rsidRPr="002A1C18">
        <w:rPr>
          <w:rFonts w:ascii="Arial" w:hAnsi="Arial" w:cs="Arial"/>
          <w:color w:val="000000"/>
        </w:rPr>
        <w:t xml:space="preserve">Hill, J., Ogle, K., Santen, S.A., Gottlieb, M. and </w:t>
      </w:r>
      <w:proofErr w:type="spellStart"/>
      <w:r w:rsidRPr="002A1C18">
        <w:rPr>
          <w:rFonts w:ascii="Arial" w:hAnsi="Arial" w:cs="Arial"/>
          <w:color w:val="000000"/>
        </w:rPr>
        <w:t>Artino</w:t>
      </w:r>
      <w:proofErr w:type="spellEnd"/>
      <w:r w:rsidRPr="002A1C18">
        <w:rPr>
          <w:rFonts w:ascii="Arial" w:hAnsi="Arial" w:cs="Arial"/>
          <w:color w:val="000000"/>
        </w:rPr>
        <w:t>, A.R. Jr (2022) ‘Educator’s blueprint: A how-to guide for survey design’,</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AEM Education and Training</w:t>
      </w:r>
      <w:r w:rsidRPr="002A1C18">
        <w:rPr>
          <w:rFonts w:ascii="Arial" w:hAnsi="Arial" w:cs="Arial"/>
          <w:color w:val="000000"/>
        </w:rPr>
        <w:t xml:space="preserve">, 6(4), e10796. </w:t>
      </w:r>
      <w:proofErr w:type="spellStart"/>
      <w:r w:rsidRPr="002A1C18">
        <w:rPr>
          <w:rFonts w:ascii="Arial" w:hAnsi="Arial" w:cs="Arial"/>
          <w:color w:val="000000"/>
        </w:rPr>
        <w:t>doi</w:t>
      </w:r>
      <w:proofErr w:type="spellEnd"/>
      <w:r w:rsidRPr="002A1C18">
        <w:rPr>
          <w:rFonts w:ascii="Arial" w:hAnsi="Arial" w:cs="Arial"/>
          <w:color w:val="000000"/>
        </w:rPr>
        <w:t>: 10.1002/aet2.10796.</w:t>
      </w:r>
    </w:p>
    <w:p w14:paraId="3106959C" w14:textId="77777777" w:rsidR="002A1C18" w:rsidRPr="002A1C18" w:rsidRDefault="002A1C18" w:rsidP="002A1C18">
      <w:pPr>
        <w:pStyle w:val="NormalWeb"/>
        <w:spacing w:line="360" w:lineRule="auto"/>
        <w:rPr>
          <w:rFonts w:ascii="Arial" w:hAnsi="Arial" w:cs="Arial"/>
          <w:color w:val="000000"/>
        </w:rPr>
      </w:pPr>
      <w:r w:rsidRPr="002A1C18">
        <w:rPr>
          <w:rFonts w:ascii="Arial" w:hAnsi="Arial" w:cs="Arial"/>
          <w:color w:val="000000"/>
        </w:rPr>
        <w:t>Information Commissioner’s Office (ICO) (n.d.)</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The research provisions</w:t>
      </w:r>
      <w:r w:rsidRPr="002A1C18">
        <w:rPr>
          <w:rFonts w:ascii="Arial" w:hAnsi="Arial" w:cs="Arial"/>
          <w:color w:val="000000"/>
        </w:rPr>
        <w:t>. Information Commissioner’s Office. Accessed 18 September 2026.</w:t>
      </w:r>
    </w:p>
    <w:p w14:paraId="64A65211" w14:textId="77777777" w:rsidR="002A1C18" w:rsidRPr="002A1C18" w:rsidRDefault="002A1C18" w:rsidP="002A1C18">
      <w:pPr>
        <w:pStyle w:val="NormalWeb"/>
        <w:spacing w:line="360" w:lineRule="auto"/>
        <w:rPr>
          <w:rFonts w:ascii="Arial" w:hAnsi="Arial" w:cs="Arial"/>
          <w:color w:val="000000"/>
        </w:rPr>
      </w:pPr>
      <w:proofErr w:type="spellStart"/>
      <w:r w:rsidRPr="002A1C18">
        <w:rPr>
          <w:rFonts w:ascii="Arial" w:hAnsi="Arial" w:cs="Arial"/>
          <w:color w:val="000000"/>
        </w:rPr>
        <w:t>Jebb</w:t>
      </w:r>
      <w:proofErr w:type="spellEnd"/>
      <w:r w:rsidRPr="002A1C18">
        <w:rPr>
          <w:rFonts w:ascii="Arial" w:hAnsi="Arial" w:cs="Arial"/>
          <w:color w:val="000000"/>
        </w:rPr>
        <w:t>, A.T., Ng, V. and Tay, L. (2021) ‘A review of key Likert scale development advances: 1995–2019’,</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Frontiers in Psychology</w:t>
      </w:r>
      <w:r w:rsidRPr="002A1C18">
        <w:rPr>
          <w:rFonts w:ascii="Arial" w:hAnsi="Arial" w:cs="Arial"/>
          <w:color w:val="000000"/>
        </w:rPr>
        <w:t xml:space="preserve">, 12, 637547. </w:t>
      </w:r>
      <w:proofErr w:type="spellStart"/>
      <w:r w:rsidRPr="002A1C18">
        <w:rPr>
          <w:rFonts w:ascii="Arial" w:hAnsi="Arial" w:cs="Arial"/>
          <w:color w:val="000000"/>
        </w:rPr>
        <w:t>doi</w:t>
      </w:r>
      <w:proofErr w:type="spellEnd"/>
      <w:r w:rsidRPr="002A1C18">
        <w:rPr>
          <w:rFonts w:ascii="Arial" w:hAnsi="Arial" w:cs="Arial"/>
          <w:color w:val="000000"/>
        </w:rPr>
        <w:t>: 10.3389/fpsyg.2021.637547.</w:t>
      </w:r>
    </w:p>
    <w:p w14:paraId="5BA7528E" w14:textId="77777777" w:rsidR="002A1C18" w:rsidRPr="002A1C18" w:rsidRDefault="002A1C18" w:rsidP="002A1C18">
      <w:pPr>
        <w:pStyle w:val="NormalWeb"/>
        <w:spacing w:line="360" w:lineRule="auto"/>
        <w:rPr>
          <w:rFonts w:ascii="Arial" w:hAnsi="Arial" w:cs="Arial"/>
          <w:color w:val="000000"/>
        </w:rPr>
      </w:pPr>
      <w:r w:rsidRPr="002A1C18">
        <w:rPr>
          <w:rFonts w:ascii="Arial" w:hAnsi="Arial" w:cs="Arial"/>
          <w:color w:val="000000"/>
        </w:rPr>
        <w:t>Mercer, A. and Lau, A. (2023)</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Comparing Two Types of Online Survey Samples: Opt-in Samples Are About Half as Accurate as Probability-Based Panels</w:t>
      </w:r>
      <w:r w:rsidRPr="002A1C18">
        <w:rPr>
          <w:rFonts w:ascii="Arial" w:hAnsi="Arial" w:cs="Arial"/>
          <w:color w:val="000000"/>
        </w:rPr>
        <w:t xml:space="preserve">. Washington, DC: Pew Research </w:t>
      </w:r>
      <w:proofErr w:type="spellStart"/>
      <w:r w:rsidRPr="002A1C18">
        <w:rPr>
          <w:rFonts w:ascii="Arial" w:hAnsi="Arial" w:cs="Arial"/>
          <w:color w:val="000000"/>
        </w:rPr>
        <w:t>Center</w:t>
      </w:r>
      <w:proofErr w:type="spellEnd"/>
      <w:r w:rsidRPr="002A1C18">
        <w:rPr>
          <w:rFonts w:ascii="Arial" w:hAnsi="Arial" w:cs="Arial"/>
          <w:color w:val="000000"/>
        </w:rPr>
        <w:t>.</w:t>
      </w:r>
    </w:p>
    <w:p w14:paraId="3D16FF82" w14:textId="77777777" w:rsidR="002A1C18" w:rsidRPr="002A1C18" w:rsidRDefault="002A1C18" w:rsidP="002A1C18">
      <w:pPr>
        <w:pStyle w:val="NormalWeb"/>
        <w:spacing w:line="360" w:lineRule="auto"/>
        <w:rPr>
          <w:rFonts w:ascii="Arial" w:hAnsi="Arial" w:cs="Arial"/>
          <w:color w:val="000000"/>
        </w:rPr>
      </w:pPr>
      <w:r w:rsidRPr="002A1C18">
        <w:rPr>
          <w:rFonts w:ascii="Arial" w:hAnsi="Arial" w:cs="Arial"/>
          <w:color w:val="000000"/>
        </w:rPr>
        <w:t>Saunders, M.N.K., Lewis, P. and Thornhill, A. (2019)</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Research Methods for Business Students</w:t>
      </w:r>
      <w:r w:rsidRPr="002A1C18">
        <w:rPr>
          <w:rFonts w:ascii="Arial" w:hAnsi="Arial" w:cs="Arial"/>
          <w:color w:val="000000"/>
        </w:rPr>
        <w:t xml:space="preserve">. 8th </w:t>
      </w:r>
      <w:proofErr w:type="spellStart"/>
      <w:r w:rsidRPr="002A1C18">
        <w:rPr>
          <w:rFonts w:ascii="Arial" w:hAnsi="Arial" w:cs="Arial"/>
          <w:color w:val="000000"/>
        </w:rPr>
        <w:t>edn</w:t>
      </w:r>
      <w:proofErr w:type="spellEnd"/>
      <w:r w:rsidRPr="002A1C18">
        <w:rPr>
          <w:rFonts w:ascii="Arial" w:hAnsi="Arial" w:cs="Arial"/>
          <w:color w:val="000000"/>
        </w:rPr>
        <w:t>. Harlow: Pearson.</w:t>
      </w:r>
    </w:p>
    <w:p w14:paraId="3654E39C" w14:textId="77777777" w:rsidR="002A1C18" w:rsidRPr="002A1C18" w:rsidRDefault="002A1C18" w:rsidP="002A1C18">
      <w:pPr>
        <w:pStyle w:val="NormalWeb"/>
        <w:spacing w:line="360" w:lineRule="auto"/>
        <w:rPr>
          <w:rFonts w:ascii="Arial" w:hAnsi="Arial" w:cs="Arial"/>
          <w:color w:val="000000"/>
        </w:rPr>
      </w:pPr>
      <w:r w:rsidRPr="002A1C18">
        <w:rPr>
          <w:rFonts w:ascii="Arial" w:hAnsi="Arial" w:cs="Arial"/>
          <w:color w:val="000000"/>
        </w:rPr>
        <w:lastRenderedPageBreak/>
        <w:t>Saunders, M.N.K., Lewis, P. and Thornhill, A. (2023)</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Research Methods for Business Students</w:t>
      </w:r>
      <w:r w:rsidRPr="002A1C18">
        <w:rPr>
          <w:rFonts w:ascii="Arial" w:hAnsi="Arial" w:cs="Arial"/>
          <w:color w:val="000000"/>
        </w:rPr>
        <w:t xml:space="preserve">. 9th </w:t>
      </w:r>
      <w:proofErr w:type="spellStart"/>
      <w:r w:rsidRPr="002A1C18">
        <w:rPr>
          <w:rFonts w:ascii="Arial" w:hAnsi="Arial" w:cs="Arial"/>
          <w:color w:val="000000"/>
        </w:rPr>
        <w:t>edn</w:t>
      </w:r>
      <w:proofErr w:type="spellEnd"/>
      <w:r w:rsidRPr="002A1C18">
        <w:rPr>
          <w:rFonts w:ascii="Arial" w:hAnsi="Arial" w:cs="Arial"/>
          <w:color w:val="000000"/>
        </w:rPr>
        <w:t>. Harlow: Pearson.</w:t>
      </w:r>
    </w:p>
    <w:p w14:paraId="71ACB927" w14:textId="77777777" w:rsidR="002A1C18" w:rsidRPr="002A1C18" w:rsidRDefault="002A1C18" w:rsidP="002A1C18">
      <w:pPr>
        <w:pStyle w:val="NormalWeb"/>
        <w:spacing w:line="360" w:lineRule="auto"/>
        <w:rPr>
          <w:rFonts w:ascii="Arial" w:hAnsi="Arial" w:cs="Arial"/>
          <w:color w:val="000000"/>
        </w:rPr>
      </w:pPr>
      <w:r w:rsidRPr="002A1C18">
        <w:rPr>
          <w:rFonts w:ascii="Arial" w:hAnsi="Arial" w:cs="Arial"/>
          <w:color w:val="000000"/>
        </w:rPr>
        <w:t xml:space="preserve">Syed, </w:t>
      </w:r>
      <w:proofErr w:type="gramStart"/>
      <w:r w:rsidRPr="002A1C18">
        <w:rPr>
          <w:rFonts w:ascii="Arial" w:hAnsi="Arial" w:cs="Arial"/>
          <w:color w:val="000000"/>
        </w:rPr>
        <w:t>M.</w:t>
      </w:r>
      <w:proofErr w:type="gramEnd"/>
      <w:r w:rsidRPr="002A1C18">
        <w:rPr>
          <w:rFonts w:ascii="Arial" w:hAnsi="Arial" w:cs="Arial"/>
          <w:color w:val="000000"/>
        </w:rPr>
        <w:t xml:space="preserve"> and McLean, K.C. (2022) ‘Disentangling paradigm and method can help bring qualitative research to post-positivist psychology and address the generalizability crisis’,</w:t>
      </w:r>
      <w:r w:rsidRPr="002A1C18">
        <w:rPr>
          <w:rStyle w:val="apple-converted-space"/>
          <w:rFonts w:ascii="Arial" w:eastAsiaTheme="majorEastAsia" w:hAnsi="Arial" w:cs="Arial"/>
          <w:color w:val="000000"/>
        </w:rPr>
        <w:t> </w:t>
      </w:r>
      <w:proofErr w:type="spellStart"/>
      <w:r w:rsidRPr="002A1C18">
        <w:rPr>
          <w:rStyle w:val="Emphasis"/>
          <w:rFonts w:ascii="Arial" w:eastAsiaTheme="majorEastAsia" w:hAnsi="Arial" w:cs="Arial"/>
          <w:color w:val="000000"/>
        </w:rPr>
        <w:t>Behavioral</w:t>
      </w:r>
      <w:proofErr w:type="spellEnd"/>
      <w:r w:rsidRPr="002A1C18">
        <w:rPr>
          <w:rStyle w:val="Emphasis"/>
          <w:rFonts w:ascii="Arial" w:eastAsiaTheme="majorEastAsia" w:hAnsi="Arial" w:cs="Arial"/>
          <w:color w:val="000000"/>
        </w:rPr>
        <w:t xml:space="preserve"> and Brain Sciences</w:t>
      </w:r>
      <w:r w:rsidRPr="002A1C18">
        <w:rPr>
          <w:rFonts w:ascii="Arial" w:hAnsi="Arial" w:cs="Arial"/>
          <w:color w:val="000000"/>
        </w:rPr>
        <w:t>.</w:t>
      </w:r>
    </w:p>
    <w:p w14:paraId="0A47F313" w14:textId="77777777" w:rsidR="002A1C18" w:rsidRPr="002A1C18" w:rsidRDefault="002A1C18" w:rsidP="002A1C18">
      <w:pPr>
        <w:pStyle w:val="NormalWeb"/>
        <w:spacing w:line="360" w:lineRule="auto"/>
        <w:rPr>
          <w:rFonts w:ascii="Arial" w:hAnsi="Arial" w:cs="Arial"/>
          <w:color w:val="000000"/>
        </w:rPr>
      </w:pPr>
      <w:r w:rsidRPr="002A1C18">
        <w:rPr>
          <w:rFonts w:ascii="Arial" w:hAnsi="Arial" w:cs="Arial"/>
          <w:color w:val="000000"/>
        </w:rPr>
        <w:t>UK Research and Innovation (UKRI) (n.d.)</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Research that may require full ethics review</w:t>
      </w:r>
      <w:r w:rsidRPr="002A1C18">
        <w:rPr>
          <w:rFonts w:ascii="Arial" w:hAnsi="Arial" w:cs="Arial"/>
          <w:color w:val="000000"/>
        </w:rPr>
        <w:t>. UK Research and Innovation. Accessed 18 September 2026.</w:t>
      </w:r>
    </w:p>
    <w:p w14:paraId="0544D495" w14:textId="77777777" w:rsidR="002A1C18" w:rsidRPr="002A1C18" w:rsidRDefault="002A1C18" w:rsidP="002A1C18">
      <w:pPr>
        <w:pStyle w:val="NormalWeb"/>
        <w:spacing w:line="360" w:lineRule="auto"/>
        <w:rPr>
          <w:rFonts w:ascii="Arial" w:hAnsi="Arial" w:cs="Arial"/>
          <w:color w:val="000000"/>
        </w:rPr>
      </w:pPr>
      <w:r w:rsidRPr="002A1C18">
        <w:rPr>
          <w:rFonts w:ascii="Arial" w:hAnsi="Arial" w:cs="Arial"/>
          <w:color w:val="000000"/>
        </w:rPr>
        <w:t>Wang, X. and Cheng, Z. (2020) ‘Cross-sectional studies: Strengths, weaknesses, and recommendations’,</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Chest</w:t>
      </w:r>
      <w:r w:rsidRPr="002A1C18">
        <w:rPr>
          <w:rFonts w:ascii="Arial" w:hAnsi="Arial" w:cs="Arial"/>
          <w:color w:val="000000"/>
        </w:rPr>
        <w:t xml:space="preserve">, 158(1S), pp. S65–S71. </w:t>
      </w:r>
      <w:proofErr w:type="spellStart"/>
      <w:r w:rsidRPr="002A1C18">
        <w:rPr>
          <w:rFonts w:ascii="Arial" w:hAnsi="Arial" w:cs="Arial"/>
          <w:color w:val="000000"/>
        </w:rPr>
        <w:t>doi</w:t>
      </w:r>
      <w:proofErr w:type="spellEnd"/>
      <w:r w:rsidRPr="002A1C18">
        <w:rPr>
          <w:rFonts w:ascii="Arial" w:hAnsi="Arial" w:cs="Arial"/>
          <w:color w:val="000000"/>
        </w:rPr>
        <w:t>: 10.1016/j.chest.2020.03.012.</w:t>
      </w:r>
    </w:p>
    <w:p w14:paraId="3C9BFFD7" w14:textId="77777777" w:rsidR="002A1C18" w:rsidRPr="002A1C18" w:rsidRDefault="002A1C18" w:rsidP="002A1C18">
      <w:pPr>
        <w:pStyle w:val="NormalWeb"/>
        <w:spacing w:line="360" w:lineRule="auto"/>
        <w:rPr>
          <w:rFonts w:ascii="Arial" w:hAnsi="Arial" w:cs="Arial"/>
          <w:color w:val="000000"/>
        </w:rPr>
      </w:pPr>
      <w:r w:rsidRPr="002A1C18">
        <w:rPr>
          <w:rFonts w:ascii="Arial" w:hAnsi="Arial" w:cs="Arial"/>
          <w:color w:val="000000"/>
        </w:rPr>
        <w:t>Wright, D.B. (2023) ‘Methodological considerations and assumptions in social science survey research’,</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Journal of the British Academy</w:t>
      </w:r>
      <w:r w:rsidRPr="002A1C18">
        <w:rPr>
          <w:rFonts w:ascii="Arial" w:hAnsi="Arial" w:cs="Arial"/>
          <w:color w:val="000000"/>
        </w:rPr>
        <w:t xml:space="preserve">, 11(S5), pp. 35–58. </w:t>
      </w:r>
      <w:proofErr w:type="spellStart"/>
      <w:r w:rsidRPr="002A1C18">
        <w:rPr>
          <w:rFonts w:ascii="Arial" w:hAnsi="Arial" w:cs="Arial"/>
          <w:color w:val="000000"/>
        </w:rPr>
        <w:t>doi</w:t>
      </w:r>
      <w:proofErr w:type="spellEnd"/>
      <w:r w:rsidRPr="002A1C18">
        <w:rPr>
          <w:rFonts w:ascii="Arial" w:hAnsi="Arial" w:cs="Arial"/>
          <w:color w:val="000000"/>
        </w:rPr>
        <w:t>: 10.5871/</w:t>
      </w:r>
      <w:proofErr w:type="spellStart"/>
      <w:r w:rsidRPr="002A1C18">
        <w:rPr>
          <w:rFonts w:ascii="Arial" w:hAnsi="Arial" w:cs="Arial"/>
          <w:color w:val="000000"/>
        </w:rPr>
        <w:t>jba</w:t>
      </w:r>
      <w:proofErr w:type="spellEnd"/>
      <w:r w:rsidRPr="002A1C18">
        <w:rPr>
          <w:rFonts w:ascii="Arial" w:hAnsi="Arial" w:cs="Arial"/>
          <w:color w:val="000000"/>
        </w:rPr>
        <w:t>/011s5.035.</w:t>
      </w:r>
    </w:p>
    <w:p w14:paraId="47B2BF49" w14:textId="77777777" w:rsidR="002A1C18" w:rsidRPr="002A1C18" w:rsidRDefault="002A1C18" w:rsidP="002A1C18">
      <w:pPr>
        <w:pStyle w:val="NormalWeb"/>
        <w:spacing w:line="360" w:lineRule="auto"/>
        <w:rPr>
          <w:rFonts w:ascii="Arial" w:hAnsi="Arial" w:cs="Arial"/>
          <w:color w:val="000000"/>
        </w:rPr>
      </w:pPr>
      <w:r w:rsidRPr="002A1C18">
        <w:rPr>
          <w:rFonts w:ascii="Arial" w:hAnsi="Arial" w:cs="Arial"/>
          <w:color w:val="000000"/>
        </w:rPr>
        <w:t>Yusof, M.Y.P.M., Teo, C.H. and Ng, C.J. (2022) ‘Electronic informed consent criteria for research ethics review: A scoping review’,</w:t>
      </w:r>
      <w:r w:rsidRPr="002A1C18">
        <w:rPr>
          <w:rStyle w:val="apple-converted-space"/>
          <w:rFonts w:ascii="Arial" w:eastAsiaTheme="majorEastAsia" w:hAnsi="Arial" w:cs="Arial"/>
          <w:color w:val="000000"/>
        </w:rPr>
        <w:t> </w:t>
      </w:r>
      <w:r w:rsidRPr="002A1C18">
        <w:rPr>
          <w:rStyle w:val="Emphasis"/>
          <w:rFonts w:ascii="Arial" w:eastAsiaTheme="majorEastAsia" w:hAnsi="Arial" w:cs="Arial"/>
          <w:color w:val="000000"/>
        </w:rPr>
        <w:t>BMC Medical Ethics</w:t>
      </w:r>
      <w:r w:rsidRPr="002A1C18">
        <w:rPr>
          <w:rFonts w:ascii="Arial" w:hAnsi="Arial" w:cs="Arial"/>
          <w:color w:val="000000"/>
        </w:rPr>
        <w:t xml:space="preserve">, 23, 117. </w:t>
      </w:r>
      <w:proofErr w:type="spellStart"/>
      <w:r w:rsidRPr="002A1C18">
        <w:rPr>
          <w:rFonts w:ascii="Arial" w:hAnsi="Arial" w:cs="Arial"/>
          <w:color w:val="000000"/>
        </w:rPr>
        <w:t>doi</w:t>
      </w:r>
      <w:proofErr w:type="spellEnd"/>
      <w:r w:rsidRPr="002A1C18">
        <w:rPr>
          <w:rFonts w:ascii="Arial" w:hAnsi="Arial" w:cs="Arial"/>
          <w:color w:val="000000"/>
        </w:rPr>
        <w:t>: 10.1186/s12910-022-00849-x.</w:t>
      </w:r>
    </w:p>
    <w:p w14:paraId="152C293C" w14:textId="77777777" w:rsidR="002A1C18" w:rsidRPr="002A1C18" w:rsidRDefault="002A1C18" w:rsidP="002A1C18">
      <w:pPr>
        <w:spacing w:before="100" w:beforeAutospacing="1" w:after="100" w:afterAutospacing="1" w:line="360" w:lineRule="auto"/>
        <w:rPr>
          <w:rFonts w:ascii="Arial" w:eastAsia="Times New Roman" w:hAnsi="Arial" w:cs="Arial"/>
          <w:color w:val="000000"/>
          <w:kern w:val="0"/>
          <w:lang w:eastAsia="en-GB"/>
          <w14:ligatures w14:val="none"/>
        </w:rPr>
      </w:pPr>
    </w:p>
    <w:p w14:paraId="2121F2F7" w14:textId="77777777" w:rsidR="002A1C18" w:rsidRPr="002A1C18" w:rsidRDefault="002A1C18" w:rsidP="002A1C18">
      <w:pPr>
        <w:spacing w:line="360" w:lineRule="auto"/>
        <w:rPr>
          <w:rFonts w:ascii="Arial" w:hAnsi="Arial" w:cs="Arial"/>
          <w:u w:val="single"/>
        </w:rPr>
      </w:pPr>
    </w:p>
    <w:sectPr w:rsidR="002A1C18" w:rsidRPr="002A1C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D8A63D" w14:textId="77777777" w:rsidR="00825F4E" w:rsidRDefault="00825F4E" w:rsidP="002A1C18">
      <w:pPr>
        <w:spacing w:after="0" w:line="240" w:lineRule="auto"/>
      </w:pPr>
      <w:r>
        <w:separator/>
      </w:r>
    </w:p>
  </w:endnote>
  <w:endnote w:type="continuationSeparator" w:id="0">
    <w:p w14:paraId="6C52D11B" w14:textId="77777777" w:rsidR="00825F4E" w:rsidRDefault="00825F4E" w:rsidP="002A1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77D623" w14:textId="77777777" w:rsidR="00825F4E" w:rsidRDefault="00825F4E" w:rsidP="002A1C18">
      <w:pPr>
        <w:spacing w:after="0" w:line="240" w:lineRule="auto"/>
      </w:pPr>
      <w:r>
        <w:separator/>
      </w:r>
    </w:p>
  </w:footnote>
  <w:footnote w:type="continuationSeparator" w:id="0">
    <w:p w14:paraId="5F196988" w14:textId="77777777" w:rsidR="00825F4E" w:rsidRDefault="00825F4E" w:rsidP="002A1C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C18"/>
    <w:rsid w:val="002A1C18"/>
    <w:rsid w:val="00825F4E"/>
    <w:rsid w:val="00A21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56C44"/>
  <w15:chartTrackingRefBased/>
  <w15:docId w15:val="{1D2CA1D8-FC2B-DA4E-BDC9-B801BDA6E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C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1C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1C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1C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1C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1C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1C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1C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1C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C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1C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1C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1C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1C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1C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1C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1C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1C18"/>
    <w:rPr>
      <w:rFonts w:eastAsiaTheme="majorEastAsia" w:cstheme="majorBidi"/>
      <w:color w:val="272727" w:themeColor="text1" w:themeTint="D8"/>
    </w:rPr>
  </w:style>
  <w:style w:type="paragraph" w:styleId="Title">
    <w:name w:val="Title"/>
    <w:basedOn w:val="Normal"/>
    <w:next w:val="Normal"/>
    <w:link w:val="TitleChar"/>
    <w:uiPriority w:val="10"/>
    <w:qFormat/>
    <w:rsid w:val="002A1C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1C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1C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1C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1C18"/>
    <w:pPr>
      <w:spacing w:before="160"/>
      <w:jc w:val="center"/>
    </w:pPr>
    <w:rPr>
      <w:i/>
      <w:iCs/>
      <w:color w:val="404040" w:themeColor="text1" w:themeTint="BF"/>
    </w:rPr>
  </w:style>
  <w:style w:type="character" w:customStyle="1" w:styleId="QuoteChar">
    <w:name w:val="Quote Char"/>
    <w:basedOn w:val="DefaultParagraphFont"/>
    <w:link w:val="Quote"/>
    <w:uiPriority w:val="29"/>
    <w:rsid w:val="002A1C18"/>
    <w:rPr>
      <w:i/>
      <w:iCs/>
      <w:color w:val="404040" w:themeColor="text1" w:themeTint="BF"/>
    </w:rPr>
  </w:style>
  <w:style w:type="paragraph" w:styleId="ListParagraph">
    <w:name w:val="List Paragraph"/>
    <w:basedOn w:val="Normal"/>
    <w:uiPriority w:val="34"/>
    <w:qFormat/>
    <w:rsid w:val="002A1C18"/>
    <w:pPr>
      <w:ind w:left="720"/>
      <w:contextualSpacing/>
    </w:pPr>
  </w:style>
  <w:style w:type="character" w:styleId="IntenseEmphasis">
    <w:name w:val="Intense Emphasis"/>
    <w:basedOn w:val="DefaultParagraphFont"/>
    <w:uiPriority w:val="21"/>
    <w:qFormat/>
    <w:rsid w:val="002A1C18"/>
    <w:rPr>
      <w:i/>
      <w:iCs/>
      <w:color w:val="0F4761" w:themeColor="accent1" w:themeShade="BF"/>
    </w:rPr>
  </w:style>
  <w:style w:type="paragraph" w:styleId="IntenseQuote">
    <w:name w:val="Intense Quote"/>
    <w:basedOn w:val="Normal"/>
    <w:next w:val="Normal"/>
    <w:link w:val="IntenseQuoteChar"/>
    <w:uiPriority w:val="30"/>
    <w:qFormat/>
    <w:rsid w:val="002A1C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1C18"/>
    <w:rPr>
      <w:i/>
      <w:iCs/>
      <w:color w:val="0F4761" w:themeColor="accent1" w:themeShade="BF"/>
    </w:rPr>
  </w:style>
  <w:style w:type="character" w:styleId="IntenseReference">
    <w:name w:val="Intense Reference"/>
    <w:basedOn w:val="DefaultParagraphFont"/>
    <w:uiPriority w:val="32"/>
    <w:qFormat/>
    <w:rsid w:val="002A1C18"/>
    <w:rPr>
      <w:b/>
      <w:bCs/>
      <w:smallCaps/>
      <w:color w:val="0F4761" w:themeColor="accent1" w:themeShade="BF"/>
      <w:spacing w:val="5"/>
    </w:rPr>
  </w:style>
  <w:style w:type="paragraph" w:styleId="Header">
    <w:name w:val="header"/>
    <w:basedOn w:val="Normal"/>
    <w:link w:val="HeaderChar"/>
    <w:uiPriority w:val="99"/>
    <w:unhideWhenUsed/>
    <w:rsid w:val="002A1C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C18"/>
  </w:style>
  <w:style w:type="paragraph" w:styleId="Footer">
    <w:name w:val="footer"/>
    <w:basedOn w:val="Normal"/>
    <w:link w:val="FooterChar"/>
    <w:uiPriority w:val="99"/>
    <w:unhideWhenUsed/>
    <w:rsid w:val="002A1C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C18"/>
  </w:style>
  <w:style w:type="paragraph" w:styleId="NormalWeb">
    <w:name w:val="Normal (Web)"/>
    <w:basedOn w:val="Normal"/>
    <w:uiPriority w:val="99"/>
    <w:semiHidden/>
    <w:unhideWhenUsed/>
    <w:rsid w:val="002A1C1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A1C18"/>
    <w:rPr>
      <w:b/>
      <w:bCs/>
    </w:rPr>
  </w:style>
  <w:style w:type="character" w:styleId="Emphasis">
    <w:name w:val="Emphasis"/>
    <w:basedOn w:val="DefaultParagraphFont"/>
    <w:uiPriority w:val="20"/>
    <w:qFormat/>
    <w:rsid w:val="002A1C18"/>
    <w:rPr>
      <w:i/>
      <w:iCs/>
    </w:rPr>
  </w:style>
  <w:style w:type="character" w:customStyle="1" w:styleId="apple-converted-space">
    <w:name w:val="apple-converted-space"/>
    <w:basedOn w:val="DefaultParagraphFont"/>
    <w:rsid w:val="002A1C18"/>
  </w:style>
  <w:style w:type="paragraph" w:customStyle="1" w:styleId="pdq2pgselectionanchorcontainer">
    <w:name w:val="pdq2pg_selectionanchorcontainer"/>
    <w:basedOn w:val="Normal"/>
    <w:rsid w:val="002A1C1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03056">
      <w:bodyDiv w:val="1"/>
      <w:marLeft w:val="0"/>
      <w:marRight w:val="0"/>
      <w:marTop w:val="0"/>
      <w:marBottom w:val="0"/>
      <w:divBdr>
        <w:top w:val="none" w:sz="0" w:space="0" w:color="auto"/>
        <w:left w:val="none" w:sz="0" w:space="0" w:color="auto"/>
        <w:bottom w:val="none" w:sz="0" w:space="0" w:color="auto"/>
        <w:right w:val="none" w:sz="0" w:space="0" w:color="auto"/>
      </w:divBdr>
    </w:div>
    <w:div w:id="360396903">
      <w:bodyDiv w:val="1"/>
      <w:marLeft w:val="0"/>
      <w:marRight w:val="0"/>
      <w:marTop w:val="0"/>
      <w:marBottom w:val="0"/>
      <w:divBdr>
        <w:top w:val="none" w:sz="0" w:space="0" w:color="auto"/>
        <w:left w:val="none" w:sz="0" w:space="0" w:color="auto"/>
        <w:bottom w:val="none" w:sz="0" w:space="0" w:color="auto"/>
        <w:right w:val="none" w:sz="0" w:space="0" w:color="auto"/>
      </w:divBdr>
    </w:div>
    <w:div w:id="595330821">
      <w:bodyDiv w:val="1"/>
      <w:marLeft w:val="0"/>
      <w:marRight w:val="0"/>
      <w:marTop w:val="0"/>
      <w:marBottom w:val="0"/>
      <w:divBdr>
        <w:top w:val="none" w:sz="0" w:space="0" w:color="auto"/>
        <w:left w:val="none" w:sz="0" w:space="0" w:color="auto"/>
        <w:bottom w:val="none" w:sz="0" w:space="0" w:color="auto"/>
        <w:right w:val="none" w:sz="0" w:space="0" w:color="auto"/>
      </w:divBdr>
    </w:div>
    <w:div w:id="659315567">
      <w:bodyDiv w:val="1"/>
      <w:marLeft w:val="0"/>
      <w:marRight w:val="0"/>
      <w:marTop w:val="0"/>
      <w:marBottom w:val="0"/>
      <w:divBdr>
        <w:top w:val="none" w:sz="0" w:space="0" w:color="auto"/>
        <w:left w:val="none" w:sz="0" w:space="0" w:color="auto"/>
        <w:bottom w:val="none" w:sz="0" w:space="0" w:color="auto"/>
        <w:right w:val="none" w:sz="0" w:space="0" w:color="auto"/>
      </w:divBdr>
    </w:div>
    <w:div w:id="826170945">
      <w:bodyDiv w:val="1"/>
      <w:marLeft w:val="0"/>
      <w:marRight w:val="0"/>
      <w:marTop w:val="0"/>
      <w:marBottom w:val="0"/>
      <w:divBdr>
        <w:top w:val="none" w:sz="0" w:space="0" w:color="auto"/>
        <w:left w:val="none" w:sz="0" w:space="0" w:color="auto"/>
        <w:bottom w:val="none" w:sz="0" w:space="0" w:color="auto"/>
        <w:right w:val="none" w:sz="0" w:space="0" w:color="auto"/>
      </w:divBdr>
    </w:div>
    <w:div w:id="835264665">
      <w:bodyDiv w:val="1"/>
      <w:marLeft w:val="0"/>
      <w:marRight w:val="0"/>
      <w:marTop w:val="0"/>
      <w:marBottom w:val="0"/>
      <w:divBdr>
        <w:top w:val="none" w:sz="0" w:space="0" w:color="auto"/>
        <w:left w:val="none" w:sz="0" w:space="0" w:color="auto"/>
        <w:bottom w:val="none" w:sz="0" w:space="0" w:color="auto"/>
        <w:right w:val="none" w:sz="0" w:space="0" w:color="auto"/>
      </w:divBdr>
    </w:div>
    <w:div w:id="912855052">
      <w:bodyDiv w:val="1"/>
      <w:marLeft w:val="0"/>
      <w:marRight w:val="0"/>
      <w:marTop w:val="0"/>
      <w:marBottom w:val="0"/>
      <w:divBdr>
        <w:top w:val="none" w:sz="0" w:space="0" w:color="auto"/>
        <w:left w:val="none" w:sz="0" w:space="0" w:color="auto"/>
        <w:bottom w:val="none" w:sz="0" w:space="0" w:color="auto"/>
        <w:right w:val="none" w:sz="0" w:space="0" w:color="auto"/>
      </w:divBdr>
    </w:div>
    <w:div w:id="1030952890">
      <w:bodyDiv w:val="1"/>
      <w:marLeft w:val="0"/>
      <w:marRight w:val="0"/>
      <w:marTop w:val="0"/>
      <w:marBottom w:val="0"/>
      <w:divBdr>
        <w:top w:val="none" w:sz="0" w:space="0" w:color="auto"/>
        <w:left w:val="none" w:sz="0" w:space="0" w:color="auto"/>
        <w:bottom w:val="none" w:sz="0" w:space="0" w:color="auto"/>
        <w:right w:val="none" w:sz="0" w:space="0" w:color="auto"/>
      </w:divBdr>
    </w:div>
    <w:div w:id="1117455186">
      <w:bodyDiv w:val="1"/>
      <w:marLeft w:val="0"/>
      <w:marRight w:val="0"/>
      <w:marTop w:val="0"/>
      <w:marBottom w:val="0"/>
      <w:divBdr>
        <w:top w:val="none" w:sz="0" w:space="0" w:color="auto"/>
        <w:left w:val="none" w:sz="0" w:space="0" w:color="auto"/>
        <w:bottom w:val="none" w:sz="0" w:space="0" w:color="auto"/>
        <w:right w:val="none" w:sz="0" w:space="0" w:color="auto"/>
      </w:divBdr>
    </w:div>
    <w:div w:id="1263220819">
      <w:bodyDiv w:val="1"/>
      <w:marLeft w:val="0"/>
      <w:marRight w:val="0"/>
      <w:marTop w:val="0"/>
      <w:marBottom w:val="0"/>
      <w:divBdr>
        <w:top w:val="none" w:sz="0" w:space="0" w:color="auto"/>
        <w:left w:val="none" w:sz="0" w:space="0" w:color="auto"/>
        <w:bottom w:val="none" w:sz="0" w:space="0" w:color="auto"/>
        <w:right w:val="none" w:sz="0" w:space="0" w:color="auto"/>
      </w:divBdr>
    </w:div>
    <w:div w:id="1494645787">
      <w:bodyDiv w:val="1"/>
      <w:marLeft w:val="0"/>
      <w:marRight w:val="0"/>
      <w:marTop w:val="0"/>
      <w:marBottom w:val="0"/>
      <w:divBdr>
        <w:top w:val="none" w:sz="0" w:space="0" w:color="auto"/>
        <w:left w:val="none" w:sz="0" w:space="0" w:color="auto"/>
        <w:bottom w:val="none" w:sz="0" w:space="0" w:color="auto"/>
        <w:right w:val="none" w:sz="0" w:space="0" w:color="auto"/>
      </w:divBdr>
    </w:div>
    <w:div w:id="1619027021">
      <w:bodyDiv w:val="1"/>
      <w:marLeft w:val="0"/>
      <w:marRight w:val="0"/>
      <w:marTop w:val="0"/>
      <w:marBottom w:val="0"/>
      <w:divBdr>
        <w:top w:val="none" w:sz="0" w:space="0" w:color="auto"/>
        <w:left w:val="none" w:sz="0" w:space="0" w:color="auto"/>
        <w:bottom w:val="none" w:sz="0" w:space="0" w:color="auto"/>
        <w:right w:val="none" w:sz="0" w:space="0" w:color="auto"/>
      </w:divBdr>
    </w:div>
    <w:div w:id="1653557249">
      <w:bodyDiv w:val="1"/>
      <w:marLeft w:val="0"/>
      <w:marRight w:val="0"/>
      <w:marTop w:val="0"/>
      <w:marBottom w:val="0"/>
      <w:divBdr>
        <w:top w:val="none" w:sz="0" w:space="0" w:color="auto"/>
        <w:left w:val="none" w:sz="0" w:space="0" w:color="auto"/>
        <w:bottom w:val="none" w:sz="0" w:space="0" w:color="auto"/>
        <w:right w:val="none" w:sz="0" w:space="0" w:color="auto"/>
      </w:divBdr>
      <w:divsChild>
        <w:div w:id="699352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6637114">
      <w:bodyDiv w:val="1"/>
      <w:marLeft w:val="0"/>
      <w:marRight w:val="0"/>
      <w:marTop w:val="0"/>
      <w:marBottom w:val="0"/>
      <w:divBdr>
        <w:top w:val="none" w:sz="0" w:space="0" w:color="auto"/>
        <w:left w:val="none" w:sz="0" w:space="0" w:color="auto"/>
        <w:bottom w:val="none" w:sz="0" w:space="0" w:color="auto"/>
        <w:right w:val="none" w:sz="0" w:space="0" w:color="auto"/>
      </w:divBdr>
    </w:div>
    <w:div w:id="1980114149">
      <w:bodyDiv w:val="1"/>
      <w:marLeft w:val="0"/>
      <w:marRight w:val="0"/>
      <w:marTop w:val="0"/>
      <w:marBottom w:val="0"/>
      <w:divBdr>
        <w:top w:val="none" w:sz="0" w:space="0" w:color="auto"/>
        <w:left w:val="none" w:sz="0" w:space="0" w:color="auto"/>
        <w:bottom w:val="none" w:sz="0" w:space="0" w:color="auto"/>
        <w:right w:val="none" w:sz="0" w:space="0" w:color="auto"/>
      </w:divBdr>
    </w:div>
    <w:div w:id="2129734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11</Pages>
  <Words>2471</Words>
  <Characters>16389</Characters>
  <Application>Microsoft Office Word</Application>
  <DocSecurity>0</DocSecurity>
  <Lines>252</Lines>
  <Paragraphs>43</Paragraphs>
  <ScaleCrop>false</ScaleCrop>
  <Company/>
  <LinksUpToDate>false</LinksUpToDate>
  <CharactersWithSpaces>18817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1</cp:revision>
  <dcterms:created xsi:type="dcterms:W3CDTF">2026-09-18T08:26:00Z</dcterms:created>
  <dcterms:modified xsi:type="dcterms:W3CDTF">2026-09-18T09:49:00Z</dcterms:modified>
</cp:coreProperties>
</file>