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D7B" w:rsidRDefault="00B16D7B" w:rsidP="00B16D7B">
      <w:pPr>
        <w:spacing w:after="0" w:line="360" w:lineRule="auto"/>
        <w:jc w:val="center"/>
        <w:rPr>
          <w:rFonts w:ascii="Arial" w:hAnsi="Arial" w:cs="Arial"/>
          <w:b/>
          <w:bCs/>
          <w:sz w:val="24"/>
          <w:szCs w:val="24"/>
        </w:rPr>
      </w:pPr>
      <w:r w:rsidRPr="00B16D7B">
        <w:rPr>
          <w:rFonts w:ascii="Arial" w:hAnsi="Arial" w:cs="Arial"/>
          <w:b/>
          <w:bCs/>
          <w:sz w:val="24"/>
          <w:szCs w:val="24"/>
        </w:rPr>
        <w:t>LCBB 5004 – MANAGING PEOPLE</w:t>
      </w:r>
    </w:p>
    <w:p w:rsidR="00B16D7B" w:rsidRDefault="00B16D7B" w:rsidP="00B16D7B">
      <w:pPr>
        <w:spacing w:after="0" w:line="360" w:lineRule="auto"/>
        <w:jc w:val="center"/>
        <w:rPr>
          <w:rFonts w:ascii="Arial" w:hAnsi="Arial" w:cs="Arial"/>
          <w:b/>
          <w:bCs/>
          <w:sz w:val="24"/>
          <w:szCs w:val="24"/>
        </w:rPr>
      </w:pPr>
      <w:r>
        <w:rPr>
          <w:rFonts w:ascii="Arial" w:hAnsi="Arial" w:cs="Arial"/>
          <w:b/>
          <w:bCs/>
          <w:sz w:val="24"/>
          <w:szCs w:val="24"/>
        </w:rPr>
        <w:t>ASSIGNMENT 2: FLEXIBLE WORKING</w:t>
      </w: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Default="00B16D7B" w:rsidP="00B16D7B">
      <w:pPr>
        <w:spacing w:after="0" w:line="360" w:lineRule="auto"/>
        <w:jc w:val="center"/>
        <w:rPr>
          <w:rFonts w:ascii="Arial" w:hAnsi="Arial" w:cs="Arial"/>
          <w:b/>
          <w:bCs/>
          <w:sz w:val="24"/>
          <w:szCs w:val="24"/>
        </w:rPr>
      </w:pPr>
    </w:p>
    <w:p w:rsidR="00B16D7B" w:rsidRPr="00B16D7B" w:rsidRDefault="00B16D7B" w:rsidP="00B16D7B">
      <w:pPr>
        <w:spacing w:after="0" w:line="360" w:lineRule="auto"/>
        <w:jc w:val="center"/>
        <w:rPr>
          <w:rFonts w:ascii="Arial" w:hAnsi="Arial" w:cs="Arial"/>
          <w:sz w:val="24"/>
          <w:szCs w:val="24"/>
        </w:rPr>
      </w:pPr>
      <w:r w:rsidRPr="00B16D7B">
        <w:rPr>
          <w:rFonts w:ascii="Arial" w:hAnsi="Arial" w:cs="Arial"/>
          <w:b/>
          <w:bCs/>
          <w:sz w:val="24"/>
          <w:szCs w:val="24"/>
          <w:lang w:val="en-GB"/>
        </w:rPr>
        <w:t xml:space="preserve">Student: </w:t>
      </w:r>
      <w:r w:rsidRPr="00B16D7B">
        <w:rPr>
          <w:rFonts w:ascii="Arial" w:hAnsi="Arial" w:cs="Arial"/>
          <w:sz w:val="24"/>
          <w:szCs w:val="24"/>
          <w:lang w:val="en-GB"/>
        </w:rPr>
        <w:t>Danut Purcarea</w:t>
      </w:r>
      <w:r w:rsidRPr="00B16D7B">
        <w:rPr>
          <w:rFonts w:ascii="Arial" w:hAnsi="Arial" w:cs="Arial"/>
          <w:sz w:val="24"/>
          <w:szCs w:val="24"/>
        </w:rPr>
        <w:br/>
      </w:r>
      <w:r w:rsidRPr="00B16D7B">
        <w:rPr>
          <w:rFonts w:ascii="Arial" w:hAnsi="Arial" w:cs="Arial"/>
          <w:b/>
          <w:bCs/>
          <w:sz w:val="24"/>
          <w:szCs w:val="24"/>
          <w:lang w:val="en-GB"/>
        </w:rPr>
        <w:t xml:space="preserve">Student ID: </w:t>
      </w:r>
      <w:r w:rsidRPr="00B16D7B">
        <w:rPr>
          <w:rFonts w:ascii="Arial" w:hAnsi="Arial" w:cs="Arial"/>
          <w:sz w:val="24"/>
          <w:szCs w:val="24"/>
        </w:rPr>
        <w:t>2130914</w:t>
      </w:r>
      <w:r w:rsidRPr="00B16D7B">
        <w:rPr>
          <w:rFonts w:ascii="Arial" w:hAnsi="Arial" w:cs="Arial"/>
          <w:sz w:val="24"/>
          <w:szCs w:val="24"/>
        </w:rPr>
        <w:br/>
      </w:r>
      <w:r w:rsidRPr="00B16D7B">
        <w:rPr>
          <w:rFonts w:ascii="Arial" w:hAnsi="Arial" w:cs="Arial"/>
          <w:b/>
          <w:bCs/>
          <w:sz w:val="24"/>
          <w:szCs w:val="24"/>
        </w:rPr>
        <w:t xml:space="preserve">Tutor: </w:t>
      </w:r>
      <w:r w:rsidRPr="00B16D7B">
        <w:rPr>
          <w:rFonts w:ascii="Arial" w:hAnsi="Arial" w:cs="Arial"/>
          <w:sz w:val="24"/>
          <w:szCs w:val="24"/>
        </w:rPr>
        <w:t>Samuel Ofori</w:t>
      </w:r>
      <w:r w:rsidRPr="00B16D7B">
        <w:rPr>
          <w:rFonts w:ascii="Arial" w:hAnsi="Arial" w:cs="Arial"/>
          <w:b/>
          <w:bCs/>
          <w:sz w:val="24"/>
          <w:szCs w:val="24"/>
        </w:rPr>
        <w:t xml:space="preserve"> </w:t>
      </w:r>
    </w:p>
    <w:p w:rsidR="00B16D7B" w:rsidRPr="00B16D7B" w:rsidRDefault="00B16D7B" w:rsidP="00B16D7B">
      <w:pPr>
        <w:spacing w:after="0" w:line="360" w:lineRule="auto"/>
        <w:jc w:val="center"/>
        <w:rPr>
          <w:rFonts w:ascii="Arial" w:hAnsi="Arial" w:cs="Arial"/>
          <w:sz w:val="24"/>
          <w:szCs w:val="24"/>
        </w:rPr>
      </w:pPr>
    </w:p>
    <w:p w:rsidR="00000000" w:rsidRDefault="00D06C3C"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p w:rsidR="003E44EA" w:rsidRDefault="003E44EA" w:rsidP="00B16D7B">
      <w:pPr>
        <w:spacing w:after="0"/>
        <w:jc w:val="center"/>
      </w:pPr>
    </w:p>
    <w:p w:rsidR="003E44EA" w:rsidRDefault="003E44EA" w:rsidP="00B16D7B">
      <w:pPr>
        <w:spacing w:after="0"/>
        <w:jc w:val="center"/>
      </w:pPr>
    </w:p>
    <w:p w:rsidR="003E44EA" w:rsidRDefault="003E44EA" w:rsidP="00B16D7B">
      <w:pPr>
        <w:spacing w:after="0"/>
        <w:jc w:val="center"/>
      </w:pPr>
    </w:p>
    <w:p w:rsidR="00B16D7B" w:rsidRDefault="00B16D7B" w:rsidP="00B16D7B">
      <w:pPr>
        <w:spacing w:after="0"/>
        <w:jc w:val="center"/>
      </w:pPr>
    </w:p>
    <w:p w:rsidR="00B16D7B" w:rsidRDefault="00B16D7B" w:rsidP="00B16D7B">
      <w:pPr>
        <w:spacing w:after="0"/>
        <w:jc w:val="center"/>
      </w:pPr>
    </w:p>
    <w:p w:rsidR="00B16D7B" w:rsidRDefault="00B16D7B" w:rsidP="00B16D7B">
      <w:pPr>
        <w:spacing w:after="0"/>
        <w:jc w:val="center"/>
      </w:pPr>
    </w:p>
    <w:bookmarkStart w:id="0" w:name="_Toc140955499" w:displacedByCustomXml="next"/>
    <w:sdt>
      <w:sdtPr>
        <w:id w:val="-1278394770"/>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3E44EA" w:rsidRPr="003E44EA" w:rsidRDefault="003E44EA" w:rsidP="003E44EA">
          <w:pPr>
            <w:pStyle w:val="TOCHeading"/>
            <w:spacing w:before="0" w:line="360" w:lineRule="auto"/>
            <w:jc w:val="center"/>
            <w:rPr>
              <w:rFonts w:ascii="Arial" w:hAnsi="Arial" w:cs="Arial"/>
              <w:color w:val="auto"/>
              <w:sz w:val="24"/>
              <w:szCs w:val="24"/>
            </w:rPr>
          </w:pPr>
          <w:r w:rsidRPr="003E44EA">
            <w:rPr>
              <w:rFonts w:ascii="Arial" w:hAnsi="Arial" w:cs="Arial"/>
              <w:color w:val="auto"/>
              <w:sz w:val="24"/>
              <w:szCs w:val="24"/>
            </w:rPr>
            <w:t>Table of Contents</w:t>
          </w:r>
        </w:p>
        <w:p w:rsidR="003E44EA" w:rsidRPr="003E44EA" w:rsidRDefault="003E44EA">
          <w:pPr>
            <w:pStyle w:val="TOC1"/>
            <w:tabs>
              <w:tab w:val="right" w:leader="dot" w:pos="9350"/>
            </w:tabs>
            <w:rPr>
              <w:rFonts w:ascii="Arial" w:hAnsi="Arial" w:cs="Arial"/>
              <w:b/>
              <w:noProof/>
            </w:rPr>
          </w:pPr>
          <w:r>
            <w:fldChar w:fldCharType="begin"/>
          </w:r>
          <w:r>
            <w:instrText xml:space="preserve"> TOC \o "1-3" \h \z \u </w:instrText>
          </w:r>
          <w:r>
            <w:fldChar w:fldCharType="separate"/>
          </w:r>
          <w:hyperlink w:anchor="_Toc140955551" w:history="1">
            <w:r w:rsidRPr="003E44EA">
              <w:rPr>
                <w:rStyle w:val="Hyperlink"/>
                <w:rFonts w:ascii="Arial" w:hAnsi="Arial" w:cs="Arial"/>
                <w:b/>
                <w:noProof/>
              </w:rPr>
              <w:t>Introduction</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_Toc140955551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3</w:t>
            </w:r>
            <w:r w:rsidRPr="003E44EA">
              <w:rPr>
                <w:rFonts w:ascii="Arial" w:hAnsi="Arial" w:cs="Arial"/>
                <w:b/>
                <w:noProof/>
                <w:webHidden/>
              </w:rPr>
              <w:fldChar w:fldCharType="end"/>
            </w:r>
          </w:hyperlink>
        </w:p>
        <w:p w:rsidR="003E44EA" w:rsidRPr="003E44EA" w:rsidRDefault="003E44EA">
          <w:pPr>
            <w:pStyle w:val="TOC1"/>
            <w:tabs>
              <w:tab w:val="right" w:leader="dot" w:pos="9350"/>
            </w:tabs>
            <w:rPr>
              <w:rFonts w:ascii="Arial" w:hAnsi="Arial" w:cs="Arial"/>
              <w:b/>
              <w:noProof/>
            </w:rPr>
          </w:pPr>
          <w:hyperlink w:anchor="_Toc140955552" w:history="1">
            <w:r w:rsidRPr="003E44EA">
              <w:rPr>
                <w:rStyle w:val="Hyperlink"/>
                <w:rFonts w:ascii="Arial" w:hAnsi="Arial" w:cs="Arial"/>
                <w:b/>
                <w:noProof/>
              </w:rPr>
              <w:t>Advantages of flexible working</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_Toc140955552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4</w:t>
            </w:r>
            <w:r w:rsidRPr="003E44EA">
              <w:rPr>
                <w:rFonts w:ascii="Arial" w:hAnsi="Arial" w:cs="Arial"/>
                <w:b/>
                <w:noProof/>
                <w:webHidden/>
              </w:rPr>
              <w:fldChar w:fldCharType="end"/>
            </w:r>
          </w:hyperlink>
        </w:p>
        <w:p w:rsidR="003E44EA" w:rsidRPr="003E44EA" w:rsidRDefault="003E44EA">
          <w:pPr>
            <w:pStyle w:val="TOC1"/>
            <w:tabs>
              <w:tab w:val="right" w:leader="dot" w:pos="9350"/>
            </w:tabs>
            <w:rPr>
              <w:rFonts w:ascii="Arial" w:hAnsi="Arial" w:cs="Arial"/>
              <w:b/>
              <w:noProof/>
            </w:rPr>
          </w:pPr>
          <w:hyperlink w:anchor="_Toc140955553" w:history="1">
            <w:r w:rsidRPr="003E44EA">
              <w:rPr>
                <w:rStyle w:val="Hyperlink"/>
                <w:rFonts w:ascii="Arial" w:hAnsi="Arial" w:cs="Arial"/>
                <w:b/>
                <w:noProof/>
              </w:rPr>
              <w:t>Considerations before implementing flexible working</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_Toc140955553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5</w:t>
            </w:r>
            <w:r w:rsidRPr="003E44EA">
              <w:rPr>
                <w:rFonts w:ascii="Arial" w:hAnsi="Arial" w:cs="Arial"/>
                <w:b/>
                <w:noProof/>
                <w:webHidden/>
              </w:rPr>
              <w:fldChar w:fldCharType="end"/>
            </w:r>
          </w:hyperlink>
        </w:p>
        <w:p w:rsidR="003E44EA" w:rsidRPr="003E44EA" w:rsidRDefault="003E44EA">
          <w:pPr>
            <w:pStyle w:val="TOC1"/>
            <w:tabs>
              <w:tab w:val="right" w:leader="dot" w:pos="9350"/>
            </w:tabs>
            <w:rPr>
              <w:rFonts w:ascii="Arial" w:hAnsi="Arial" w:cs="Arial"/>
              <w:b/>
              <w:noProof/>
            </w:rPr>
          </w:pPr>
          <w:hyperlink w:anchor="_Toc140955554" w:history="1">
            <w:r w:rsidRPr="003E44EA">
              <w:rPr>
                <w:rStyle w:val="Hyperlink"/>
                <w:rFonts w:ascii="Arial" w:hAnsi="Arial" w:cs="Arial"/>
                <w:b/>
                <w:noProof/>
              </w:rPr>
              <w:t>Strategies to promote employee engagement with flexible working</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_Toc140955554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7</w:t>
            </w:r>
            <w:r w:rsidRPr="003E44EA">
              <w:rPr>
                <w:rFonts w:ascii="Arial" w:hAnsi="Arial" w:cs="Arial"/>
                <w:b/>
                <w:noProof/>
                <w:webHidden/>
              </w:rPr>
              <w:fldChar w:fldCharType="end"/>
            </w:r>
          </w:hyperlink>
        </w:p>
        <w:p w:rsidR="003E44EA" w:rsidRPr="003E44EA" w:rsidRDefault="003E44EA">
          <w:pPr>
            <w:pStyle w:val="TOC1"/>
            <w:tabs>
              <w:tab w:val="right" w:leader="dot" w:pos="9350"/>
            </w:tabs>
            <w:rPr>
              <w:rFonts w:ascii="Arial" w:hAnsi="Arial" w:cs="Arial"/>
              <w:b/>
              <w:noProof/>
            </w:rPr>
          </w:pPr>
          <w:hyperlink w:anchor="_Toc140955555" w:history="1">
            <w:r w:rsidRPr="003E44EA">
              <w:rPr>
                <w:rStyle w:val="Hyperlink"/>
                <w:rFonts w:ascii="Arial" w:hAnsi="Arial" w:cs="Arial"/>
                <w:b/>
                <w:noProof/>
              </w:rPr>
              <w:t>Conclusion</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_Toc140955555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9</w:t>
            </w:r>
            <w:r w:rsidRPr="003E44EA">
              <w:rPr>
                <w:rFonts w:ascii="Arial" w:hAnsi="Arial" w:cs="Arial"/>
                <w:b/>
                <w:noProof/>
                <w:webHidden/>
              </w:rPr>
              <w:fldChar w:fldCharType="end"/>
            </w:r>
          </w:hyperlink>
        </w:p>
        <w:p w:rsidR="003E44EA" w:rsidRDefault="003E44EA">
          <w:pPr>
            <w:pStyle w:val="TOC1"/>
            <w:tabs>
              <w:tab w:val="right" w:leader="dot" w:pos="9350"/>
            </w:tabs>
            <w:rPr>
              <w:noProof/>
            </w:rPr>
          </w:pPr>
          <w:hyperlink w:anchor="_Toc140955556" w:history="1">
            <w:r w:rsidRPr="003E44EA">
              <w:rPr>
                <w:rStyle w:val="Hyperlink"/>
                <w:rFonts w:ascii="Arial" w:hAnsi="Arial" w:cs="Arial"/>
                <w:b/>
                <w:noProof/>
              </w:rPr>
              <w:t>List of references</w:t>
            </w:r>
            <w:r w:rsidRPr="003E44EA">
              <w:rPr>
                <w:rFonts w:ascii="Arial" w:hAnsi="Arial" w:cs="Arial"/>
                <w:b/>
                <w:noProof/>
                <w:webHidden/>
              </w:rPr>
              <w:tab/>
            </w:r>
            <w:r w:rsidRPr="003E44EA">
              <w:rPr>
                <w:rFonts w:ascii="Arial" w:hAnsi="Arial" w:cs="Arial"/>
                <w:b/>
                <w:noProof/>
                <w:webHidden/>
              </w:rPr>
              <w:fldChar w:fldCharType="begin"/>
            </w:r>
            <w:r w:rsidRPr="003E44EA">
              <w:rPr>
                <w:rFonts w:ascii="Arial" w:hAnsi="Arial" w:cs="Arial"/>
                <w:b/>
                <w:noProof/>
                <w:webHidden/>
              </w:rPr>
              <w:instrText xml:space="preserve"> PAGEREF _Toc140955556 \h </w:instrText>
            </w:r>
            <w:r w:rsidRPr="003E44EA">
              <w:rPr>
                <w:rFonts w:ascii="Arial" w:hAnsi="Arial" w:cs="Arial"/>
                <w:b/>
                <w:noProof/>
                <w:webHidden/>
              </w:rPr>
            </w:r>
            <w:r w:rsidRPr="003E44EA">
              <w:rPr>
                <w:rFonts w:ascii="Arial" w:hAnsi="Arial" w:cs="Arial"/>
                <w:b/>
                <w:noProof/>
                <w:webHidden/>
              </w:rPr>
              <w:fldChar w:fldCharType="separate"/>
            </w:r>
            <w:r w:rsidR="00390DC9">
              <w:rPr>
                <w:rFonts w:ascii="Arial" w:hAnsi="Arial" w:cs="Arial"/>
                <w:b/>
                <w:noProof/>
                <w:webHidden/>
              </w:rPr>
              <w:t>10</w:t>
            </w:r>
            <w:r w:rsidRPr="003E44EA">
              <w:rPr>
                <w:rFonts w:ascii="Arial" w:hAnsi="Arial" w:cs="Arial"/>
                <w:b/>
                <w:noProof/>
                <w:webHidden/>
              </w:rPr>
              <w:fldChar w:fldCharType="end"/>
            </w:r>
          </w:hyperlink>
        </w:p>
        <w:p w:rsidR="003E44EA" w:rsidRDefault="003E44EA">
          <w:r>
            <w:fldChar w:fldCharType="end"/>
          </w:r>
        </w:p>
      </w:sdtContent>
    </w:sdt>
    <w:p w:rsidR="003E44EA" w:rsidRDefault="003E44EA" w:rsidP="003E44EA">
      <w:pPr>
        <w:pStyle w:val="Heading1"/>
        <w:spacing w:before="0" w:line="360" w:lineRule="auto"/>
        <w:rPr>
          <w:rFonts w:ascii="Arial" w:hAnsi="Arial" w:cs="Arial"/>
          <w:color w:val="auto"/>
          <w:sz w:val="24"/>
          <w:szCs w:val="24"/>
        </w:rPr>
      </w:pPr>
    </w:p>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Pr="003E44EA" w:rsidRDefault="003E44EA" w:rsidP="003E44EA"/>
    <w:p w:rsidR="003E44EA" w:rsidRDefault="003E44EA" w:rsidP="00B16D7B">
      <w:pPr>
        <w:pStyle w:val="Heading1"/>
        <w:spacing w:before="0" w:line="360" w:lineRule="auto"/>
        <w:jc w:val="center"/>
        <w:rPr>
          <w:rFonts w:ascii="Arial" w:hAnsi="Arial" w:cs="Arial"/>
          <w:color w:val="auto"/>
          <w:sz w:val="24"/>
          <w:szCs w:val="24"/>
        </w:rPr>
        <w:sectPr w:rsidR="003E44EA">
          <w:footerReference w:type="default" r:id="rId8"/>
          <w:pgSz w:w="12240" w:h="15840"/>
          <w:pgMar w:top="1440" w:right="1440" w:bottom="1440" w:left="1440" w:header="708" w:footer="708" w:gutter="0"/>
          <w:cols w:space="708"/>
          <w:docGrid w:linePitch="360"/>
        </w:sectPr>
      </w:pPr>
      <w:bookmarkStart w:id="1" w:name="_Toc140955551"/>
    </w:p>
    <w:p w:rsidR="00B16D7B" w:rsidRPr="00B16D7B" w:rsidRDefault="00B16D7B" w:rsidP="00B16D7B">
      <w:pPr>
        <w:pStyle w:val="Heading1"/>
        <w:spacing w:before="0" w:line="360" w:lineRule="auto"/>
        <w:jc w:val="center"/>
        <w:rPr>
          <w:rFonts w:ascii="Arial" w:hAnsi="Arial" w:cs="Arial"/>
          <w:color w:val="auto"/>
          <w:sz w:val="24"/>
          <w:szCs w:val="24"/>
        </w:rPr>
      </w:pPr>
      <w:r w:rsidRPr="00B16D7B">
        <w:rPr>
          <w:rFonts w:ascii="Arial" w:hAnsi="Arial" w:cs="Arial"/>
          <w:color w:val="auto"/>
          <w:sz w:val="24"/>
          <w:szCs w:val="24"/>
        </w:rPr>
        <w:lastRenderedPageBreak/>
        <w:t>Introduction</w:t>
      </w:r>
      <w:bookmarkEnd w:id="0"/>
      <w:bookmarkEnd w:id="1"/>
    </w:p>
    <w:p w:rsidR="00B16D7B" w:rsidRDefault="00B16D7B" w:rsidP="00B16D7B">
      <w:pPr>
        <w:pStyle w:val="Heading1"/>
        <w:spacing w:before="0" w:line="360" w:lineRule="auto"/>
        <w:jc w:val="center"/>
        <w:rPr>
          <w:rFonts w:ascii="Arial" w:hAnsi="Arial" w:cs="Arial"/>
          <w:color w:val="auto"/>
          <w:sz w:val="24"/>
          <w:szCs w:val="24"/>
        </w:rPr>
      </w:pPr>
    </w:p>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 xml:space="preserve">In today's era, workplaces have come to acknowledge the significance and value of flexible working arrangements (FWAs). The challenge that organizations face is finding the right balance between their employees' work and personal lives, all while maintaining optimal productivity. As a result, many organizations have opted to implement FWAs for their employees, recognizing the mutual benefits they provide. One of the key advantages is the substantial enhancement in both employee and organizational performance. Furthermore, FWAs contribute to fostering a harmonious equilibrium between work and personal life, leading to reduced stress and improved well-being for employees, as well as decreased absenteeism and turnover rates for the organization. </w:t>
      </w:r>
    </w:p>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The objective of this paper is to emphasize the different types and fundamental principles of Flexible Work Arrangements (FWAs) and their influence on the performance of employees. The utilized methodology is library research, which encompasses a comprehensive analysis of secondary data. Additionally, it is advisable to conduct additional research to examine the consequences of employee-initiated and employer-initiated FWAs on the performance of organizations. This will provide substantial evidence to support the assertion that the effects of FWAs vary depending on the primary recipient.</w:t>
      </w: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Default="00C3155C" w:rsidP="00C3155C">
      <w:pPr>
        <w:spacing w:after="0" w:line="360" w:lineRule="auto"/>
        <w:ind w:firstLine="720"/>
        <w:jc w:val="both"/>
        <w:rPr>
          <w:rFonts w:ascii="Arial" w:hAnsi="Arial" w:cs="Arial"/>
          <w:color w:val="000000"/>
          <w:spacing w:val="2"/>
        </w:rPr>
      </w:pPr>
    </w:p>
    <w:p w:rsidR="00C3155C" w:rsidRPr="00C3155C" w:rsidRDefault="00C3155C" w:rsidP="00C3155C">
      <w:pPr>
        <w:spacing w:after="0" w:line="360" w:lineRule="auto"/>
        <w:ind w:firstLine="720"/>
        <w:jc w:val="both"/>
      </w:pPr>
    </w:p>
    <w:p w:rsidR="00B16D7B" w:rsidRPr="00B16D7B" w:rsidRDefault="00B16D7B" w:rsidP="00B16D7B">
      <w:pPr>
        <w:pStyle w:val="Heading1"/>
        <w:spacing w:before="0" w:line="360" w:lineRule="auto"/>
        <w:jc w:val="center"/>
        <w:rPr>
          <w:rFonts w:ascii="Arial" w:hAnsi="Arial" w:cs="Arial"/>
          <w:color w:val="auto"/>
          <w:sz w:val="24"/>
          <w:szCs w:val="24"/>
        </w:rPr>
      </w:pPr>
      <w:bookmarkStart w:id="2" w:name="_Toc140955500"/>
      <w:bookmarkStart w:id="3" w:name="_Toc140955552"/>
      <w:r w:rsidRPr="00B16D7B">
        <w:rPr>
          <w:rFonts w:ascii="Arial" w:hAnsi="Arial" w:cs="Arial"/>
          <w:color w:val="auto"/>
          <w:sz w:val="24"/>
          <w:szCs w:val="24"/>
        </w:rPr>
        <w:lastRenderedPageBreak/>
        <w:t>Advantages of flexible working</w:t>
      </w:r>
      <w:bookmarkEnd w:id="2"/>
      <w:bookmarkEnd w:id="3"/>
    </w:p>
    <w:p w:rsidR="00B16D7B" w:rsidRDefault="00B16D7B" w:rsidP="00B16D7B">
      <w:pPr>
        <w:pStyle w:val="Heading1"/>
        <w:spacing w:before="0" w:line="360" w:lineRule="auto"/>
        <w:jc w:val="center"/>
        <w:rPr>
          <w:rFonts w:ascii="Arial" w:hAnsi="Arial" w:cs="Arial"/>
          <w:color w:val="auto"/>
          <w:sz w:val="24"/>
          <w:szCs w:val="24"/>
        </w:rPr>
      </w:pPr>
    </w:p>
    <w:p w:rsidR="008B71F8" w:rsidRDefault="008B71F8" w:rsidP="008B71F8">
      <w:pPr>
        <w:shd w:val="clear" w:color="auto" w:fill="FFFFFF"/>
        <w:spacing w:after="0" w:line="360" w:lineRule="auto"/>
        <w:ind w:firstLine="720"/>
        <w:jc w:val="both"/>
        <w:rPr>
          <w:rFonts w:ascii="Arial" w:eastAsia="Times New Roman" w:hAnsi="Arial" w:cs="Arial"/>
          <w:color w:val="000000"/>
          <w:spacing w:val="2"/>
        </w:rPr>
      </w:pPr>
      <w:r w:rsidRPr="008B71F8">
        <w:rPr>
          <w:rFonts w:ascii="Arial" w:eastAsia="Times New Roman" w:hAnsi="Arial" w:cs="Arial"/>
          <w:color w:val="000000"/>
          <w:spacing w:val="2"/>
        </w:rPr>
        <w:t>Employees are significantly more inclined to endorse their employer, exhibit loyalty to their organization, and exert additional effort if their employer provides flexible work options. Individuals who engage in flexible work arrangements experience elevated levels of job satisfaction, commitment, and are inclined to exert additional effort beyond what is required, in contrast to those who do not have th</w:t>
      </w:r>
      <w:r w:rsidR="003E44EA">
        <w:rPr>
          <w:rFonts w:ascii="Arial" w:eastAsia="Times New Roman" w:hAnsi="Arial" w:cs="Arial"/>
          <w:color w:val="000000"/>
          <w:spacing w:val="2"/>
        </w:rPr>
        <w:t>e opportunity to work flexibly.</w:t>
      </w:r>
      <w:r w:rsidRPr="008B71F8">
        <w:rPr>
          <w:rFonts w:ascii="Arial" w:eastAsia="Times New Roman" w:hAnsi="Arial" w:cs="Arial"/>
          <w:color w:val="000000"/>
          <w:spacing w:val="2"/>
        </w:rPr>
        <w:t xml:space="preserve"> Employers can reap substantial benefits by having a workforce that embraces flexibility</w:t>
      </w:r>
      <w:r w:rsidR="003E44EA">
        <w:rPr>
          <w:rFonts w:ascii="Arial" w:eastAsia="Times New Roman" w:hAnsi="Arial" w:cs="Arial"/>
          <w:color w:val="000000"/>
          <w:spacing w:val="2"/>
        </w:rPr>
        <w:t xml:space="preserve"> (</w:t>
      </w:r>
      <w:r w:rsidR="003E44EA">
        <w:rPr>
          <w:rFonts w:ascii="Arial" w:hAnsi="Arial" w:cs="Arial"/>
        </w:rPr>
        <w:t>Aronsson,</w:t>
      </w:r>
      <w:r w:rsidR="003E44EA" w:rsidRPr="003E44EA">
        <w:rPr>
          <w:rFonts w:ascii="Arial" w:hAnsi="Arial" w:cs="Arial"/>
        </w:rPr>
        <w:t xml:space="preserve"> Gustaf</w:t>
      </w:r>
      <w:r w:rsidR="003E44EA">
        <w:rPr>
          <w:rFonts w:ascii="Arial" w:hAnsi="Arial" w:cs="Arial"/>
        </w:rPr>
        <w:t xml:space="preserve">sson &amp; Dallner, </w:t>
      </w:r>
      <w:r w:rsidR="003E44EA" w:rsidRPr="003E44EA">
        <w:rPr>
          <w:rFonts w:ascii="Arial" w:hAnsi="Arial" w:cs="Arial"/>
        </w:rPr>
        <w:t>2002)</w:t>
      </w:r>
      <w:r w:rsidRPr="008B71F8">
        <w:rPr>
          <w:rFonts w:ascii="Arial" w:eastAsia="Times New Roman" w:hAnsi="Arial" w:cs="Arial"/>
          <w:color w:val="000000"/>
          <w:spacing w:val="2"/>
        </w:rPr>
        <w:t>. These advantages include the potential for a 43% increase in revenue and a 20% boost in performance when compared to employees who are not engaged. The implementation of flexible working arrangements has been shown to have a positive impact on absence rates within organizations. By providing employees with the opportu</w:t>
      </w:r>
      <w:r>
        <w:rPr>
          <w:rFonts w:ascii="Arial" w:eastAsia="Times New Roman" w:hAnsi="Arial" w:cs="Arial"/>
          <w:color w:val="000000"/>
          <w:spacing w:val="2"/>
        </w:rPr>
        <w:t xml:space="preserve">nity to effectively manage both </w:t>
      </w:r>
      <w:r w:rsidRPr="008B71F8">
        <w:rPr>
          <w:rFonts w:ascii="Arial" w:eastAsia="Times New Roman" w:hAnsi="Arial" w:cs="Arial"/>
          <w:color w:val="000000"/>
          <w:spacing w:val="2"/>
        </w:rPr>
        <w:t>their disabilities and long-term health conditions, as well as their caring responsibilities, flexible working promotes a healthier work-life balance</w:t>
      </w:r>
      <w:r w:rsidR="00390DC9">
        <w:rPr>
          <w:rFonts w:ascii="Arial" w:eastAsia="Times New Roman" w:hAnsi="Arial" w:cs="Arial"/>
          <w:color w:val="000000"/>
          <w:spacing w:val="2"/>
        </w:rPr>
        <w:t xml:space="preserve"> (</w:t>
      </w:r>
      <w:r w:rsidR="00390DC9" w:rsidRPr="003E44EA">
        <w:rPr>
          <w:rFonts w:ascii="Arial" w:hAnsi="Arial" w:cs="Arial"/>
        </w:rPr>
        <w:t>Kos</w:t>
      </w:r>
      <w:r w:rsidR="00390DC9">
        <w:rPr>
          <w:rFonts w:ascii="Arial" w:hAnsi="Arial" w:cs="Arial"/>
        </w:rPr>
        <w:t xml:space="preserve">sek &amp; Michel, </w:t>
      </w:r>
      <w:r w:rsidR="00390DC9" w:rsidRPr="003E44EA">
        <w:rPr>
          <w:rFonts w:ascii="Arial" w:hAnsi="Arial" w:cs="Arial"/>
        </w:rPr>
        <w:t>2010)</w:t>
      </w:r>
      <w:r w:rsidRPr="008B71F8">
        <w:rPr>
          <w:rFonts w:ascii="Arial" w:eastAsia="Times New Roman" w:hAnsi="Arial" w:cs="Arial"/>
          <w:color w:val="000000"/>
          <w:spacing w:val="2"/>
        </w:rPr>
        <w:t xml:space="preserve">. </w:t>
      </w:r>
    </w:p>
    <w:p w:rsidR="008B71F8" w:rsidRDefault="008B71F8" w:rsidP="008B71F8">
      <w:pPr>
        <w:shd w:val="clear" w:color="auto" w:fill="FFFFFF"/>
        <w:spacing w:after="0" w:line="360" w:lineRule="auto"/>
        <w:ind w:firstLine="720"/>
        <w:jc w:val="both"/>
        <w:rPr>
          <w:rFonts w:ascii="Arial" w:eastAsia="Times New Roman" w:hAnsi="Arial" w:cs="Arial"/>
          <w:color w:val="000000"/>
          <w:spacing w:val="2"/>
        </w:rPr>
      </w:pPr>
      <w:r w:rsidRPr="008B71F8">
        <w:rPr>
          <w:rFonts w:ascii="Arial" w:eastAsia="Times New Roman" w:hAnsi="Arial" w:cs="Arial"/>
          <w:color w:val="000000"/>
          <w:spacing w:val="2"/>
        </w:rPr>
        <w:t>Additionally, it serves as a means of supporting employees' mental well-being and reducing stress levels. When parents and caregivers, particularly those with limited financial resources, are provided with opportunities for flexible work, they experience the greatest advantages</w:t>
      </w:r>
      <w:r w:rsidR="00390DC9">
        <w:rPr>
          <w:rFonts w:ascii="Arial" w:eastAsia="Times New Roman" w:hAnsi="Arial" w:cs="Arial"/>
          <w:color w:val="000000"/>
          <w:spacing w:val="2"/>
        </w:rPr>
        <w:t xml:space="preserve"> (</w:t>
      </w:r>
      <w:r w:rsidR="00390DC9">
        <w:rPr>
          <w:rFonts w:ascii="Arial" w:hAnsi="Arial" w:cs="Arial"/>
        </w:rPr>
        <w:t xml:space="preserve">Kotter, </w:t>
      </w:r>
      <w:r w:rsidR="00390DC9" w:rsidRPr="003E44EA">
        <w:rPr>
          <w:rFonts w:ascii="Arial" w:hAnsi="Arial" w:cs="Arial"/>
        </w:rPr>
        <w:t>2012)</w:t>
      </w:r>
      <w:r w:rsidRPr="008B71F8">
        <w:rPr>
          <w:rFonts w:ascii="Arial" w:eastAsia="Times New Roman" w:hAnsi="Arial" w:cs="Arial"/>
          <w:color w:val="000000"/>
          <w:spacing w:val="2"/>
        </w:rPr>
        <w:t xml:space="preserve">. Their overall well-being improves and they are less burdened by stress. The satisfaction and retention of employees, regardless of their career stage, can be attributed to the implementation of flexible working practices. The introduction of flexibility in work schedules has proven to be effective in reducing staff turnover. Moreover, for senior and managerial staff, the availability of flexible working arrangements becomes crucial in maintaining their professional growth and productivity, especially in the event of becoming parents. </w:t>
      </w:r>
    </w:p>
    <w:p w:rsidR="008B71F8" w:rsidRDefault="008B71F8" w:rsidP="008B71F8">
      <w:pPr>
        <w:shd w:val="clear" w:color="auto" w:fill="FFFFFF"/>
        <w:spacing w:after="0" w:line="360" w:lineRule="auto"/>
        <w:ind w:firstLine="720"/>
        <w:jc w:val="both"/>
        <w:rPr>
          <w:rFonts w:ascii="Arial" w:eastAsia="Times New Roman" w:hAnsi="Arial" w:cs="Arial"/>
          <w:color w:val="000000"/>
          <w:spacing w:val="2"/>
        </w:rPr>
      </w:pPr>
      <w:r w:rsidRPr="008B71F8">
        <w:rPr>
          <w:rFonts w:ascii="Arial" w:eastAsia="Times New Roman" w:hAnsi="Arial" w:cs="Arial"/>
          <w:color w:val="000000"/>
          <w:spacing w:val="2"/>
        </w:rPr>
        <w:t xml:space="preserve">Flexible working arrangements have been found to be particularly beneficial for entry-level employees, as they effectively minimize the extent to which their job responsibilities spill over into their personal lives. This reduction in job-life spillover has a positive impact on their overall well-being and work-life balance. Enhancing the ability to retain and stay dedicated. By embracing flexible work arrangements, organizations can achieve a significant decrease in employee turnover rates, up to 87%. Furthermore, a striking 90% of employees view flexible working as a primary driver of their productivity, surpassing the influence of financial rewards, which only 77% of employees find motivating. A staggering 81% of individuals who have the privilege of remote working firmly believe that it enhances their productivity and overall job </w:t>
      </w:r>
      <w:r w:rsidRPr="008B71F8">
        <w:rPr>
          <w:rFonts w:ascii="Arial" w:eastAsia="Times New Roman" w:hAnsi="Arial" w:cs="Arial"/>
          <w:color w:val="000000"/>
          <w:spacing w:val="2"/>
        </w:rPr>
        <w:lastRenderedPageBreak/>
        <w:t>satisfaction. productivity. Managers and colleagues alike frequently note a beneficial or non-negative effect on the individual. When organizations adopt flexible working practices, there is a notable improvement in both the quality and quantity of work performance. Flexible work schedules are beneficial for employees when it comes to collaborating with others. In order to enhance productivity for businesses of all sizes, it is essential for parents and caregivers to find a harmonious equilibrium between their professional obligations and personal lives</w:t>
      </w:r>
      <w:r w:rsidR="003E44EA">
        <w:rPr>
          <w:rFonts w:ascii="Arial" w:eastAsia="Times New Roman" w:hAnsi="Arial" w:cs="Arial"/>
          <w:color w:val="000000"/>
          <w:spacing w:val="2"/>
        </w:rPr>
        <w:t xml:space="preserve"> (</w:t>
      </w:r>
      <w:r w:rsidR="003E44EA">
        <w:rPr>
          <w:rFonts w:ascii="Arial" w:hAnsi="Arial" w:cs="Arial"/>
        </w:rPr>
        <w:t>Altindag</w:t>
      </w:r>
      <w:r w:rsidR="003E44EA" w:rsidRPr="003E44EA">
        <w:rPr>
          <w:rFonts w:ascii="Arial" w:hAnsi="Arial" w:cs="Arial"/>
        </w:rPr>
        <w:t xml:space="preserve"> &amp;</w:t>
      </w:r>
      <w:r w:rsidR="003E44EA">
        <w:rPr>
          <w:rFonts w:ascii="Arial" w:hAnsi="Arial" w:cs="Arial"/>
        </w:rPr>
        <w:t xml:space="preserve"> Siller, </w:t>
      </w:r>
      <w:r w:rsidR="003E44EA" w:rsidRPr="003E44EA">
        <w:rPr>
          <w:rFonts w:ascii="Arial" w:hAnsi="Arial" w:cs="Arial"/>
        </w:rPr>
        <w:t>2014)</w:t>
      </w:r>
      <w:r w:rsidRPr="008B71F8">
        <w:rPr>
          <w:rFonts w:ascii="Arial" w:eastAsia="Times New Roman" w:hAnsi="Arial" w:cs="Arial"/>
          <w:color w:val="000000"/>
          <w:spacing w:val="2"/>
        </w:rPr>
        <w:t xml:space="preserve">. By achieving this balance, individuals are able to effectively manage both their work and family responsibilities, resulting in an overall improvement in performance and increased average labor productivity. </w:t>
      </w:r>
    </w:p>
    <w:p w:rsidR="008B71F8" w:rsidRPr="008B71F8" w:rsidRDefault="008B71F8" w:rsidP="008B71F8">
      <w:pPr>
        <w:shd w:val="clear" w:color="auto" w:fill="FFFFFF"/>
        <w:spacing w:after="0" w:line="360" w:lineRule="auto"/>
        <w:ind w:firstLine="720"/>
        <w:jc w:val="both"/>
        <w:rPr>
          <w:rFonts w:ascii="Arial" w:eastAsia="Times New Roman" w:hAnsi="Arial" w:cs="Arial"/>
          <w:color w:val="000000"/>
          <w:spacing w:val="2"/>
        </w:rPr>
      </w:pPr>
      <w:r w:rsidRPr="008B71F8">
        <w:rPr>
          <w:rFonts w:ascii="Arial" w:eastAsia="Times New Roman" w:hAnsi="Arial" w:cs="Arial"/>
          <w:color w:val="000000"/>
          <w:spacing w:val="2"/>
        </w:rPr>
        <w:t>Promoting and facilitating flexible working arrangements can be instrumental in diminishing the gender pay gap within businesses. The implementation of flexible working arrangements within organizations not only promotes a more diverse pool of talent, but also contributes to the enhancement of diversity at the board level. Research conducted on a global scale indicates that companies with diverse boards consistently outperform their competitors, resulting in an opportunity cost that is estimated to be approximately 3% of the United Kingdom's Gross Domestic Product (GDP)</w:t>
      </w:r>
      <w:r w:rsidR="00390DC9">
        <w:rPr>
          <w:rFonts w:ascii="Arial" w:eastAsia="Times New Roman" w:hAnsi="Arial" w:cs="Arial"/>
          <w:color w:val="000000"/>
          <w:spacing w:val="2"/>
        </w:rPr>
        <w:t xml:space="preserve"> (</w:t>
      </w:r>
      <w:r w:rsidR="00390DC9">
        <w:rPr>
          <w:rFonts w:ascii="Arial" w:hAnsi="Arial" w:cs="Arial"/>
        </w:rPr>
        <w:t xml:space="preserve">Linnoff, </w:t>
      </w:r>
      <w:r w:rsidR="00390DC9" w:rsidRPr="003E44EA">
        <w:rPr>
          <w:rFonts w:ascii="Arial" w:hAnsi="Arial" w:cs="Arial"/>
        </w:rPr>
        <w:t>S</w:t>
      </w:r>
      <w:r w:rsidR="00390DC9">
        <w:rPr>
          <w:rFonts w:ascii="Arial" w:hAnsi="Arial" w:cs="Arial"/>
        </w:rPr>
        <w:t xml:space="preserve">mith &amp; Smith, </w:t>
      </w:r>
      <w:r w:rsidR="00390DC9" w:rsidRPr="003E44EA">
        <w:rPr>
          <w:rFonts w:ascii="Arial" w:hAnsi="Arial" w:cs="Arial"/>
        </w:rPr>
        <w:t>2014)</w:t>
      </w:r>
      <w:r w:rsidRPr="008B71F8">
        <w:rPr>
          <w:rFonts w:ascii="Arial" w:eastAsia="Times New Roman" w:hAnsi="Arial" w:cs="Arial"/>
          <w:color w:val="000000"/>
          <w:spacing w:val="2"/>
        </w:rPr>
        <w:t>. Not only do leadership teams that encompass a range of genders provide an additional 18% return on equity premium, but the enhancement of diversity has the potential to contribute a staggering £150 billion annually to the UK economy by the year 2025.</w:t>
      </w:r>
    </w:p>
    <w:p w:rsidR="00C3155C" w:rsidRPr="00C3155C" w:rsidRDefault="00C3155C" w:rsidP="008B71F8">
      <w:pPr>
        <w:spacing w:after="0"/>
      </w:pPr>
    </w:p>
    <w:p w:rsidR="00B16D7B" w:rsidRDefault="00B16D7B" w:rsidP="00B16D7B">
      <w:pPr>
        <w:pStyle w:val="Heading1"/>
        <w:spacing w:before="0" w:line="360" w:lineRule="auto"/>
        <w:jc w:val="center"/>
        <w:rPr>
          <w:rFonts w:ascii="Arial" w:hAnsi="Arial" w:cs="Arial"/>
          <w:color w:val="auto"/>
          <w:sz w:val="24"/>
          <w:szCs w:val="24"/>
        </w:rPr>
      </w:pPr>
      <w:bookmarkStart w:id="4" w:name="_Toc140955501"/>
      <w:bookmarkStart w:id="5" w:name="_Toc140955553"/>
      <w:r w:rsidRPr="00B16D7B">
        <w:rPr>
          <w:rFonts w:ascii="Arial" w:hAnsi="Arial" w:cs="Arial"/>
          <w:color w:val="auto"/>
          <w:sz w:val="24"/>
          <w:szCs w:val="24"/>
        </w:rPr>
        <w:t>Considerations before implementing flexible working</w:t>
      </w:r>
      <w:bookmarkEnd w:id="4"/>
      <w:bookmarkEnd w:id="5"/>
    </w:p>
    <w:p w:rsidR="00B16D7B" w:rsidRDefault="00B16D7B" w:rsidP="00B16D7B"/>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Unsatisfactory outcomes can arise from the improper implementation of Flexible Work Arrangements. It has been observed that counteractive measures have a negative impact on both employee productivity and the overall functioning of a business. To achieve success, organizations must conduct a thorough examination of the existing literature on Flexible Work Arrangements (FWAs). This literature review emphasizes the significance of organizations ensuring the effective and efficient implementation of FWAs. By doing so, organizations can cultivate a work atmosphere that fosters employee satisfaction and productivity (Yeh &amp; Hong, 2012). Before integrating Flexible Work Arrangements into their company culture, organizations should take into account several crucial factors. Careful planning is essential when implementing Flex work</w:t>
      </w:r>
      <w:r w:rsidR="00390DC9">
        <w:rPr>
          <w:rFonts w:ascii="Arial" w:hAnsi="Arial" w:cs="Arial"/>
          <w:color w:val="000000"/>
          <w:spacing w:val="2"/>
        </w:rPr>
        <w:t xml:space="preserve"> (</w:t>
      </w:r>
      <w:r w:rsidR="00390DC9" w:rsidRPr="003E44EA">
        <w:rPr>
          <w:rFonts w:ascii="Arial" w:hAnsi="Arial" w:cs="Arial"/>
        </w:rPr>
        <w:t>Ko</w:t>
      </w:r>
      <w:r w:rsidR="00390DC9">
        <w:rPr>
          <w:rFonts w:ascii="Arial" w:hAnsi="Arial" w:cs="Arial"/>
        </w:rPr>
        <w:t xml:space="preserve">walski &amp; Loretto, </w:t>
      </w:r>
      <w:r w:rsidR="00390DC9" w:rsidRPr="003E44EA">
        <w:rPr>
          <w:rFonts w:ascii="Arial" w:hAnsi="Arial" w:cs="Arial"/>
        </w:rPr>
        <w:t>2017)</w:t>
      </w:r>
      <w:r w:rsidRPr="00C3155C">
        <w:rPr>
          <w:rFonts w:ascii="Arial" w:hAnsi="Arial" w:cs="Arial"/>
          <w:color w:val="000000"/>
          <w:spacing w:val="2"/>
        </w:rPr>
        <w:t xml:space="preserve">. </w:t>
      </w:r>
    </w:p>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 xml:space="preserve">It is of utmost importance to thoroughly evaluate and assess the company's operations and procedures, which includes conducting a comprehensive examination of the existing </w:t>
      </w:r>
      <w:r w:rsidRPr="00C3155C">
        <w:rPr>
          <w:rFonts w:ascii="Arial" w:hAnsi="Arial" w:cs="Arial"/>
          <w:color w:val="000000"/>
          <w:spacing w:val="2"/>
        </w:rPr>
        <w:lastRenderedPageBreak/>
        <w:t>business system and processes. To ensure the success of the flex program, it is vital to identify individuals who possess specific qualities. Suitable candidates for the flex program are those who exhibit a strong sense of self and have the ability to autonomously work. They should also demonstrate high levels of motivation, consistently meet or exceed performance expectations, and possess excellent teamwork skills. Additionally, these individuals should have exceptional organizational abilities and demonstrate effective time management skills (Kattenbach, Demerouti &amp; Nachreiner, 2010). In order for Flexible Work Arrangements to be successful, it is crucial to maintain consistent and ongoing communication between the employee and their supervisor. To enhance the chances of achieving desired outcomes, it is important to establish clear expectations for communication and provide training for managers in this area</w:t>
      </w:r>
      <w:r w:rsidR="00390DC9">
        <w:rPr>
          <w:rFonts w:ascii="Arial" w:hAnsi="Arial" w:cs="Arial"/>
          <w:color w:val="000000"/>
          <w:spacing w:val="2"/>
        </w:rPr>
        <w:t xml:space="preserve"> (</w:t>
      </w:r>
      <w:r w:rsidR="00390DC9">
        <w:rPr>
          <w:rFonts w:ascii="Arial" w:hAnsi="Arial" w:cs="Arial"/>
        </w:rPr>
        <w:t>Sverke,</w:t>
      </w:r>
      <w:r w:rsidR="00390DC9" w:rsidRPr="003E44EA">
        <w:rPr>
          <w:rFonts w:ascii="Arial" w:hAnsi="Arial" w:cs="Arial"/>
        </w:rPr>
        <w:t xml:space="preserve"> Gallaghe</w:t>
      </w:r>
      <w:r w:rsidR="00390DC9">
        <w:rPr>
          <w:rFonts w:ascii="Arial" w:hAnsi="Arial" w:cs="Arial"/>
        </w:rPr>
        <w:t xml:space="preserve">r &amp; Hellgren, </w:t>
      </w:r>
      <w:r w:rsidR="00390DC9" w:rsidRPr="003E44EA">
        <w:rPr>
          <w:rFonts w:ascii="Arial" w:hAnsi="Arial" w:cs="Arial"/>
        </w:rPr>
        <w:t>2000)</w:t>
      </w:r>
      <w:r w:rsidRPr="00C3155C">
        <w:rPr>
          <w:rFonts w:ascii="Arial" w:hAnsi="Arial" w:cs="Arial"/>
          <w:color w:val="000000"/>
          <w:spacing w:val="2"/>
        </w:rPr>
        <w:t xml:space="preserve">. There are various strategies and approaches that can be utilized to increase the likelihood of success. One effective approach involves setting specific and well-defined goals that align with an individual's aspirations and ambitions. By defining one's own understanding of success and establishing measurable objectives, individuals can create a roadmap for their journey towards achieving their goals (Kottey &amp; Sharma, 2016). </w:t>
      </w:r>
    </w:p>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 xml:space="preserve">Increasing the likelihood of achieving success can be greatly facilitated by adopting a growth mindset and maintaining a positive outlook. This entails embracing challenges, actively seeking opportunities for personal and professional growth, and consistently learning from setbacks and failures. Additionally, it is crucial to establish a robust support network and surround oneself with individuals who share similar aspirations and values, as they can offer invaluable encouragement, guidance, and motivation throughout the journey towards success (Pérez, Sánchez &amp; de-Luis, 2003). </w:t>
      </w:r>
    </w:p>
    <w:p w:rsidR="00C3155C" w:rsidRDefault="00C3155C" w:rsidP="00C3155C">
      <w:pPr>
        <w:spacing w:after="0" w:line="360" w:lineRule="auto"/>
        <w:ind w:firstLine="720"/>
        <w:jc w:val="both"/>
        <w:rPr>
          <w:rFonts w:ascii="Arial" w:hAnsi="Arial" w:cs="Arial"/>
          <w:color w:val="000000"/>
          <w:spacing w:val="2"/>
        </w:rPr>
      </w:pPr>
      <w:r w:rsidRPr="00C3155C">
        <w:rPr>
          <w:rFonts w:ascii="Arial" w:hAnsi="Arial" w:cs="Arial"/>
          <w:color w:val="000000"/>
          <w:spacing w:val="2"/>
        </w:rPr>
        <w:t>Lastly, effective time management skills and prioritizing tasks and responsibilities are essential in optimizing productivity and ensuring that efforts are directed towards activities that directly contribute to desired outcomes</w:t>
      </w:r>
      <w:r w:rsidR="00390DC9">
        <w:rPr>
          <w:rFonts w:ascii="Arial" w:hAnsi="Arial" w:cs="Arial"/>
          <w:color w:val="000000"/>
          <w:spacing w:val="2"/>
        </w:rPr>
        <w:t xml:space="preserve"> (</w:t>
      </w:r>
      <w:r w:rsidR="00390DC9">
        <w:rPr>
          <w:rFonts w:ascii="Arial" w:hAnsi="Arial" w:cs="Arial"/>
        </w:rPr>
        <w:t xml:space="preserve">Smith, </w:t>
      </w:r>
      <w:r w:rsidR="00390DC9" w:rsidRPr="003E44EA">
        <w:rPr>
          <w:rFonts w:ascii="Arial" w:hAnsi="Arial" w:cs="Arial"/>
        </w:rPr>
        <w:t>Sm</w:t>
      </w:r>
      <w:r w:rsidR="00390DC9">
        <w:rPr>
          <w:rFonts w:ascii="Arial" w:hAnsi="Arial" w:cs="Arial"/>
        </w:rPr>
        <w:t xml:space="preserve">ith &amp; Brower, </w:t>
      </w:r>
      <w:r w:rsidR="00390DC9" w:rsidRPr="003E44EA">
        <w:rPr>
          <w:rFonts w:ascii="Arial" w:hAnsi="Arial" w:cs="Arial"/>
        </w:rPr>
        <w:t>2016)</w:t>
      </w:r>
      <w:r w:rsidRPr="00C3155C">
        <w:rPr>
          <w:rFonts w:ascii="Arial" w:hAnsi="Arial" w:cs="Arial"/>
          <w:color w:val="000000"/>
          <w:spacing w:val="2"/>
        </w:rPr>
        <w:t>. By employing these tactics and methodologies, individuals can greatly enhance their likelihood of attaining success in various facets of life. To ensure a clear comprehension of the stipulations outlined in the agreement, it is vital for all parties involved to be in sync. It is of utmost importance to establish and achieve a written agreement that is meticulously crafted and mutually agreed upon by all parties concerned. To initiate the program, commence with a trial phase involving specific departments</w:t>
      </w:r>
      <w:r w:rsidR="00390DC9">
        <w:rPr>
          <w:rFonts w:ascii="Arial" w:hAnsi="Arial" w:cs="Arial"/>
          <w:color w:val="000000"/>
          <w:spacing w:val="2"/>
        </w:rPr>
        <w:t xml:space="preserve"> (</w:t>
      </w:r>
      <w:r w:rsidR="00390DC9">
        <w:rPr>
          <w:rFonts w:ascii="Arial" w:hAnsi="Arial" w:cs="Arial"/>
        </w:rPr>
        <w:t xml:space="preserve">Greenhaus, Collins &amp; Shaw, </w:t>
      </w:r>
      <w:r w:rsidR="00390DC9" w:rsidRPr="003E44EA">
        <w:rPr>
          <w:rFonts w:ascii="Arial" w:hAnsi="Arial" w:cs="Arial"/>
        </w:rPr>
        <w:t>2003)</w:t>
      </w:r>
      <w:r w:rsidRPr="00C3155C">
        <w:rPr>
          <w:rFonts w:ascii="Arial" w:hAnsi="Arial" w:cs="Arial"/>
          <w:color w:val="000000"/>
          <w:spacing w:val="2"/>
        </w:rPr>
        <w:t xml:space="preserve">. Throughout this phase, it is crucial for employees and managers to collaborate genuinely in order to proficiently implement the proposal and resolve any obstacles that may arise. It is crucial to periodically assess and </w:t>
      </w:r>
      <w:r w:rsidRPr="00C3155C">
        <w:rPr>
          <w:rFonts w:ascii="Arial" w:hAnsi="Arial" w:cs="Arial"/>
          <w:color w:val="000000"/>
          <w:spacing w:val="2"/>
        </w:rPr>
        <w:lastRenderedPageBreak/>
        <w:t>terminate any Flexible Work Arrangements if they no longer align with the operational necessities of the organization (Mwebi &amp; Kadaga, 2015).</w:t>
      </w:r>
    </w:p>
    <w:p w:rsidR="00C3155C" w:rsidRPr="00C3155C" w:rsidRDefault="00C3155C" w:rsidP="00C3155C">
      <w:pPr>
        <w:spacing w:after="0" w:line="360" w:lineRule="auto"/>
        <w:ind w:firstLine="720"/>
        <w:jc w:val="both"/>
      </w:pPr>
    </w:p>
    <w:p w:rsidR="00B16D7B" w:rsidRDefault="00B16D7B" w:rsidP="00B16D7B">
      <w:pPr>
        <w:pStyle w:val="Heading1"/>
        <w:spacing w:before="0" w:line="360" w:lineRule="auto"/>
        <w:jc w:val="center"/>
        <w:rPr>
          <w:rFonts w:ascii="Arial" w:hAnsi="Arial" w:cs="Arial"/>
          <w:color w:val="auto"/>
          <w:sz w:val="24"/>
          <w:szCs w:val="24"/>
        </w:rPr>
      </w:pPr>
      <w:bookmarkStart w:id="6" w:name="_Toc140955502"/>
      <w:bookmarkStart w:id="7" w:name="_Toc140955554"/>
      <w:r w:rsidRPr="00B16D7B">
        <w:rPr>
          <w:rFonts w:ascii="Arial" w:hAnsi="Arial" w:cs="Arial"/>
          <w:color w:val="auto"/>
          <w:sz w:val="24"/>
          <w:szCs w:val="24"/>
        </w:rPr>
        <w:t>Strategies to promote employee engagement with flexible working</w:t>
      </w:r>
      <w:bookmarkEnd w:id="6"/>
      <w:bookmarkEnd w:id="7"/>
    </w:p>
    <w:p w:rsidR="00B16D7B" w:rsidRDefault="00B16D7B" w:rsidP="00B16D7B"/>
    <w:p w:rsidR="008B71F8" w:rsidRDefault="008B71F8" w:rsidP="008B71F8">
      <w:pPr>
        <w:spacing w:after="0" w:line="360" w:lineRule="auto"/>
        <w:ind w:firstLine="720"/>
        <w:jc w:val="both"/>
        <w:rPr>
          <w:rFonts w:ascii="Arial" w:hAnsi="Arial" w:cs="Arial"/>
          <w:color w:val="000000"/>
          <w:spacing w:val="2"/>
        </w:rPr>
      </w:pPr>
      <w:r w:rsidRPr="008B71F8">
        <w:rPr>
          <w:rFonts w:ascii="Arial" w:hAnsi="Arial" w:cs="Arial"/>
          <w:color w:val="000000"/>
          <w:spacing w:val="2"/>
        </w:rPr>
        <w:t>The key driver of employee engagement is flexibility. According to the study, employees who have the option to work remotely for three to four days experience the highest levels of engagement. Here is how flexible working enables this outcome: Teams are motivated to be more efficient and productive when they are given the autonomy to work independently, while still being held accountable for their performance. Furthermore, the absence of a daily commute grants employees extra time to dedicate to their work, resulting in improved ability to meet deadlines. Additionally, flexible working arrangements enable employees to capitalize on their most productive hours, leading to heightened individual efficiency. In the end, employees who are efficient and productive often exhibit a higher level of engagement in their respective roles</w:t>
      </w:r>
      <w:r w:rsidR="003E44EA">
        <w:rPr>
          <w:rFonts w:ascii="Arial" w:hAnsi="Arial" w:cs="Arial"/>
          <w:color w:val="000000"/>
          <w:spacing w:val="2"/>
        </w:rPr>
        <w:t xml:space="preserve"> (</w:t>
      </w:r>
      <w:r w:rsidR="00390DC9">
        <w:rPr>
          <w:rFonts w:ascii="Arial" w:hAnsi="Arial" w:cs="Arial"/>
        </w:rPr>
        <w:t>Essien</w:t>
      </w:r>
      <w:r w:rsidR="003E44EA">
        <w:rPr>
          <w:rFonts w:ascii="Arial" w:hAnsi="Arial" w:cs="Arial"/>
        </w:rPr>
        <w:t xml:space="preserve"> &amp; Edwinah, </w:t>
      </w:r>
      <w:r w:rsidR="003E44EA" w:rsidRPr="003E44EA">
        <w:rPr>
          <w:rFonts w:ascii="Arial" w:hAnsi="Arial" w:cs="Arial"/>
        </w:rPr>
        <w:t>2017)</w:t>
      </w:r>
      <w:r w:rsidRPr="008B71F8">
        <w:rPr>
          <w:rFonts w:ascii="Arial" w:hAnsi="Arial" w:cs="Arial"/>
          <w:color w:val="000000"/>
          <w:spacing w:val="2"/>
        </w:rPr>
        <w:t xml:space="preserve">. </w:t>
      </w:r>
    </w:p>
    <w:p w:rsidR="008B71F8" w:rsidRDefault="008B71F8" w:rsidP="008B71F8">
      <w:pPr>
        <w:spacing w:after="0" w:line="360" w:lineRule="auto"/>
        <w:ind w:firstLine="720"/>
        <w:jc w:val="both"/>
        <w:rPr>
          <w:rFonts w:ascii="Arial" w:hAnsi="Arial" w:cs="Arial"/>
          <w:color w:val="000000"/>
          <w:spacing w:val="2"/>
        </w:rPr>
      </w:pPr>
      <w:r w:rsidRPr="008B71F8">
        <w:rPr>
          <w:rFonts w:ascii="Arial" w:hAnsi="Arial" w:cs="Arial"/>
          <w:color w:val="000000"/>
          <w:spacing w:val="2"/>
        </w:rPr>
        <w:t>The implementation of a flexible working culture fosters a stronger sense of trust within the organization. By granting employees the opportunity to work remotely, it demonstrates confidence in their ability to make informed decisions that benefit the company, while providing them with the independence and autonomy to work from a distance. This culture of mutual trust enhances employee accountability and diminishes the necessity for excessive supervision, thus motivating each team member to strive for excellence and align their personal goals with the expectations of the employer</w:t>
      </w:r>
      <w:r w:rsidR="003E44EA">
        <w:rPr>
          <w:rFonts w:ascii="Arial" w:hAnsi="Arial" w:cs="Arial"/>
          <w:color w:val="000000"/>
          <w:spacing w:val="2"/>
        </w:rPr>
        <w:t xml:space="preserve"> (</w:t>
      </w:r>
      <w:r w:rsidR="003E44EA">
        <w:rPr>
          <w:rFonts w:ascii="Arial" w:hAnsi="Arial" w:cs="Arial"/>
        </w:rPr>
        <w:t>Crampton et al,</w:t>
      </w:r>
      <w:r w:rsidR="003E44EA" w:rsidRPr="003E44EA">
        <w:rPr>
          <w:rFonts w:ascii="Arial" w:hAnsi="Arial" w:cs="Arial"/>
        </w:rPr>
        <w:t xml:space="preserve"> 2003)</w:t>
      </w:r>
      <w:r w:rsidRPr="008B71F8">
        <w:rPr>
          <w:rFonts w:ascii="Arial" w:hAnsi="Arial" w:cs="Arial"/>
          <w:color w:val="000000"/>
          <w:spacing w:val="2"/>
        </w:rPr>
        <w:t>. The implementation of flexible work arrangements places a significant burden on teams. In order to maintain productivity, it is imperative that team members engage in transparent collaboration and communication. This necessitates the establishment of strong mechanisms for peer feedback, primarily utilizing tools that enable asynchronous collaboration and communication. Ultimately, fostering an environment that promotes collaborative learning enables teams to provide mutual support and fosters increased levels of employee engagement</w:t>
      </w:r>
      <w:r w:rsidR="003E44EA">
        <w:rPr>
          <w:rFonts w:ascii="Arial" w:hAnsi="Arial" w:cs="Arial"/>
          <w:color w:val="000000"/>
          <w:spacing w:val="2"/>
        </w:rPr>
        <w:t xml:space="preserve"> (</w:t>
      </w:r>
      <w:r w:rsidR="003E44EA">
        <w:rPr>
          <w:rFonts w:ascii="Arial" w:hAnsi="Arial" w:cs="Arial"/>
        </w:rPr>
        <w:t xml:space="preserve">Docherty et al, </w:t>
      </w:r>
      <w:r w:rsidR="003E44EA" w:rsidRPr="003E44EA">
        <w:rPr>
          <w:rFonts w:ascii="Arial" w:hAnsi="Arial" w:cs="Arial"/>
        </w:rPr>
        <w:t>2002)</w:t>
      </w:r>
      <w:r w:rsidRPr="008B71F8">
        <w:rPr>
          <w:rFonts w:ascii="Arial" w:hAnsi="Arial" w:cs="Arial"/>
          <w:color w:val="000000"/>
          <w:spacing w:val="2"/>
        </w:rPr>
        <w:t xml:space="preserve">. </w:t>
      </w:r>
    </w:p>
    <w:p w:rsidR="008B71F8" w:rsidRPr="008B71F8" w:rsidRDefault="008B71F8" w:rsidP="008B71F8">
      <w:pPr>
        <w:spacing w:after="0" w:line="360" w:lineRule="auto"/>
        <w:ind w:firstLine="720"/>
        <w:jc w:val="both"/>
      </w:pPr>
      <w:r w:rsidRPr="008B71F8">
        <w:rPr>
          <w:rFonts w:ascii="Arial" w:hAnsi="Arial" w:cs="Arial"/>
          <w:color w:val="000000"/>
          <w:spacing w:val="2"/>
        </w:rPr>
        <w:t>In order to retain exceptional employees, employers are progressively utilizing Flexible Work Arrangements (FWAs) as an enticing incentive. By addressing the growing desire for flexible work options, employers who provide appealing FWAs can effectively decrease staff turnover and enhance employee retention rates</w:t>
      </w:r>
      <w:r w:rsidR="00390DC9">
        <w:rPr>
          <w:rFonts w:ascii="Arial" w:hAnsi="Arial" w:cs="Arial"/>
          <w:color w:val="000000"/>
          <w:spacing w:val="2"/>
        </w:rPr>
        <w:t xml:space="preserve"> (</w:t>
      </w:r>
      <w:r w:rsidR="00390DC9">
        <w:rPr>
          <w:rFonts w:ascii="Arial" w:hAnsi="Arial" w:cs="Arial"/>
        </w:rPr>
        <w:t xml:space="preserve">Gardiner &amp; Tomlinson, </w:t>
      </w:r>
      <w:r w:rsidR="00390DC9" w:rsidRPr="003E44EA">
        <w:rPr>
          <w:rFonts w:ascii="Arial" w:hAnsi="Arial" w:cs="Arial"/>
        </w:rPr>
        <w:t>2009)</w:t>
      </w:r>
      <w:r w:rsidRPr="008B71F8">
        <w:rPr>
          <w:rFonts w:ascii="Arial" w:hAnsi="Arial" w:cs="Arial"/>
          <w:color w:val="000000"/>
          <w:spacing w:val="2"/>
        </w:rPr>
        <w:t xml:space="preserve">. The </w:t>
      </w:r>
      <w:r w:rsidRPr="008B71F8">
        <w:rPr>
          <w:rFonts w:ascii="Arial" w:hAnsi="Arial" w:cs="Arial"/>
          <w:color w:val="000000"/>
          <w:spacing w:val="2"/>
        </w:rPr>
        <w:lastRenderedPageBreak/>
        <w:t>implementation of flexible working arrangements (FWAs) contributes to the improvement of work-life balance, leading to increased levels of employee happiness. Moreover, when FWAs are combined with opportunities for career advancement, it enhances employee job satisfaction and engagement. As a result, loyal employees are less inclined to seek alternative prospects</w:t>
      </w:r>
      <w:r w:rsidR="00390DC9">
        <w:rPr>
          <w:rFonts w:ascii="Arial" w:hAnsi="Arial" w:cs="Arial"/>
          <w:color w:val="000000"/>
          <w:spacing w:val="2"/>
        </w:rPr>
        <w:t xml:space="preserve"> (</w:t>
      </w:r>
      <w:r w:rsidR="00390DC9">
        <w:rPr>
          <w:rFonts w:ascii="Arial" w:hAnsi="Arial" w:cs="Arial"/>
        </w:rPr>
        <w:t xml:space="preserve">Maxwell et al, </w:t>
      </w:r>
      <w:r w:rsidR="00390DC9" w:rsidRPr="003E44EA">
        <w:rPr>
          <w:rFonts w:ascii="Arial" w:hAnsi="Arial" w:cs="Arial"/>
        </w:rPr>
        <w:t>2007)</w:t>
      </w:r>
      <w:r w:rsidRPr="008B71F8">
        <w:rPr>
          <w:rFonts w:ascii="Arial" w:hAnsi="Arial" w:cs="Arial"/>
          <w:color w:val="000000"/>
          <w:spacing w:val="2"/>
        </w:rPr>
        <w:t>.</w:t>
      </w:r>
    </w:p>
    <w:p w:rsidR="00390DC9" w:rsidRDefault="00390DC9" w:rsidP="00B16D7B">
      <w:pPr>
        <w:pStyle w:val="Heading1"/>
        <w:spacing w:before="0" w:line="360" w:lineRule="auto"/>
        <w:jc w:val="center"/>
        <w:rPr>
          <w:rFonts w:ascii="Arial" w:hAnsi="Arial" w:cs="Arial"/>
          <w:color w:val="auto"/>
          <w:sz w:val="24"/>
          <w:szCs w:val="24"/>
        </w:rPr>
      </w:pPr>
      <w:bookmarkStart w:id="8" w:name="_Toc140955503"/>
      <w:bookmarkStart w:id="9" w:name="_Toc140955555"/>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390DC9"/>
    <w:p w:rsidR="00390DC9" w:rsidRDefault="00390DC9" w:rsidP="00390DC9"/>
    <w:p w:rsidR="00390DC9" w:rsidRDefault="00390DC9" w:rsidP="00390DC9"/>
    <w:p w:rsidR="00390DC9" w:rsidRDefault="00390DC9" w:rsidP="00390DC9"/>
    <w:p w:rsidR="00390DC9" w:rsidRDefault="00390DC9" w:rsidP="00390DC9"/>
    <w:p w:rsidR="00390DC9" w:rsidRDefault="00390DC9" w:rsidP="00390DC9"/>
    <w:p w:rsidR="00390DC9" w:rsidRDefault="00390DC9" w:rsidP="00390DC9"/>
    <w:p w:rsidR="00390DC9" w:rsidRDefault="00390DC9" w:rsidP="00390DC9"/>
    <w:p w:rsidR="00390DC9" w:rsidRDefault="00390DC9" w:rsidP="00390DC9"/>
    <w:p w:rsidR="00390DC9" w:rsidRPr="00390DC9" w:rsidRDefault="00390DC9" w:rsidP="00390DC9"/>
    <w:p w:rsidR="00390DC9" w:rsidRDefault="00390DC9" w:rsidP="00B16D7B">
      <w:pPr>
        <w:pStyle w:val="Heading1"/>
        <w:spacing w:before="0" w:line="360" w:lineRule="auto"/>
        <w:jc w:val="center"/>
        <w:rPr>
          <w:rFonts w:ascii="Arial" w:hAnsi="Arial" w:cs="Arial"/>
          <w:color w:val="auto"/>
          <w:sz w:val="24"/>
          <w:szCs w:val="24"/>
        </w:rPr>
      </w:pPr>
    </w:p>
    <w:p w:rsidR="00390DC9" w:rsidRDefault="00390DC9" w:rsidP="00390DC9"/>
    <w:p w:rsidR="00390DC9" w:rsidRDefault="00390DC9" w:rsidP="00B16D7B">
      <w:pPr>
        <w:pStyle w:val="Heading1"/>
        <w:spacing w:before="0" w:line="360" w:lineRule="auto"/>
        <w:jc w:val="center"/>
        <w:rPr>
          <w:rFonts w:asciiTheme="minorHAnsi" w:eastAsiaTheme="minorEastAsia" w:hAnsiTheme="minorHAnsi" w:cstheme="minorBidi"/>
          <w:b w:val="0"/>
          <w:bCs w:val="0"/>
          <w:color w:val="auto"/>
          <w:sz w:val="22"/>
          <w:szCs w:val="22"/>
        </w:rPr>
      </w:pPr>
    </w:p>
    <w:p w:rsidR="00390DC9" w:rsidRPr="00390DC9" w:rsidRDefault="00390DC9" w:rsidP="00390DC9"/>
    <w:p w:rsidR="00B16D7B" w:rsidRDefault="00B16D7B" w:rsidP="00B16D7B">
      <w:pPr>
        <w:pStyle w:val="Heading1"/>
        <w:spacing w:before="0" w:line="360" w:lineRule="auto"/>
        <w:jc w:val="center"/>
        <w:rPr>
          <w:rFonts w:ascii="Arial" w:hAnsi="Arial" w:cs="Arial"/>
          <w:color w:val="auto"/>
          <w:sz w:val="24"/>
          <w:szCs w:val="24"/>
        </w:rPr>
      </w:pPr>
      <w:r w:rsidRPr="00B16D7B">
        <w:rPr>
          <w:rFonts w:ascii="Arial" w:hAnsi="Arial" w:cs="Arial"/>
          <w:color w:val="auto"/>
          <w:sz w:val="24"/>
          <w:szCs w:val="24"/>
        </w:rPr>
        <w:lastRenderedPageBreak/>
        <w:t>Conclusion</w:t>
      </w:r>
      <w:bookmarkEnd w:id="8"/>
      <w:bookmarkEnd w:id="9"/>
    </w:p>
    <w:p w:rsidR="00B16D7B" w:rsidRDefault="00B16D7B" w:rsidP="00B16D7B"/>
    <w:p w:rsidR="00C3155C" w:rsidRPr="00C3155C" w:rsidRDefault="00C3155C" w:rsidP="00C3155C">
      <w:pPr>
        <w:shd w:val="clear" w:color="auto" w:fill="FFFFFF"/>
        <w:spacing w:after="0" w:line="360" w:lineRule="auto"/>
        <w:ind w:firstLine="720"/>
        <w:jc w:val="both"/>
        <w:rPr>
          <w:rFonts w:ascii="Arial" w:eastAsia="Times New Roman" w:hAnsi="Arial" w:cs="Arial"/>
          <w:color w:val="000000"/>
          <w:spacing w:val="2"/>
        </w:rPr>
      </w:pPr>
      <w:r w:rsidRPr="00C3155C">
        <w:rPr>
          <w:rFonts w:ascii="Arial" w:eastAsia="Times New Roman" w:hAnsi="Arial" w:cs="Arial"/>
          <w:color w:val="000000"/>
          <w:spacing w:val="2"/>
        </w:rPr>
        <w:t xml:space="preserve">It is imperative for GreenCo to proactively explore methods of incorporating Flexible Work Arrangements (FWA) that result in favorable results for the company. These results encompass the reduction of absenteeism, turnover, and employee misconduct, while simultaneously striving to improve overall performance. Consequently, it is of utmost significance to establish and cultivate flexible work arrangement (FWA) options that are in alignment with the needs and requirements of both employers and employees. By doing so, the overall quality of life for employees can be significantly enhanced, while simultaneously boosting organizational performance. The importance of this cannot be emphasized enough. To encourage a healthy equilibrium between work and personal life, as well as to foster high levels of employee satisfaction, GreenCo should consider implementing employee-centric flexible work arrangements. These arrangements have been scientifically proven to have a positive impact on employee competence, interests, and motivation within the workplace. Consequently, this leads to an overall improvement in performance. Given the transformative influence of information and communication technology (ICT) and its associated devices on traditional work practices, it is imperative for GreenCo to heed this crucial call. By doing so, both performance and productivity can be greatly enhanced. </w:t>
      </w:r>
    </w:p>
    <w:p w:rsidR="00C3155C" w:rsidRPr="00B16D7B" w:rsidRDefault="00C3155C" w:rsidP="00C3155C">
      <w:pPr>
        <w:spacing w:after="0"/>
      </w:pPr>
    </w:p>
    <w:p w:rsidR="003E44EA" w:rsidRDefault="003E44EA" w:rsidP="00B16D7B">
      <w:pPr>
        <w:pStyle w:val="Heading1"/>
        <w:spacing w:before="0" w:line="360" w:lineRule="auto"/>
        <w:jc w:val="center"/>
        <w:rPr>
          <w:rFonts w:ascii="Arial" w:hAnsi="Arial" w:cs="Arial"/>
          <w:color w:val="auto"/>
          <w:sz w:val="24"/>
          <w:szCs w:val="24"/>
        </w:rPr>
      </w:pPr>
    </w:p>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Default="003E44EA" w:rsidP="003E44EA"/>
    <w:p w:rsidR="003E44EA" w:rsidRPr="003E44EA" w:rsidRDefault="003E44EA" w:rsidP="003E44EA"/>
    <w:p w:rsidR="00B16D7B" w:rsidRDefault="00B16D7B" w:rsidP="00B16D7B">
      <w:pPr>
        <w:pStyle w:val="Heading1"/>
        <w:spacing w:before="0" w:line="360" w:lineRule="auto"/>
        <w:jc w:val="center"/>
        <w:rPr>
          <w:rFonts w:ascii="Arial" w:hAnsi="Arial" w:cs="Arial"/>
          <w:color w:val="auto"/>
          <w:sz w:val="24"/>
          <w:szCs w:val="24"/>
        </w:rPr>
      </w:pPr>
      <w:bookmarkStart w:id="10" w:name="_Toc140955504"/>
      <w:bookmarkStart w:id="11" w:name="_Toc140955556"/>
      <w:r w:rsidRPr="00B16D7B">
        <w:rPr>
          <w:rFonts w:ascii="Arial" w:hAnsi="Arial" w:cs="Arial"/>
          <w:color w:val="auto"/>
          <w:sz w:val="24"/>
          <w:szCs w:val="24"/>
        </w:rPr>
        <w:lastRenderedPageBreak/>
        <w:t>List of references</w:t>
      </w:r>
      <w:bookmarkEnd w:id="10"/>
      <w:bookmarkEnd w:id="11"/>
    </w:p>
    <w:p w:rsidR="00C3155C" w:rsidRDefault="00C3155C" w:rsidP="00C3155C"/>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Altindag, E. &amp;</w:t>
      </w:r>
      <w:r w:rsidR="003E44EA">
        <w:rPr>
          <w:rFonts w:ascii="Arial" w:hAnsi="Arial" w:cs="Arial"/>
        </w:rPr>
        <w:t xml:space="preserve"> </w:t>
      </w:r>
      <w:r w:rsidRPr="003E44EA">
        <w:rPr>
          <w:rFonts w:ascii="Arial" w:hAnsi="Arial" w:cs="Arial"/>
        </w:rPr>
        <w:t xml:space="preserve">Siller, F (2014) Effects of flexible working method on employee performance: an empirical study in Turkey. </w:t>
      </w:r>
      <w:r w:rsidRPr="003E44EA">
        <w:rPr>
          <w:rFonts w:ascii="Arial" w:hAnsi="Arial" w:cs="Arial"/>
          <w:i/>
        </w:rPr>
        <w:t>Business and Economics Journal</w:t>
      </w:r>
      <w:r w:rsidRPr="003E44EA">
        <w:rPr>
          <w:rFonts w:ascii="Arial" w:hAnsi="Arial" w:cs="Arial"/>
        </w:rPr>
        <w:t>, 5(3), 1-7</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Aronsson, G., Gustafsson, K., &amp; Dallner, M. (2002) Work environment and health in different types of temporary jobs. </w:t>
      </w:r>
      <w:r w:rsidRPr="003E44EA">
        <w:rPr>
          <w:rFonts w:ascii="Arial" w:hAnsi="Arial" w:cs="Arial"/>
          <w:i/>
        </w:rPr>
        <w:t>European Journal of Work and Organizational Psychology</w:t>
      </w:r>
      <w:r w:rsidRPr="003E44EA">
        <w:rPr>
          <w:rFonts w:ascii="Arial" w:hAnsi="Arial" w:cs="Arial"/>
        </w:rPr>
        <w:t>, 11(2), 151-175</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Crampton, S., Douglas, C., Hodge, J. &amp; Mishra, J. (2003) Job Sharing: Challenges and Opportunities. </w:t>
      </w:r>
      <w:r w:rsidRPr="003E44EA">
        <w:rPr>
          <w:rFonts w:ascii="Arial" w:hAnsi="Arial" w:cs="Arial"/>
          <w:i/>
        </w:rPr>
        <w:t>Seidman Business Review</w:t>
      </w:r>
      <w:r w:rsidRPr="003E44EA">
        <w:rPr>
          <w:rFonts w:ascii="Arial" w:hAnsi="Arial" w:cs="Arial"/>
        </w:rPr>
        <w:t>, 9(1), 11, 122- 131</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Docherty, P., Forslin, J., Shani, A.B., &amp; Kira, M. (2002) </w:t>
      </w:r>
      <w:r w:rsidRPr="003E44EA">
        <w:rPr>
          <w:rFonts w:ascii="Arial" w:hAnsi="Arial" w:cs="Arial"/>
          <w:i/>
        </w:rPr>
        <w:t>Emerging work systems: From intensive to sustainable</w:t>
      </w:r>
      <w:r w:rsidRPr="003E44EA">
        <w:rPr>
          <w:rFonts w:ascii="Arial" w:hAnsi="Arial" w:cs="Arial"/>
        </w:rPr>
        <w:t xml:space="preserve">. In Docherty, P. (Eds.), </w:t>
      </w:r>
      <w:r w:rsidRPr="003E44EA">
        <w:rPr>
          <w:rFonts w:ascii="Arial" w:hAnsi="Arial" w:cs="Arial"/>
          <w:i/>
        </w:rPr>
        <w:t>Creating sustainable work systems</w:t>
      </w:r>
      <w:r w:rsidRPr="003E44EA">
        <w:rPr>
          <w:rFonts w:ascii="Arial" w:hAnsi="Arial" w:cs="Arial"/>
        </w:rPr>
        <w:t>. Emerging perspectives and practice (pp. 3-14). London: Routledge</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Essien, C.E. &amp; Edwinah, A. (2017) Flexible Work Time Schedules and Organisational Commitment in the Nigerian Banking Industry: A Strategy for Employee Commitment. </w:t>
      </w:r>
      <w:r w:rsidRPr="003E44EA">
        <w:rPr>
          <w:rFonts w:ascii="Arial" w:hAnsi="Arial" w:cs="Arial"/>
          <w:i/>
        </w:rPr>
        <w:t>International Journal of Social Sciences</w:t>
      </w:r>
      <w:r w:rsidRPr="003E44EA">
        <w:rPr>
          <w:rFonts w:ascii="Arial" w:hAnsi="Arial" w:cs="Arial"/>
        </w:rPr>
        <w:t>. 11, (4),142- 151</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Gardiner, J. &amp; Tomlinson, J. (2009) Organisational approaches to flexible working: Perspectives of equality and diversity managers in the UK. </w:t>
      </w:r>
      <w:r w:rsidRPr="003E44EA">
        <w:rPr>
          <w:rFonts w:ascii="Arial" w:hAnsi="Arial" w:cs="Arial"/>
          <w:i/>
        </w:rPr>
        <w:t>Equal Opportunities International</w:t>
      </w:r>
      <w:r w:rsidRPr="003E44EA">
        <w:rPr>
          <w:rFonts w:ascii="Arial" w:hAnsi="Arial" w:cs="Arial"/>
        </w:rPr>
        <w:t>, 28(8), 671-686</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Greenhaus, J. H. Collins, K.M. &amp; Shaw, J.D.</w:t>
      </w:r>
      <w:r w:rsidR="00390DC9">
        <w:rPr>
          <w:rFonts w:ascii="Arial" w:hAnsi="Arial" w:cs="Arial"/>
        </w:rPr>
        <w:t xml:space="preserve"> </w:t>
      </w:r>
      <w:r w:rsidRPr="003E44EA">
        <w:rPr>
          <w:rFonts w:ascii="Arial" w:hAnsi="Arial" w:cs="Arial"/>
        </w:rPr>
        <w:t xml:space="preserve">( 2003) The relation between work –family balance and quality of life. </w:t>
      </w:r>
      <w:r w:rsidRPr="003E44EA">
        <w:rPr>
          <w:rFonts w:ascii="Arial" w:hAnsi="Arial" w:cs="Arial"/>
          <w:i/>
        </w:rPr>
        <w:t>Journal of vocational behavior</w:t>
      </w:r>
      <w:r w:rsidRPr="003E44EA">
        <w:rPr>
          <w:rFonts w:ascii="Arial" w:hAnsi="Arial" w:cs="Arial"/>
        </w:rPr>
        <w:t>, 63,510-31</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Hayman, J. (2009) Flexible work arrangements: Exploring the linkages between perceived usability of flexible work schedules and work/life balance</w:t>
      </w:r>
      <w:r w:rsidRPr="003E44EA">
        <w:rPr>
          <w:rFonts w:ascii="Arial" w:hAnsi="Arial" w:cs="Arial"/>
          <w:i/>
        </w:rPr>
        <w:t>. Journal of Community, Work and Family: Special Issue on Work/Life Balance</w:t>
      </w:r>
      <w:r w:rsidRPr="003E44EA">
        <w:rPr>
          <w:rFonts w:ascii="Arial" w:hAnsi="Arial" w:cs="Arial"/>
        </w:rPr>
        <w:t>, 12(3), 327-338</w:t>
      </w:r>
    </w:p>
    <w:p w:rsidR="00C3155C" w:rsidRPr="003E44EA" w:rsidRDefault="00C3155C"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Kattenbach, R., Demerouti, E., &amp; Nachreiner, F. (2010) Flexible working times: Effects on employees' exhaustion, work-non-work conflict and job performance. </w:t>
      </w:r>
      <w:r w:rsidRPr="003E44EA">
        <w:rPr>
          <w:rFonts w:ascii="Arial" w:hAnsi="Arial" w:cs="Arial"/>
          <w:i/>
        </w:rPr>
        <w:t>Career Development International</w:t>
      </w:r>
      <w:r w:rsidRPr="003E44EA">
        <w:rPr>
          <w:rFonts w:ascii="Arial" w:hAnsi="Arial" w:cs="Arial"/>
        </w:rPr>
        <w:t>, 15(3): 279–295</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Kossek, E. E., &amp; Michel, J. (2010) Flexible work schedules. </w:t>
      </w:r>
      <w:r w:rsidRPr="003E44EA">
        <w:rPr>
          <w:rFonts w:ascii="Arial" w:hAnsi="Arial" w:cs="Arial"/>
          <w:i/>
        </w:rPr>
        <w:t>Handbook of industrial-organizational psychology</w:t>
      </w:r>
      <w:r w:rsidRPr="003E44EA">
        <w:rPr>
          <w:rFonts w:ascii="Arial" w:hAnsi="Arial" w:cs="Arial"/>
        </w:rPr>
        <w:t>, 1, 535-72</w:t>
      </w:r>
    </w:p>
    <w:p w:rsidR="00C3155C" w:rsidRPr="003E44EA" w:rsidRDefault="00C3155C"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Kottey, B. &amp; Sharma, B. (2016) Predictors of flexible working arrangement, provision in small and medium enterprises (SMEs). </w:t>
      </w:r>
      <w:r w:rsidRPr="003E44EA">
        <w:rPr>
          <w:rFonts w:ascii="Arial" w:hAnsi="Arial" w:cs="Arial"/>
          <w:i/>
        </w:rPr>
        <w:t>The International Journal of Human Resource Management</w:t>
      </w:r>
      <w:r w:rsidRPr="003E44EA">
        <w:rPr>
          <w:rFonts w:ascii="Arial" w:hAnsi="Arial" w:cs="Arial"/>
        </w:rPr>
        <w:t>, 27(22): 2753– 2770</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Kotter, J. (2012) </w:t>
      </w:r>
      <w:r w:rsidRPr="003E44EA">
        <w:rPr>
          <w:rFonts w:ascii="Arial" w:hAnsi="Arial" w:cs="Arial"/>
          <w:i/>
        </w:rPr>
        <w:t>Corporate culture and performance</w:t>
      </w:r>
      <w:r w:rsidRPr="003E44EA">
        <w:rPr>
          <w:rFonts w:ascii="Arial" w:hAnsi="Arial" w:cs="Arial"/>
        </w:rPr>
        <w:t>. New York: Free press</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Kowalski, T. H. P. &amp; Loretto, W. (2017) Wellbeing and HRM in the changing workplace. </w:t>
      </w:r>
      <w:r w:rsidRPr="003E44EA">
        <w:rPr>
          <w:rFonts w:ascii="Arial" w:hAnsi="Arial" w:cs="Arial"/>
          <w:i/>
        </w:rPr>
        <w:t>The International Journal of Human Resource Management</w:t>
      </w:r>
      <w:r w:rsidRPr="003E44EA">
        <w:rPr>
          <w:rFonts w:ascii="Arial" w:hAnsi="Arial" w:cs="Arial"/>
        </w:rPr>
        <w:t>, 28:16, 2229-2255</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lastRenderedPageBreak/>
        <w:t xml:space="preserve">Linnoff, S; Smith, K.T; &amp; Smith, L.M. (2014) A comparison of work-life balance perspectives of future business professionals in the USA and Germany. </w:t>
      </w:r>
      <w:r w:rsidRPr="003E44EA">
        <w:rPr>
          <w:rFonts w:ascii="Arial" w:hAnsi="Arial" w:cs="Arial"/>
          <w:i/>
        </w:rPr>
        <w:t>International Journal of Business and Globalisation</w:t>
      </w:r>
      <w:r w:rsidRPr="003E44EA">
        <w:rPr>
          <w:rFonts w:ascii="Arial" w:hAnsi="Arial" w:cs="Arial"/>
        </w:rPr>
        <w:t>, 13(3)</w:t>
      </w:r>
    </w:p>
    <w:p w:rsidR="008B71F8" w:rsidRPr="003E44EA" w:rsidRDefault="008B71F8"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Maxwell, G., Rankine, L., Bell, S. &amp; MacVicar, A. (2007) The incidence and impact of FWAs in smaller businesses. </w:t>
      </w:r>
      <w:r w:rsidRPr="003E44EA">
        <w:rPr>
          <w:rFonts w:ascii="Arial" w:hAnsi="Arial" w:cs="Arial"/>
          <w:i/>
        </w:rPr>
        <w:t>Employee Relations</w:t>
      </w:r>
      <w:r w:rsidRPr="003E44EA">
        <w:rPr>
          <w:rFonts w:ascii="Arial" w:hAnsi="Arial" w:cs="Arial"/>
        </w:rPr>
        <w:t>, 29(2), 138-161</w:t>
      </w:r>
    </w:p>
    <w:p w:rsidR="00C3155C" w:rsidRPr="003E44EA" w:rsidRDefault="00C3155C"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Mwebi, M. B. &amp; Kadaga, M. N. (2015) Effects of flex-time work arrangement on employee performance in Nairobi CBD Commercial Banks. </w:t>
      </w:r>
      <w:r w:rsidRPr="003E44EA">
        <w:rPr>
          <w:rFonts w:ascii="Arial" w:hAnsi="Arial" w:cs="Arial"/>
          <w:i/>
        </w:rPr>
        <w:t>International Journal of Novel Research in Marketing Management and Economics</w:t>
      </w:r>
      <w:r w:rsidRPr="003E44EA">
        <w:rPr>
          <w:rFonts w:ascii="Arial" w:hAnsi="Arial" w:cs="Arial"/>
        </w:rPr>
        <w:t>, 2(3): 111-121</w:t>
      </w:r>
    </w:p>
    <w:p w:rsidR="00C3155C" w:rsidRPr="003E44EA" w:rsidRDefault="00C3155C"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Pérez, M., Sánchez, A. &amp; de-Luis, P. (2003) The organizational implications of human resources managers' perception of teleworking. </w:t>
      </w:r>
      <w:r w:rsidRPr="003E44EA">
        <w:rPr>
          <w:rFonts w:ascii="Arial" w:hAnsi="Arial" w:cs="Arial"/>
          <w:i/>
        </w:rPr>
        <w:t>Personnel Review</w:t>
      </w:r>
      <w:r w:rsidRPr="003E44EA">
        <w:rPr>
          <w:rFonts w:ascii="Arial" w:hAnsi="Arial" w:cs="Arial"/>
        </w:rPr>
        <w:t>. 32(6): 733-755</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Smith, K. T; Smith, L.M; &amp; Brower, T.R; (2016) How work-life balance, Job performance, and Ethics connect Perspectives of Current and Future Accountants. </w:t>
      </w:r>
      <w:r w:rsidRPr="003E44EA">
        <w:rPr>
          <w:rFonts w:ascii="Arial" w:hAnsi="Arial" w:cs="Arial"/>
          <w:i/>
        </w:rPr>
        <w:t>Research on Professional Responsibility and Ethics in Accounting</w:t>
      </w:r>
      <w:r w:rsidRPr="003E44EA">
        <w:rPr>
          <w:rFonts w:ascii="Arial" w:hAnsi="Arial" w:cs="Arial"/>
        </w:rPr>
        <w:t>, 20 (1), 219-318</w:t>
      </w:r>
    </w:p>
    <w:p w:rsidR="003E44EA" w:rsidRPr="003E44EA" w:rsidRDefault="003E44EA"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Sverke, M., Gallagher, D. G., &amp; Hellgren, J. (2000) </w:t>
      </w:r>
      <w:r w:rsidRPr="003E44EA">
        <w:rPr>
          <w:rFonts w:ascii="Arial" w:hAnsi="Arial" w:cs="Arial"/>
          <w:i/>
        </w:rPr>
        <w:t>Alternative work arrangements</w:t>
      </w:r>
      <w:r w:rsidRPr="003E44EA">
        <w:rPr>
          <w:rFonts w:ascii="Arial" w:hAnsi="Arial" w:cs="Arial"/>
        </w:rPr>
        <w:t xml:space="preserve">. In Isaksson, L., Hogstedt, C., Eriksson, C., &amp; Theorrell, T. (Eds.), </w:t>
      </w:r>
      <w:r w:rsidRPr="003E44EA">
        <w:rPr>
          <w:rFonts w:ascii="Arial" w:hAnsi="Arial" w:cs="Arial"/>
          <w:i/>
        </w:rPr>
        <w:t>Health effects of the new labour market</w:t>
      </w:r>
      <w:r w:rsidRPr="003E44EA">
        <w:rPr>
          <w:rFonts w:ascii="Arial" w:hAnsi="Arial" w:cs="Arial"/>
        </w:rPr>
        <w:t>. New York: Kluwer Academic/Plenum Publishers</w:t>
      </w:r>
    </w:p>
    <w:p w:rsidR="00C3155C" w:rsidRPr="003E44EA" w:rsidRDefault="00C3155C" w:rsidP="00C3155C">
      <w:pPr>
        <w:pStyle w:val="ListParagraph"/>
        <w:numPr>
          <w:ilvl w:val="0"/>
          <w:numId w:val="2"/>
        </w:numPr>
        <w:spacing w:after="0" w:line="360" w:lineRule="auto"/>
        <w:jc w:val="both"/>
        <w:rPr>
          <w:rFonts w:ascii="Arial" w:hAnsi="Arial" w:cs="Arial"/>
        </w:rPr>
      </w:pPr>
      <w:r w:rsidRPr="003E44EA">
        <w:rPr>
          <w:rFonts w:ascii="Arial" w:hAnsi="Arial" w:cs="Arial"/>
        </w:rPr>
        <w:t xml:space="preserve">Yeh, H &amp; Hong, D, (2012) The mediating effect of organizational commitment on leadership type and job performance. </w:t>
      </w:r>
      <w:r w:rsidRPr="003E44EA">
        <w:rPr>
          <w:rFonts w:ascii="Arial" w:hAnsi="Arial" w:cs="Arial"/>
          <w:i/>
        </w:rPr>
        <w:t>The Journal of Human Resource and Adult Learning</w:t>
      </w:r>
      <w:r w:rsidRPr="003E44EA">
        <w:rPr>
          <w:rFonts w:ascii="Arial" w:hAnsi="Arial" w:cs="Arial"/>
        </w:rPr>
        <w:t>, 8(2):50-59</w:t>
      </w:r>
    </w:p>
    <w:p w:rsidR="00C3155C" w:rsidRPr="00C3155C" w:rsidRDefault="00C3155C" w:rsidP="00C3155C">
      <w:pPr>
        <w:spacing w:after="0"/>
      </w:pPr>
    </w:p>
    <w:sectPr w:rsidR="00C3155C" w:rsidRPr="00C3155C" w:rsidSect="003E44EA">
      <w:footerReference w:type="default" r:id="rId9"/>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6C3C" w:rsidRDefault="00D06C3C" w:rsidP="003E44EA">
      <w:pPr>
        <w:spacing w:after="0" w:line="240" w:lineRule="auto"/>
      </w:pPr>
      <w:r>
        <w:separator/>
      </w:r>
    </w:p>
  </w:endnote>
  <w:endnote w:type="continuationSeparator" w:id="1">
    <w:p w:rsidR="00D06C3C" w:rsidRDefault="00D06C3C" w:rsidP="003E44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44EA" w:rsidRDefault="003E44EA">
    <w:pPr>
      <w:pStyle w:val="Footer"/>
      <w:jc w:val="center"/>
    </w:pPr>
  </w:p>
  <w:p w:rsidR="003E44EA" w:rsidRDefault="003E44E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8394759"/>
      <w:docPartObj>
        <w:docPartGallery w:val="Page Numbers (Bottom of Page)"/>
        <w:docPartUnique/>
      </w:docPartObj>
    </w:sdtPr>
    <w:sdtContent>
      <w:p w:rsidR="003E44EA" w:rsidRDefault="003E44EA">
        <w:pPr>
          <w:pStyle w:val="Footer"/>
          <w:jc w:val="center"/>
        </w:pPr>
        <w:fldSimple w:instr=" PAGE   \* MERGEFORMAT ">
          <w:r w:rsidR="00390DC9">
            <w:rPr>
              <w:noProof/>
            </w:rPr>
            <w:t>3</w:t>
          </w:r>
        </w:fldSimple>
      </w:p>
    </w:sdtContent>
  </w:sdt>
  <w:p w:rsidR="003E44EA" w:rsidRDefault="003E44E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6C3C" w:rsidRDefault="00D06C3C" w:rsidP="003E44EA">
      <w:pPr>
        <w:spacing w:after="0" w:line="240" w:lineRule="auto"/>
      </w:pPr>
      <w:r>
        <w:separator/>
      </w:r>
    </w:p>
  </w:footnote>
  <w:footnote w:type="continuationSeparator" w:id="1">
    <w:p w:rsidR="00D06C3C" w:rsidRDefault="00D06C3C" w:rsidP="003E44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3B3239"/>
    <w:multiLevelType w:val="hybridMultilevel"/>
    <w:tmpl w:val="10D2B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89B5900"/>
    <w:multiLevelType w:val="hybridMultilevel"/>
    <w:tmpl w:val="16287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B16D7B"/>
    <w:rsid w:val="00390DC9"/>
    <w:rsid w:val="003E44EA"/>
    <w:rsid w:val="008B71F8"/>
    <w:rsid w:val="00B16D7B"/>
    <w:rsid w:val="00C3155C"/>
    <w:rsid w:val="00D06C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6D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D7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C3155C"/>
    <w:pPr>
      <w:ind w:left="720"/>
      <w:contextualSpacing/>
    </w:pPr>
  </w:style>
  <w:style w:type="paragraph" w:styleId="TOCHeading">
    <w:name w:val="TOC Heading"/>
    <w:basedOn w:val="Heading1"/>
    <w:next w:val="Normal"/>
    <w:uiPriority w:val="39"/>
    <w:semiHidden/>
    <w:unhideWhenUsed/>
    <w:qFormat/>
    <w:rsid w:val="003E44EA"/>
    <w:pPr>
      <w:outlineLvl w:val="9"/>
    </w:pPr>
  </w:style>
  <w:style w:type="paragraph" w:styleId="TOC1">
    <w:name w:val="toc 1"/>
    <w:basedOn w:val="Normal"/>
    <w:next w:val="Normal"/>
    <w:autoRedefine/>
    <w:uiPriority w:val="39"/>
    <w:unhideWhenUsed/>
    <w:rsid w:val="003E44EA"/>
    <w:pPr>
      <w:spacing w:after="100"/>
    </w:pPr>
  </w:style>
  <w:style w:type="character" w:styleId="Hyperlink">
    <w:name w:val="Hyperlink"/>
    <w:basedOn w:val="DefaultParagraphFont"/>
    <w:uiPriority w:val="99"/>
    <w:unhideWhenUsed/>
    <w:rsid w:val="003E44EA"/>
    <w:rPr>
      <w:color w:val="0000FF" w:themeColor="hyperlink"/>
      <w:u w:val="single"/>
    </w:rPr>
  </w:style>
  <w:style w:type="paragraph" w:styleId="BalloonText">
    <w:name w:val="Balloon Text"/>
    <w:basedOn w:val="Normal"/>
    <w:link w:val="BalloonTextChar"/>
    <w:uiPriority w:val="99"/>
    <w:semiHidden/>
    <w:unhideWhenUsed/>
    <w:rsid w:val="003E44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4EA"/>
    <w:rPr>
      <w:rFonts w:ascii="Tahoma" w:hAnsi="Tahoma" w:cs="Tahoma"/>
      <w:sz w:val="16"/>
      <w:szCs w:val="16"/>
    </w:rPr>
  </w:style>
  <w:style w:type="paragraph" w:styleId="Header">
    <w:name w:val="header"/>
    <w:basedOn w:val="Normal"/>
    <w:link w:val="HeaderChar"/>
    <w:uiPriority w:val="99"/>
    <w:semiHidden/>
    <w:unhideWhenUsed/>
    <w:rsid w:val="003E44E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E44EA"/>
  </w:style>
  <w:style w:type="paragraph" w:styleId="Footer">
    <w:name w:val="footer"/>
    <w:basedOn w:val="Normal"/>
    <w:link w:val="FooterChar"/>
    <w:uiPriority w:val="99"/>
    <w:unhideWhenUsed/>
    <w:rsid w:val="003E44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44EA"/>
  </w:style>
</w:styles>
</file>

<file path=word/webSettings.xml><?xml version="1.0" encoding="utf-8"?>
<w:webSettings xmlns:r="http://schemas.openxmlformats.org/officeDocument/2006/relationships" xmlns:w="http://schemas.openxmlformats.org/wordprocessingml/2006/main">
  <w:divs>
    <w:div w:id="33039746">
      <w:bodyDiv w:val="1"/>
      <w:marLeft w:val="0"/>
      <w:marRight w:val="0"/>
      <w:marTop w:val="0"/>
      <w:marBottom w:val="0"/>
      <w:divBdr>
        <w:top w:val="none" w:sz="0" w:space="0" w:color="auto"/>
        <w:left w:val="none" w:sz="0" w:space="0" w:color="auto"/>
        <w:bottom w:val="none" w:sz="0" w:space="0" w:color="auto"/>
        <w:right w:val="none" w:sz="0" w:space="0" w:color="auto"/>
      </w:divBdr>
    </w:div>
    <w:div w:id="109209526">
      <w:bodyDiv w:val="1"/>
      <w:marLeft w:val="0"/>
      <w:marRight w:val="0"/>
      <w:marTop w:val="0"/>
      <w:marBottom w:val="0"/>
      <w:divBdr>
        <w:top w:val="none" w:sz="0" w:space="0" w:color="auto"/>
        <w:left w:val="none" w:sz="0" w:space="0" w:color="auto"/>
        <w:bottom w:val="none" w:sz="0" w:space="0" w:color="auto"/>
        <w:right w:val="none" w:sz="0" w:space="0" w:color="auto"/>
      </w:divBdr>
      <w:divsChild>
        <w:div w:id="948660643">
          <w:marLeft w:val="0"/>
          <w:marRight w:val="0"/>
          <w:marTop w:val="0"/>
          <w:marBottom w:val="0"/>
          <w:divBdr>
            <w:top w:val="none" w:sz="0" w:space="0" w:color="auto"/>
            <w:left w:val="none" w:sz="0" w:space="0" w:color="auto"/>
            <w:bottom w:val="none" w:sz="0" w:space="0" w:color="auto"/>
            <w:right w:val="none" w:sz="0" w:space="0" w:color="auto"/>
          </w:divBdr>
          <w:divsChild>
            <w:div w:id="2023386215">
              <w:marLeft w:val="0"/>
              <w:marRight w:val="0"/>
              <w:marTop w:val="0"/>
              <w:marBottom w:val="24"/>
              <w:divBdr>
                <w:top w:val="single" w:sz="4" w:space="3" w:color="2C71EB"/>
                <w:left w:val="single" w:sz="4" w:space="3" w:color="2C71EB"/>
                <w:bottom w:val="single" w:sz="4" w:space="24" w:color="2C71EB"/>
                <w:right w:val="single" w:sz="4" w:space="3" w:color="2C71EB"/>
              </w:divBdr>
            </w:div>
            <w:div w:id="1394817980">
              <w:marLeft w:val="0"/>
              <w:marRight w:val="96"/>
              <w:marTop w:val="0"/>
              <w:marBottom w:val="120"/>
              <w:divBdr>
                <w:top w:val="none" w:sz="0" w:space="0" w:color="auto"/>
                <w:left w:val="none" w:sz="0" w:space="0" w:color="auto"/>
                <w:bottom w:val="none" w:sz="0" w:space="0" w:color="auto"/>
                <w:right w:val="none" w:sz="0" w:space="0" w:color="auto"/>
              </w:divBdr>
            </w:div>
          </w:divsChild>
        </w:div>
        <w:div w:id="2090425622">
          <w:marLeft w:val="0"/>
          <w:marRight w:val="0"/>
          <w:marTop w:val="0"/>
          <w:marBottom w:val="0"/>
          <w:divBdr>
            <w:top w:val="none" w:sz="0" w:space="0" w:color="auto"/>
            <w:left w:val="none" w:sz="0" w:space="0" w:color="auto"/>
            <w:bottom w:val="none" w:sz="0" w:space="0" w:color="auto"/>
            <w:right w:val="none" w:sz="0" w:space="0" w:color="auto"/>
          </w:divBdr>
          <w:divsChild>
            <w:div w:id="1501190370">
              <w:marLeft w:val="0"/>
              <w:marRight w:val="0"/>
              <w:marTop w:val="0"/>
              <w:marBottom w:val="0"/>
              <w:divBdr>
                <w:top w:val="none" w:sz="0" w:space="0" w:color="auto"/>
                <w:left w:val="none" w:sz="0" w:space="0" w:color="auto"/>
                <w:bottom w:val="none" w:sz="0" w:space="0" w:color="auto"/>
                <w:right w:val="none" w:sz="0" w:space="0" w:color="auto"/>
              </w:divBdr>
              <w:divsChild>
                <w:div w:id="120645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685857">
      <w:bodyDiv w:val="1"/>
      <w:marLeft w:val="0"/>
      <w:marRight w:val="0"/>
      <w:marTop w:val="0"/>
      <w:marBottom w:val="0"/>
      <w:divBdr>
        <w:top w:val="none" w:sz="0" w:space="0" w:color="auto"/>
        <w:left w:val="none" w:sz="0" w:space="0" w:color="auto"/>
        <w:bottom w:val="none" w:sz="0" w:space="0" w:color="auto"/>
        <w:right w:val="none" w:sz="0" w:space="0" w:color="auto"/>
      </w:divBdr>
    </w:div>
    <w:div w:id="2000495739">
      <w:bodyDiv w:val="1"/>
      <w:marLeft w:val="0"/>
      <w:marRight w:val="0"/>
      <w:marTop w:val="0"/>
      <w:marBottom w:val="0"/>
      <w:divBdr>
        <w:top w:val="none" w:sz="0" w:space="0" w:color="auto"/>
        <w:left w:val="none" w:sz="0" w:space="0" w:color="auto"/>
        <w:bottom w:val="none" w:sz="0" w:space="0" w:color="auto"/>
        <w:right w:val="none" w:sz="0" w:space="0" w:color="auto"/>
      </w:divBdr>
      <w:divsChild>
        <w:div w:id="1575623280">
          <w:marLeft w:val="0"/>
          <w:marRight w:val="0"/>
          <w:marTop w:val="0"/>
          <w:marBottom w:val="0"/>
          <w:divBdr>
            <w:top w:val="none" w:sz="0" w:space="0" w:color="auto"/>
            <w:left w:val="none" w:sz="0" w:space="0" w:color="auto"/>
            <w:bottom w:val="none" w:sz="0" w:space="0" w:color="auto"/>
            <w:right w:val="none" w:sz="0" w:space="0" w:color="auto"/>
          </w:divBdr>
          <w:divsChild>
            <w:div w:id="1259364131">
              <w:marLeft w:val="0"/>
              <w:marRight w:val="0"/>
              <w:marTop w:val="0"/>
              <w:marBottom w:val="24"/>
              <w:divBdr>
                <w:top w:val="single" w:sz="4" w:space="3" w:color="2C71EB"/>
                <w:left w:val="single" w:sz="4" w:space="3" w:color="2C71EB"/>
                <w:bottom w:val="single" w:sz="4" w:space="24" w:color="2C71EB"/>
                <w:right w:val="single" w:sz="4" w:space="3" w:color="2C71EB"/>
              </w:divBdr>
            </w:div>
            <w:div w:id="1914974317">
              <w:marLeft w:val="0"/>
              <w:marRight w:val="96"/>
              <w:marTop w:val="0"/>
              <w:marBottom w:val="120"/>
              <w:divBdr>
                <w:top w:val="none" w:sz="0" w:space="0" w:color="auto"/>
                <w:left w:val="none" w:sz="0" w:space="0" w:color="auto"/>
                <w:bottom w:val="none" w:sz="0" w:space="0" w:color="auto"/>
                <w:right w:val="none" w:sz="0" w:space="0" w:color="auto"/>
              </w:divBdr>
            </w:div>
          </w:divsChild>
        </w:div>
        <w:div w:id="824782021">
          <w:marLeft w:val="0"/>
          <w:marRight w:val="0"/>
          <w:marTop w:val="0"/>
          <w:marBottom w:val="0"/>
          <w:divBdr>
            <w:top w:val="none" w:sz="0" w:space="0" w:color="auto"/>
            <w:left w:val="none" w:sz="0" w:space="0" w:color="auto"/>
            <w:bottom w:val="none" w:sz="0" w:space="0" w:color="auto"/>
            <w:right w:val="none" w:sz="0" w:space="0" w:color="auto"/>
          </w:divBdr>
          <w:divsChild>
            <w:div w:id="974798440">
              <w:marLeft w:val="0"/>
              <w:marRight w:val="0"/>
              <w:marTop w:val="0"/>
              <w:marBottom w:val="0"/>
              <w:divBdr>
                <w:top w:val="none" w:sz="0" w:space="0" w:color="auto"/>
                <w:left w:val="none" w:sz="0" w:space="0" w:color="auto"/>
                <w:bottom w:val="none" w:sz="0" w:space="0" w:color="auto"/>
                <w:right w:val="none" w:sz="0" w:space="0" w:color="auto"/>
              </w:divBdr>
              <w:divsChild>
                <w:div w:id="13598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3AE69A-0517-4E19-8FE5-8FEC51DE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2818</Words>
  <Characters>16064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4</cp:revision>
  <dcterms:created xsi:type="dcterms:W3CDTF">2023-07-22T20:28:00Z</dcterms:created>
  <dcterms:modified xsi:type="dcterms:W3CDTF">2023-07-22T21:07:00Z</dcterms:modified>
</cp:coreProperties>
</file>