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46E50" w14:textId="1D97F493" w:rsidR="00437FD1" w:rsidRPr="005D7C9D" w:rsidRDefault="006A3B4E"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 xml:space="preserve">In contract law, the parties' intention to create legal relations means they want to </w:t>
      </w:r>
      <w:r w:rsidR="008D2B1D" w:rsidRPr="005D7C9D">
        <w:rPr>
          <w:rFonts w:ascii="Times New Roman" w:hAnsi="Times New Roman" w:cs="Times New Roman"/>
          <w:sz w:val="24"/>
          <w:szCs w:val="24"/>
          <w:lang w:val="en-GB"/>
        </w:rPr>
        <w:t>be bound by a</w:t>
      </w:r>
      <w:r w:rsidRPr="005D7C9D">
        <w:rPr>
          <w:rFonts w:ascii="Times New Roman" w:hAnsi="Times New Roman" w:cs="Times New Roman"/>
          <w:sz w:val="24"/>
          <w:szCs w:val="24"/>
          <w:lang w:val="en-GB"/>
        </w:rPr>
        <w:t xml:space="preserve"> contract. It determines a contract's legality. Parties must want legal relations to form a contract. They must </w:t>
      </w:r>
      <w:r w:rsidR="00033213" w:rsidRPr="005D7C9D">
        <w:rPr>
          <w:rFonts w:ascii="Times New Roman" w:hAnsi="Times New Roman" w:cs="Times New Roman"/>
          <w:sz w:val="24"/>
          <w:szCs w:val="24"/>
          <w:lang w:val="en-GB"/>
        </w:rPr>
        <w:t>mean</w:t>
      </w:r>
      <w:r w:rsidRPr="005D7C9D">
        <w:rPr>
          <w:rFonts w:ascii="Times New Roman" w:hAnsi="Times New Roman" w:cs="Times New Roman"/>
          <w:sz w:val="24"/>
          <w:szCs w:val="24"/>
          <w:lang w:val="en-GB"/>
        </w:rPr>
        <w:t xml:space="preserve"> to be l</w:t>
      </w:r>
      <w:r w:rsidR="00033213" w:rsidRPr="005D7C9D">
        <w:rPr>
          <w:rFonts w:ascii="Times New Roman" w:hAnsi="Times New Roman" w:cs="Times New Roman"/>
          <w:sz w:val="24"/>
          <w:szCs w:val="24"/>
          <w:lang w:val="en-GB"/>
        </w:rPr>
        <w:t>awfully</w:t>
      </w:r>
      <w:r w:rsidRPr="005D7C9D">
        <w:rPr>
          <w:rFonts w:ascii="Times New Roman" w:hAnsi="Times New Roman" w:cs="Times New Roman"/>
          <w:sz w:val="24"/>
          <w:szCs w:val="24"/>
          <w:lang w:val="en-GB"/>
        </w:rPr>
        <w:t xml:space="preserve"> </w:t>
      </w:r>
      <w:r w:rsidR="00033213" w:rsidRPr="005D7C9D">
        <w:rPr>
          <w:rFonts w:ascii="Times New Roman" w:hAnsi="Times New Roman" w:cs="Times New Roman"/>
          <w:sz w:val="24"/>
          <w:szCs w:val="24"/>
          <w:lang w:val="en-GB"/>
        </w:rPr>
        <w:t>obligated</w:t>
      </w:r>
      <w:r w:rsidRPr="005D7C9D">
        <w:rPr>
          <w:rFonts w:ascii="Times New Roman" w:hAnsi="Times New Roman" w:cs="Times New Roman"/>
          <w:sz w:val="24"/>
          <w:szCs w:val="24"/>
          <w:lang w:val="en-GB"/>
        </w:rPr>
        <w:t xml:space="preserve"> by the agreement</w:t>
      </w:r>
      <w:r w:rsidR="008D2B1D" w:rsidRPr="005D7C9D">
        <w:rPr>
          <w:rFonts w:ascii="Times New Roman" w:hAnsi="Times New Roman" w:cs="Times New Roman"/>
          <w:sz w:val="24"/>
          <w:szCs w:val="24"/>
          <w:lang w:val="en-GB"/>
        </w:rPr>
        <w:t xml:space="preserve"> (</w:t>
      </w:r>
      <w:r w:rsidR="00C529D9" w:rsidRPr="005D7C9D">
        <w:rPr>
          <w:rFonts w:ascii="Times New Roman" w:hAnsi="Times New Roman" w:cs="Times New Roman"/>
          <w:sz w:val="24"/>
          <w:szCs w:val="24"/>
        </w:rPr>
        <w:t>Arvind, 2022</w:t>
      </w:r>
      <w:r w:rsidR="003478C4" w:rsidRPr="005D7C9D">
        <w:rPr>
          <w:rFonts w:ascii="Times New Roman" w:hAnsi="Times New Roman" w:cs="Times New Roman"/>
          <w:sz w:val="24"/>
          <w:szCs w:val="24"/>
        </w:rPr>
        <w:t>a</w:t>
      </w:r>
      <w:r w:rsidR="008D2B1D" w:rsidRPr="005D7C9D">
        <w:rPr>
          <w:rFonts w:ascii="Times New Roman" w:hAnsi="Times New Roman" w:cs="Times New Roman"/>
          <w:sz w:val="24"/>
          <w:szCs w:val="24"/>
          <w:lang w:val="en-GB"/>
        </w:rPr>
        <w:t>)</w:t>
      </w:r>
      <w:r w:rsidRPr="005D7C9D">
        <w:rPr>
          <w:rFonts w:ascii="Times New Roman" w:hAnsi="Times New Roman" w:cs="Times New Roman"/>
          <w:sz w:val="24"/>
          <w:szCs w:val="24"/>
          <w:lang w:val="en-GB"/>
        </w:rPr>
        <w:t>. If parties do not intend this, the agreement is not legally binding and cannot be enforced by courts.</w:t>
      </w:r>
      <w:r w:rsidR="007343FA" w:rsidRPr="005D7C9D">
        <w:rPr>
          <w:rFonts w:ascii="Times New Roman" w:hAnsi="Times New Roman" w:cs="Times New Roman"/>
          <w:sz w:val="24"/>
          <w:szCs w:val="24"/>
          <w:lang w:val="en-GB"/>
        </w:rPr>
        <w:t xml:space="preserve"> </w:t>
      </w:r>
      <w:r w:rsidR="00EF3A61" w:rsidRPr="005D7C9D">
        <w:rPr>
          <w:rFonts w:ascii="Times New Roman" w:hAnsi="Times New Roman" w:cs="Times New Roman"/>
          <w:sz w:val="24"/>
          <w:szCs w:val="24"/>
          <w:lang w:val="en-GB"/>
        </w:rPr>
        <w:t>In addition</w:t>
      </w:r>
      <w:r w:rsidR="00F021B1" w:rsidRPr="005D7C9D">
        <w:rPr>
          <w:rFonts w:ascii="Times New Roman" w:hAnsi="Times New Roman" w:cs="Times New Roman"/>
          <w:sz w:val="24"/>
          <w:szCs w:val="24"/>
          <w:lang w:val="en-GB"/>
        </w:rPr>
        <w:t>, a</w:t>
      </w:r>
      <w:r w:rsidR="00E16A24" w:rsidRPr="005D7C9D">
        <w:rPr>
          <w:rFonts w:ascii="Times New Roman" w:hAnsi="Times New Roman" w:cs="Times New Roman"/>
          <w:sz w:val="24"/>
          <w:szCs w:val="24"/>
          <w:lang w:val="en-GB"/>
        </w:rPr>
        <w:t xml:space="preserve">s humans, we frequently agree to meet someone at a certain time, drive them to a particular place, engage in activities together, such as hiking or climbing, etc. No legal obligations are intended or expected from these. It would be very surprising if a person did not show up for a meeting with a friend at the pub and was sued. Arrangements such as these are considered social rather than legal </w:t>
      </w:r>
      <w:r w:rsidR="008D2B1D" w:rsidRPr="005D7C9D">
        <w:rPr>
          <w:rFonts w:ascii="Times New Roman" w:hAnsi="Times New Roman" w:cs="Times New Roman"/>
          <w:sz w:val="24"/>
          <w:szCs w:val="24"/>
          <w:lang w:val="en-GB"/>
        </w:rPr>
        <w:t>(</w:t>
      </w:r>
      <w:r w:rsidR="00C529D9" w:rsidRPr="005D7C9D">
        <w:rPr>
          <w:rFonts w:ascii="Times New Roman" w:hAnsi="Times New Roman" w:cs="Times New Roman"/>
          <w:sz w:val="24"/>
          <w:szCs w:val="24"/>
        </w:rPr>
        <w:t>Roach, 2016).</w:t>
      </w:r>
      <w:r w:rsidR="00C529D9" w:rsidRPr="005D7C9D">
        <w:rPr>
          <w:rFonts w:ascii="Times New Roman" w:hAnsi="Times New Roman" w:cs="Times New Roman"/>
          <w:sz w:val="24"/>
          <w:szCs w:val="24"/>
          <w:lang w:val="en-GB"/>
        </w:rPr>
        <w:t xml:space="preserve"> </w:t>
      </w:r>
    </w:p>
    <w:p w14:paraId="06518D3C" w14:textId="77777777" w:rsidR="00C74913" w:rsidRPr="005D7C9D" w:rsidRDefault="00C74913" w:rsidP="00485B5C">
      <w:pPr>
        <w:spacing w:after="0" w:line="240" w:lineRule="auto"/>
        <w:jc w:val="both"/>
        <w:rPr>
          <w:rFonts w:ascii="Times New Roman" w:hAnsi="Times New Roman" w:cs="Times New Roman"/>
          <w:sz w:val="24"/>
          <w:szCs w:val="24"/>
          <w:lang w:val="en-GB"/>
        </w:rPr>
      </w:pPr>
    </w:p>
    <w:p w14:paraId="0AA7C0AE" w14:textId="74728550" w:rsidR="006A3B4E" w:rsidRPr="005D7C9D" w:rsidRDefault="006A3B4E"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 xml:space="preserve">Contract laws include the Sale of Goods Act 1979, Sale of Goods and Supply of Services Act 1982, Unfair Contract Terms Act 1977, and Contracts (Rights of Third Parties) Act 1999. All contract laws do not explicitly </w:t>
      </w:r>
      <w:r w:rsidR="00033213" w:rsidRPr="005D7C9D">
        <w:rPr>
          <w:rFonts w:ascii="Times New Roman" w:hAnsi="Times New Roman" w:cs="Times New Roman"/>
          <w:sz w:val="24"/>
          <w:szCs w:val="24"/>
          <w:lang w:val="en-GB"/>
        </w:rPr>
        <w:t>contain the</w:t>
      </w:r>
      <w:r w:rsidRPr="005D7C9D">
        <w:rPr>
          <w:rFonts w:ascii="Times New Roman" w:hAnsi="Times New Roman" w:cs="Times New Roman"/>
          <w:sz w:val="24"/>
          <w:szCs w:val="24"/>
          <w:lang w:val="en-GB"/>
        </w:rPr>
        <w:t xml:space="preserve"> intent</w:t>
      </w:r>
      <w:r w:rsidR="00033213" w:rsidRPr="005D7C9D">
        <w:rPr>
          <w:rFonts w:ascii="Times New Roman" w:hAnsi="Times New Roman" w:cs="Times New Roman"/>
          <w:sz w:val="24"/>
          <w:szCs w:val="24"/>
          <w:lang w:val="en-GB"/>
        </w:rPr>
        <w:t>ion</w:t>
      </w:r>
      <w:r w:rsidRPr="005D7C9D">
        <w:rPr>
          <w:rFonts w:ascii="Times New Roman" w:hAnsi="Times New Roman" w:cs="Times New Roman"/>
          <w:sz w:val="24"/>
          <w:szCs w:val="24"/>
          <w:lang w:val="en-GB"/>
        </w:rPr>
        <w:t xml:space="preserve"> to </w:t>
      </w:r>
      <w:r w:rsidR="00033213" w:rsidRPr="005D7C9D">
        <w:rPr>
          <w:rFonts w:ascii="Times New Roman" w:hAnsi="Times New Roman" w:cs="Times New Roman"/>
          <w:sz w:val="24"/>
          <w:szCs w:val="24"/>
          <w:lang w:val="en-GB"/>
        </w:rPr>
        <w:t>form</w:t>
      </w:r>
      <w:r w:rsidRPr="005D7C9D">
        <w:rPr>
          <w:rFonts w:ascii="Times New Roman" w:hAnsi="Times New Roman" w:cs="Times New Roman"/>
          <w:sz w:val="24"/>
          <w:szCs w:val="24"/>
          <w:lang w:val="en-GB"/>
        </w:rPr>
        <w:t xml:space="preserve"> legal relations. However, the concept is a common law principle that has been applied in many judicial decisions and is generally accepted as a</w:t>
      </w:r>
      <w:r w:rsidR="00033213" w:rsidRPr="005D7C9D">
        <w:rPr>
          <w:rFonts w:ascii="Times New Roman" w:hAnsi="Times New Roman" w:cs="Times New Roman"/>
          <w:sz w:val="24"/>
          <w:szCs w:val="24"/>
          <w:lang w:val="en-GB"/>
        </w:rPr>
        <w:t>n</w:t>
      </w:r>
      <w:r w:rsidRPr="005D7C9D">
        <w:rPr>
          <w:rFonts w:ascii="Times New Roman" w:hAnsi="Times New Roman" w:cs="Times New Roman"/>
          <w:sz w:val="24"/>
          <w:szCs w:val="24"/>
          <w:lang w:val="en-GB"/>
        </w:rPr>
        <w:t xml:space="preserve"> </w:t>
      </w:r>
      <w:r w:rsidR="00033213" w:rsidRPr="005D7C9D">
        <w:rPr>
          <w:rFonts w:ascii="Times New Roman" w:hAnsi="Times New Roman" w:cs="Times New Roman"/>
          <w:sz w:val="24"/>
          <w:szCs w:val="24"/>
          <w:lang w:val="en-GB"/>
        </w:rPr>
        <w:t>essential</w:t>
      </w:r>
      <w:r w:rsidRPr="005D7C9D">
        <w:rPr>
          <w:rFonts w:ascii="Times New Roman" w:hAnsi="Times New Roman" w:cs="Times New Roman"/>
          <w:sz w:val="24"/>
          <w:szCs w:val="24"/>
          <w:lang w:val="en-GB"/>
        </w:rPr>
        <w:t xml:space="preserve"> </w:t>
      </w:r>
      <w:r w:rsidR="00033213" w:rsidRPr="005D7C9D">
        <w:rPr>
          <w:rFonts w:ascii="Times New Roman" w:hAnsi="Times New Roman" w:cs="Times New Roman"/>
          <w:sz w:val="24"/>
          <w:szCs w:val="24"/>
          <w:lang w:val="en-GB"/>
        </w:rPr>
        <w:t>term</w:t>
      </w:r>
      <w:r w:rsidRPr="005D7C9D">
        <w:rPr>
          <w:rFonts w:ascii="Times New Roman" w:hAnsi="Times New Roman" w:cs="Times New Roman"/>
          <w:sz w:val="24"/>
          <w:szCs w:val="24"/>
          <w:lang w:val="en-GB"/>
        </w:rPr>
        <w:t xml:space="preserve"> for a </w:t>
      </w:r>
      <w:r w:rsidR="00033213" w:rsidRPr="005D7C9D">
        <w:rPr>
          <w:rFonts w:ascii="Times New Roman" w:hAnsi="Times New Roman" w:cs="Times New Roman"/>
          <w:sz w:val="24"/>
          <w:szCs w:val="24"/>
          <w:lang w:val="en-GB"/>
        </w:rPr>
        <w:t>lawfully valid</w:t>
      </w:r>
      <w:r w:rsidRPr="005D7C9D">
        <w:rPr>
          <w:rFonts w:ascii="Times New Roman" w:hAnsi="Times New Roman" w:cs="Times New Roman"/>
          <w:sz w:val="24"/>
          <w:szCs w:val="24"/>
          <w:lang w:val="en-GB"/>
        </w:rPr>
        <w:t xml:space="preserve"> contract. The courts have held that for a contract to be </w:t>
      </w:r>
      <w:r w:rsidR="00033213" w:rsidRPr="005D7C9D">
        <w:rPr>
          <w:rFonts w:ascii="Times New Roman" w:hAnsi="Times New Roman" w:cs="Times New Roman"/>
          <w:sz w:val="24"/>
          <w:szCs w:val="24"/>
          <w:lang w:val="en-GB"/>
        </w:rPr>
        <w:t>lawfully</w:t>
      </w:r>
      <w:r w:rsidRPr="005D7C9D">
        <w:rPr>
          <w:rFonts w:ascii="Times New Roman" w:hAnsi="Times New Roman" w:cs="Times New Roman"/>
          <w:sz w:val="24"/>
          <w:szCs w:val="24"/>
          <w:lang w:val="en-GB"/>
        </w:rPr>
        <w:t xml:space="preserve"> binding, the </w:t>
      </w:r>
      <w:r w:rsidR="00033213" w:rsidRPr="005D7C9D">
        <w:rPr>
          <w:rFonts w:ascii="Times New Roman" w:hAnsi="Times New Roman" w:cs="Times New Roman"/>
          <w:sz w:val="24"/>
          <w:szCs w:val="24"/>
          <w:lang w:val="en-GB"/>
        </w:rPr>
        <w:t>bodies</w:t>
      </w:r>
      <w:r w:rsidRPr="005D7C9D">
        <w:rPr>
          <w:rFonts w:ascii="Times New Roman" w:hAnsi="Times New Roman" w:cs="Times New Roman"/>
          <w:sz w:val="24"/>
          <w:szCs w:val="24"/>
          <w:lang w:val="en-GB"/>
        </w:rPr>
        <w:t xml:space="preserve"> must have intended to </w:t>
      </w:r>
      <w:r w:rsidR="00200804" w:rsidRPr="005D7C9D">
        <w:rPr>
          <w:rFonts w:ascii="Times New Roman" w:hAnsi="Times New Roman" w:cs="Times New Roman"/>
          <w:sz w:val="24"/>
          <w:szCs w:val="24"/>
          <w:lang w:val="en-GB"/>
        </w:rPr>
        <w:t>form</w:t>
      </w:r>
      <w:r w:rsidRPr="005D7C9D">
        <w:rPr>
          <w:rFonts w:ascii="Times New Roman" w:hAnsi="Times New Roman" w:cs="Times New Roman"/>
          <w:sz w:val="24"/>
          <w:szCs w:val="24"/>
          <w:lang w:val="en-GB"/>
        </w:rPr>
        <w:t xml:space="preserve"> a l</w:t>
      </w:r>
      <w:r w:rsidR="00200804" w:rsidRPr="005D7C9D">
        <w:rPr>
          <w:rFonts w:ascii="Times New Roman" w:hAnsi="Times New Roman" w:cs="Times New Roman"/>
          <w:sz w:val="24"/>
          <w:szCs w:val="24"/>
          <w:lang w:val="en-GB"/>
        </w:rPr>
        <w:t>awfu</w:t>
      </w:r>
      <w:r w:rsidRPr="005D7C9D">
        <w:rPr>
          <w:rFonts w:ascii="Times New Roman" w:hAnsi="Times New Roman" w:cs="Times New Roman"/>
          <w:sz w:val="24"/>
          <w:szCs w:val="24"/>
          <w:lang w:val="en-GB"/>
        </w:rPr>
        <w:t xml:space="preserve">lly enforceable agreement, not just an informal or social arrangement. </w:t>
      </w:r>
      <w:r w:rsidR="00233C71" w:rsidRPr="005D7C9D">
        <w:rPr>
          <w:rFonts w:ascii="Times New Roman" w:hAnsi="Times New Roman" w:cs="Times New Roman"/>
          <w:sz w:val="24"/>
          <w:szCs w:val="24"/>
          <w:lang w:val="en-GB"/>
        </w:rPr>
        <w:t>For examples, according to the court in the case of McGowan v Radio Buxton [2001] there was an intention to create a legal relationship. However, in the case of Jones v Vernon's Pools Ltd [1938] clearly stated in its agreement that the winner and Vernon's Pools Ltd had no legal relationship, and the contract was only a matter of honour and respect</w:t>
      </w:r>
      <w:r w:rsidR="00233C71" w:rsidRPr="005D7C9D">
        <w:rPr>
          <w:rFonts w:ascii="Times New Roman" w:hAnsi="Times New Roman" w:cs="Times New Roman"/>
          <w:sz w:val="24"/>
          <w:szCs w:val="24"/>
        </w:rPr>
        <w:t xml:space="preserve"> </w:t>
      </w:r>
      <w:r w:rsidR="00233C71" w:rsidRPr="005D7C9D">
        <w:rPr>
          <w:rFonts w:ascii="Times New Roman" w:hAnsi="Times New Roman" w:cs="Times New Roman"/>
          <w:sz w:val="24"/>
          <w:szCs w:val="24"/>
          <w:lang w:val="en-GB"/>
        </w:rPr>
        <w:t xml:space="preserve">rather than a contract between the parties. </w:t>
      </w:r>
      <w:r w:rsidRPr="005D7C9D">
        <w:rPr>
          <w:rFonts w:ascii="Times New Roman" w:hAnsi="Times New Roman" w:cs="Times New Roman"/>
          <w:sz w:val="24"/>
          <w:szCs w:val="24"/>
          <w:lang w:val="en-GB"/>
        </w:rPr>
        <w:t>Offer and acceptance are closely related to legal intent. Offers can be accepted to form contracts. Both parties must accept the offer and want legal relations</w:t>
      </w:r>
      <w:r w:rsidR="008D2B1D" w:rsidRPr="005D7C9D">
        <w:rPr>
          <w:rFonts w:ascii="Times New Roman" w:hAnsi="Times New Roman" w:cs="Times New Roman"/>
          <w:sz w:val="24"/>
          <w:szCs w:val="24"/>
          <w:lang w:val="en-GB"/>
        </w:rPr>
        <w:t xml:space="preserve"> (</w:t>
      </w:r>
      <w:r w:rsidR="00F235B0" w:rsidRPr="005D7C9D">
        <w:rPr>
          <w:rFonts w:ascii="Times New Roman" w:hAnsi="Times New Roman" w:cs="Times New Roman"/>
          <w:sz w:val="24"/>
          <w:szCs w:val="24"/>
        </w:rPr>
        <w:t>Jones, 2019</w:t>
      </w:r>
      <w:r w:rsidR="008D2B1D" w:rsidRPr="005D7C9D">
        <w:rPr>
          <w:rFonts w:ascii="Times New Roman" w:hAnsi="Times New Roman" w:cs="Times New Roman"/>
          <w:sz w:val="24"/>
          <w:szCs w:val="24"/>
          <w:lang w:val="en-GB"/>
        </w:rPr>
        <w:t>)</w:t>
      </w:r>
      <w:r w:rsidRPr="005D7C9D">
        <w:rPr>
          <w:rFonts w:ascii="Times New Roman" w:hAnsi="Times New Roman" w:cs="Times New Roman"/>
          <w:sz w:val="24"/>
          <w:szCs w:val="24"/>
          <w:lang w:val="en-GB"/>
        </w:rPr>
        <w:t xml:space="preserve">. Intention has been used by courts to interpret and enforce contracts. The courts have examined the contract's formation to determine whether the </w:t>
      </w:r>
      <w:r w:rsidR="00200804" w:rsidRPr="005D7C9D">
        <w:rPr>
          <w:rFonts w:ascii="Times New Roman" w:hAnsi="Times New Roman" w:cs="Times New Roman"/>
          <w:sz w:val="24"/>
          <w:szCs w:val="24"/>
          <w:lang w:val="en-GB"/>
        </w:rPr>
        <w:t>bodies</w:t>
      </w:r>
      <w:r w:rsidRPr="005D7C9D">
        <w:rPr>
          <w:rFonts w:ascii="Times New Roman" w:hAnsi="Times New Roman" w:cs="Times New Roman"/>
          <w:sz w:val="24"/>
          <w:szCs w:val="24"/>
          <w:lang w:val="en-GB"/>
        </w:rPr>
        <w:t xml:space="preserve"> </w:t>
      </w:r>
      <w:r w:rsidR="00200804" w:rsidRPr="005D7C9D">
        <w:rPr>
          <w:rFonts w:ascii="Times New Roman" w:hAnsi="Times New Roman" w:cs="Times New Roman"/>
          <w:sz w:val="24"/>
          <w:szCs w:val="24"/>
          <w:lang w:val="en-GB"/>
        </w:rPr>
        <w:t>meant</w:t>
      </w:r>
      <w:r w:rsidRPr="005D7C9D">
        <w:rPr>
          <w:rFonts w:ascii="Times New Roman" w:hAnsi="Times New Roman" w:cs="Times New Roman"/>
          <w:sz w:val="24"/>
          <w:szCs w:val="24"/>
          <w:lang w:val="en-GB"/>
        </w:rPr>
        <w:t xml:space="preserve"> to </w:t>
      </w:r>
      <w:r w:rsidR="00200804" w:rsidRPr="005D7C9D">
        <w:rPr>
          <w:rFonts w:ascii="Times New Roman" w:hAnsi="Times New Roman" w:cs="Times New Roman"/>
          <w:sz w:val="24"/>
          <w:szCs w:val="24"/>
          <w:lang w:val="en-GB"/>
        </w:rPr>
        <w:t>form</w:t>
      </w:r>
      <w:r w:rsidRPr="005D7C9D">
        <w:rPr>
          <w:rFonts w:ascii="Times New Roman" w:hAnsi="Times New Roman" w:cs="Times New Roman"/>
          <w:sz w:val="24"/>
          <w:szCs w:val="24"/>
          <w:lang w:val="en-GB"/>
        </w:rPr>
        <w:t xml:space="preserve"> legal relations in cases where the </w:t>
      </w:r>
      <w:r w:rsidR="00200804" w:rsidRPr="005D7C9D">
        <w:rPr>
          <w:rFonts w:ascii="Times New Roman" w:hAnsi="Times New Roman" w:cs="Times New Roman"/>
          <w:sz w:val="24"/>
          <w:szCs w:val="24"/>
          <w:lang w:val="en-GB"/>
        </w:rPr>
        <w:t>bodies</w:t>
      </w:r>
      <w:r w:rsidRPr="005D7C9D">
        <w:rPr>
          <w:rFonts w:ascii="Times New Roman" w:hAnsi="Times New Roman" w:cs="Times New Roman"/>
          <w:sz w:val="24"/>
          <w:szCs w:val="24"/>
          <w:lang w:val="en-GB"/>
        </w:rPr>
        <w:t xml:space="preserve"> have disputed its legality.</w:t>
      </w:r>
    </w:p>
    <w:p w14:paraId="7DF72D01" w14:textId="77777777" w:rsidR="00E41A97" w:rsidRPr="005D7C9D" w:rsidRDefault="00E41A97" w:rsidP="00485B5C">
      <w:pPr>
        <w:spacing w:after="0" w:line="240" w:lineRule="auto"/>
        <w:jc w:val="both"/>
        <w:rPr>
          <w:rFonts w:ascii="Times New Roman" w:hAnsi="Times New Roman" w:cs="Times New Roman"/>
          <w:sz w:val="24"/>
          <w:szCs w:val="24"/>
          <w:lang w:val="en-GB"/>
        </w:rPr>
      </w:pPr>
    </w:p>
    <w:p w14:paraId="270251BB" w14:textId="3A08F27B" w:rsidR="00802007" w:rsidRPr="005D7C9D" w:rsidRDefault="006A3B4E"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Contract law uses presumptions to determine legal intent. These are categori</w:t>
      </w:r>
      <w:r w:rsidR="0067320F" w:rsidRPr="005D7C9D">
        <w:rPr>
          <w:rFonts w:ascii="Times New Roman" w:hAnsi="Times New Roman" w:cs="Times New Roman"/>
          <w:sz w:val="24"/>
          <w:szCs w:val="24"/>
          <w:lang w:val="en-GB"/>
        </w:rPr>
        <w:t>s</w:t>
      </w:r>
      <w:r w:rsidRPr="005D7C9D">
        <w:rPr>
          <w:rFonts w:ascii="Times New Roman" w:hAnsi="Times New Roman" w:cs="Times New Roman"/>
          <w:sz w:val="24"/>
          <w:szCs w:val="24"/>
          <w:lang w:val="en-GB"/>
        </w:rPr>
        <w:t xml:space="preserve">ed into domestic, commercial, and public body assumptions. </w:t>
      </w:r>
      <w:r w:rsidR="00200804" w:rsidRPr="005D7C9D">
        <w:rPr>
          <w:rFonts w:ascii="Times New Roman" w:hAnsi="Times New Roman" w:cs="Times New Roman"/>
          <w:sz w:val="24"/>
          <w:szCs w:val="24"/>
          <w:lang w:val="en-GB"/>
        </w:rPr>
        <w:t>The</w:t>
      </w:r>
      <w:r w:rsidRPr="005D7C9D">
        <w:rPr>
          <w:rFonts w:ascii="Times New Roman" w:hAnsi="Times New Roman" w:cs="Times New Roman"/>
          <w:sz w:val="24"/>
          <w:szCs w:val="24"/>
          <w:lang w:val="en-GB"/>
        </w:rPr>
        <w:t xml:space="preserve"> law presumptively does not </w:t>
      </w:r>
      <w:r w:rsidR="00200804" w:rsidRPr="005D7C9D">
        <w:rPr>
          <w:rFonts w:ascii="Times New Roman" w:hAnsi="Times New Roman" w:cs="Times New Roman"/>
          <w:sz w:val="24"/>
          <w:szCs w:val="24"/>
          <w:lang w:val="en-GB"/>
        </w:rPr>
        <w:t>acknowledge</w:t>
      </w:r>
      <w:r w:rsidRPr="005D7C9D">
        <w:rPr>
          <w:rFonts w:ascii="Times New Roman" w:hAnsi="Times New Roman" w:cs="Times New Roman"/>
          <w:sz w:val="24"/>
          <w:szCs w:val="24"/>
          <w:lang w:val="en-GB"/>
        </w:rPr>
        <w:t xml:space="preserve"> social or domestic agreements as legal contracts. This means that unless proven otherwise, the parties to such an agreement did not </w:t>
      </w:r>
      <w:r w:rsidR="00200804" w:rsidRPr="005D7C9D">
        <w:rPr>
          <w:rFonts w:ascii="Times New Roman" w:hAnsi="Times New Roman" w:cs="Times New Roman"/>
          <w:sz w:val="24"/>
          <w:szCs w:val="24"/>
          <w:lang w:val="en-GB"/>
        </w:rPr>
        <w:t>mean</w:t>
      </w:r>
      <w:r w:rsidRPr="005D7C9D">
        <w:rPr>
          <w:rFonts w:ascii="Times New Roman" w:hAnsi="Times New Roman" w:cs="Times New Roman"/>
          <w:sz w:val="24"/>
          <w:szCs w:val="24"/>
          <w:lang w:val="en-GB"/>
        </w:rPr>
        <w:t xml:space="preserve"> to be </w:t>
      </w:r>
      <w:r w:rsidR="00200804" w:rsidRPr="005D7C9D">
        <w:rPr>
          <w:rFonts w:ascii="Times New Roman" w:hAnsi="Times New Roman" w:cs="Times New Roman"/>
          <w:sz w:val="24"/>
          <w:szCs w:val="24"/>
          <w:lang w:val="en-GB"/>
        </w:rPr>
        <w:t>lawfully</w:t>
      </w:r>
      <w:r w:rsidRPr="005D7C9D">
        <w:rPr>
          <w:rFonts w:ascii="Times New Roman" w:hAnsi="Times New Roman" w:cs="Times New Roman"/>
          <w:sz w:val="24"/>
          <w:szCs w:val="24"/>
          <w:lang w:val="en-GB"/>
        </w:rPr>
        <w:t xml:space="preserve"> </w:t>
      </w:r>
      <w:r w:rsidR="00200804" w:rsidRPr="005D7C9D">
        <w:rPr>
          <w:rFonts w:ascii="Times New Roman" w:hAnsi="Times New Roman" w:cs="Times New Roman"/>
          <w:sz w:val="24"/>
          <w:szCs w:val="24"/>
          <w:lang w:val="en-GB"/>
        </w:rPr>
        <w:t>obligated</w:t>
      </w:r>
      <w:r w:rsidRPr="005D7C9D">
        <w:rPr>
          <w:rFonts w:ascii="Times New Roman" w:hAnsi="Times New Roman" w:cs="Times New Roman"/>
          <w:sz w:val="24"/>
          <w:szCs w:val="24"/>
          <w:lang w:val="en-GB"/>
        </w:rPr>
        <w:t xml:space="preserve"> by its </w:t>
      </w:r>
      <w:r w:rsidR="00200804" w:rsidRPr="005D7C9D">
        <w:rPr>
          <w:rFonts w:ascii="Times New Roman" w:hAnsi="Times New Roman" w:cs="Times New Roman"/>
          <w:sz w:val="24"/>
          <w:szCs w:val="24"/>
          <w:lang w:val="en-GB"/>
        </w:rPr>
        <w:t>conditions</w:t>
      </w:r>
      <w:r w:rsidRPr="005D7C9D">
        <w:rPr>
          <w:rFonts w:ascii="Times New Roman" w:hAnsi="Times New Roman" w:cs="Times New Roman"/>
          <w:sz w:val="24"/>
          <w:szCs w:val="24"/>
          <w:lang w:val="en-GB"/>
        </w:rPr>
        <w:t xml:space="preserve">. This presumption is based on the idea that social or domestic agreements are usually based on personal relationships or social interactions rather than commercial considerations and are not </w:t>
      </w:r>
      <w:r w:rsidR="00200804" w:rsidRPr="005D7C9D">
        <w:rPr>
          <w:rFonts w:ascii="Times New Roman" w:hAnsi="Times New Roman" w:cs="Times New Roman"/>
          <w:sz w:val="24"/>
          <w:szCs w:val="24"/>
          <w:lang w:val="en-GB"/>
        </w:rPr>
        <w:t>meant</w:t>
      </w:r>
      <w:r w:rsidRPr="005D7C9D">
        <w:rPr>
          <w:rFonts w:ascii="Times New Roman" w:hAnsi="Times New Roman" w:cs="Times New Roman"/>
          <w:sz w:val="24"/>
          <w:szCs w:val="24"/>
          <w:lang w:val="en-GB"/>
        </w:rPr>
        <w:t xml:space="preserve"> to be </w:t>
      </w:r>
      <w:r w:rsidR="00200804" w:rsidRPr="005D7C9D">
        <w:rPr>
          <w:rFonts w:ascii="Times New Roman" w:hAnsi="Times New Roman" w:cs="Times New Roman"/>
          <w:sz w:val="24"/>
          <w:szCs w:val="24"/>
          <w:lang w:val="en-GB"/>
        </w:rPr>
        <w:t>lawfully binding</w:t>
      </w:r>
      <w:r w:rsidR="001D3AA5" w:rsidRPr="005D7C9D">
        <w:rPr>
          <w:rFonts w:ascii="Times New Roman" w:hAnsi="Times New Roman" w:cs="Times New Roman"/>
          <w:sz w:val="24"/>
          <w:szCs w:val="24"/>
          <w:lang w:val="en-GB"/>
        </w:rPr>
        <w:t xml:space="preserve"> (</w:t>
      </w:r>
      <w:r w:rsidR="00F235B0" w:rsidRPr="005D7C9D">
        <w:rPr>
          <w:rFonts w:ascii="Times New Roman" w:hAnsi="Times New Roman" w:cs="Times New Roman"/>
          <w:sz w:val="24"/>
          <w:szCs w:val="24"/>
        </w:rPr>
        <w:t>McKendrick, 2020</w:t>
      </w:r>
      <w:r w:rsidR="001D3AA5" w:rsidRPr="005D7C9D">
        <w:rPr>
          <w:rFonts w:ascii="Times New Roman" w:hAnsi="Times New Roman" w:cs="Times New Roman"/>
          <w:sz w:val="24"/>
          <w:szCs w:val="24"/>
          <w:lang w:val="en-GB"/>
        </w:rPr>
        <w:t>)</w:t>
      </w:r>
      <w:r w:rsidRPr="005D7C9D">
        <w:rPr>
          <w:rFonts w:ascii="Times New Roman" w:hAnsi="Times New Roman" w:cs="Times New Roman"/>
          <w:sz w:val="24"/>
          <w:szCs w:val="24"/>
          <w:lang w:val="en-GB"/>
        </w:rPr>
        <w:t xml:space="preserve">. </w:t>
      </w:r>
    </w:p>
    <w:p w14:paraId="56F82BCB" w14:textId="77777777" w:rsidR="000011AC" w:rsidRPr="005D7C9D" w:rsidRDefault="000011AC" w:rsidP="00485B5C">
      <w:pPr>
        <w:spacing w:after="0" w:line="240" w:lineRule="auto"/>
        <w:jc w:val="both"/>
        <w:rPr>
          <w:rFonts w:ascii="Times New Roman" w:hAnsi="Times New Roman" w:cs="Times New Roman"/>
          <w:sz w:val="24"/>
          <w:szCs w:val="24"/>
          <w:lang w:val="en-GB"/>
        </w:rPr>
      </w:pPr>
    </w:p>
    <w:p w14:paraId="783E941F" w14:textId="59BB023F" w:rsidR="00A362EE" w:rsidRPr="005D7C9D" w:rsidRDefault="006A3B4E"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 xml:space="preserve">If the parties clearly intended legal relations, this presumption can be rebutted. </w:t>
      </w:r>
      <w:r w:rsidR="00200804" w:rsidRPr="005D7C9D">
        <w:rPr>
          <w:rFonts w:ascii="Times New Roman" w:hAnsi="Times New Roman" w:cs="Times New Roman"/>
          <w:sz w:val="24"/>
          <w:szCs w:val="24"/>
          <w:lang w:val="en-GB"/>
        </w:rPr>
        <w:t>A rebuttal to the assumption would be evidence that the parties meant to establish a legally enforceable duty, or that they considered the legal ramifications of their agreement</w:t>
      </w:r>
      <w:r w:rsidR="001D3AA5" w:rsidRPr="005D7C9D">
        <w:rPr>
          <w:rFonts w:ascii="Times New Roman" w:hAnsi="Times New Roman" w:cs="Times New Roman"/>
          <w:sz w:val="24"/>
          <w:szCs w:val="24"/>
          <w:lang w:val="en-GB"/>
        </w:rPr>
        <w:t xml:space="preserve"> (</w:t>
      </w:r>
      <w:r w:rsidR="00F235B0" w:rsidRPr="005D7C9D">
        <w:rPr>
          <w:rFonts w:ascii="Times New Roman" w:hAnsi="Times New Roman" w:cs="Times New Roman"/>
          <w:sz w:val="24"/>
          <w:szCs w:val="24"/>
        </w:rPr>
        <w:t>Atkins, 2022</w:t>
      </w:r>
      <w:r w:rsidR="001D3AA5" w:rsidRPr="005D7C9D">
        <w:rPr>
          <w:rFonts w:ascii="Times New Roman" w:hAnsi="Times New Roman" w:cs="Times New Roman"/>
          <w:sz w:val="24"/>
          <w:szCs w:val="24"/>
          <w:lang w:val="en-GB"/>
        </w:rPr>
        <w:t>)</w:t>
      </w:r>
      <w:r w:rsidR="00200804" w:rsidRPr="005D7C9D">
        <w:rPr>
          <w:rFonts w:ascii="Times New Roman" w:hAnsi="Times New Roman" w:cs="Times New Roman"/>
          <w:sz w:val="24"/>
          <w:szCs w:val="24"/>
          <w:lang w:val="en-GB"/>
        </w:rPr>
        <w:t>. Given the significance of personal relationships and social interactions, as well as the idea that social and domestic agreements are not typically motivated by commercial considerations or the desire to create legally binding obligations, it is reasonable to assume that such agreements are not intended to create legal relations.</w:t>
      </w:r>
      <w:r w:rsidR="00765FE4" w:rsidRPr="005D7C9D">
        <w:rPr>
          <w:rFonts w:ascii="Times New Roman" w:hAnsi="Times New Roman" w:cs="Times New Roman"/>
          <w:sz w:val="24"/>
          <w:szCs w:val="24"/>
          <w:lang w:val="en-GB"/>
        </w:rPr>
        <w:t xml:space="preserve"> </w:t>
      </w:r>
    </w:p>
    <w:p w14:paraId="4C4C812D" w14:textId="77777777" w:rsidR="00802007" w:rsidRPr="005D7C9D" w:rsidRDefault="00802007" w:rsidP="00485B5C">
      <w:pPr>
        <w:spacing w:after="0" w:line="240" w:lineRule="auto"/>
        <w:jc w:val="both"/>
        <w:rPr>
          <w:rFonts w:ascii="Times New Roman" w:hAnsi="Times New Roman" w:cs="Times New Roman"/>
          <w:sz w:val="24"/>
          <w:szCs w:val="24"/>
          <w:lang w:val="en-GB"/>
        </w:rPr>
      </w:pPr>
    </w:p>
    <w:p w14:paraId="534F348B" w14:textId="01C32744" w:rsidR="00F235B0" w:rsidRPr="005D7C9D" w:rsidRDefault="006B7408"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T</w:t>
      </w:r>
      <w:r w:rsidR="00200804" w:rsidRPr="005D7C9D">
        <w:rPr>
          <w:rFonts w:ascii="Times New Roman" w:hAnsi="Times New Roman" w:cs="Times New Roman"/>
          <w:sz w:val="24"/>
          <w:szCs w:val="24"/>
          <w:lang w:val="en-GB"/>
        </w:rPr>
        <w:t xml:space="preserve">he creation of legal connections in social or domestic settings has been the subject of controversy in UK contract law. </w:t>
      </w:r>
      <w:r w:rsidR="00F235B0" w:rsidRPr="005D7C9D">
        <w:rPr>
          <w:rFonts w:ascii="Times New Roman" w:hAnsi="Times New Roman" w:cs="Times New Roman"/>
          <w:sz w:val="24"/>
          <w:szCs w:val="24"/>
          <w:lang w:val="en-GB"/>
        </w:rPr>
        <w:t>Two landmark instances in English law have addressed the validity of social and domestic contracts. Two such examples are Balfour v. Balfour</w:t>
      </w:r>
      <w:r w:rsidR="00AF0B93">
        <w:rPr>
          <w:rFonts w:ascii="Times New Roman" w:hAnsi="Times New Roman" w:cs="Times New Roman"/>
          <w:sz w:val="24"/>
          <w:szCs w:val="24"/>
          <w:lang w:val="en-GB"/>
        </w:rPr>
        <w:t xml:space="preserve"> </w:t>
      </w:r>
      <w:r w:rsidR="00AF0B93" w:rsidRPr="00AF0B93">
        <w:rPr>
          <w:rFonts w:ascii="Times New Roman" w:hAnsi="Times New Roman" w:cs="Times New Roman"/>
          <w:sz w:val="24"/>
          <w:szCs w:val="24"/>
          <w:lang w:val="en-GB"/>
        </w:rPr>
        <w:t>[1919</w:t>
      </w:r>
      <w:r w:rsidR="00AF0B93" w:rsidRPr="00AF0B93">
        <w:rPr>
          <w:rFonts w:ascii="Times New Roman" w:hAnsi="Times New Roman" w:cs="Times New Roman"/>
          <w:sz w:val="24"/>
          <w:szCs w:val="24"/>
          <w:lang w:val="en-GB"/>
        </w:rPr>
        <w:t>]</w:t>
      </w:r>
      <w:r w:rsidR="00AF0B93">
        <w:rPr>
          <w:rFonts w:ascii="Times New Roman" w:hAnsi="Times New Roman" w:cs="Times New Roman"/>
          <w:sz w:val="24"/>
          <w:szCs w:val="24"/>
          <w:lang w:val="en-GB"/>
        </w:rPr>
        <w:t xml:space="preserve"> </w:t>
      </w:r>
      <w:r w:rsidR="00AF0B93" w:rsidRPr="005D7C9D">
        <w:rPr>
          <w:rFonts w:ascii="Times New Roman" w:hAnsi="Times New Roman" w:cs="Times New Roman"/>
          <w:sz w:val="24"/>
          <w:szCs w:val="24"/>
          <w:lang w:val="en-GB"/>
        </w:rPr>
        <w:t>and</w:t>
      </w:r>
      <w:r w:rsidR="00F235B0" w:rsidRPr="005D7C9D">
        <w:rPr>
          <w:rFonts w:ascii="Times New Roman" w:hAnsi="Times New Roman" w:cs="Times New Roman"/>
          <w:sz w:val="24"/>
          <w:szCs w:val="24"/>
          <w:lang w:val="en-GB"/>
        </w:rPr>
        <w:t xml:space="preserve"> </w:t>
      </w:r>
      <w:r w:rsidR="00F235B0" w:rsidRPr="005D7C9D">
        <w:rPr>
          <w:rFonts w:ascii="Times New Roman" w:hAnsi="Times New Roman" w:cs="Times New Roman"/>
          <w:sz w:val="24"/>
          <w:szCs w:val="24"/>
          <w:lang w:val="en-GB"/>
        </w:rPr>
        <w:lastRenderedPageBreak/>
        <w:t>Merritt v. Merritt</w:t>
      </w:r>
      <w:r w:rsidR="00F233BC">
        <w:rPr>
          <w:rFonts w:ascii="Times New Roman" w:hAnsi="Times New Roman" w:cs="Times New Roman"/>
          <w:sz w:val="24"/>
          <w:szCs w:val="24"/>
          <w:lang w:val="en-GB"/>
        </w:rPr>
        <w:t xml:space="preserve"> </w:t>
      </w:r>
      <w:r w:rsidR="00F233BC" w:rsidRPr="00F233BC">
        <w:rPr>
          <w:rFonts w:ascii="Times New Roman" w:hAnsi="Times New Roman" w:cs="Times New Roman"/>
          <w:sz w:val="24"/>
          <w:szCs w:val="24"/>
          <w:lang w:val="en-GB"/>
        </w:rPr>
        <w:t>[1970</w:t>
      </w:r>
      <w:r w:rsidR="00F233BC" w:rsidRPr="00F233BC">
        <w:rPr>
          <w:rFonts w:ascii="Times New Roman" w:hAnsi="Times New Roman" w:cs="Times New Roman"/>
          <w:sz w:val="24"/>
          <w:szCs w:val="24"/>
          <w:lang w:val="en-GB"/>
        </w:rPr>
        <w:t>]</w:t>
      </w:r>
      <w:r w:rsidR="00F233BC">
        <w:rPr>
          <w:rFonts w:ascii="Times New Roman" w:hAnsi="Times New Roman" w:cs="Times New Roman"/>
          <w:sz w:val="24"/>
          <w:szCs w:val="24"/>
          <w:lang w:val="en-GB"/>
        </w:rPr>
        <w:t>.</w:t>
      </w:r>
      <w:r w:rsidR="006D657D" w:rsidRPr="005D7C9D">
        <w:rPr>
          <w:rFonts w:ascii="Times New Roman" w:hAnsi="Times New Roman" w:cs="Times New Roman"/>
          <w:sz w:val="24"/>
          <w:szCs w:val="24"/>
          <w:lang w:val="en-GB"/>
        </w:rPr>
        <w:t xml:space="preserve"> </w:t>
      </w:r>
      <w:r w:rsidR="005E279E" w:rsidRPr="005D7C9D">
        <w:rPr>
          <w:rFonts w:ascii="Times New Roman" w:hAnsi="Times New Roman" w:cs="Times New Roman"/>
          <w:sz w:val="24"/>
          <w:szCs w:val="24"/>
          <w:lang w:val="en-GB"/>
        </w:rPr>
        <w:t xml:space="preserve">In the case </w:t>
      </w:r>
      <w:r w:rsidR="00F235B0" w:rsidRPr="005D7C9D">
        <w:rPr>
          <w:rFonts w:ascii="Times New Roman" w:hAnsi="Times New Roman" w:cs="Times New Roman"/>
          <w:sz w:val="24"/>
          <w:szCs w:val="24"/>
          <w:lang w:val="en-GB"/>
        </w:rPr>
        <w:t xml:space="preserve">Balfour v. </w:t>
      </w:r>
      <w:r w:rsidR="00590209" w:rsidRPr="005D7C9D">
        <w:rPr>
          <w:rFonts w:ascii="Times New Roman" w:hAnsi="Times New Roman" w:cs="Times New Roman"/>
          <w:sz w:val="24"/>
          <w:szCs w:val="24"/>
          <w:lang w:val="en-GB"/>
        </w:rPr>
        <w:t>Balfour</w:t>
      </w:r>
      <w:r w:rsidR="00692D24" w:rsidRPr="005D7C9D">
        <w:rPr>
          <w:rFonts w:ascii="Times New Roman" w:hAnsi="Times New Roman" w:cs="Times New Roman"/>
          <w:sz w:val="24"/>
          <w:szCs w:val="24"/>
          <w:lang w:val="en-GB"/>
        </w:rPr>
        <w:t xml:space="preserve"> </w:t>
      </w:r>
      <w:r w:rsidR="00A8051D" w:rsidRPr="00A8051D">
        <w:rPr>
          <w:rFonts w:ascii="Times New Roman" w:hAnsi="Times New Roman" w:cs="Times New Roman"/>
          <w:sz w:val="24"/>
          <w:szCs w:val="24"/>
          <w:lang w:val="en-GB"/>
        </w:rPr>
        <w:t>[1919]</w:t>
      </w:r>
      <w:r w:rsidR="00A8051D">
        <w:rPr>
          <w:rFonts w:ascii="Times New Roman" w:hAnsi="Times New Roman" w:cs="Times New Roman"/>
          <w:sz w:val="24"/>
          <w:szCs w:val="24"/>
          <w:lang w:val="en-GB"/>
        </w:rPr>
        <w:t xml:space="preserve"> </w:t>
      </w:r>
      <w:r w:rsidR="00692D24" w:rsidRPr="005D7C9D">
        <w:rPr>
          <w:rFonts w:ascii="Times New Roman" w:hAnsi="Times New Roman" w:cs="Times New Roman"/>
          <w:sz w:val="24"/>
          <w:szCs w:val="24"/>
          <w:lang w:val="en-GB"/>
        </w:rPr>
        <w:t>t</w:t>
      </w:r>
      <w:r w:rsidR="00F235B0" w:rsidRPr="005D7C9D">
        <w:rPr>
          <w:rFonts w:ascii="Times New Roman" w:hAnsi="Times New Roman" w:cs="Times New Roman"/>
          <w:sz w:val="24"/>
          <w:szCs w:val="24"/>
          <w:lang w:val="en-GB"/>
        </w:rPr>
        <w:t>he court determined that the agreement was not intended to create legal connections since it was formed within the framework of a domestic partnership. The court ruled that agreements between spouses are against public interests and hence not enforceable. Later, others said that the precedent set in Balfour v. Balfour was too narrow and failed to acknowledge the potential legal ramifications of domestic agreements</w:t>
      </w:r>
      <w:r w:rsidR="000D5916" w:rsidRPr="005D7C9D">
        <w:rPr>
          <w:rFonts w:ascii="Times New Roman" w:hAnsi="Times New Roman" w:cs="Times New Roman"/>
          <w:sz w:val="24"/>
          <w:szCs w:val="24"/>
          <w:lang w:val="en-GB"/>
        </w:rPr>
        <w:t xml:space="preserve"> (</w:t>
      </w:r>
      <w:r w:rsidR="000D5916" w:rsidRPr="005D7C9D">
        <w:rPr>
          <w:rFonts w:ascii="Times New Roman" w:hAnsi="Times New Roman" w:cs="Times New Roman"/>
          <w:sz w:val="24"/>
          <w:szCs w:val="24"/>
        </w:rPr>
        <w:t>Davies, 2018)</w:t>
      </w:r>
      <w:r w:rsidR="00F235B0" w:rsidRPr="005D7C9D">
        <w:rPr>
          <w:rFonts w:ascii="Times New Roman" w:hAnsi="Times New Roman" w:cs="Times New Roman"/>
          <w:sz w:val="24"/>
          <w:szCs w:val="24"/>
          <w:lang w:val="en-GB"/>
        </w:rPr>
        <w:t>.</w:t>
      </w:r>
    </w:p>
    <w:p w14:paraId="7B418D6B" w14:textId="77777777" w:rsidR="00802007" w:rsidRPr="005D7C9D" w:rsidRDefault="00802007" w:rsidP="00485B5C">
      <w:pPr>
        <w:spacing w:after="0" w:line="240" w:lineRule="auto"/>
        <w:jc w:val="both"/>
        <w:rPr>
          <w:rFonts w:ascii="Times New Roman" w:hAnsi="Times New Roman" w:cs="Times New Roman"/>
          <w:sz w:val="24"/>
          <w:szCs w:val="24"/>
          <w:lang w:val="en-GB"/>
        </w:rPr>
      </w:pPr>
    </w:p>
    <w:p w14:paraId="6EB79EBF" w14:textId="6FE21E5D" w:rsidR="00AF6242" w:rsidRPr="005D7C9D" w:rsidRDefault="00167766"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The</w:t>
      </w:r>
      <w:r w:rsidR="00883177" w:rsidRPr="005D7C9D">
        <w:rPr>
          <w:rFonts w:ascii="Times New Roman" w:hAnsi="Times New Roman" w:cs="Times New Roman"/>
          <w:sz w:val="24"/>
          <w:szCs w:val="24"/>
          <w:lang w:val="en-GB"/>
        </w:rPr>
        <w:t xml:space="preserve"> case </w:t>
      </w:r>
      <w:r w:rsidR="00F235B0" w:rsidRPr="005D7C9D">
        <w:rPr>
          <w:rFonts w:ascii="Times New Roman" w:hAnsi="Times New Roman" w:cs="Times New Roman"/>
          <w:sz w:val="24"/>
          <w:szCs w:val="24"/>
          <w:lang w:val="en-GB"/>
        </w:rPr>
        <w:t>Merritt v. Merritt</w:t>
      </w:r>
      <w:r w:rsidR="00A82C1B">
        <w:rPr>
          <w:rFonts w:ascii="Times New Roman" w:hAnsi="Times New Roman" w:cs="Times New Roman"/>
          <w:sz w:val="24"/>
          <w:szCs w:val="24"/>
          <w:lang w:val="en-GB"/>
        </w:rPr>
        <w:t xml:space="preserve"> </w:t>
      </w:r>
      <w:r w:rsidR="00A82C1B" w:rsidRPr="00A82C1B">
        <w:rPr>
          <w:rFonts w:ascii="Times New Roman" w:hAnsi="Times New Roman" w:cs="Times New Roman"/>
          <w:sz w:val="24"/>
          <w:szCs w:val="24"/>
          <w:lang w:val="en-GB"/>
        </w:rPr>
        <w:t>[1970]</w:t>
      </w:r>
      <w:r w:rsidR="00883177" w:rsidRPr="005D7C9D">
        <w:rPr>
          <w:rFonts w:ascii="Times New Roman" w:hAnsi="Times New Roman" w:cs="Times New Roman"/>
          <w:sz w:val="24"/>
          <w:szCs w:val="24"/>
          <w:lang w:val="en-GB"/>
        </w:rPr>
        <w:t xml:space="preserve"> </w:t>
      </w:r>
      <w:r w:rsidR="00F235B0" w:rsidRPr="005D7C9D">
        <w:rPr>
          <w:rFonts w:ascii="Times New Roman" w:hAnsi="Times New Roman" w:cs="Times New Roman"/>
          <w:sz w:val="24"/>
          <w:szCs w:val="24"/>
          <w:lang w:val="en-GB"/>
        </w:rPr>
        <w:t xml:space="preserve">had a different result. There was a purpose to establish legal relations since the parties had a written agreement, sought independent legal counsel, and took action to put it into effect. </w:t>
      </w:r>
      <w:r w:rsidR="00290802" w:rsidRPr="005D7C9D">
        <w:rPr>
          <w:rFonts w:ascii="Times New Roman" w:hAnsi="Times New Roman" w:cs="Times New Roman"/>
          <w:sz w:val="24"/>
          <w:szCs w:val="24"/>
          <w:lang w:val="en-GB"/>
        </w:rPr>
        <w:t xml:space="preserve">In this case </w:t>
      </w:r>
      <w:r w:rsidR="00F235B0" w:rsidRPr="005D7C9D">
        <w:rPr>
          <w:rFonts w:ascii="Times New Roman" w:hAnsi="Times New Roman" w:cs="Times New Roman"/>
          <w:sz w:val="24"/>
          <w:szCs w:val="24"/>
          <w:lang w:val="en-GB"/>
        </w:rPr>
        <w:t>the court rejected Balfour's presumption and instead considered the whole agreement to see whether it was intended to create legal relations. In a ruling that casts doubt on the legitimacy of the premise that no legal links existed between the husband and wife prior to the divorce, the court found that the parties' separation agreement intended to create legal contacts</w:t>
      </w:r>
      <w:r w:rsidR="000D5916" w:rsidRPr="005D7C9D">
        <w:rPr>
          <w:rFonts w:ascii="Times New Roman" w:hAnsi="Times New Roman" w:cs="Times New Roman"/>
          <w:sz w:val="24"/>
          <w:szCs w:val="24"/>
          <w:lang w:val="en-GB"/>
        </w:rPr>
        <w:t xml:space="preserve"> </w:t>
      </w:r>
      <w:r w:rsidR="000D5916" w:rsidRPr="005D7C9D">
        <w:rPr>
          <w:rFonts w:ascii="Times New Roman" w:hAnsi="Times New Roman" w:cs="Times New Roman"/>
          <w:sz w:val="24"/>
          <w:szCs w:val="24"/>
        </w:rPr>
        <w:t>(</w:t>
      </w:r>
      <w:r w:rsidR="001237A9" w:rsidRPr="005D7C9D">
        <w:rPr>
          <w:rFonts w:ascii="Times New Roman" w:hAnsi="Times New Roman" w:cs="Times New Roman"/>
          <w:sz w:val="24"/>
          <w:szCs w:val="24"/>
        </w:rPr>
        <w:t xml:space="preserve">Beatson FBA, J et al. </w:t>
      </w:r>
      <w:r w:rsidR="000D5916" w:rsidRPr="005D7C9D">
        <w:rPr>
          <w:rFonts w:ascii="Times New Roman" w:hAnsi="Times New Roman" w:cs="Times New Roman"/>
          <w:sz w:val="24"/>
          <w:szCs w:val="24"/>
        </w:rPr>
        <w:t>2020)</w:t>
      </w:r>
      <w:r w:rsidR="00F235B0" w:rsidRPr="005D7C9D">
        <w:rPr>
          <w:rFonts w:ascii="Times New Roman" w:hAnsi="Times New Roman" w:cs="Times New Roman"/>
          <w:sz w:val="24"/>
          <w:szCs w:val="24"/>
          <w:lang w:val="en-GB"/>
        </w:rPr>
        <w:t>.</w:t>
      </w:r>
      <w:r w:rsidR="00632820" w:rsidRPr="005D7C9D">
        <w:rPr>
          <w:rFonts w:ascii="Times New Roman" w:hAnsi="Times New Roman" w:cs="Times New Roman"/>
          <w:sz w:val="24"/>
          <w:szCs w:val="24"/>
          <w:lang w:val="en-GB"/>
        </w:rPr>
        <w:t xml:space="preserve"> </w:t>
      </w:r>
    </w:p>
    <w:p w14:paraId="050C766F" w14:textId="77777777" w:rsidR="00AF6242" w:rsidRPr="005D7C9D" w:rsidRDefault="00AF6242" w:rsidP="00485B5C">
      <w:pPr>
        <w:spacing w:after="0" w:line="240" w:lineRule="auto"/>
        <w:jc w:val="both"/>
        <w:rPr>
          <w:rFonts w:ascii="Times New Roman" w:hAnsi="Times New Roman" w:cs="Times New Roman"/>
          <w:sz w:val="24"/>
          <w:szCs w:val="24"/>
          <w:lang w:val="en-GB"/>
        </w:rPr>
      </w:pPr>
    </w:p>
    <w:p w14:paraId="3E3677A4" w14:textId="07285787" w:rsidR="00754DF1" w:rsidRPr="005D7C9D" w:rsidRDefault="00AF6242"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 xml:space="preserve">Furthermore, </w:t>
      </w:r>
      <w:r w:rsidR="004D0B05" w:rsidRPr="005D7C9D">
        <w:rPr>
          <w:rFonts w:ascii="Times New Roman" w:hAnsi="Times New Roman" w:cs="Times New Roman"/>
          <w:sz w:val="24"/>
          <w:szCs w:val="24"/>
          <w:lang w:val="en-GB"/>
        </w:rPr>
        <w:t xml:space="preserve">in the case of Coward v MIB [1963] </w:t>
      </w:r>
      <w:r w:rsidR="00B56A20" w:rsidRPr="005D7C9D">
        <w:rPr>
          <w:rFonts w:ascii="Times New Roman" w:hAnsi="Times New Roman" w:cs="Times New Roman"/>
          <w:sz w:val="24"/>
          <w:szCs w:val="24"/>
          <w:lang w:val="en-GB"/>
        </w:rPr>
        <w:t>the court stated that</w:t>
      </w:r>
      <w:r w:rsidR="004D0B05" w:rsidRPr="005D7C9D">
        <w:rPr>
          <w:rFonts w:ascii="Times New Roman" w:hAnsi="Times New Roman" w:cs="Times New Roman"/>
          <w:sz w:val="24"/>
          <w:szCs w:val="24"/>
          <w:lang w:val="en-GB"/>
        </w:rPr>
        <w:t xml:space="preserve"> </w:t>
      </w:r>
      <w:r w:rsidR="00B56A20" w:rsidRPr="005D7C9D">
        <w:rPr>
          <w:rFonts w:ascii="Times New Roman" w:hAnsi="Times New Roman" w:cs="Times New Roman"/>
          <w:sz w:val="24"/>
          <w:szCs w:val="24"/>
          <w:lang w:val="en-GB"/>
        </w:rPr>
        <w:t xml:space="preserve">it </w:t>
      </w:r>
      <w:r w:rsidR="004D0B05" w:rsidRPr="005D7C9D">
        <w:rPr>
          <w:rFonts w:ascii="Times New Roman" w:hAnsi="Times New Roman" w:cs="Times New Roman"/>
          <w:sz w:val="24"/>
          <w:szCs w:val="24"/>
          <w:lang w:val="en-GB"/>
        </w:rPr>
        <w:t>was not a contract of hire or reward</w:t>
      </w:r>
      <w:r w:rsidRPr="005D7C9D">
        <w:rPr>
          <w:rFonts w:ascii="Times New Roman" w:hAnsi="Times New Roman" w:cs="Times New Roman"/>
          <w:sz w:val="24"/>
          <w:szCs w:val="24"/>
          <w:lang w:val="en-GB"/>
        </w:rPr>
        <w:t xml:space="preserve"> and did not intend to create legal relations</w:t>
      </w:r>
      <w:r w:rsidR="004D0B05" w:rsidRPr="005D7C9D">
        <w:rPr>
          <w:rFonts w:ascii="Times New Roman" w:hAnsi="Times New Roman" w:cs="Times New Roman"/>
          <w:sz w:val="24"/>
          <w:szCs w:val="24"/>
          <w:lang w:val="en-GB"/>
        </w:rPr>
        <w:t xml:space="preserve">. As a result, the widow was not entitled to compensation. On the other hand, in the case of Albert v MIB </w:t>
      </w:r>
      <w:r w:rsidR="004D0B05" w:rsidRPr="005D7C9D">
        <w:rPr>
          <w:rStyle w:val="apple-converted-space"/>
          <w:rFonts w:ascii="Times New Roman" w:hAnsi="Times New Roman" w:cs="Times New Roman"/>
          <w:sz w:val="24"/>
          <w:szCs w:val="24"/>
        </w:rPr>
        <w:t xml:space="preserve">[1971] </w:t>
      </w:r>
      <w:r w:rsidR="004D0B05" w:rsidRPr="005D7C9D">
        <w:rPr>
          <w:rStyle w:val="Strong"/>
          <w:rFonts w:ascii="Times New Roman" w:hAnsi="Times New Roman" w:cs="Times New Roman"/>
          <w:b w:val="0"/>
          <w:bCs w:val="0"/>
          <w:sz w:val="24"/>
          <w:szCs w:val="24"/>
        </w:rPr>
        <w:t>the judge ruled that the driver's actions were more than just social kindness; they constituted a business activity, and the vehicle in which the victim was killed was a car for which passengers were carried for hire, according to section 204(4) of the Road Traffic Act. The passenger knew there was an expectation of payment, so the lack of a contract between the parties didn't matter.</w:t>
      </w:r>
      <w:r w:rsidR="004D0B05" w:rsidRPr="005D7C9D">
        <w:rPr>
          <w:rFonts w:ascii="Times New Roman" w:hAnsi="Times New Roman" w:cs="Times New Roman"/>
          <w:sz w:val="24"/>
          <w:szCs w:val="24"/>
          <w:lang w:val="en-GB"/>
        </w:rPr>
        <w:t xml:space="preserve"> In commercial and business environments, the assumption of purpose to establish legal connections may be rebutted by proof.</w:t>
      </w:r>
      <w:r w:rsidR="00A426C5">
        <w:rPr>
          <w:rFonts w:ascii="Times New Roman" w:hAnsi="Times New Roman" w:cs="Times New Roman"/>
          <w:sz w:val="24"/>
          <w:szCs w:val="24"/>
          <w:lang w:val="en-GB"/>
        </w:rPr>
        <w:t xml:space="preserve"> </w:t>
      </w:r>
    </w:p>
    <w:p w14:paraId="20EA7704" w14:textId="77777777" w:rsidR="00802007" w:rsidRPr="005D7C9D" w:rsidRDefault="00802007" w:rsidP="00485B5C">
      <w:pPr>
        <w:spacing w:after="0" w:line="240" w:lineRule="auto"/>
        <w:jc w:val="both"/>
        <w:rPr>
          <w:rFonts w:ascii="Times New Roman" w:hAnsi="Times New Roman" w:cs="Times New Roman"/>
          <w:sz w:val="24"/>
          <w:szCs w:val="24"/>
          <w:lang w:val="en-GB"/>
        </w:rPr>
      </w:pPr>
    </w:p>
    <w:p w14:paraId="787B6BAF" w14:textId="5018931A" w:rsidR="00E138EC" w:rsidRPr="005D7C9D" w:rsidRDefault="006A21C6" w:rsidP="00485B5C">
      <w:pPr>
        <w:spacing w:after="0" w:line="240" w:lineRule="auto"/>
        <w:jc w:val="both"/>
        <w:rPr>
          <w:rFonts w:ascii="Times New Roman" w:hAnsi="Times New Roman" w:cs="Times New Roman"/>
          <w:sz w:val="24"/>
          <w:szCs w:val="24"/>
        </w:rPr>
      </w:pPr>
      <w:r w:rsidRPr="005D7C9D">
        <w:rPr>
          <w:rFonts w:ascii="Times New Roman" w:hAnsi="Times New Roman" w:cs="Times New Roman"/>
          <w:sz w:val="24"/>
          <w:szCs w:val="24"/>
          <w:lang w:val="en-GB"/>
        </w:rPr>
        <w:t>The</w:t>
      </w:r>
      <w:r w:rsidR="00632820" w:rsidRPr="005D7C9D">
        <w:rPr>
          <w:rFonts w:ascii="Times New Roman" w:hAnsi="Times New Roman" w:cs="Times New Roman"/>
          <w:sz w:val="24"/>
          <w:szCs w:val="24"/>
          <w:lang w:val="en-GB"/>
        </w:rPr>
        <w:t xml:space="preserve"> case of </w:t>
      </w:r>
      <w:r w:rsidR="00E138EC" w:rsidRPr="005D7C9D">
        <w:rPr>
          <w:rFonts w:ascii="Times New Roman" w:hAnsi="Times New Roman" w:cs="Times New Roman"/>
          <w:sz w:val="24"/>
          <w:szCs w:val="24"/>
        </w:rPr>
        <w:t xml:space="preserve">Jones v. </w:t>
      </w:r>
      <w:proofErr w:type="spellStart"/>
      <w:r w:rsidR="00E138EC" w:rsidRPr="005D7C9D">
        <w:rPr>
          <w:rFonts w:ascii="Times New Roman" w:hAnsi="Times New Roman" w:cs="Times New Roman"/>
          <w:sz w:val="24"/>
          <w:szCs w:val="24"/>
        </w:rPr>
        <w:t>Padavatton</w:t>
      </w:r>
      <w:proofErr w:type="spellEnd"/>
      <w:r w:rsidR="00E138EC" w:rsidRPr="005D7C9D">
        <w:rPr>
          <w:rFonts w:ascii="Times New Roman" w:hAnsi="Times New Roman" w:cs="Times New Roman"/>
          <w:sz w:val="24"/>
          <w:szCs w:val="24"/>
        </w:rPr>
        <w:t xml:space="preserve"> [1969] showed that evidence to the contrary might overturn the presumption of a legal purpose in social or domestic arrangements. This commitment was made in a social and domestic setting</w:t>
      </w:r>
      <w:r w:rsidR="00724138">
        <w:rPr>
          <w:rFonts w:ascii="Times New Roman" w:hAnsi="Times New Roman" w:cs="Times New Roman"/>
          <w:sz w:val="24"/>
          <w:szCs w:val="24"/>
        </w:rPr>
        <w:t xml:space="preserve">. </w:t>
      </w:r>
      <w:r w:rsidR="005B7A3F">
        <w:rPr>
          <w:rFonts w:ascii="Times New Roman" w:hAnsi="Times New Roman" w:cs="Times New Roman"/>
          <w:sz w:val="24"/>
          <w:szCs w:val="24"/>
        </w:rPr>
        <w:t>According to</w:t>
      </w:r>
      <w:r w:rsidR="00E138EC" w:rsidRPr="005D7C9D">
        <w:rPr>
          <w:rFonts w:ascii="Times New Roman" w:hAnsi="Times New Roman" w:cs="Times New Roman"/>
          <w:sz w:val="24"/>
          <w:szCs w:val="24"/>
        </w:rPr>
        <w:t xml:space="preserve"> </w:t>
      </w:r>
      <w:r w:rsidR="005B7A3F">
        <w:rPr>
          <w:rFonts w:ascii="Times New Roman" w:hAnsi="Times New Roman" w:cs="Times New Roman"/>
          <w:sz w:val="24"/>
          <w:szCs w:val="24"/>
        </w:rPr>
        <w:t>t</w:t>
      </w:r>
      <w:r w:rsidR="00E138EC" w:rsidRPr="005D7C9D">
        <w:rPr>
          <w:rFonts w:ascii="Times New Roman" w:hAnsi="Times New Roman" w:cs="Times New Roman"/>
          <w:sz w:val="24"/>
          <w:szCs w:val="24"/>
        </w:rPr>
        <w:t xml:space="preserve">he </w:t>
      </w:r>
      <w:r w:rsidR="00ED7171" w:rsidRPr="005D7C9D">
        <w:rPr>
          <w:rFonts w:ascii="Times New Roman" w:hAnsi="Times New Roman" w:cs="Times New Roman"/>
          <w:sz w:val="24"/>
          <w:szCs w:val="24"/>
        </w:rPr>
        <w:t>court,</w:t>
      </w:r>
      <w:r w:rsidR="008E1FF8">
        <w:rPr>
          <w:rFonts w:ascii="Times New Roman" w:hAnsi="Times New Roman" w:cs="Times New Roman"/>
          <w:sz w:val="24"/>
          <w:szCs w:val="24"/>
        </w:rPr>
        <w:t xml:space="preserve"> </w:t>
      </w:r>
      <w:r w:rsidR="008E1FF8" w:rsidRPr="008E1FF8">
        <w:rPr>
          <w:rFonts w:ascii="Times New Roman" w:hAnsi="Times New Roman" w:cs="Times New Roman"/>
          <w:sz w:val="24"/>
          <w:szCs w:val="24"/>
        </w:rPr>
        <w:t>it was</w:t>
      </w:r>
      <w:r w:rsidR="00465F9E">
        <w:rPr>
          <w:rFonts w:ascii="Times New Roman" w:hAnsi="Times New Roman" w:cs="Times New Roman"/>
          <w:sz w:val="24"/>
          <w:szCs w:val="24"/>
        </w:rPr>
        <w:t xml:space="preserve"> unclear</w:t>
      </w:r>
      <w:r w:rsidR="008E1FF8" w:rsidRPr="008E1FF8">
        <w:rPr>
          <w:rFonts w:ascii="Times New Roman" w:hAnsi="Times New Roman" w:cs="Times New Roman"/>
          <w:sz w:val="24"/>
          <w:szCs w:val="24"/>
        </w:rPr>
        <w:t xml:space="preserve"> to qualify as a contract, as there was no evidence of intent.</w:t>
      </w:r>
      <w:r w:rsidR="008E1FF8" w:rsidRPr="008E1FF8">
        <w:rPr>
          <w:rFonts w:ascii="Times New Roman" w:hAnsi="Times New Roman" w:cs="Times New Roman"/>
          <w:sz w:val="24"/>
          <w:szCs w:val="24"/>
        </w:rPr>
        <w:t xml:space="preserve"> </w:t>
      </w:r>
      <w:r w:rsidR="00E138EC" w:rsidRPr="005D7C9D">
        <w:rPr>
          <w:rFonts w:ascii="Times New Roman" w:hAnsi="Times New Roman" w:cs="Times New Roman"/>
          <w:sz w:val="24"/>
          <w:szCs w:val="24"/>
        </w:rPr>
        <w:t>(Naidoo, 2021</w:t>
      </w:r>
      <w:r w:rsidR="00306795" w:rsidRPr="005D7C9D">
        <w:rPr>
          <w:rFonts w:ascii="Times New Roman" w:hAnsi="Times New Roman" w:cs="Times New Roman"/>
          <w:sz w:val="24"/>
          <w:szCs w:val="24"/>
        </w:rPr>
        <w:t xml:space="preserve">, </w:t>
      </w:r>
      <w:r w:rsidR="00E138EC" w:rsidRPr="005D7C9D">
        <w:rPr>
          <w:rFonts w:ascii="Times New Roman" w:hAnsi="Times New Roman" w:cs="Times New Roman"/>
          <w:sz w:val="24"/>
          <w:szCs w:val="24"/>
        </w:rPr>
        <w:t>p.113-154</w:t>
      </w:r>
      <w:r w:rsidR="00C65C56" w:rsidRPr="005D7C9D">
        <w:rPr>
          <w:rFonts w:ascii="Times New Roman" w:hAnsi="Times New Roman" w:cs="Times New Roman"/>
          <w:sz w:val="24"/>
          <w:szCs w:val="24"/>
        </w:rPr>
        <w:t>). In</w:t>
      </w:r>
      <w:r w:rsidR="007D3AAA" w:rsidRPr="005D7C9D">
        <w:rPr>
          <w:rFonts w:ascii="Times New Roman" w:hAnsi="Times New Roman" w:cs="Times New Roman"/>
          <w:sz w:val="24"/>
          <w:szCs w:val="24"/>
        </w:rPr>
        <w:t xml:space="preserve"> addition,</w:t>
      </w:r>
      <w:r w:rsidR="005B3092" w:rsidRPr="005D7C9D">
        <w:rPr>
          <w:rFonts w:ascii="Times New Roman" w:hAnsi="Times New Roman" w:cs="Times New Roman"/>
          <w:sz w:val="24"/>
          <w:szCs w:val="24"/>
        </w:rPr>
        <w:t xml:space="preserve"> </w:t>
      </w:r>
      <w:r w:rsidR="00E138EC" w:rsidRPr="005D7C9D">
        <w:rPr>
          <w:rFonts w:ascii="Times New Roman" w:hAnsi="Times New Roman" w:cs="Times New Roman"/>
          <w:sz w:val="24"/>
          <w:szCs w:val="24"/>
        </w:rPr>
        <w:t>the case of Simpkins v. Pays</w:t>
      </w:r>
      <w:r w:rsidR="005B3092" w:rsidRPr="005D7C9D">
        <w:rPr>
          <w:rFonts w:ascii="Times New Roman" w:hAnsi="Times New Roman" w:cs="Times New Roman"/>
          <w:sz w:val="24"/>
          <w:szCs w:val="24"/>
        </w:rPr>
        <w:t xml:space="preserve"> [1955]</w:t>
      </w:r>
      <w:r w:rsidR="00E138EC" w:rsidRPr="005D7C9D">
        <w:rPr>
          <w:rFonts w:ascii="Times New Roman" w:hAnsi="Times New Roman" w:cs="Times New Roman"/>
          <w:sz w:val="24"/>
          <w:szCs w:val="24"/>
        </w:rPr>
        <w:t> </w:t>
      </w:r>
      <w:r w:rsidR="00503879" w:rsidRPr="005D7C9D">
        <w:rPr>
          <w:rFonts w:ascii="Times New Roman" w:hAnsi="Times New Roman" w:cs="Times New Roman"/>
          <w:sz w:val="24"/>
          <w:szCs w:val="24"/>
        </w:rPr>
        <w:t>t</w:t>
      </w:r>
      <w:r w:rsidR="00E138EC" w:rsidRPr="005D7C9D">
        <w:rPr>
          <w:rFonts w:ascii="Times New Roman" w:hAnsi="Times New Roman" w:cs="Times New Roman"/>
          <w:sz w:val="24"/>
          <w:szCs w:val="24"/>
        </w:rPr>
        <w:t>he court ruled that the "gentleman's agreement" constituted a legally enforceable contract since it was made in a social and domestic environment</w:t>
      </w:r>
      <w:r w:rsidR="00DB5D68" w:rsidRPr="005D7C9D">
        <w:rPr>
          <w:rFonts w:ascii="Times New Roman" w:hAnsi="Times New Roman" w:cs="Times New Roman"/>
          <w:sz w:val="24"/>
          <w:szCs w:val="24"/>
        </w:rPr>
        <w:t xml:space="preserve">. </w:t>
      </w:r>
      <w:r w:rsidR="00E138EC" w:rsidRPr="005D7C9D">
        <w:rPr>
          <w:rFonts w:ascii="Times New Roman" w:hAnsi="Times New Roman" w:cs="Times New Roman"/>
          <w:sz w:val="24"/>
          <w:szCs w:val="24"/>
        </w:rPr>
        <w:t>The lodger had paid the competition entrance fee and kept a record of the weekly results, implying that the parties intended to be legally bound by the agreement</w:t>
      </w:r>
      <w:r w:rsidR="00DB5D68" w:rsidRPr="005D7C9D">
        <w:rPr>
          <w:rFonts w:ascii="Times New Roman" w:hAnsi="Times New Roman" w:cs="Times New Roman"/>
          <w:sz w:val="24"/>
          <w:szCs w:val="24"/>
        </w:rPr>
        <w:t xml:space="preserve"> (</w:t>
      </w:r>
      <w:proofErr w:type="spellStart"/>
      <w:r w:rsidR="00DB5D68" w:rsidRPr="005D7C9D">
        <w:rPr>
          <w:rFonts w:ascii="Times New Roman" w:hAnsi="Times New Roman" w:cs="Times New Roman"/>
          <w:sz w:val="24"/>
          <w:szCs w:val="24"/>
        </w:rPr>
        <w:t>Furmston</w:t>
      </w:r>
      <w:proofErr w:type="spellEnd"/>
      <w:r w:rsidR="00DB5D68" w:rsidRPr="005D7C9D">
        <w:rPr>
          <w:rFonts w:ascii="Times New Roman" w:hAnsi="Times New Roman" w:cs="Times New Roman"/>
          <w:sz w:val="24"/>
          <w:szCs w:val="24"/>
        </w:rPr>
        <w:t>, 2017).</w:t>
      </w:r>
    </w:p>
    <w:p w14:paraId="50DFBF04" w14:textId="77777777" w:rsidR="00802007" w:rsidRPr="005D7C9D" w:rsidRDefault="00802007" w:rsidP="00485B5C">
      <w:pPr>
        <w:spacing w:after="0" w:line="240" w:lineRule="auto"/>
        <w:jc w:val="both"/>
        <w:rPr>
          <w:rFonts w:ascii="Times New Roman" w:hAnsi="Times New Roman" w:cs="Times New Roman"/>
          <w:sz w:val="24"/>
          <w:szCs w:val="24"/>
          <w:lang w:val="en-GB"/>
        </w:rPr>
      </w:pPr>
    </w:p>
    <w:p w14:paraId="774E6737" w14:textId="73555975" w:rsidR="006A3B4E" w:rsidRPr="005D7C9D" w:rsidRDefault="002955A2" w:rsidP="00485B5C">
      <w:pPr>
        <w:spacing w:after="0" w:line="240" w:lineRule="auto"/>
        <w:jc w:val="both"/>
        <w:rPr>
          <w:rFonts w:ascii="Times New Roman" w:hAnsi="Times New Roman" w:cs="Times New Roman"/>
          <w:sz w:val="24"/>
          <w:szCs w:val="24"/>
        </w:rPr>
      </w:pPr>
      <w:r w:rsidRPr="005D7C9D">
        <w:rPr>
          <w:rFonts w:ascii="Times New Roman" w:hAnsi="Times New Roman" w:cs="Times New Roman"/>
          <w:sz w:val="24"/>
          <w:szCs w:val="24"/>
        </w:rPr>
        <w:t xml:space="preserve">The method that the courts have used in determining whether or not there was a purpose to establish legal relations within the framework of business has been rather uncomplicated. This is because the starting assumption is that agreements of this kind are meant to be legally binding. </w:t>
      </w:r>
      <w:r w:rsidR="006A3B4E" w:rsidRPr="005D7C9D">
        <w:rPr>
          <w:rFonts w:ascii="Times New Roman" w:hAnsi="Times New Roman" w:cs="Times New Roman"/>
          <w:sz w:val="24"/>
          <w:szCs w:val="24"/>
          <w:lang w:val="en-GB"/>
        </w:rPr>
        <w:t>Like any legal presumption, this can be rebutted by case facts.</w:t>
      </w:r>
      <w:r w:rsidR="00802007" w:rsidRPr="005D7C9D">
        <w:rPr>
          <w:rFonts w:ascii="Times New Roman" w:hAnsi="Times New Roman" w:cs="Times New Roman"/>
          <w:sz w:val="24"/>
          <w:szCs w:val="24"/>
          <w:lang w:val="en-GB"/>
        </w:rPr>
        <w:t xml:space="preserve"> </w:t>
      </w:r>
      <w:r w:rsidR="006A3B4E" w:rsidRPr="005D7C9D">
        <w:rPr>
          <w:rFonts w:ascii="Times New Roman" w:hAnsi="Times New Roman" w:cs="Times New Roman"/>
          <w:sz w:val="24"/>
          <w:szCs w:val="24"/>
          <w:lang w:val="en-GB"/>
        </w:rPr>
        <w:t>In Esso v Commissioners of Customs and Excise</w:t>
      </w:r>
      <w:r w:rsidR="000740E2" w:rsidRPr="005D7C9D">
        <w:rPr>
          <w:rFonts w:ascii="Times New Roman" w:hAnsi="Times New Roman" w:cs="Times New Roman"/>
          <w:sz w:val="24"/>
          <w:szCs w:val="24"/>
          <w:lang w:val="en-GB"/>
        </w:rPr>
        <w:t xml:space="preserve"> [1975]</w:t>
      </w:r>
      <w:r w:rsidR="00E47BF0" w:rsidRPr="005D7C9D">
        <w:rPr>
          <w:rFonts w:ascii="Times New Roman" w:hAnsi="Times New Roman" w:cs="Times New Roman"/>
          <w:sz w:val="24"/>
          <w:szCs w:val="24"/>
          <w:lang w:val="en-GB"/>
        </w:rPr>
        <w:t>, t</w:t>
      </w:r>
      <w:r w:rsidR="006A3B4E" w:rsidRPr="005D7C9D">
        <w:rPr>
          <w:rFonts w:ascii="Times New Roman" w:hAnsi="Times New Roman" w:cs="Times New Roman"/>
          <w:sz w:val="24"/>
          <w:szCs w:val="24"/>
          <w:lang w:val="en-GB"/>
        </w:rPr>
        <w:t xml:space="preserve">he question was whether Esso's supply agreement created legal relations or was just a promotion. The Court of Appeal found that the </w:t>
      </w:r>
      <w:r w:rsidR="008023E6" w:rsidRPr="005D7C9D">
        <w:rPr>
          <w:rFonts w:ascii="Times New Roman" w:hAnsi="Times New Roman" w:cs="Times New Roman"/>
          <w:sz w:val="24"/>
          <w:szCs w:val="24"/>
          <w:lang w:val="en-GB"/>
        </w:rPr>
        <w:t>bodies</w:t>
      </w:r>
      <w:r w:rsidR="006A3B4E" w:rsidRPr="005D7C9D">
        <w:rPr>
          <w:rFonts w:ascii="Times New Roman" w:hAnsi="Times New Roman" w:cs="Times New Roman"/>
          <w:sz w:val="24"/>
          <w:szCs w:val="24"/>
          <w:lang w:val="en-GB"/>
        </w:rPr>
        <w:t xml:space="preserve"> intended to be legally </w:t>
      </w:r>
      <w:r w:rsidR="008023E6" w:rsidRPr="005D7C9D">
        <w:rPr>
          <w:rFonts w:ascii="Times New Roman" w:hAnsi="Times New Roman" w:cs="Times New Roman"/>
          <w:sz w:val="24"/>
          <w:szCs w:val="24"/>
          <w:lang w:val="en-GB"/>
        </w:rPr>
        <w:t>obligated</w:t>
      </w:r>
      <w:r w:rsidR="006A3B4E" w:rsidRPr="005D7C9D">
        <w:rPr>
          <w:rFonts w:ascii="Times New Roman" w:hAnsi="Times New Roman" w:cs="Times New Roman"/>
          <w:sz w:val="24"/>
          <w:szCs w:val="24"/>
          <w:lang w:val="en-GB"/>
        </w:rPr>
        <w:t xml:space="preserve"> by the agreement's </w:t>
      </w:r>
      <w:r w:rsidR="008023E6" w:rsidRPr="005D7C9D">
        <w:rPr>
          <w:rFonts w:ascii="Times New Roman" w:hAnsi="Times New Roman" w:cs="Times New Roman"/>
          <w:sz w:val="24"/>
          <w:szCs w:val="24"/>
          <w:lang w:val="en-GB"/>
        </w:rPr>
        <w:t>conditions</w:t>
      </w:r>
      <w:r w:rsidR="006A3B4E" w:rsidRPr="005D7C9D">
        <w:rPr>
          <w:rFonts w:ascii="Times New Roman" w:hAnsi="Times New Roman" w:cs="Times New Roman"/>
          <w:sz w:val="24"/>
          <w:szCs w:val="24"/>
          <w:lang w:val="en-GB"/>
        </w:rPr>
        <w:t xml:space="preserve">. The supply agreement was part of Esso's promotional campaign, but there was enough evidence to suggest that the </w:t>
      </w:r>
      <w:r w:rsidR="008023E6" w:rsidRPr="005D7C9D">
        <w:rPr>
          <w:rFonts w:ascii="Times New Roman" w:hAnsi="Times New Roman" w:cs="Times New Roman"/>
          <w:sz w:val="24"/>
          <w:szCs w:val="24"/>
          <w:lang w:val="en-GB"/>
        </w:rPr>
        <w:t>bodies meant</w:t>
      </w:r>
      <w:r w:rsidR="006A3B4E" w:rsidRPr="005D7C9D">
        <w:rPr>
          <w:rFonts w:ascii="Times New Roman" w:hAnsi="Times New Roman" w:cs="Times New Roman"/>
          <w:sz w:val="24"/>
          <w:szCs w:val="24"/>
          <w:lang w:val="en-GB"/>
        </w:rPr>
        <w:t xml:space="preserve"> to be l</w:t>
      </w:r>
      <w:r w:rsidR="008023E6" w:rsidRPr="005D7C9D">
        <w:rPr>
          <w:rFonts w:ascii="Times New Roman" w:hAnsi="Times New Roman" w:cs="Times New Roman"/>
          <w:sz w:val="24"/>
          <w:szCs w:val="24"/>
          <w:lang w:val="en-GB"/>
        </w:rPr>
        <w:t>awfully obligated</w:t>
      </w:r>
      <w:r w:rsidR="001D3AA5" w:rsidRPr="005D7C9D">
        <w:rPr>
          <w:rFonts w:ascii="Times New Roman" w:hAnsi="Times New Roman" w:cs="Times New Roman"/>
          <w:sz w:val="24"/>
          <w:szCs w:val="24"/>
          <w:lang w:val="en-GB"/>
        </w:rPr>
        <w:t xml:space="preserve"> </w:t>
      </w:r>
      <w:r w:rsidR="000D5916" w:rsidRPr="005D7C9D">
        <w:rPr>
          <w:rFonts w:ascii="Times New Roman" w:hAnsi="Times New Roman" w:cs="Times New Roman"/>
          <w:sz w:val="24"/>
          <w:szCs w:val="24"/>
        </w:rPr>
        <w:t>(Taylor and Taylor, 2021).</w:t>
      </w:r>
    </w:p>
    <w:p w14:paraId="07F1DB3D" w14:textId="77777777" w:rsidR="00802007" w:rsidRPr="005D7C9D" w:rsidRDefault="00802007" w:rsidP="00485B5C">
      <w:pPr>
        <w:spacing w:after="0" w:line="240" w:lineRule="auto"/>
        <w:jc w:val="both"/>
        <w:rPr>
          <w:rFonts w:ascii="Times New Roman" w:hAnsi="Times New Roman" w:cs="Times New Roman"/>
          <w:sz w:val="24"/>
          <w:szCs w:val="24"/>
          <w:lang w:val="en-GB"/>
        </w:rPr>
      </w:pPr>
    </w:p>
    <w:p w14:paraId="15DAA956" w14:textId="6474570D" w:rsidR="008023E6" w:rsidRPr="005D7C9D" w:rsidRDefault="008023E6"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 xml:space="preserve">The issue of whether a research and development agreement between a university and a firm was meant to be legally enforceable was reviewed by the Court of Appeal in ERDC Group Ltd v </w:t>
      </w:r>
      <w:r w:rsidRPr="005D7C9D">
        <w:rPr>
          <w:rFonts w:ascii="Times New Roman" w:hAnsi="Times New Roman" w:cs="Times New Roman"/>
          <w:sz w:val="24"/>
          <w:szCs w:val="24"/>
          <w:lang w:val="en-GB"/>
        </w:rPr>
        <w:lastRenderedPageBreak/>
        <w:t>Brunel University</w:t>
      </w:r>
      <w:r w:rsidR="00452F21" w:rsidRPr="005D7C9D">
        <w:rPr>
          <w:rFonts w:ascii="Times New Roman" w:hAnsi="Times New Roman" w:cs="Times New Roman"/>
          <w:sz w:val="24"/>
          <w:szCs w:val="24"/>
          <w:lang w:val="en-GB"/>
        </w:rPr>
        <w:t xml:space="preserve"> [2006]</w:t>
      </w:r>
      <w:r w:rsidRPr="005D7C9D">
        <w:rPr>
          <w:rFonts w:ascii="Times New Roman" w:hAnsi="Times New Roman" w:cs="Times New Roman"/>
          <w:sz w:val="24"/>
          <w:szCs w:val="24"/>
          <w:lang w:val="en-GB"/>
        </w:rPr>
        <w:t>. The agreement between the university and the corporation was "not legally binding," but the institution still planned to pay the company for its services. The court established a purpose to create legal relations notwithstanding the absence of a binding provision</w:t>
      </w:r>
      <w:r w:rsidR="001D3AA5" w:rsidRPr="005D7C9D">
        <w:rPr>
          <w:rFonts w:ascii="Times New Roman" w:hAnsi="Times New Roman" w:cs="Times New Roman"/>
          <w:sz w:val="24"/>
          <w:szCs w:val="24"/>
          <w:lang w:val="en-GB"/>
        </w:rPr>
        <w:t xml:space="preserve"> </w:t>
      </w:r>
      <w:r w:rsidRPr="005D7C9D">
        <w:rPr>
          <w:rFonts w:ascii="Times New Roman" w:hAnsi="Times New Roman" w:cs="Times New Roman"/>
          <w:sz w:val="24"/>
          <w:szCs w:val="24"/>
          <w:lang w:val="en-GB"/>
        </w:rPr>
        <w:t>The court took into account the agreement's intricacy and the parties' separate legal counsel.</w:t>
      </w:r>
    </w:p>
    <w:p w14:paraId="5E3C67C9" w14:textId="77777777" w:rsidR="00802007" w:rsidRPr="005D7C9D" w:rsidRDefault="00802007" w:rsidP="00485B5C">
      <w:pPr>
        <w:spacing w:after="0" w:line="240" w:lineRule="auto"/>
        <w:jc w:val="both"/>
        <w:rPr>
          <w:rFonts w:ascii="Times New Roman" w:hAnsi="Times New Roman" w:cs="Times New Roman"/>
          <w:sz w:val="24"/>
          <w:szCs w:val="24"/>
          <w:lang w:val="en-GB"/>
        </w:rPr>
      </w:pPr>
    </w:p>
    <w:p w14:paraId="323B4BD1" w14:textId="365C4F01" w:rsidR="00306795" w:rsidRPr="005D7C9D" w:rsidRDefault="00306795"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In the case of Edwards v. Skyways [1964]</w:t>
      </w:r>
      <w:r w:rsidR="00BE0D1F" w:rsidRPr="005D7C9D">
        <w:rPr>
          <w:rFonts w:ascii="Times New Roman" w:hAnsi="Times New Roman" w:cs="Times New Roman"/>
          <w:sz w:val="24"/>
          <w:szCs w:val="24"/>
          <w:lang w:val="en-GB"/>
        </w:rPr>
        <w:t xml:space="preserve"> t</w:t>
      </w:r>
      <w:r w:rsidRPr="005D7C9D">
        <w:rPr>
          <w:rFonts w:ascii="Times New Roman" w:hAnsi="Times New Roman" w:cs="Times New Roman"/>
          <w:sz w:val="24"/>
          <w:szCs w:val="24"/>
          <w:lang w:val="en-GB"/>
        </w:rPr>
        <w:t>he court ruled that an employer's commitment to provide a retirement benefit to an employee was not enforceable</w:t>
      </w:r>
      <w:r w:rsidR="00D449C6" w:rsidRPr="005D7C9D">
        <w:rPr>
          <w:rFonts w:ascii="Times New Roman" w:hAnsi="Times New Roman" w:cs="Times New Roman"/>
          <w:sz w:val="24"/>
          <w:szCs w:val="24"/>
          <w:lang w:val="en-GB"/>
        </w:rPr>
        <w:t xml:space="preserve"> because</w:t>
      </w:r>
      <w:r w:rsidRPr="005D7C9D">
        <w:rPr>
          <w:rFonts w:ascii="Times New Roman" w:hAnsi="Times New Roman" w:cs="Times New Roman"/>
          <w:sz w:val="24"/>
          <w:szCs w:val="24"/>
          <w:lang w:val="en-GB"/>
        </w:rPr>
        <w:t xml:space="preserve"> in business contracts, there is an automatic presumption that the parties intended to establish legal relations, but that this assumption may be disproved by the evidence </w:t>
      </w:r>
      <w:r w:rsidRPr="005D7C9D">
        <w:rPr>
          <w:rFonts w:ascii="Times New Roman" w:hAnsi="Times New Roman" w:cs="Times New Roman"/>
          <w:sz w:val="24"/>
          <w:szCs w:val="24"/>
        </w:rPr>
        <w:t>(Davies, 2021)</w:t>
      </w:r>
      <w:r w:rsidRPr="005D7C9D">
        <w:rPr>
          <w:rFonts w:ascii="Times New Roman" w:hAnsi="Times New Roman" w:cs="Times New Roman"/>
          <w:sz w:val="24"/>
          <w:szCs w:val="24"/>
          <w:lang w:val="en-GB"/>
        </w:rPr>
        <w:t>.</w:t>
      </w:r>
      <w:r w:rsidR="00A759E5" w:rsidRPr="005D7C9D">
        <w:rPr>
          <w:rFonts w:ascii="Times New Roman" w:hAnsi="Times New Roman" w:cs="Times New Roman"/>
          <w:sz w:val="24"/>
          <w:szCs w:val="24"/>
          <w:lang w:val="en-GB"/>
        </w:rPr>
        <w:t xml:space="preserve"> </w:t>
      </w:r>
      <w:r w:rsidR="001D142A" w:rsidRPr="005D7C9D">
        <w:rPr>
          <w:rFonts w:ascii="Times New Roman" w:hAnsi="Times New Roman" w:cs="Times New Roman"/>
          <w:sz w:val="24"/>
          <w:szCs w:val="24"/>
          <w:lang w:val="en-GB"/>
        </w:rPr>
        <w:t xml:space="preserve">In Rose &amp; Frank v Crompton Bros [1925], the court held that the parties did not intend to establish legal relations, and hence the clause was not meant to be legally enforceable. The court ruled that commercial contracts must reflect the parties' objectives, regardless of how clearly stated they are </w:t>
      </w:r>
      <w:r w:rsidR="00801FAA" w:rsidRPr="005D7C9D">
        <w:rPr>
          <w:rFonts w:ascii="Times New Roman" w:hAnsi="Times New Roman" w:cs="Times New Roman"/>
          <w:sz w:val="24"/>
          <w:szCs w:val="24"/>
        </w:rPr>
        <w:t>(Marson &amp; Ferris, 2019, p.15-31)</w:t>
      </w:r>
      <w:r w:rsidRPr="005D7C9D">
        <w:rPr>
          <w:rFonts w:ascii="Times New Roman" w:hAnsi="Times New Roman" w:cs="Times New Roman"/>
          <w:sz w:val="24"/>
          <w:szCs w:val="24"/>
          <w:lang w:val="en-GB"/>
        </w:rPr>
        <w:t>.</w:t>
      </w:r>
      <w:r w:rsidR="00B40F1A" w:rsidRPr="005D7C9D">
        <w:rPr>
          <w:rFonts w:ascii="Times New Roman" w:hAnsi="Times New Roman" w:cs="Times New Roman"/>
          <w:sz w:val="24"/>
          <w:szCs w:val="24"/>
          <w:lang w:val="en-GB"/>
        </w:rPr>
        <w:t xml:space="preserve"> Furthermore, t</w:t>
      </w:r>
      <w:r w:rsidRPr="005D7C9D">
        <w:rPr>
          <w:rFonts w:ascii="Times New Roman" w:hAnsi="Times New Roman" w:cs="Times New Roman"/>
          <w:sz w:val="24"/>
          <w:szCs w:val="24"/>
          <w:lang w:val="en-GB"/>
        </w:rPr>
        <w:t>he House of Lords ruled that a letter of comfort, which is meant to reassure the recipient of a company's financial status, is not legally obligatory in Kleinwort Benson v Malaysian Mining Corp [1989]. The court ruled that such claims are not enforceable unless they include an unambiguous commitment that the party intended to be legally bound by</w:t>
      </w:r>
      <w:r w:rsidR="00801FAA" w:rsidRPr="005D7C9D">
        <w:rPr>
          <w:rFonts w:ascii="Times New Roman" w:hAnsi="Times New Roman" w:cs="Times New Roman"/>
          <w:sz w:val="24"/>
          <w:szCs w:val="24"/>
          <w:lang w:val="en-GB"/>
        </w:rPr>
        <w:t xml:space="preserve"> </w:t>
      </w:r>
      <w:r w:rsidR="00801FAA" w:rsidRPr="005D7C9D">
        <w:rPr>
          <w:rFonts w:ascii="Times New Roman" w:hAnsi="Times New Roman" w:cs="Times New Roman"/>
          <w:sz w:val="24"/>
          <w:szCs w:val="24"/>
        </w:rPr>
        <w:t>(</w:t>
      </w:r>
      <w:proofErr w:type="spellStart"/>
      <w:r w:rsidR="00801FAA" w:rsidRPr="005D7C9D">
        <w:rPr>
          <w:rFonts w:ascii="Times New Roman" w:hAnsi="Times New Roman" w:cs="Times New Roman"/>
          <w:sz w:val="24"/>
          <w:szCs w:val="24"/>
        </w:rPr>
        <w:t>Devenney</w:t>
      </w:r>
      <w:proofErr w:type="spellEnd"/>
      <w:r w:rsidR="00801FAA" w:rsidRPr="005D7C9D">
        <w:rPr>
          <w:rFonts w:ascii="Times New Roman" w:hAnsi="Times New Roman" w:cs="Times New Roman"/>
          <w:sz w:val="24"/>
          <w:szCs w:val="24"/>
        </w:rPr>
        <w:t>, 2022)</w:t>
      </w:r>
      <w:r w:rsidRPr="005D7C9D">
        <w:rPr>
          <w:rFonts w:ascii="Times New Roman" w:hAnsi="Times New Roman" w:cs="Times New Roman"/>
          <w:sz w:val="24"/>
          <w:szCs w:val="24"/>
          <w:lang w:val="en-GB"/>
        </w:rPr>
        <w:t>.</w:t>
      </w:r>
    </w:p>
    <w:p w14:paraId="72EC65C5" w14:textId="77777777" w:rsidR="00802007" w:rsidRPr="005D7C9D" w:rsidRDefault="00802007" w:rsidP="00485B5C">
      <w:pPr>
        <w:spacing w:after="0" w:line="240" w:lineRule="auto"/>
        <w:jc w:val="both"/>
        <w:rPr>
          <w:rFonts w:ascii="Times New Roman" w:hAnsi="Times New Roman" w:cs="Times New Roman"/>
          <w:sz w:val="24"/>
          <w:szCs w:val="24"/>
          <w:lang w:val="en-GB"/>
        </w:rPr>
      </w:pPr>
    </w:p>
    <w:p w14:paraId="332602A7" w14:textId="6762E272" w:rsidR="006A3B4E" w:rsidRPr="005D7C9D" w:rsidRDefault="006A3B4E"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 xml:space="preserve">The presumption that commercial agreements are legally binding has some statutory exceptions, like in Trade Union and Labour Relations (Consolidation) Act 1992. </w:t>
      </w:r>
      <w:bookmarkStart w:id="0" w:name="_Hlk128783497"/>
      <w:r w:rsidR="008023E6" w:rsidRPr="005D7C9D">
        <w:rPr>
          <w:rFonts w:ascii="Times New Roman" w:hAnsi="Times New Roman" w:cs="Times New Roman"/>
          <w:sz w:val="24"/>
          <w:szCs w:val="24"/>
          <w:lang w:val="en-GB"/>
        </w:rPr>
        <w:t xml:space="preserve">S.179 of the Trade Union and Labour Relations (Consolidation) Act 1992 </w:t>
      </w:r>
      <w:bookmarkEnd w:id="0"/>
      <w:r w:rsidR="008023E6" w:rsidRPr="005D7C9D">
        <w:rPr>
          <w:rFonts w:ascii="Times New Roman" w:hAnsi="Times New Roman" w:cs="Times New Roman"/>
          <w:sz w:val="24"/>
          <w:szCs w:val="24"/>
          <w:lang w:val="en-GB"/>
        </w:rPr>
        <w:t>authorises non-binding business agreements. Unless clearly stated, collective agreements between employers and trade unions are not legally enforceable.</w:t>
      </w:r>
      <w:r w:rsidR="00D57DE2" w:rsidRPr="005D7C9D">
        <w:rPr>
          <w:rFonts w:ascii="Times New Roman" w:hAnsi="Times New Roman" w:cs="Times New Roman"/>
          <w:sz w:val="24"/>
          <w:szCs w:val="24"/>
          <w:lang w:val="en-GB"/>
        </w:rPr>
        <w:t xml:space="preserve"> </w:t>
      </w:r>
      <w:r w:rsidRPr="005D7C9D">
        <w:rPr>
          <w:rFonts w:ascii="Times New Roman" w:hAnsi="Times New Roman" w:cs="Times New Roman"/>
          <w:sz w:val="24"/>
          <w:szCs w:val="24"/>
          <w:lang w:val="en-GB"/>
        </w:rPr>
        <w:t xml:space="preserve">This provision ensures that collective agreements </w:t>
      </w:r>
      <w:r w:rsidR="008023E6" w:rsidRPr="005D7C9D">
        <w:rPr>
          <w:rFonts w:ascii="Times New Roman" w:hAnsi="Times New Roman" w:cs="Times New Roman"/>
          <w:sz w:val="24"/>
          <w:szCs w:val="24"/>
          <w:lang w:val="en-GB"/>
        </w:rPr>
        <w:t>among</w:t>
      </w:r>
      <w:r w:rsidRPr="005D7C9D">
        <w:rPr>
          <w:rFonts w:ascii="Times New Roman" w:hAnsi="Times New Roman" w:cs="Times New Roman"/>
          <w:sz w:val="24"/>
          <w:szCs w:val="24"/>
          <w:lang w:val="en-GB"/>
        </w:rPr>
        <w:t xml:space="preserve"> employers and trade unions, which differ from commercial agreements between two businesses, are not automatically legally binding. Collective agreements, negotiated </w:t>
      </w:r>
      <w:r w:rsidR="008023E6" w:rsidRPr="005D7C9D">
        <w:rPr>
          <w:rFonts w:ascii="Times New Roman" w:hAnsi="Times New Roman" w:cs="Times New Roman"/>
          <w:sz w:val="24"/>
          <w:szCs w:val="24"/>
          <w:lang w:val="en-GB"/>
        </w:rPr>
        <w:t>among</w:t>
      </w:r>
      <w:r w:rsidRPr="005D7C9D">
        <w:rPr>
          <w:rFonts w:ascii="Times New Roman" w:hAnsi="Times New Roman" w:cs="Times New Roman"/>
          <w:sz w:val="24"/>
          <w:szCs w:val="24"/>
          <w:lang w:val="en-GB"/>
        </w:rPr>
        <w:t xml:space="preserve"> employers and trade unions over employment terms and conditions, often have social and political repercussions beyond the parties' immediate interests</w:t>
      </w:r>
      <w:r w:rsidR="00886B10" w:rsidRPr="005D7C9D">
        <w:rPr>
          <w:rFonts w:ascii="Times New Roman" w:hAnsi="Times New Roman" w:cs="Times New Roman"/>
          <w:sz w:val="24"/>
          <w:szCs w:val="24"/>
          <w:lang w:val="en-GB"/>
        </w:rPr>
        <w:t xml:space="preserve"> </w:t>
      </w:r>
      <w:r w:rsidR="00F42CF4" w:rsidRPr="005D7C9D">
        <w:rPr>
          <w:rFonts w:ascii="Times New Roman" w:hAnsi="Times New Roman" w:cs="Times New Roman"/>
          <w:sz w:val="24"/>
          <w:szCs w:val="24"/>
        </w:rPr>
        <w:t>(</w:t>
      </w:r>
      <w:proofErr w:type="spellStart"/>
      <w:r w:rsidR="00F42CF4" w:rsidRPr="005D7C9D">
        <w:rPr>
          <w:rFonts w:ascii="Times New Roman" w:hAnsi="Times New Roman" w:cs="Times New Roman"/>
          <w:sz w:val="24"/>
          <w:szCs w:val="24"/>
        </w:rPr>
        <w:t>Baskind</w:t>
      </w:r>
      <w:proofErr w:type="spellEnd"/>
      <w:r w:rsidR="00F911D3" w:rsidRPr="005D7C9D">
        <w:rPr>
          <w:rFonts w:ascii="Times New Roman" w:hAnsi="Times New Roman" w:cs="Times New Roman"/>
          <w:sz w:val="24"/>
          <w:szCs w:val="24"/>
        </w:rPr>
        <w:t xml:space="preserve"> and </w:t>
      </w:r>
      <w:r w:rsidR="00F42CF4" w:rsidRPr="005D7C9D">
        <w:rPr>
          <w:rFonts w:ascii="Times New Roman" w:hAnsi="Times New Roman" w:cs="Times New Roman"/>
          <w:sz w:val="24"/>
          <w:szCs w:val="24"/>
        </w:rPr>
        <w:t>Osborne</w:t>
      </w:r>
      <w:r w:rsidR="00F911D3" w:rsidRPr="005D7C9D">
        <w:rPr>
          <w:rFonts w:ascii="Times New Roman" w:hAnsi="Times New Roman" w:cs="Times New Roman"/>
          <w:sz w:val="24"/>
          <w:szCs w:val="24"/>
        </w:rPr>
        <w:t xml:space="preserve"> </w:t>
      </w:r>
      <w:r w:rsidR="00F42CF4" w:rsidRPr="005D7C9D">
        <w:rPr>
          <w:rFonts w:ascii="Times New Roman" w:hAnsi="Times New Roman" w:cs="Times New Roman"/>
          <w:sz w:val="24"/>
          <w:szCs w:val="24"/>
        </w:rPr>
        <w:t>and Roach, 2022</w:t>
      </w:r>
      <w:r w:rsidR="00886B10" w:rsidRPr="005D7C9D">
        <w:rPr>
          <w:rFonts w:ascii="Times New Roman" w:hAnsi="Times New Roman" w:cs="Times New Roman"/>
          <w:sz w:val="24"/>
          <w:szCs w:val="24"/>
          <w:lang w:val="en-GB"/>
        </w:rPr>
        <w:t>)</w:t>
      </w:r>
      <w:r w:rsidRPr="005D7C9D">
        <w:rPr>
          <w:rFonts w:ascii="Times New Roman" w:hAnsi="Times New Roman" w:cs="Times New Roman"/>
          <w:sz w:val="24"/>
          <w:szCs w:val="24"/>
          <w:lang w:val="en-GB"/>
        </w:rPr>
        <w:t>.</w:t>
      </w:r>
      <w:r w:rsidR="00F42CF4" w:rsidRPr="005D7C9D">
        <w:rPr>
          <w:rFonts w:ascii="Times New Roman" w:hAnsi="Times New Roman" w:cs="Times New Roman"/>
          <w:sz w:val="24"/>
          <w:szCs w:val="24"/>
          <w:lang w:val="en-GB"/>
        </w:rPr>
        <w:t xml:space="preserve"> S.179 of the Trade Union and Labour Relations (Consolidation) Act 1992 </w:t>
      </w:r>
      <w:r w:rsidRPr="005D7C9D">
        <w:rPr>
          <w:rFonts w:ascii="Times New Roman" w:hAnsi="Times New Roman" w:cs="Times New Roman"/>
          <w:sz w:val="24"/>
          <w:szCs w:val="24"/>
          <w:lang w:val="en-GB"/>
        </w:rPr>
        <w:t xml:space="preserve"> recognises that the legal relationship between employers and trade unions involves a complex web of social, political, and economic factors that can affect bargaining. The provision ensures that both parties understand their intentions and the legal consequences of their agreement. </w:t>
      </w:r>
      <w:r w:rsidR="00F42CF4" w:rsidRPr="005D7C9D">
        <w:rPr>
          <w:rFonts w:ascii="Times New Roman" w:hAnsi="Times New Roman" w:cs="Times New Roman"/>
          <w:sz w:val="24"/>
          <w:szCs w:val="24"/>
          <w:lang w:val="en-GB"/>
        </w:rPr>
        <w:t xml:space="preserve">S.179 of the Trade Union and Labour Relations (Consolidation) Act 1992 </w:t>
      </w:r>
      <w:r w:rsidRPr="005D7C9D">
        <w:rPr>
          <w:rFonts w:ascii="Times New Roman" w:hAnsi="Times New Roman" w:cs="Times New Roman"/>
          <w:sz w:val="24"/>
          <w:szCs w:val="24"/>
          <w:lang w:val="en-GB"/>
        </w:rPr>
        <w:t>does not preclude the possibility that collective agreements may be legally binding in certain circumstances. The collective agreement may be legally binding if it states it is or is incorporated into individual employment contracts. The facts of a case may also indicate an intention to create legal relations, regardless of whether the collective agreement says so.</w:t>
      </w:r>
    </w:p>
    <w:p w14:paraId="0A380CBB" w14:textId="77777777" w:rsidR="00EB0CAF" w:rsidRPr="005D7C9D" w:rsidRDefault="00EB0CAF" w:rsidP="00485B5C">
      <w:pPr>
        <w:spacing w:after="0" w:line="240" w:lineRule="auto"/>
        <w:jc w:val="both"/>
        <w:rPr>
          <w:rFonts w:ascii="Times New Roman" w:hAnsi="Times New Roman" w:cs="Times New Roman"/>
          <w:sz w:val="24"/>
          <w:szCs w:val="24"/>
          <w:lang w:val="en-GB"/>
        </w:rPr>
      </w:pPr>
    </w:p>
    <w:p w14:paraId="4DFE38B1" w14:textId="579629FF" w:rsidR="006A3B4E" w:rsidRPr="005D7C9D" w:rsidRDefault="006A3B4E"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The courts balance transparency and accountability with public interest when determining an intention to create legal relations in agreements with public bodies or that affect public interest. Public agreements are scrutinised more than private ones. Public bodies must act in the public interest and are subject to court review</w:t>
      </w:r>
      <w:r w:rsidR="00BF76FE" w:rsidRPr="005D7C9D">
        <w:rPr>
          <w:rFonts w:ascii="Times New Roman" w:hAnsi="Times New Roman" w:cs="Times New Roman"/>
          <w:sz w:val="24"/>
          <w:szCs w:val="24"/>
          <w:lang w:val="en-GB"/>
        </w:rPr>
        <w:t xml:space="preserve"> (</w:t>
      </w:r>
      <w:r w:rsidR="00F42CF4" w:rsidRPr="005D7C9D">
        <w:rPr>
          <w:rFonts w:ascii="Times New Roman" w:hAnsi="Times New Roman" w:cs="Times New Roman"/>
          <w:sz w:val="24"/>
          <w:szCs w:val="24"/>
        </w:rPr>
        <w:t>Faragher, 2021</w:t>
      </w:r>
      <w:r w:rsidR="00BF76FE" w:rsidRPr="005D7C9D">
        <w:rPr>
          <w:rFonts w:ascii="Times New Roman" w:hAnsi="Times New Roman" w:cs="Times New Roman"/>
          <w:sz w:val="24"/>
          <w:szCs w:val="24"/>
          <w:lang w:val="en-GB"/>
        </w:rPr>
        <w:t>)</w:t>
      </w:r>
      <w:r w:rsidRPr="005D7C9D">
        <w:rPr>
          <w:rFonts w:ascii="Times New Roman" w:hAnsi="Times New Roman" w:cs="Times New Roman"/>
          <w:sz w:val="24"/>
          <w:szCs w:val="24"/>
          <w:lang w:val="en-GB"/>
        </w:rPr>
        <w:t>. Thus, public-sector agreements are often subject to legal requirements like public tenders and transparency in decision-making.</w:t>
      </w:r>
    </w:p>
    <w:p w14:paraId="2B1AC9AE" w14:textId="77777777" w:rsidR="00802007" w:rsidRPr="005D7C9D" w:rsidRDefault="00802007" w:rsidP="00485B5C">
      <w:pPr>
        <w:spacing w:after="0" w:line="240" w:lineRule="auto"/>
        <w:jc w:val="both"/>
        <w:rPr>
          <w:rFonts w:ascii="Times New Roman" w:hAnsi="Times New Roman" w:cs="Times New Roman"/>
          <w:sz w:val="24"/>
          <w:szCs w:val="24"/>
          <w:lang w:val="en-GB"/>
        </w:rPr>
      </w:pPr>
    </w:p>
    <w:p w14:paraId="2CD1B1B3" w14:textId="36D5FBC5" w:rsidR="00DD02E4" w:rsidRPr="005D7C9D" w:rsidRDefault="00DD02E4"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Courts ensure public bodies handle private parties fairly and transparently. Government institutions and private parties enter into agreements to build legal ties. If the agreement was for a public purpose or not to establish legal connections, this assumption may be false.</w:t>
      </w:r>
      <w:r w:rsidR="00A64837" w:rsidRPr="005D7C9D">
        <w:rPr>
          <w:rFonts w:ascii="Times New Roman" w:hAnsi="Times New Roman" w:cs="Times New Roman"/>
          <w:sz w:val="24"/>
          <w:szCs w:val="24"/>
          <w:lang w:val="en-GB"/>
        </w:rPr>
        <w:t xml:space="preserve"> </w:t>
      </w:r>
      <w:r w:rsidRPr="005D7C9D">
        <w:rPr>
          <w:rFonts w:ascii="Times New Roman" w:hAnsi="Times New Roman" w:cs="Times New Roman"/>
          <w:sz w:val="24"/>
          <w:szCs w:val="24"/>
          <w:lang w:val="en-GB"/>
        </w:rPr>
        <w:t xml:space="preserve">Public </w:t>
      </w:r>
      <w:r w:rsidRPr="005D7C9D">
        <w:rPr>
          <w:rFonts w:ascii="Times New Roman" w:hAnsi="Times New Roman" w:cs="Times New Roman"/>
          <w:sz w:val="24"/>
          <w:szCs w:val="24"/>
          <w:lang w:val="en-GB"/>
        </w:rPr>
        <w:lastRenderedPageBreak/>
        <w:t>agencies must treat private parties equally and honestly, including when making agreements. The agreement's provisions and decision-making procedure must be explicit and non-discriminatory</w:t>
      </w:r>
      <w:r w:rsidR="00BF76FE" w:rsidRPr="005D7C9D">
        <w:rPr>
          <w:rFonts w:ascii="Times New Roman" w:hAnsi="Times New Roman" w:cs="Times New Roman"/>
          <w:sz w:val="24"/>
          <w:szCs w:val="24"/>
          <w:lang w:val="en-GB"/>
        </w:rPr>
        <w:t xml:space="preserve"> </w:t>
      </w:r>
      <w:r w:rsidR="00F42CF4" w:rsidRPr="005D7C9D">
        <w:rPr>
          <w:rFonts w:ascii="Times New Roman" w:hAnsi="Times New Roman" w:cs="Times New Roman"/>
          <w:sz w:val="24"/>
          <w:szCs w:val="24"/>
        </w:rPr>
        <w:t xml:space="preserve">(Craig and </w:t>
      </w:r>
      <w:proofErr w:type="spellStart"/>
      <w:r w:rsidR="00F42CF4" w:rsidRPr="005D7C9D">
        <w:rPr>
          <w:rFonts w:ascii="Times New Roman" w:hAnsi="Times New Roman" w:cs="Times New Roman"/>
          <w:sz w:val="24"/>
          <w:szCs w:val="24"/>
        </w:rPr>
        <w:t>Búrca</w:t>
      </w:r>
      <w:proofErr w:type="spellEnd"/>
      <w:r w:rsidR="00F42CF4" w:rsidRPr="005D7C9D">
        <w:rPr>
          <w:rFonts w:ascii="Times New Roman" w:hAnsi="Times New Roman" w:cs="Times New Roman"/>
          <w:sz w:val="24"/>
          <w:szCs w:val="24"/>
        </w:rPr>
        <w:t>, 2020).</w:t>
      </w:r>
      <w:r w:rsidR="00F42CF4" w:rsidRPr="005D7C9D">
        <w:rPr>
          <w:rFonts w:ascii="Times New Roman" w:hAnsi="Times New Roman" w:cs="Times New Roman"/>
          <w:sz w:val="24"/>
          <w:szCs w:val="24"/>
          <w:lang w:val="en-GB"/>
        </w:rPr>
        <w:t xml:space="preserve"> </w:t>
      </w:r>
      <w:r w:rsidRPr="005D7C9D">
        <w:rPr>
          <w:rFonts w:ascii="Times New Roman" w:hAnsi="Times New Roman" w:cs="Times New Roman"/>
          <w:sz w:val="24"/>
          <w:szCs w:val="24"/>
          <w:lang w:val="en-GB"/>
        </w:rPr>
        <w:t>Public interest protection is essential. Public entities must make sure their agreements benefit the public and do</w:t>
      </w:r>
      <w:r w:rsidR="00BF76FE" w:rsidRPr="005D7C9D">
        <w:rPr>
          <w:rFonts w:ascii="Times New Roman" w:hAnsi="Times New Roman" w:cs="Times New Roman"/>
          <w:sz w:val="24"/>
          <w:szCs w:val="24"/>
          <w:lang w:val="en-GB"/>
        </w:rPr>
        <w:t xml:space="preserve"> </w:t>
      </w:r>
      <w:r w:rsidRPr="005D7C9D">
        <w:rPr>
          <w:rFonts w:ascii="Times New Roman" w:hAnsi="Times New Roman" w:cs="Times New Roman"/>
          <w:sz w:val="24"/>
          <w:szCs w:val="24"/>
          <w:lang w:val="en-GB"/>
        </w:rPr>
        <w:t>n</w:t>
      </w:r>
      <w:r w:rsidR="00BF76FE" w:rsidRPr="005D7C9D">
        <w:rPr>
          <w:rFonts w:ascii="Times New Roman" w:hAnsi="Times New Roman" w:cs="Times New Roman"/>
          <w:sz w:val="24"/>
          <w:szCs w:val="24"/>
          <w:lang w:val="en-GB"/>
        </w:rPr>
        <w:t>o</w:t>
      </w:r>
      <w:r w:rsidRPr="005D7C9D">
        <w:rPr>
          <w:rFonts w:ascii="Times New Roman" w:hAnsi="Times New Roman" w:cs="Times New Roman"/>
          <w:sz w:val="24"/>
          <w:szCs w:val="24"/>
          <w:lang w:val="en-GB"/>
        </w:rPr>
        <w:t>t favour any party. If public agencies give private corporations special treatment or enable damaging behaviour, the public interest is at danger.</w:t>
      </w:r>
    </w:p>
    <w:p w14:paraId="537A7DA7" w14:textId="77777777" w:rsidR="00802007" w:rsidRPr="005D7C9D" w:rsidRDefault="00802007" w:rsidP="00485B5C">
      <w:pPr>
        <w:spacing w:after="0" w:line="240" w:lineRule="auto"/>
        <w:jc w:val="both"/>
        <w:rPr>
          <w:rFonts w:ascii="Times New Roman" w:hAnsi="Times New Roman" w:cs="Times New Roman"/>
          <w:sz w:val="24"/>
          <w:szCs w:val="24"/>
          <w:lang w:val="en-GB"/>
        </w:rPr>
      </w:pPr>
    </w:p>
    <w:p w14:paraId="039AD9E0" w14:textId="6785B8CC" w:rsidR="00DD02E4" w:rsidRPr="005D7C9D" w:rsidRDefault="00DD02E4"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Public contracts are governed by the Public Contracts Rules 2015. Transparency, competition, and non-discrimination govern public procurement. The Freedom of Information Act of 2000 allows public access to government records with limited exceptions. Government contracts can be requested under the Act. Public body agreements may employ administrative law concepts like fairness, rationality, and consultation. These principles ensure public entities follow the law and make transparent, responsible, and participative choices.</w:t>
      </w:r>
    </w:p>
    <w:p w14:paraId="4BB4C89A" w14:textId="77777777" w:rsidR="0054282E" w:rsidRPr="005D7C9D" w:rsidRDefault="0054282E" w:rsidP="00485B5C">
      <w:pPr>
        <w:spacing w:after="0" w:line="240" w:lineRule="auto"/>
        <w:jc w:val="both"/>
        <w:rPr>
          <w:rFonts w:ascii="Times New Roman" w:eastAsia="Times New Roman" w:hAnsi="Times New Roman" w:cs="Times New Roman"/>
          <w:kern w:val="0"/>
          <w:sz w:val="24"/>
          <w:szCs w:val="24"/>
          <w:lang w:val="en-GB" w:eastAsia="en-GB"/>
          <w14:ligatures w14:val="none"/>
        </w:rPr>
      </w:pPr>
    </w:p>
    <w:p w14:paraId="5519C65B" w14:textId="40AB9C0E" w:rsidR="00801FAA" w:rsidRPr="005D7C9D" w:rsidRDefault="00CA338A"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 xml:space="preserve">A breach of contract case is </w:t>
      </w:r>
      <w:proofErr w:type="spellStart"/>
      <w:r w:rsidRPr="005D7C9D">
        <w:rPr>
          <w:rFonts w:ascii="Times New Roman" w:hAnsi="Times New Roman" w:cs="Times New Roman"/>
          <w:sz w:val="24"/>
          <w:szCs w:val="24"/>
          <w:lang w:val="en-GB"/>
        </w:rPr>
        <w:t>Triefus</w:t>
      </w:r>
      <w:proofErr w:type="spellEnd"/>
      <w:r w:rsidRPr="005D7C9D">
        <w:rPr>
          <w:rFonts w:ascii="Times New Roman" w:hAnsi="Times New Roman" w:cs="Times New Roman"/>
          <w:sz w:val="24"/>
          <w:szCs w:val="24"/>
          <w:lang w:val="en-GB"/>
        </w:rPr>
        <w:t xml:space="preserve"> v Post Office </w:t>
      </w:r>
      <w:r w:rsidR="00091F10" w:rsidRPr="005D7C9D">
        <w:rPr>
          <w:rFonts w:ascii="Times New Roman" w:hAnsi="Times New Roman" w:cs="Times New Roman"/>
          <w:sz w:val="24"/>
          <w:szCs w:val="24"/>
          <w:lang w:val="en-GB"/>
        </w:rPr>
        <w:t>[</w:t>
      </w:r>
      <w:r w:rsidRPr="005D7C9D">
        <w:rPr>
          <w:rFonts w:ascii="Times New Roman" w:hAnsi="Times New Roman" w:cs="Times New Roman"/>
          <w:sz w:val="24"/>
          <w:szCs w:val="24"/>
          <w:lang w:val="en-GB"/>
        </w:rPr>
        <w:t>1957</w:t>
      </w:r>
      <w:r w:rsidR="00091F10" w:rsidRPr="005D7C9D">
        <w:rPr>
          <w:rFonts w:ascii="Times New Roman" w:hAnsi="Times New Roman" w:cs="Times New Roman"/>
          <w:sz w:val="24"/>
          <w:szCs w:val="24"/>
          <w:lang w:val="en-GB"/>
        </w:rPr>
        <w:t>]</w:t>
      </w:r>
      <w:r w:rsidRPr="005D7C9D">
        <w:rPr>
          <w:rFonts w:ascii="Times New Roman" w:hAnsi="Times New Roman" w:cs="Times New Roman"/>
          <w:sz w:val="24"/>
          <w:szCs w:val="24"/>
          <w:lang w:val="en-GB"/>
        </w:rPr>
        <w:t xml:space="preserve">. This case has underpinned subsequent Post Office Acts.  Originally, the claim arose from negligence, however, it was barred by s.9(1) Crown Proceedings Act 1947, which prohibits Torts against the Crown or its officers except in cases of loss or damage to inland mail.  According to the appellant, contracts were created by the Post Office upon receiving diamonds for transmission due to the fundamental contractual element of service in exchange for reward </w:t>
      </w:r>
      <w:r w:rsidR="00BB2324" w:rsidRPr="005D7C9D">
        <w:rPr>
          <w:rFonts w:ascii="Times New Roman" w:hAnsi="Times New Roman" w:cs="Times New Roman"/>
          <w:sz w:val="24"/>
          <w:szCs w:val="24"/>
          <w:lang w:val="en-GB"/>
        </w:rPr>
        <w:t>(</w:t>
      </w:r>
      <w:r w:rsidR="0054282E" w:rsidRPr="005D7C9D">
        <w:rPr>
          <w:rFonts w:ascii="Times New Roman" w:hAnsi="Times New Roman" w:cs="Times New Roman"/>
          <w:sz w:val="24"/>
          <w:szCs w:val="24"/>
          <w:lang w:val="en-GB"/>
        </w:rPr>
        <w:t xml:space="preserve">Beaumont, </w:t>
      </w:r>
      <w:r w:rsidR="009C4EA2" w:rsidRPr="005D7C9D">
        <w:rPr>
          <w:rFonts w:ascii="Times New Roman" w:hAnsi="Times New Roman" w:cs="Times New Roman"/>
          <w:sz w:val="24"/>
          <w:szCs w:val="24"/>
          <w:lang w:val="en-GB"/>
        </w:rPr>
        <w:t>1959</w:t>
      </w:r>
      <w:r w:rsidR="0054282E" w:rsidRPr="005D7C9D">
        <w:rPr>
          <w:rFonts w:ascii="Times New Roman" w:hAnsi="Times New Roman" w:cs="Times New Roman"/>
          <w:sz w:val="24"/>
          <w:szCs w:val="24"/>
          <w:lang w:val="en-GB"/>
        </w:rPr>
        <w:t xml:space="preserve">). </w:t>
      </w:r>
      <w:r w:rsidR="006A3B4E" w:rsidRPr="005D7C9D">
        <w:rPr>
          <w:rFonts w:ascii="Times New Roman" w:hAnsi="Times New Roman" w:cs="Times New Roman"/>
          <w:sz w:val="24"/>
          <w:szCs w:val="24"/>
          <w:lang w:val="en-GB"/>
        </w:rPr>
        <w:t>Another public body agreement case is Robinson v HM Customs &amp; Excise [2000]. In this case</w:t>
      </w:r>
      <w:r w:rsidR="00F36A13" w:rsidRPr="005D7C9D">
        <w:rPr>
          <w:rFonts w:ascii="Times New Roman" w:hAnsi="Times New Roman" w:cs="Times New Roman"/>
          <w:sz w:val="24"/>
          <w:szCs w:val="24"/>
          <w:lang w:val="en-GB"/>
        </w:rPr>
        <w:t xml:space="preserve"> t</w:t>
      </w:r>
      <w:r w:rsidR="00705C8B" w:rsidRPr="005D7C9D">
        <w:rPr>
          <w:rFonts w:ascii="Times New Roman" w:hAnsi="Times New Roman" w:cs="Times New Roman"/>
          <w:sz w:val="24"/>
          <w:szCs w:val="24"/>
          <w:lang w:val="en-GB"/>
        </w:rPr>
        <w:t xml:space="preserve">he court found that HM Customs &amp; Excise were bound by the agreement since it was intended to establish legal </w:t>
      </w:r>
      <w:r w:rsidR="009D721A" w:rsidRPr="005D7C9D">
        <w:rPr>
          <w:rFonts w:ascii="Times New Roman" w:hAnsi="Times New Roman" w:cs="Times New Roman"/>
          <w:sz w:val="24"/>
          <w:szCs w:val="24"/>
          <w:lang w:val="en-GB"/>
        </w:rPr>
        <w:t xml:space="preserve">ties. </w:t>
      </w:r>
      <w:r w:rsidR="00094D12" w:rsidRPr="005D7C9D">
        <w:rPr>
          <w:rFonts w:ascii="Times New Roman" w:hAnsi="Times New Roman" w:cs="Times New Roman"/>
          <w:sz w:val="24"/>
          <w:szCs w:val="24"/>
          <w:lang w:val="en-GB"/>
        </w:rPr>
        <w:t xml:space="preserve">Furthermore, the case of </w:t>
      </w:r>
      <w:r w:rsidR="00801FAA" w:rsidRPr="005D7C9D">
        <w:rPr>
          <w:rFonts w:ascii="Times New Roman" w:hAnsi="Times New Roman" w:cs="Times New Roman"/>
          <w:sz w:val="24"/>
          <w:szCs w:val="24"/>
          <w:lang w:val="en-GB"/>
        </w:rPr>
        <w:t>Willmore v South Eastern Electricity Board [1957] concluded that a public body's letter promising property damage compensation was not legally enforceable. The court ruled that public organisations must explicitly explain their desire to form legal connections, and commercial presumptions may not apply. The court highlighted that governmental agencies must operate in the public interest and are held to different standards than private parties (</w:t>
      </w:r>
      <w:proofErr w:type="spellStart"/>
      <w:r w:rsidR="00487B05" w:rsidRPr="005D7C9D">
        <w:rPr>
          <w:rFonts w:ascii="Times New Roman" w:hAnsi="Times New Roman" w:cs="Times New Roman"/>
          <w:sz w:val="24"/>
          <w:szCs w:val="24"/>
          <w:lang w:val="en-GB"/>
        </w:rPr>
        <w:t>Hepple</w:t>
      </w:r>
      <w:proofErr w:type="spellEnd"/>
      <w:r w:rsidR="00487B05" w:rsidRPr="005D7C9D">
        <w:rPr>
          <w:rFonts w:ascii="Times New Roman" w:hAnsi="Times New Roman" w:cs="Times New Roman"/>
          <w:sz w:val="24"/>
          <w:szCs w:val="24"/>
          <w:lang w:val="en-GB"/>
        </w:rPr>
        <w:t>, 1970</w:t>
      </w:r>
      <w:r w:rsidR="00801FAA" w:rsidRPr="005D7C9D">
        <w:rPr>
          <w:rFonts w:ascii="Times New Roman" w:hAnsi="Times New Roman" w:cs="Times New Roman"/>
          <w:sz w:val="24"/>
          <w:szCs w:val="24"/>
          <w:lang w:val="en-GB"/>
        </w:rPr>
        <w:t>).</w:t>
      </w:r>
    </w:p>
    <w:p w14:paraId="2F13B6C2" w14:textId="77777777" w:rsidR="009D721A" w:rsidRPr="005D7C9D" w:rsidRDefault="009D721A" w:rsidP="00485B5C">
      <w:pPr>
        <w:spacing w:after="0" w:line="240" w:lineRule="auto"/>
        <w:jc w:val="both"/>
        <w:rPr>
          <w:rFonts w:ascii="Times New Roman" w:hAnsi="Times New Roman" w:cs="Times New Roman"/>
          <w:sz w:val="24"/>
          <w:szCs w:val="24"/>
          <w:lang w:val="en-GB"/>
        </w:rPr>
      </w:pPr>
    </w:p>
    <w:p w14:paraId="700F916D" w14:textId="1A6B8901" w:rsidR="00BB20F5" w:rsidRPr="005D7C9D" w:rsidRDefault="00801632" w:rsidP="00485B5C">
      <w:pPr>
        <w:spacing w:after="0" w:line="240" w:lineRule="auto"/>
        <w:jc w:val="both"/>
        <w:rPr>
          <w:rFonts w:ascii="Times New Roman" w:hAnsi="Times New Roman" w:cs="Times New Roman"/>
          <w:sz w:val="24"/>
          <w:szCs w:val="24"/>
          <w:lang w:val="en-GB"/>
        </w:rPr>
      </w:pPr>
      <w:r w:rsidRPr="005D7C9D">
        <w:rPr>
          <w:rFonts w:ascii="Times New Roman" w:hAnsi="Times New Roman" w:cs="Times New Roman"/>
          <w:sz w:val="24"/>
          <w:szCs w:val="24"/>
          <w:lang w:val="en-GB"/>
        </w:rPr>
        <w:t>To sum up</w:t>
      </w:r>
      <w:r w:rsidR="00705C8B" w:rsidRPr="005D7C9D">
        <w:rPr>
          <w:rFonts w:ascii="Times New Roman" w:hAnsi="Times New Roman" w:cs="Times New Roman"/>
          <w:sz w:val="24"/>
          <w:szCs w:val="24"/>
          <w:lang w:val="en-GB"/>
        </w:rPr>
        <w:t>, the context of an agreement is critical in determining whether or not the parties intended to establish legal connections. In social or domestic settings, there is a presumption against intention to develop legal connections, although this may be disproved by the presentation of evidence. In determining whether or not a contract with a government entity constitutes a private or public agreement, courts look at whether or not the government entity was operating in its official or personal capacity. When deciding whether or whether there was an intent to form legal relations, the courts look at both the parties' intentions and the surrounding circumstances</w:t>
      </w:r>
      <w:r w:rsidR="009C3180" w:rsidRPr="005D7C9D">
        <w:rPr>
          <w:rFonts w:ascii="Times New Roman" w:hAnsi="Times New Roman" w:cs="Times New Roman"/>
          <w:sz w:val="24"/>
          <w:szCs w:val="24"/>
          <w:lang w:val="en-GB"/>
        </w:rPr>
        <w:t xml:space="preserve"> </w:t>
      </w:r>
      <w:r w:rsidR="009C3180" w:rsidRPr="005D7C9D">
        <w:rPr>
          <w:rFonts w:ascii="Times New Roman" w:hAnsi="Times New Roman" w:cs="Times New Roman"/>
          <w:sz w:val="24"/>
          <w:szCs w:val="24"/>
        </w:rPr>
        <w:t>(Arvind, 2019</w:t>
      </w:r>
      <w:r w:rsidR="00561688" w:rsidRPr="005D7C9D">
        <w:rPr>
          <w:rFonts w:ascii="Times New Roman" w:hAnsi="Times New Roman" w:cs="Times New Roman"/>
          <w:sz w:val="24"/>
          <w:szCs w:val="24"/>
        </w:rPr>
        <w:t>b</w:t>
      </w:r>
      <w:r w:rsidR="009C3180" w:rsidRPr="005D7C9D">
        <w:rPr>
          <w:rFonts w:ascii="Times New Roman" w:hAnsi="Times New Roman" w:cs="Times New Roman"/>
          <w:sz w:val="24"/>
          <w:szCs w:val="24"/>
        </w:rPr>
        <w:t>)</w:t>
      </w:r>
      <w:r w:rsidR="009C3180" w:rsidRPr="005D7C9D">
        <w:rPr>
          <w:rFonts w:ascii="Times New Roman" w:hAnsi="Times New Roman" w:cs="Times New Roman"/>
          <w:sz w:val="24"/>
          <w:szCs w:val="24"/>
          <w:lang w:val="en-GB"/>
        </w:rPr>
        <w:t xml:space="preserve">. </w:t>
      </w:r>
    </w:p>
    <w:p w14:paraId="35A413BB" w14:textId="77777777" w:rsidR="00FE24F0" w:rsidRPr="005D7C9D" w:rsidRDefault="00FE24F0" w:rsidP="00705C8B">
      <w:pPr>
        <w:jc w:val="both"/>
        <w:rPr>
          <w:rFonts w:ascii="Times New Roman" w:hAnsi="Times New Roman" w:cs="Times New Roman"/>
          <w:sz w:val="24"/>
          <w:szCs w:val="24"/>
        </w:rPr>
      </w:pPr>
    </w:p>
    <w:p w14:paraId="429CC09A" w14:textId="2F04449C" w:rsidR="00E8570C" w:rsidRPr="005D7C9D" w:rsidRDefault="00E8570C" w:rsidP="00AA1AC5">
      <w:pPr>
        <w:rPr>
          <w:rFonts w:ascii="Times New Roman" w:hAnsi="Times New Roman" w:cs="Times New Roman"/>
          <w:b/>
          <w:bCs/>
          <w:sz w:val="24"/>
          <w:szCs w:val="24"/>
          <w:lang w:val="en-GB"/>
        </w:rPr>
      </w:pPr>
      <w:r w:rsidRPr="005D7C9D">
        <w:rPr>
          <w:rFonts w:ascii="Times New Roman" w:hAnsi="Times New Roman" w:cs="Times New Roman"/>
          <w:sz w:val="24"/>
          <w:szCs w:val="24"/>
          <w:lang w:val="en-GB"/>
        </w:rPr>
        <w:br w:type="page"/>
      </w:r>
      <w:r w:rsidRPr="005D7C9D">
        <w:rPr>
          <w:rFonts w:ascii="Times New Roman" w:hAnsi="Times New Roman" w:cs="Times New Roman"/>
          <w:b/>
          <w:bCs/>
          <w:sz w:val="24"/>
          <w:szCs w:val="24"/>
        </w:rPr>
        <w:lastRenderedPageBreak/>
        <w:t>References</w:t>
      </w:r>
    </w:p>
    <w:p w14:paraId="1295AD1D" w14:textId="63524915" w:rsidR="00801FAA" w:rsidRPr="005D7C9D" w:rsidRDefault="00801FAA" w:rsidP="00E8570C">
      <w:pPr>
        <w:pStyle w:val="NormalWeb"/>
        <w:spacing w:before="0" w:beforeAutospacing="0" w:after="240" w:afterAutospacing="0" w:line="360" w:lineRule="auto"/>
      </w:pPr>
      <w:r w:rsidRPr="005D7C9D">
        <w:t xml:space="preserve">Arvind, T. </w:t>
      </w:r>
      <w:r w:rsidR="004B042A" w:rsidRPr="005D7C9D">
        <w:t xml:space="preserve">T </w:t>
      </w:r>
      <w:r w:rsidRPr="005D7C9D">
        <w:t>(2022</w:t>
      </w:r>
      <w:r w:rsidR="004B7666" w:rsidRPr="005D7C9D">
        <w:t>a</w:t>
      </w:r>
      <w:r w:rsidRPr="005D7C9D">
        <w:t>)</w:t>
      </w:r>
      <w:r w:rsidR="00CA4EBF" w:rsidRPr="005D7C9D">
        <w:t xml:space="preserve"> - </w:t>
      </w:r>
      <w:r w:rsidRPr="005D7C9D">
        <w:rPr>
          <w:i/>
          <w:iCs/>
        </w:rPr>
        <w:t>Contract Law</w:t>
      </w:r>
      <w:r w:rsidR="00CA4EBF" w:rsidRPr="005D7C9D">
        <w:t xml:space="preserve"> -</w:t>
      </w:r>
      <w:r w:rsidRPr="005D7C9D">
        <w:t xml:space="preserve"> 3rd </w:t>
      </w:r>
      <w:r w:rsidR="00C23358" w:rsidRPr="005D7C9D">
        <w:t>E</w:t>
      </w:r>
      <w:r w:rsidRPr="005D7C9D">
        <w:t>d</w:t>
      </w:r>
      <w:r w:rsidR="00CA4EBF" w:rsidRPr="005D7C9D">
        <w:t xml:space="preserve"> - </w:t>
      </w:r>
      <w:r w:rsidRPr="005D7C9D">
        <w:t>Oxford: Oxford University Press</w:t>
      </w:r>
    </w:p>
    <w:p w14:paraId="4DAF90C9" w14:textId="59555514" w:rsidR="004B7666" w:rsidRPr="005D7C9D" w:rsidRDefault="004B7666" w:rsidP="004B7666">
      <w:pPr>
        <w:pStyle w:val="NormalWeb"/>
        <w:spacing w:before="0" w:beforeAutospacing="0" w:after="240" w:afterAutospacing="0" w:line="360" w:lineRule="auto"/>
      </w:pPr>
      <w:r w:rsidRPr="005D7C9D">
        <w:t xml:space="preserve">Arvind, T. T (2022b) - </w:t>
      </w:r>
      <w:r w:rsidRPr="005D7C9D">
        <w:rPr>
          <w:i/>
          <w:iCs/>
        </w:rPr>
        <w:t>Contract Law</w:t>
      </w:r>
      <w:r w:rsidRPr="005D7C9D">
        <w:t xml:space="preserve"> - 3rd Ed - Oxford: Oxford University Press</w:t>
      </w:r>
    </w:p>
    <w:p w14:paraId="5BC60D14" w14:textId="367AA2F9" w:rsidR="004E039A" w:rsidRPr="005D7C9D" w:rsidRDefault="004E039A" w:rsidP="004E039A">
      <w:pPr>
        <w:pStyle w:val="NormalWeb"/>
        <w:spacing w:before="0" w:beforeAutospacing="0" w:after="240" w:afterAutospacing="0" w:line="360" w:lineRule="auto"/>
        <w:rPr>
          <w:i/>
          <w:iCs/>
        </w:rPr>
      </w:pPr>
      <w:r w:rsidRPr="005D7C9D">
        <w:t xml:space="preserve">Atkins, R. (2022) - </w:t>
      </w:r>
      <w:proofErr w:type="spellStart"/>
      <w:r w:rsidRPr="005D7C9D">
        <w:rPr>
          <w:i/>
          <w:iCs/>
        </w:rPr>
        <w:t>Koffman</w:t>
      </w:r>
      <w:proofErr w:type="spellEnd"/>
      <w:r w:rsidRPr="005D7C9D">
        <w:rPr>
          <w:i/>
          <w:iCs/>
        </w:rPr>
        <w:t>, Macdonald &amp; Atkins' Law of Contract</w:t>
      </w:r>
      <w:r w:rsidRPr="005D7C9D">
        <w:t>. 10</w:t>
      </w:r>
      <w:r w:rsidRPr="005D7C9D">
        <w:rPr>
          <w:vertAlign w:val="superscript"/>
        </w:rPr>
        <w:t>th</w:t>
      </w:r>
      <w:r w:rsidRPr="005D7C9D">
        <w:t xml:space="preserve"> Ed - Oxford: Oxford University Press</w:t>
      </w:r>
    </w:p>
    <w:p w14:paraId="1CBB65EC" w14:textId="58B6B033" w:rsidR="006A7B4A" w:rsidRPr="005D7C9D" w:rsidRDefault="006A7B4A" w:rsidP="006A7B4A">
      <w:pPr>
        <w:pStyle w:val="NormalWeb"/>
        <w:spacing w:before="0" w:beforeAutospacing="0" w:after="240" w:afterAutospacing="0" w:line="360" w:lineRule="auto"/>
      </w:pPr>
      <w:proofErr w:type="spellStart"/>
      <w:r w:rsidRPr="005D7C9D">
        <w:t>Baskind</w:t>
      </w:r>
      <w:proofErr w:type="spellEnd"/>
      <w:r w:rsidRPr="005D7C9D">
        <w:t>, E.</w:t>
      </w:r>
      <w:r w:rsidR="00F03068" w:rsidRPr="005D7C9D">
        <w:t xml:space="preserve"> and</w:t>
      </w:r>
      <w:r w:rsidRPr="005D7C9D">
        <w:t xml:space="preserve"> Osborne, G. and Roach, L. (2022)</w:t>
      </w:r>
      <w:r w:rsidR="002E5D68" w:rsidRPr="005D7C9D">
        <w:rPr>
          <w:i/>
          <w:iCs/>
        </w:rPr>
        <w:t xml:space="preserve"> - </w:t>
      </w:r>
      <w:r w:rsidRPr="005D7C9D">
        <w:rPr>
          <w:i/>
          <w:iCs/>
        </w:rPr>
        <w:t>Commercial Law</w:t>
      </w:r>
      <w:r w:rsidR="002E5D68" w:rsidRPr="005D7C9D">
        <w:t xml:space="preserve"> – 4</w:t>
      </w:r>
      <w:r w:rsidR="002E5D68" w:rsidRPr="005D7C9D">
        <w:rPr>
          <w:vertAlign w:val="superscript"/>
        </w:rPr>
        <w:t>th</w:t>
      </w:r>
      <w:r w:rsidR="002E5D68" w:rsidRPr="005D7C9D">
        <w:t xml:space="preserve"> Ed - </w:t>
      </w:r>
      <w:r w:rsidRPr="005D7C9D">
        <w:t>Oxford: Oxford University Press</w:t>
      </w:r>
    </w:p>
    <w:p w14:paraId="1215A120" w14:textId="763E8964" w:rsidR="0081264D" w:rsidRPr="005D7C9D" w:rsidRDefault="0081264D" w:rsidP="0081264D">
      <w:pPr>
        <w:pStyle w:val="NormalWeb"/>
        <w:spacing w:before="0" w:beforeAutospacing="0" w:after="240" w:afterAutospacing="0" w:line="360" w:lineRule="auto"/>
      </w:pPr>
      <w:r w:rsidRPr="005D7C9D">
        <w:t xml:space="preserve">Beatson FBA, J et al. (2020) - </w:t>
      </w:r>
      <w:r w:rsidRPr="005D7C9D">
        <w:rPr>
          <w:i/>
          <w:iCs/>
        </w:rPr>
        <w:t>Anson's Law of Contract</w:t>
      </w:r>
      <w:r w:rsidRPr="005D7C9D">
        <w:t xml:space="preserve"> - 31</w:t>
      </w:r>
      <w:r w:rsidRPr="005D7C9D">
        <w:rPr>
          <w:vertAlign w:val="superscript"/>
        </w:rPr>
        <w:t>st</w:t>
      </w:r>
      <w:r w:rsidRPr="005D7C9D">
        <w:t xml:space="preserve"> Ed - Oxford: Oxford University Press</w:t>
      </w:r>
    </w:p>
    <w:p w14:paraId="1D741C85" w14:textId="365ED52F" w:rsidR="0054282E" w:rsidRPr="005D7C9D" w:rsidRDefault="0054282E" w:rsidP="0054282E">
      <w:pPr>
        <w:spacing w:after="0" w:line="240" w:lineRule="auto"/>
        <w:jc w:val="both"/>
        <w:rPr>
          <w:rFonts w:ascii="Times New Roman" w:eastAsia="Times New Roman" w:hAnsi="Times New Roman" w:cs="Times New Roman"/>
          <w:kern w:val="0"/>
          <w:sz w:val="24"/>
          <w:szCs w:val="24"/>
          <w:lang w:val="en-GB" w:eastAsia="en-GB"/>
          <w14:ligatures w14:val="none"/>
        </w:rPr>
      </w:pPr>
      <w:r w:rsidRPr="005D7C9D">
        <w:rPr>
          <w:rFonts w:ascii="Times New Roman" w:hAnsi="Times New Roman" w:cs="Times New Roman"/>
          <w:sz w:val="24"/>
          <w:szCs w:val="24"/>
          <w:lang w:val="en-GB"/>
        </w:rPr>
        <w:t xml:space="preserve">Beaumont, B.A (1959) – ‘Sydney: University of Sydney, Faculty of Law’ - </w:t>
      </w:r>
      <w:r w:rsidRPr="005D7C9D">
        <w:rPr>
          <w:rFonts w:ascii="Times New Roman" w:hAnsi="Times New Roman" w:cs="Times New Roman"/>
          <w:i/>
          <w:iCs/>
          <w:sz w:val="24"/>
          <w:szCs w:val="24"/>
          <w:lang w:val="en-GB"/>
        </w:rPr>
        <w:t>Liability of Post Office in a Contract</w:t>
      </w:r>
      <w:r w:rsidRPr="005D7C9D">
        <w:rPr>
          <w:rFonts w:ascii="Times New Roman" w:hAnsi="Times New Roman" w:cs="Times New Roman"/>
          <w:sz w:val="24"/>
          <w:szCs w:val="24"/>
          <w:lang w:val="en-GB"/>
        </w:rPr>
        <w:t xml:space="preserve"> - 3 – p.163-166 - accessed: 4</w:t>
      </w:r>
      <w:r w:rsidRPr="005D7C9D">
        <w:rPr>
          <w:rFonts w:ascii="Times New Roman" w:hAnsi="Times New Roman" w:cs="Times New Roman"/>
          <w:sz w:val="24"/>
          <w:szCs w:val="24"/>
          <w:vertAlign w:val="superscript"/>
          <w:lang w:val="en-GB"/>
        </w:rPr>
        <w:t>th</w:t>
      </w:r>
      <w:r w:rsidRPr="005D7C9D">
        <w:rPr>
          <w:rFonts w:ascii="Times New Roman" w:hAnsi="Times New Roman" w:cs="Times New Roman"/>
          <w:sz w:val="24"/>
          <w:szCs w:val="24"/>
          <w:lang w:val="en-GB"/>
        </w:rPr>
        <w:t xml:space="preserve"> March 2023 – available: </w:t>
      </w:r>
      <w:hyperlink r:id="rId7" w:history="1">
        <w:r w:rsidRPr="005D7C9D">
          <w:rPr>
            <w:rStyle w:val="Hyperlink"/>
            <w:rFonts w:ascii="Times New Roman" w:eastAsia="Times New Roman" w:hAnsi="Times New Roman" w:cs="Times New Roman"/>
            <w:kern w:val="0"/>
            <w:sz w:val="24"/>
            <w:szCs w:val="24"/>
            <w:lang w:val="en-GB" w:eastAsia="en-GB"/>
            <w14:ligatures w14:val="none"/>
          </w:rPr>
          <w:t>https://heinonline-org.abc</w:t>
        </w:r>
      </w:hyperlink>
      <w:r w:rsidRPr="005D7C9D">
        <w:rPr>
          <w:rFonts w:ascii="Times New Roman" w:eastAsia="Times New Roman" w:hAnsi="Times New Roman" w:cs="Times New Roman"/>
          <w:kern w:val="0"/>
          <w:sz w:val="24"/>
          <w:szCs w:val="24"/>
          <w:lang w:val="en-GB" w:eastAsia="en-GB"/>
          <w14:ligatures w14:val="none"/>
        </w:rPr>
        <w:t>.</w:t>
      </w:r>
    </w:p>
    <w:p w14:paraId="6F253786" w14:textId="01D00C84" w:rsidR="004E074A" w:rsidRPr="005D7C9D" w:rsidRDefault="004E074A" w:rsidP="0054282E">
      <w:pPr>
        <w:spacing w:after="0" w:line="240" w:lineRule="auto"/>
        <w:jc w:val="both"/>
        <w:rPr>
          <w:rFonts w:ascii="Times New Roman" w:eastAsia="Times New Roman" w:hAnsi="Times New Roman" w:cs="Times New Roman"/>
          <w:kern w:val="0"/>
          <w:sz w:val="24"/>
          <w:szCs w:val="24"/>
          <w:lang w:val="en-GB" w:eastAsia="en-GB"/>
          <w14:ligatures w14:val="none"/>
        </w:rPr>
      </w:pPr>
    </w:p>
    <w:p w14:paraId="257CC8BF" w14:textId="0F8BE973" w:rsidR="004E074A" w:rsidRPr="005D7C9D" w:rsidRDefault="004E074A" w:rsidP="001F5D1C">
      <w:pPr>
        <w:pStyle w:val="NormalWeb"/>
        <w:spacing w:before="0" w:beforeAutospacing="0" w:after="240" w:afterAutospacing="0" w:line="360" w:lineRule="auto"/>
      </w:pPr>
      <w:r w:rsidRPr="005D7C9D">
        <w:t xml:space="preserve">Craig, P. and </w:t>
      </w:r>
      <w:proofErr w:type="spellStart"/>
      <w:r w:rsidRPr="005D7C9D">
        <w:t>Búrca</w:t>
      </w:r>
      <w:proofErr w:type="spellEnd"/>
      <w:r w:rsidRPr="005D7C9D">
        <w:t xml:space="preserve">, G. (2020) - </w:t>
      </w:r>
      <w:r w:rsidRPr="005D7C9D">
        <w:rPr>
          <w:i/>
          <w:iCs/>
        </w:rPr>
        <w:t>EU Law: Text, Cases, and Materials UK Version</w:t>
      </w:r>
      <w:r w:rsidRPr="005D7C9D">
        <w:t xml:space="preserve"> – 7</w:t>
      </w:r>
      <w:r w:rsidRPr="005D7C9D">
        <w:rPr>
          <w:vertAlign w:val="superscript"/>
        </w:rPr>
        <w:t>th</w:t>
      </w:r>
      <w:r w:rsidRPr="005D7C9D">
        <w:t xml:space="preserve"> Ed </w:t>
      </w:r>
      <w:r w:rsidR="00A90563" w:rsidRPr="005D7C9D">
        <w:t>- Oxford</w:t>
      </w:r>
      <w:r w:rsidRPr="005D7C9D">
        <w:t>: Oxford University Press</w:t>
      </w:r>
    </w:p>
    <w:p w14:paraId="143A1C67" w14:textId="5700C857" w:rsidR="002827BE" w:rsidRPr="005D7C9D" w:rsidRDefault="002827BE" w:rsidP="002827BE">
      <w:pPr>
        <w:pStyle w:val="NormalWeb"/>
        <w:spacing w:before="0" w:beforeAutospacing="0" w:after="240" w:afterAutospacing="0" w:line="360" w:lineRule="auto"/>
      </w:pPr>
      <w:r w:rsidRPr="005D7C9D">
        <w:t xml:space="preserve">Davies, P. (2018) - </w:t>
      </w:r>
      <w:r w:rsidRPr="005D7C9D">
        <w:rPr>
          <w:i/>
          <w:iCs/>
        </w:rPr>
        <w:t>JC Smith's The Law of Contract</w:t>
      </w:r>
      <w:r w:rsidRPr="005D7C9D">
        <w:t xml:space="preserve"> - 2</w:t>
      </w:r>
      <w:r w:rsidRPr="005D7C9D">
        <w:rPr>
          <w:vertAlign w:val="superscript"/>
        </w:rPr>
        <w:t>nd</w:t>
      </w:r>
      <w:r w:rsidRPr="005D7C9D">
        <w:t xml:space="preserve"> Ed - Oxford: Oxford University </w:t>
      </w:r>
    </w:p>
    <w:p w14:paraId="06FFE94B" w14:textId="338A0872" w:rsidR="000E7AA7" w:rsidRPr="005D7C9D" w:rsidRDefault="000E7AA7" w:rsidP="000E7AA7">
      <w:pPr>
        <w:spacing w:after="240" w:line="360" w:lineRule="auto"/>
        <w:rPr>
          <w:rFonts w:ascii="Times New Roman" w:eastAsia="Times New Roman" w:hAnsi="Times New Roman" w:cs="Times New Roman"/>
          <w:kern w:val="0"/>
          <w:sz w:val="24"/>
          <w:szCs w:val="24"/>
          <w14:ligatures w14:val="none"/>
        </w:rPr>
      </w:pPr>
      <w:r w:rsidRPr="005D7C9D">
        <w:rPr>
          <w:rFonts w:ascii="Times New Roman" w:eastAsia="Times New Roman" w:hAnsi="Times New Roman" w:cs="Times New Roman"/>
          <w:kern w:val="0"/>
          <w:sz w:val="24"/>
          <w:szCs w:val="24"/>
          <w14:ligatures w14:val="none"/>
        </w:rPr>
        <w:t>Davies, P. (2021)</w:t>
      </w:r>
      <w:r w:rsidR="0036653C" w:rsidRPr="005D7C9D">
        <w:rPr>
          <w:rFonts w:ascii="Times New Roman" w:eastAsia="Times New Roman" w:hAnsi="Times New Roman" w:cs="Times New Roman"/>
          <w:kern w:val="0"/>
          <w:sz w:val="24"/>
          <w:szCs w:val="24"/>
          <w14:ligatures w14:val="none"/>
        </w:rPr>
        <w:t xml:space="preserve"> - </w:t>
      </w:r>
      <w:r w:rsidRPr="005D7C9D">
        <w:rPr>
          <w:rFonts w:ascii="Times New Roman" w:eastAsia="Times New Roman" w:hAnsi="Times New Roman" w:cs="Times New Roman"/>
          <w:kern w:val="0"/>
          <w:sz w:val="24"/>
          <w:szCs w:val="24"/>
          <w14:ligatures w14:val="none"/>
        </w:rPr>
        <w:t>JC Smith's The Law of Contract</w:t>
      </w:r>
      <w:r w:rsidR="0036653C" w:rsidRPr="005D7C9D">
        <w:rPr>
          <w:rFonts w:ascii="Times New Roman" w:eastAsia="Times New Roman" w:hAnsi="Times New Roman" w:cs="Times New Roman"/>
          <w:kern w:val="0"/>
          <w:sz w:val="24"/>
          <w:szCs w:val="24"/>
          <w14:ligatures w14:val="none"/>
        </w:rPr>
        <w:t xml:space="preserve"> - </w:t>
      </w:r>
      <w:r w:rsidRPr="005D7C9D">
        <w:rPr>
          <w:rFonts w:ascii="Times New Roman" w:eastAsia="Times New Roman" w:hAnsi="Times New Roman" w:cs="Times New Roman"/>
          <w:kern w:val="0"/>
          <w:sz w:val="24"/>
          <w:szCs w:val="24"/>
          <w14:ligatures w14:val="none"/>
        </w:rPr>
        <w:t>3</w:t>
      </w:r>
      <w:r w:rsidRPr="005D7C9D">
        <w:rPr>
          <w:rFonts w:ascii="Times New Roman" w:eastAsia="Times New Roman" w:hAnsi="Times New Roman" w:cs="Times New Roman"/>
          <w:kern w:val="0"/>
          <w:sz w:val="24"/>
          <w:szCs w:val="24"/>
          <w:vertAlign w:val="superscript"/>
          <w14:ligatures w14:val="none"/>
        </w:rPr>
        <w:t>rd</w:t>
      </w:r>
      <w:r w:rsidR="0036653C" w:rsidRPr="005D7C9D">
        <w:rPr>
          <w:rFonts w:ascii="Times New Roman" w:eastAsia="Times New Roman" w:hAnsi="Times New Roman" w:cs="Times New Roman"/>
          <w:kern w:val="0"/>
          <w:sz w:val="24"/>
          <w:szCs w:val="24"/>
          <w14:ligatures w14:val="none"/>
        </w:rPr>
        <w:t xml:space="preserve"> Ed </w:t>
      </w:r>
      <w:r w:rsidR="00991FF0" w:rsidRPr="005D7C9D">
        <w:rPr>
          <w:rFonts w:ascii="Times New Roman" w:eastAsia="Times New Roman" w:hAnsi="Times New Roman" w:cs="Times New Roman"/>
          <w:kern w:val="0"/>
          <w:sz w:val="24"/>
          <w:szCs w:val="24"/>
          <w14:ligatures w14:val="none"/>
        </w:rPr>
        <w:t>- Oxford</w:t>
      </w:r>
      <w:r w:rsidRPr="005D7C9D">
        <w:rPr>
          <w:rFonts w:ascii="Times New Roman" w:eastAsia="Times New Roman" w:hAnsi="Times New Roman" w:cs="Times New Roman"/>
          <w:kern w:val="0"/>
          <w:sz w:val="24"/>
          <w:szCs w:val="24"/>
          <w14:ligatures w14:val="none"/>
        </w:rPr>
        <w:t>: Oxford University Press</w:t>
      </w:r>
    </w:p>
    <w:p w14:paraId="47724CFA" w14:textId="3B238808" w:rsidR="000E7AA7" w:rsidRPr="005D7C9D" w:rsidRDefault="00AA24BE" w:rsidP="00662046">
      <w:pPr>
        <w:spacing w:after="240" w:line="360" w:lineRule="auto"/>
        <w:rPr>
          <w:rFonts w:ascii="Times New Roman" w:eastAsia="Times New Roman" w:hAnsi="Times New Roman" w:cs="Times New Roman"/>
          <w:kern w:val="0"/>
          <w:sz w:val="24"/>
          <w:szCs w:val="24"/>
          <w14:ligatures w14:val="none"/>
        </w:rPr>
      </w:pPr>
      <w:proofErr w:type="spellStart"/>
      <w:r w:rsidRPr="005D7C9D">
        <w:rPr>
          <w:rFonts w:ascii="Times New Roman" w:eastAsia="Times New Roman" w:hAnsi="Times New Roman" w:cs="Times New Roman"/>
          <w:kern w:val="0"/>
          <w:sz w:val="24"/>
          <w:szCs w:val="24"/>
          <w14:ligatures w14:val="none"/>
        </w:rPr>
        <w:t>Devenney</w:t>
      </w:r>
      <w:proofErr w:type="spellEnd"/>
      <w:r w:rsidRPr="005D7C9D">
        <w:rPr>
          <w:rFonts w:ascii="Times New Roman" w:eastAsia="Times New Roman" w:hAnsi="Times New Roman" w:cs="Times New Roman"/>
          <w:kern w:val="0"/>
          <w:sz w:val="24"/>
          <w:szCs w:val="24"/>
          <w14:ligatures w14:val="none"/>
        </w:rPr>
        <w:t>, J. (2022)</w:t>
      </w:r>
      <w:r w:rsidR="006F1E6F" w:rsidRPr="005D7C9D">
        <w:rPr>
          <w:rFonts w:ascii="Times New Roman" w:eastAsia="Times New Roman" w:hAnsi="Times New Roman" w:cs="Times New Roman"/>
          <w:kern w:val="0"/>
          <w:sz w:val="24"/>
          <w:szCs w:val="24"/>
          <w14:ligatures w14:val="none"/>
        </w:rPr>
        <w:t xml:space="preserve"> - </w:t>
      </w:r>
      <w:r w:rsidR="006F1E6F" w:rsidRPr="005D7C9D">
        <w:rPr>
          <w:rFonts w:ascii="Times New Roman" w:eastAsia="Times New Roman" w:hAnsi="Times New Roman" w:cs="Times New Roman"/>
          <w:i/>
          <w:iCs/>
          <w:kern w:val="0"/>
          <w:sz w:val="24"/>
          <w:szCs w:val="24"/>
          <w14:ligatures w14:val="none"/>
        </w:rPr>
        <w:t>Concentrate Q&amp;</w:t>
      </w:r>
      <w:r w:rsidR="00991FF0" w:rsidRPr="005D7C9D">
        <w:rPr>
          <w:rFonts w:ascii="Times New Roman" w:eastAsia="Times New Roman" w:hAnsi="Times New Roman" w:cs="Times New Roman"/>
          <w:i/>
          <w:iCs/>
          <w:kern w:val="0"/>
          <w:sz w:val="24"/>
          <w:szCs w:val="24"/>
          <w14:ligatures w14:val="none"/>
        </w:rPr>
        <w:t>A:</w:t>
      </w:r>
      <w:r w:rsidR="006F1E6F" w:rsidRPr="005D7C9D">
        <w:rPr>
          <w:rFonts w:ascii="Times New Roman" w:eastAsia="Times New Roman" w:hAnsi="Times New Roman" w:cs="Times New Roman"/>
          <w:i/>
          <w:iCs/>
          <w:kern w:val="0"/>
          <w:sz w:val="24"/>
          <w:szCs w:val="24"/>
          <w14:ligatures w14:val="none"/>
        </w:rPr>
        <w:t xml:space="preserve"> contract law</w:t>
      </w:r>
      <w:r w:rsidRPr="005D7C9D">
        <w:rPr>
          <w:rFonts w:ascii="Times New Roman" w:eastAsia="Times New Roman" w:hAnsi="Times New Roman" w:cs="Times New Roman"/>
          <w:kern w:val="0"/>
          <w:sz w:val="24"/>
          <w:szCs w:val="24"/>
          <w14:ligatures w14:val="none"/>
        </w:rPr>
        <w:t xml:space="preserve"> </w:t>
      </w:r>
      <w:r w:rsidR="00401DAE" w:rsidRPr="005D7C9D">
        <w:rPr>
          <w:rFonts w:ascii="Times New Roman" w:eastAsia="Times New Roman" w:hAnsi="Times New Roman" w:cs="Times New Roman"/>
          <w:kern w:val="0"/>
          <w:sz w:val="24"/>
          <w:szCs w:val="24"/>
          <w14:ligatures w14:val="none"/>
        </w:rPr>
        <w:t>- 3</w:t>
      </w:r>
      <w:r w:rsidR="00401DAE" w:rsidRPr="005D7C9D">
        <w:rPr>
          <w:rFonts w:ascii="Times New Roman" w:eastAsia="Times New Roman" w:hAnsi="Times New Roman" w:cs="Times New Roman"/>
          <w:kern w:val="0"/>
          <w:sz w:val="24"/>
          <w:szCs w:val="24"/>
          <w:vertAlign w:val="superscript"/>
          <w14:ligatures w14:val="none"/>
        </w:rPr>
        <w:t>rd</w:t>
      </w:r>
      <w:r w:rsidR="00401DAE" w:rsidRPr="005D7C9D">
        <w:rPr>
          <w:rFonts w:ascii="Times New Roman" w:eastAsia="Times New Roman" w:hAnsi="Times New Roman" w:cs="Times New Roman"/>
          <w:kern w:val="0"/>
          <w:sz w:val="24"/>
          <w:szCs w:val="24"/>
          <w14:ligatures w14:val="none"/>
        </w:rPr>
        <w:t xml:space="preserve"> Ed - </w:t>
      </w:r>
      <w:r w:rsidRPr="005D7C9D">
        <w:rPr>
          <w:rFonts w:ascii="Times New Roman" w:eastAsia="Times New Roman" w:hAnsi="Times New Roman" w:cs="Times New Roman"/>
          <w:kern w:val="0"/>
          <w:sz w:val="24"/>
          <w:szCs w:val="24"/>
          <w14:ligatures w14:val="none"/>
        </w:rPr>
        <w:t xml:space="preserve">Oxford: Oxford University </w:t>
      </w:r>
    </w:p>
    <w:p w14:paraId="1EDDFC0F" w14:textId="0F1C8B98" w:rsidR="00B2543D" w:rsidRPr="005D7C9D" w:rsidRDefault="00B2543D" w:rsidP="00B2543D">
      <w:pPr>
        <w:pStyle w:val="NormalWeb"/>
        <w:spacing w:before="0" w:beforeAutospacing="0" w:after="240" w:afterAutospacing="0" w:line="360" w:lineRule="auto"/>
      </w:pPr>
      <w:r w:rsidRPr="005D7C9D">
        <w:t xml:space="preserve">Faragher, C. (2021) - </w:t>
      </w:r>
      <w:r w:rsidRPr="005D7C9D">
        <w:rPr>
          <w:i/>
          <w:iCs/>
        </w:rPr>
        <w:t>Public Law Concentrate: Law Revision and Study Guide</w:t>
      </w:r>
      <w:r w:rsidRPr="005D7C9D">
        <w:t xml:space="preserve"> – 7</w:t>
      </w:r>
      <w:r w:rsidRPr="005D7C9D">
        <w:rPr>
          <w:vertAlign w:val="superscript"/>
        </w:rPr>
        <w:t>th</w:t>
      </w:r>
      <w:r w:rsidRPr="005D7C9D">
        <w:t xml:space="preserve"> Ed - Oxford: Oxford University Press</w:t>
      </w:r>
    </w:p>
    <w:p w14:paraId="72734D7F" w14:textId="3993F638" w:rsidR="00C717D4" w:rsidRPr="005D7C9D" w:rsidRDefault="00F27743" w:rsidP="00C717D4">
      <w:pPr>
        <w:spacing w:after="240" w:line="360" w:lineRule="auto"/>
        <w:rPr>
          <w:rFonts w:ascii="Times New Roman" w:eastAsia="Times New Roman" w:hAnsi="Times New Roman" w:cs="Times New Roman"/>
          <w:kern w:val="0"/>
          <w:sz w:val="24"/>
          <w:szCs w:val="24"/>
          <w14:ligatures w14:val="none"/>
        </w:rPr>
      </w:pPr>
      <w:proofErr w:type="spellStart"/>
      <w:r w:rsidRPr="005D7C9D">
        <w:rPr>
          <w:rFonts w:ascii="Times New Roman" w:eastAsia="Times New Roman" w:hAnsi="Times New Roman" w:cs="Times New Roman"/>
          <w:kern w:val="0"/>
          <w:sz w:val="24"/>
          <w:szCs w:val="24"/>
          <w14:ligatures w14:val="none"/>
        </w:rPr>
        <w:t>Furmston</w:t>
      </w:r>
      <w:proofErr w:type="spellEnd"/>
      <w:r w:rsidRPr="005D7C9D">
        <w:rPr>
          <w:rFonts w:ascii="Times New Roman" w:eastAsia="Times New Roman" w:hAnsi="Times New Roman" w:cs="Times New Roman"/>
          <w:kern w:val="0"/>
          <w:sz w:val="24"/>
          <w:szCs w:val="24"/>
          <w14:ligatures w14:val="none"/>
        </w:rPr>
        <w:t xml:space="preserve">, M. (2017) - </w:t>
      </w:r>
      <w:r w:rsidRPr="005D7C9D">
        <w:rPr>
          <w:rFonts w:ascii="Times New Roman" w:eastAsia="Times New Roman" w:hAnsi="Times New Roman" w:cs="Times New Roman"/>
          <w:i/>
          <w:iCs/>
          <w:kern w:val="0"/>
          <w:sz w:val="24"/>
          <w:szCs w:val="24"/>
          <w14:ligatures w14:val="none"/>
        </w:rPr>
        <w:t xml:space="preserve">Cheshire, </w:t>
      </w:r>
      <w:proofErr w:type="spellStart"/>
      <w:r w:rsidRPr="005D7C9D">
        <w:rPr>
          <w:rFonts w:ascii="Times New Roman" w:eastAsia="Times New Roman" w:hAnsi="Times New Roman" w:cs="Times New Roman"/>
          <w:i/>
          <w:iCs/>
          <w:kern w:val="0"/>
          <w:sz w:val="24"/>
          <w:szCs w:val="24"/>
          <w14:ligatures w14:val="none"/>
        </w:rPr>
        <w:t>Fifoot</w:t>
      </w:r>
      <w:proofErr w:type="spellEnd"/>
      <w:r w:rsidRPr="005D7C9D">
        <w:rPr>
          <w:rFonts w:ascii="Times New Roman" w:eastAsia="Times New Roman" w:hAnsi="Times New Roman" w:cs="Times New Roman"/>
          <w:i/>
          <w:iCs/>
          <w:kern w:val="0"/>
          <w:sz w:val="24"/>
          <w:szCs w:val="24"/>
          <w14:ligatures w14:val="none"/>
        </w:rPr>
        <w:t xml:space="preserve">, and </w:t>
      </w:r>
      <w:proofErr w:type="spellStart"/>
      <w:r w:rsidRPr="005D7C9D">
        <w:rPr>
          <w:rFonts w:ascii="Times New Roman" w:eastAsia="Times New Roman" w:hAnsi="Times New Roman" w:cs="Times New Roman"/>
          <w:i/>
          <w:iCs/>
          <w:kern w:val="0"/>
          <w:sz w:val="24"/>
          <w:szCs w:val="24"/>
          <w14:ligatures w14:val="none"/>
        </w:rPr>
        <w:t>Furmston's</w:t>
      </w:r>
      <w:proofErr w:type="spellEnd"/>
      <w:r w:rsidRPr="005D7C9D">
        <w:rPr>
          <w:rFonts w:ascii="Times New Roman" w:eastAsia="Times New Roman" w:hAnsi="Times New Roman" w:cs="Times New Roman"/>
          <w:i/>
          <w:iCs/>
          <w:kern w:val="0"/>
          <w:sz w:val="24"/>
          <w:szCs w:val="24"/>
          <w14:ligatures w14:val="none"/>
        </w:rPr>
        <w:t xml:space="preserve"> Law of Contract</w:t>
      </w:r>
      <w:r w:rsidRPr="005D7C9D">
        <w:rPr>
          <w:rFonts w:ascii="Times New Roman" w:eastAsia="Times New Roman" w:hAnsi="Times New Roman" w:cs="Times New Roman"/>
          <w:kern w:val="0"/>
          <w:sz w:val="24"/>
          <w:szCs w:val="24"/>
          <w14:ligatures w14:val="none"/>
        </w:rPr>
        <w:t xml:space="preserve"> – 17</w:t>
      </w:r>
      <w:r w:rsidRPr="005D7C9D">
        <w:rPr>
          <w:rFonts w:ascii="Times New Roman" w:eastAsia="Times New Roman" w:hAnsi="Times New Roman" w:cs="Times New Roman"/>
          <w:kern w:val="0"/>
          <w:sz w:val="24"/>
          <w:szCs w:val="24"/>
          <w:vertAlign w:val="superscript"/>
          <w14:ligatures w14:val="none"/>
        </w:rPr>
        <w:t>th</w:t>
      </w:r>
      <w:r w:rsidRPr="005D7C9D">
        <w:rPr>
          <w:rFonts w:ascii="Times New Roman" w:eastAsia="Times New Roman" w:hAnsi="Times New Roman" w:cs="Times New Roman"/>
          <w:kern w:val="0"/>
          <w:sz w:val="24"/>
          <w:szCs w:val="24"/>
          <w14:ligatures w14:val="none"/>
        </w:rPr>
        <w:t xml:space="preserve"> Ed - Oxford: Oxford University Press</w:t>
      </w:r>
    </w:p>
    <w:p w14:paraId="466D2F07" w14:textId="1CD85E05" w:rsidR="00662DA3" w:rsidRPr="005D7C9D" w:rsidRDefault="00662DA3" w:rsidP="00C717D4">
      <w:pPr>
        <w:spacing w:after="240" w:line="360" w:lineRule="auto"/>
        <w:rPr>
          <w:rFonts w:ascii="Times New Roman" w:eastAsia="Times New Roman" w:hAnsi="Times New Roman" w:cs="Times New Roman"/>
          <w:kern w:val="0"/>
          <w:sz w:val="24"/>
          <w:szCs w:val="24"/>
          <w14:ligatures w14:val="none"/>
        </w:rPr>
      </w:pPr>
      <w:proofErr w:type="spellStart"/>
      <w:r w:rsidRPr="005D7C9D">
        <w:rPr>
          <w:rFonts w:ascii="Times New Roman" w:eastAsia="Times New Roman" w:hAnsi="Times New Roman" w:cs="Times New Roman"/>
          <w:kern w:val="0"/>
          <w:sz w:val="24"/>
          <w:szCs w:val="24"/>
          <w14:ligatures w14:val="none"/>
        </w:rPr>
        <w:t>Hepple</w:t>
      </w:r>
      <w:proofErr w:type="spellEnd"/>
      <w:r w:rsidRPr="005D7C9D">
        <w:rPr>
          <w:rFonts w:ascii="Times New Roman" w:eastAsia="Times New Roman" w:hAnsi="Times New Roman" w:cs="Times New Roman"/>
          <w:kern w:val="0"/>
          <w:sz w:val="24"/>
          <w:szCs w:val="24"/>
          <w14:ligatures w14:val="none"/>
        </w:rPr>
        <w:t xml:space="preserve">, B. A. (1970) - “Intention to Create Legal Relations” - </w:t>
      </w:r>
      <w:r w:rsidRPr="00ED6882">
        <w:rPr>
          <w:rFonts w:ascii="Times New Roman" w:eastAsia="Times New Roman" w:hAnsi="Times New Roman" w:cs="Times New Roman"/>
          <w:i/>
          <w:iCs/>
          <w:kern w:val="0"/>
          <w:sz w:val="24"/>
          <w:szCs w:val="24"/>
          <w14:ligatures w14:val="none"/>
        </w:rPr>
        <w:t>The Cambridge Law Journal</w:t>
      </w:r>
      <w:r w:rsidRPr="005D7C9D">
        <w:rPr>
          <w:rFonts w:ascii="Times New Roman" w:eastAsia="Times New Roman" w:hAnsi="Times New Roman" w:cs="Times New Roman"/>
          <w:kern w:val="0"/>
          <w:sz w:val="24"/>
          <w:szCs w:val="24"/>
          <w14:ligatures w14:val="none"/>
        </w:rPr>
        <w:t xml:space="preserve"> - 28(1) - p.122–137 – accessed: 3</w:t>
      </w:r>
      <w:r w:rsidRPr="005D7C9D">
        <w:rPr>
          <w:rFonts w:ascii="Times New Roman" w:eastAsia="Times New Roman" w:hAnsi="Times New Roman" w:cs="Times New Roman"/>
          <w:kern w:val="0"/>
          <w:sz w:val="24"/>
          <w:szCs w:val="24"/>
          <w:vertAlign w:val="superscript"/>
          <w14:ligatures w14:val="none"/>
        </w:rPr>
        <w:t>rd</w:t>
      </w:r>
      <w:r w:rsidRPr="005D7C9D">
        <w:rPr>
          <w:rFonts w:ascii="Times New Roman" w:eastAsia="Times New Roman" w:hAnsi="Times New Roman" w:cs="Times New Roman"/>
          <w:kern w:val="0"/>
          <w:sz w:val="24"/>
          <w:szCs w:val="24"/>
          <w14:ligatures w14:val="none"/>
        </w:rPr>
        <w:t xml:space="preserve"> March2023 – available at: </w:t>
      </w:r>
      <w:hyperlink r:id="rId8" w:history="1">
        <w:r w:rsidRPr="005D7C9D">
          <w:rPr>
            <w:rStyle w:val="Hyperlink"/>
            <w:rFonts w:ascii="Times New Roman" w:eastAsia="Times New Roman" w:hAnsi="Times New Roman" w:cs="Times New Roman"/>
            <w:kern w:val="0"/>
            <w:sz w:val="24"/>
            <w:szCs w:val="24"/>
            <w14:ligatures w14:val="none"/>
          </w:rPr>
          <w:t>https://www.cambridge.org/core/journals/cambridge-law-journal/article/abs/intention-to-create-legal-relations/98C286B38022E9D691AD2815A8CE872B</w:t>
        </w:r>
      </w:hyperlink>
    </w:p>
    <w:p w14:paraId="3928EF5B" w14:textId="4AE49D8C" w:rsidR="00C717D4" w:rsidRPr="005D7C9D" w:rsidRDefault="00C717D4" w:rsidP="00C717D4">
      <w:pPr>
        <w:pStyle w:val="NormalWeb"/>
        <w:spacing w:before="0" w:beforeAutospacing="0" w:after="240" w:afterAutospacing="0" w:line="360" w:lineRule="auto"/>
      </w:pPr>
      <w:r w:rsidRPr="005D7C9D">
        <w:lastRenderedPageBreak/>
        <w:t xml:space="preserve">Jones, L. (2019) - </w:t>
      </w:r>
      <w:r w:rsidRPr="005D7C9D">
        <w:rPr>
          <w:i/>
          <w:iCs/>
        </w:rPr>
        <w:t>Introduction to Business Law</w:t>
      </w:r>
      <w:r w:rsidRPr="005D7C9D">
        <w:t xml:space="preserve"> - 5</w:t>
      </w:r>
      <w:r w:rsidRPr="005D7C9D">
        <w:rPr>
          <w:vertAlign w:val="superscript"/>
        </w:rPr>
        <w:t>th</w:t>
      </w:r>
      <w:r w:rsidRPr="005D7C9D">
        <w:t xml:space="preserve"> Ed - Oxford: Oxford University Press </w:t>
      </w:r>
    </w:p>
    <w:p w14:paraId="1C367DD1" w14:textId="7DB41C78" w:rsidR="00C717D4" w:rsidRPr="005D7C9D" w:rsidRDefault="00C717D4" w:rsidP="00C717D4">
      <w:pPr>
        <w:pStyle w:val="NormalWeb"/>
        <w:spacing w:before="0" w:beforeAutospacing="0" w:after="240" w:afterAutospacing="0" w:line="360" w:lineRule="auto"/>
      </w:pPr>
      <w:r w:rsidRPr="005D7C9D">
        <w:t xml:space="preserve">McKendrick, E. (2020) - </w:t>
      </w:r>
      <w:r w:rsidRPr="005D7C9D">
        <w:rPr>
          <w:i/>
          <w:iCs/>
        </w:rPr>
        <w:t>Contract Law: Text, Cases, and Materials</w:t>
      </w:r>
      <w:r w:rsidRPr="005D7C9D">
        <w:t xml:space="preserve"> – 9</w:t>
      </w:r>
      <w:r w:rsidRPr="005D7C9D">
        <w:rPr>
          <w:vertAlign w:val="superscript"/>
        </w:rPr>
        <w:t>th</w:t>
      </w:r>
      <w:r w:rsidRPr="005D7C9D">
        <w:t xml:space="preserve"> Ed - Oxford: Oxford University Press</w:t>
      </w:r>
    </w:p>
    <w:p w14:paraId="1F9919DA" w14:textId="798C79E4" w:rsidR="0099343B" w:rsidRPr="005D7C9D" w:rsidRDefault="0099343B" w:rsidP="0099343B">
      <w:pPr>
        <w:spacing w:after="240" w:line="360" w:lineRule="auto"/>
        <w:rPr>
          <w:rFonts w:ascii="Times New Roman" w:eastAsia="Times New Roman" w:hAnsi="Times New Roman" w:cs="Times New Roman"/>
          <w:kern w:val="0"/>
          <w:sz w:val="24"/>
          <w:szCs w:val="24"/>
          <w14:ligatures w14:val="none"/>
        </w:rPr>
      </w:pPr>
      <w:r w:rsidRPr="005D7C9D">
        <w:rPr>
          <w:rFonts w:ascii="Times New Roman" w:eastAsia="Times New Roman" w:hAnsi="Times New Roman" w:cs="Times New Roman"/>
          <w:kern w:val="0"/>
          <w:sz w:val="24"/>
          <w:szCs w:val="24"/>
          <w14:ligatures w14:val="none"/>
        </w:rPr>
        <w:t>Marson, J. and Ferris, K. (2019)</w:t>
      </w:r>
      <w:r w:rsidR="005420D8" w:rsidRPr="005D7C9D">
        <w:rPr>
          <w:rFonts w:ascii="Times New Roman" w:eastAsia="Times New Roman" w:hAnsi="Times New Roman" w:cs="Times New Roman"/>
          <w:kern w:val="0"/>
          <w:sz w:val="24"/>
          <w:szCs w:val="24"/>
          <w14:ligatures w14:val="none"/>
        </w:rPr>
        <w:t xml:space="preserve"> - </w:t>
      </w:r>
      <w:r w:rsidRPr="005D7C9D">
        <w:rPr>
          <w:rFonts w:ascii="Times New Roman" w:eastAsia="Times New Roman" w:hAnsi="Times New Roman" w:cs="Times New Roman"/>
          <w:i/>
          <w:iCs/>
          <w:kern w:val="0"/>
          <w:sz w:val="24"/>
          <w:szCs w:val="24"/>
          <w14:ligatures w14:val="none"/>
        </w:rPr>
        <w:t>Business Law Concentrate: Law Revision and Study Guide</w:t>
      </w:r>
      <w:r w:rsidR="005420D8" w:rsidRPr="005D7C9D">
        <w:rPr>
          <w:rFonts w:ascii="Times New Roman" w:eastAsia="Times New Roman" w:hAnsi="Times New Roman" w:cs="Times New Roman"/>
          <w:kern w:val="0"/>
          <w:sz w:val="24"/>
          <w:szCs w:val="24"/>
          <w14:ligatures w14:val="none"/>
        </w:rPr>
        <w:t xml:space="preserve"> - </w:t>
      </w:r>
      <w:r w:rsidRPr="005D7C9D">
        <w:rPr>
          <w:rFonts w:ascii="Times New Roman" w:eastAsia="Times New Roman" w:hAnsi="Times New Roman" w:cs="Times New Roman"/>
          <w:kern w:val="0"/>
          <w:sz w:val="24"/>
          <w:szCs w:val="24"/>
          <w14:ligatures w14:val="none"/>
        </w:rPr>
        <w:t>4</w:t>
      </w:r>
      <w:r w:rsidRPr="005D7C9D">
        <w:rPr>
          <w:rFonts w:ascii="Times New Roman" w:eastAsia="Times New Roman" w:hAnsi="Times New Roman" w:cs="Times New Roman"/>
          <w:kern w:val="0"/>
          <w:sz w:val="24"/>
          <w:szCs w:val="24"/>
          <w:vertAlign w:val="superscript"/>
          <w14:ligatures w14:val="none"/>
        </w:rPr>
        <w:t>th</w:t>
      </w:r>
      <w:r w:rsidR="005420D8" w:rsidRPr="005D7C9D">
        <w:rPr>
          <w:rFonts w:ascii="Times New Roman" w:eastAsia="Times New Roman" w:hAnsi="Times New Roman" w:cs="Times New Roman"/>
          <w:kern w:val="0"/>
          <w:sz w:val="24"/>
          <w:szCs w:val="24"/>
          <w14:ligatures w14:val="none"/>
        </w:rPr>
        <w:t xml:space="preserve"> Ed - </w:t>
      </w:r>
      <w:r w:rsidRPr="005D7C9D">
        <w:rPr>
          <w:rFonts w:ascii="Times New Roman" w:eastAsia="Times New Roman" w:hAnsi="Times New Roman" w:cs="Times New Roman"/>
          <w:kern w:val="0"/>
          <w:sz w:val="24"/>
          <w:szCs w:val="24"/>
          <w14:ligatures w14:val="none"/>
        </w:rPr>
        <w:t>Oxford: Oxford University Press</w:t>
      </w:r>
    </w:p>
    <w:p w14:paraId="39ADCE09" w14:textId="4431E15A" w:rsidR="004E039A" w:rsidRPr="005D7C9D" w:rsidRDefault="00A11101" w:rsidP="004B7666">
      <w:pPr>
        <w:pStyle w:val="NormalWeb"/>
        <w:spacing w:before="0" w:beforeAutospacing="0" w:after="240" w:afterAutospacing="0" w:line="360" w:lineRule="auto"/>
      </w:pPr>
      <w:r w:rsidRPr="005D7C9D">
        <w:t xml:space="preserve">Naidoo, A. (2021). </w:t>
      </w:r>
      <w:r w:rsidRPr="005D7C9D">
        <w:rPr>
          <w:i/>
          <w:iCs/>
        </w:rPr>
        <w:t>Complete Contract Law: Text, Cases, and Materials</w:t>
      </w:r>
      <w:r w:rsidRPr="005D7C9D">
        <w:t xml:space="preserve"> – 10</w:t>
      </w:r>
      <w:r w:rsidRPr="005D7C9D">
        <w:rPr>
          <w:vertAlign w:val="superscript"/>
        </w:rPr>
        <w:t>th</w:t>
      </w:r>
      <w:r w:rsidRPr="005D7C9D">
        <w:t xml:space="preserve"> Ed Oxford: Oxford University Press</w:t>
      </w:r>
    </w:p>
    <w:p w14:paraId="22AD5524" w14:textId="4DBE2EDB" w:rsidR="00427837" w:rsidRPr="005D7C9D" w:rsidRDefault="00427837" w:rsidP="00427837">
      <w:pPr>
        <w:pStyle w:val="NormalWeb"/>
        <w:spacing w:before="0" w:beforeAutospacing="0" w:after="240" w:afterAutospacing="0" w:line="360" w:lineRule="auto"/>
      </w:pPr>
      <w:r w:rsidRPr="005D7C9D">
        <w:t xml:space="preserve">Roach, L. (2016) - </w:t>
      </w:r>
      <w:r w:rsidRPr="005D7C9D">
        <w:rPr>
          <w:i/>
          <w:iCs/>
        </w:rPr>
        <w:t>Card &amp; James' Business Law</w:t>
      </w:r>
      <w:r w:rsidRPr="005D7C9D">
        <w:t xml:space="preserve"> - 4th Ed - Oxford: Oxford University Press</w:t>
      </w:r>
    </w:p>
    <w:p w14:paraId="055AA35F" w14:textId="78CD1D54" w:rsidR="00C717D4" w:rsidRPr="005D7C9D" w:rsidRDefault="00C717D4" w:rsidP="00C717D4">
      <w:pPr>
        <w:pStyle w:val="NormalWeb"/>
        <w:spacing w:before="0" w:beforeAutospacing="0" w:after="240" w:afterAutospacing="0" w:line="360" w:lineRule="auto"/>
      </w:pPr>
      <w:r w:rsidRPr="005D7C9D">
        <w:t>Taylor, R. and Taylor, D. (2021) -</w:t>
      </w:r>
      <w:r w:rsidRPr="005D7C9D">
        <w:rPr>
          <w:i/>
          <w:iCs/>
        </w:rPr>
        <w:t>Contract Law Directions</w:t>
      </w:r>
      <w:r w:rsidRPr="005D7C9D">
        <w:t>. 8</w:t>
      </w:r>
      <w:r w:rsidRPr="005D7C9D">
        <w:rPr>
          <w:vertAlign w:val="superscript"/>
        </w:rPr>
        <w:t>th</w:t>
      </w:r>
      <w:r w:rsidRPr="005D7C9D">
        <w:t xml:space="preserve"> Ed - Oxford: Oxford University Press</w:t>
      </w:r>
    </w:p>
    <w:p w14:paraId="4C310516" w14:textId="77777777" w:rsidR="002105C6" w:rsidRPr="005D7C9D" w:rsidRDefault="002105C6" w:rsidP="00E8570C">
      <w:pPr>
        <w:pStyle w:val="NormalWeb"/>
        <w:spacing w:before="0" w:beforeAutospacing="0" w:after="240" w:afterAutospacing="0" w:line="360" w:lineRule="auto"/>
        <w:rPr>
          <w:b/>
          <w:bCs/>
        </w:rPr>
      </w:pPr>
    </w:p>
    <w:p w14:paraId="5D306756" w14:textId="77777777" w:rsidR="001F5D1C" w:rsidRPr="005D7C9D" w:rsidRDefault="001F5D1C" w:rsidP="001F5D1C">
      <w:pPr>
        <w:pStyle w:val="NormalWeb"/>
        <w:spacing w:before="0" w:beforeAutospacing="0" w:after="240" w:afterAutospacing="0" w:line="360" w:lineRule="auto"/>
        <w:rPr>
          <w:lang w:val="en-GB"/>
        </w:rPr>
      </w:pPr>
      <w:r w:rsidRPr="005D7C9D">
        <w:rPr>
          <w:lang w:val="en-GB"/>
        </w:rPr>
        <w:t xml:space="preserve">Contracts (Rights of Third Parties) Act 1999 – available at </w:t>
      </w:r>
      <w:hyperlink r:id="rId9" w:history="1">
        <w:r w:rsidRPr="005D7C9D">
          <w:rPr>
            <w:rStyle w:val="Hyperlink"/>
            <w:lang w:val="en-GB"/>
          </w:rPr>
          <w:t>https://www.legislation.gov.uk/ukpga/1999/31/contents</w:t>
        </w:r>
      </w:hyperlink>
    </w:p>
    <w:p w14:paraId="302E9A43" w14:textId="77777777" w:rsidR="001F5D1C" w:rsidRPr="005D7C9D" w:rsidRDefault="001F5D1C" w:rsidP="001F5D1C">
      <w:pPr>
        <w:pStyle w:val="NormalWeb"/>
        <w:spacing w:before="0" w:beforeAutospacing="0" w:after="240" w:afterAutospacing="0" w:line="360" w:lineRule="auto"/>
        <w:rPr>
          <w:lang w:val="en-GB"/>
        </w:rPr>
      </w:pPr>
      <w:r w:rsidRPr="005D7C9D">
        <w:rPr>
          <w:lang w:val="en-GB"/>
        </w:rPr>
        <w:t xml:space="preserve">Public Contracts Rules 2015 – available at: </w:t>
      </w:r>
      <w:hyperlink r:id="rId10" w:history="1">
        <w:r w:rsidRPr="005D7C9D">
          <w:rPr>
            <w:rStyle w:val="Hyperlink"/>
            <w:lang w:val="en-GB"/>
          </w:rPr>
          <w:t>https://www.legislation.gov.uk/uksi/2015/102/contents/made</w:t>
        </w:r>
      </w:hyperlink>
    </w:p>
    <w:p w14:paraId="46BBB181" w14:textId="311323DE" w:rsidR="00541177" w:rsidRDefault="004A048E" w:rsidP="00E8570C">
      <w:pPr>
        <w:pStyle w:val="NormalWeb"/>
        <w:spacing w:before="0" w:beforeAutospacing="0" w:after="240" w:afterAutospacing="0" w:line="360" w:lineRule="auto"/>
        <w:rPr>
          <w:lang w:val="en-GB"/>
        </w:rPr>
      </w:pPr>
      <w:r w:rsidRPr="005D7C9D">
        <w:rPr>
          <w:lang w:val="en-GB"/>
        </w:rPr>
        <w:t>Sale of Goods Act 1979</w:t>
      </w:r>
      <w:r w:rsidR="00B517CE" w:rsidRPr="005D7C9D">
        <w:rPr>
          <w:lang w:val="en-GB"/>
        </w:rPr>
        <w:t xml:space="preserve"> – available at: </w:t>
      </w:r>
      <w:r w:rsidR="00541177" w:rsidRPr="005D7C9D">
        <w:rPr>
          <w:lang w:val="en-GB"/>
        </w:rPr>
        <w:t>https://www.legislation.gov.uk/ukpga/1979/54</w:t>
      </w:r>
    </w:p>
    <w:p w14:paraId="13F82B0B" w14:textId="276ADAC2" w:rsidR="004A048E" w:rsidRDefault="004A048E" w:rsidP="00E8570C">
      <w:pPr>
        <w:pStyle w:val="NormalWeb"/>
        <w:spacing w:before="0" w:beforeAutospacing="0" w:after="240" w:afterAutospacing="0" w:line="360" w:lineRule="auto"/>
        <w:rPr>
          <w:lang w:val="en-GB"/>
        </w:rPr>
      </w:pPr>
      <w:r w:rsidRPr="005D7C9D">
        <w:rPr>
          <w:lang w:val="en-GB"/>
        </w:rPr>
        <w:t>Sale of Goods and Supply of Services Act 1982</w:t>
      </w:r>
      <w:r w:rsidR="00891F0D" w:rsidRPr="005D7C9D">
        <w:rPr>
          <w:lang w:val="en-GB"/>
        </w:rPr>
        <w:t xml:space="preserve"> – available at: </w:t>
      </w:r>
      <w:hyperlink r:id="rId11" w:history="1">
        <w:r w:rsidR="00DD181C" w:rsidRPr="00F81DDA">
          <w:rPr>
            <w:rStyle w:val="Hyperlink"/>
            <w:lang w:val="en-GB"/>
          </w:rPr>
          <w:t>https://www.legislation.gov.uk/ukpga/1982/29</w:t>
        </w:r>
      </w:hyperlink>
    </w:p>
    <w:p w14:paraId="2C5C0F46" w14:textId="243EF579" w:rsidR="00564B44" w:rsidRPr="005D7C9D" w:rsidRDefault="0028245C" w:rsidP="00E8570C">
      <w:pPr>
        <w:pStyle w:val="NormalWeb"/>
        <w:spacing w:before="0" w:beforeAutospacing="0" w:after="240" w:afterAutospacing="0" w:line="360" w:lineRule="auto"/>
        <w:rPr>
          <w:lang w:val="en-GB"/>
        </w:rPr>
      </w:pPr>
      <w:r w:rsidRPr="005D7C9D">
        <w:rPr>
          <w:lang w:val="en-GB"/>
        </w:rPr>
        <w:t>S.179 of the Trade Union and Labour Relations (Consolidation) Act 1992</w:t>
      </w:r>
      <w:r w:rsidR="000A1CC1" w:rsidRPr="005D7C9D">
        <w:rPr>
          <w:lang w:val="en-GB"/>
        </w:rPr>
        <w:t xml:space="preserve"> – available at: </w:t>
      </w:r>
      <w:hyperlink r:id="rId12" w:history="1">
        <w:r w:rsidR="000A1CC1" w:rsidRPr="005D7C9D">
          <w:rPr>
            <w:rStyle w:val="Hyperlink"/>
            <w:lang w:val="en-GB"/>
          </w:rPr>
          <w:t>https://www.legislation.gov.uk/ukpga/1992/52/contents</w:t>
        </w:r>
      </w:hyperlink>
    </w:p>
    <w:p w14:paraId="1CDCF860" w14:textId="77777777" w:rsidR="00A42FAE" w:rsidRPr="005D7C9D" w:rsidRDefault="001F5D1C" w:rsidP="00E8570C">
      <w:pPr>
        <w:pStyle w:val="NormalWeb"/>
        <w:spacing w:before="0" w:beforeAutospacing="0" w:after="240" w:afterAutospacing="0" w:line="360" w:lineRule="auto"/>
        <w:rPr>
          <w:rStyle w:val="Strong"/>
          <w:b w:val="0"/>
          <w:bCs w:val="0"/>
        </w:rPr>
      </w:pPr>
      <w:r w:rsidRPr="005D7C9D">
        <w:rPr>
          <w:rStyle w:val="Strong"/>
          <w:b w:val="0"/>
          <w:bCs w:val="0"/>
        </w:rPr>
        <w:t xml:space="preserve">Section 204(4) of the Road Traffic Act – available at: </w:t>
      </w:r>
      <w:hyperlink r:id="rId13" w:history="1">
        <w:r w:rsidRPr="005D7C9D">
          <w:rPr>
            <w:rStyle w:val="Hyperlink"/>
          </w:rPr>
          <w:t>https://www.legislation.gov.uk/ukpga/Eliz2/8-9/16/section/204/enacted</w:t>
        </w:r>
      </w:hyperlink>
    </w:p>
    <w:p w14:paraId="5CEF583B" w14:textId="6A1E061A" w:rsidR="004A048E" w:rsidRPr="005D7C9D" w:rsidRDefault="004A048E" w:rsidP="00E8570C">
      <w:pPr>
        <w:pStyle w:val="NormalWeb"/>
        <w:spacing w:before="0" w:beforeAutospacing="0" w:after="240" w:afterAutospacing="0" w:line="360" w:lineRule="auto"/>
      </w:pPr>
      <w:r w:rsidRPr="005D7C9D">
        <w:rPr>
          <w:lang w:val="en-GB"/>
        </w:rPr>
        <w:t>Trade Union and Labour Relations (Consolidation) Act 1992</w:t>
      </w:r>
      <w:r w:rsidR="005E7855" w:rsidRPr="005D7C9D">
        <w:rPr>
          <w:lang w:val="en-GB"/>
        </w:rPr>
        <w:t xml:space="preserve"> – available at: </w:t>
      </w:r>
      <w:hyperlink r:id="rId14" w:history="1">
        <w:r w:rsidR="005E7855" w:rsidRPr="005D7C9D">
          <w:rPr>
            <w:rStyle w:val="Hyperlink"/>
            <w:lang w:val="en-GB"/>
          </w:rPr>
          <w:t>https://www.legislation.gov.uk/ukpga/1992/52/contents</w:t>
        </w:r>
      </w:hyperlink>
    </w:p>
    <w:p w14:paraId="7F9B4328" w14:textId="21D094E2" w:rsidR="004A048E" w:rsidRPr="005D7C9D" w:rsidRDefault="004A048E" w:rsidP="00E8570C">
      <w:pPr>
        <w:pStyle w:val="NormalWeb"/>
        <w:spacing w:before="0" w:beforeAutospacing="0" w:after="240" w:afterAutospacing="0" w:line="360" w:lineRule="auto"/>
        <w:rPr>
          <w:lang w:val="en-GB"/>
        </w:rPr>
      </w:pPr>
      <w:r w:rsidRPr="005D7C9D">
        <w:rPr>
          <w:lang w:val="en-GB"/>
        </w:rPr>
        <w:lastRenderedPageBreak/>
        <w:t>The Freedom of Information Act of 2000</w:t>
      </w:r>
      <w:r w:rsidR="00846DC6" w:rsidRPr="005D7C9D">
        <w:rPr>
          <w:lang w:val="en-GB"/>
        </w:rPr>
        <w:t xml:space="preserve"> – available at: </w:t>
      </w:r>
      <w:hyperlink r:id="rId15" w:history="1">
        <w:r w:rsidR="00846DC6" w:rsidRPr="005D7C9D">
          <w:rPr>
            <w:rStyle w:val="Hyperlink"/>
            <w:lang w:val="en-GB"/>
          </w:rPr>
          <w:t>https://www.legislation.gov.uk/ukpga/2000/36/contents</w:t>
        </w:r>
      </w:hyperlink>
    </w:p>
    <w:p w14:paraId="4148C78C" w14:textId="02EBCBA7" w:rsidR="001F5D1C" w:rsidRDefault="001F5D1C" w:rsidP="001F5D1C">
      <w:pPr>
        <w:pStyle w:val="NormalWeb"/>
        <w:spacing w:before="0" w:beforeAutospacing="0" w:after="240" w:afterAutospacing="0" w:line="360" w:lineRule="auto"/>
        <w:rPr>
          <w:lang w:val="en-GB"/>
        </w:rPr>
      </w:pPr>
      <w:r w:rsidRPr="005D7C9D">
        <w:rPr>
          <w:lang w:val="en-GB"/>
        </w:rPr>
        <w:t xml:space="preserve">Unfair Contract Terms Act 1977 – available at: </w:t>
      </w:r>
      <w:hyperlink r:id="rId16" w:history="1">
        <w:r w:rsidR="008A22CA" w:rsidRPr="00F81DDA">
          <w:rPr>
            <w:rStyle w:val="Hyperlink"/>
            <w:lang w:val="en-GB"/>
          </w:rPr>
          <w:t>https://www.legislation.gov.uk/ukpga/1977/50</w:t>
        </w:r>
      </w:hyperlink>
    </w:p>
    <w:p w14:paraId="02C52562" w14:textId="77777777" w:rsidR="008A22CA" w:rsidRPr="005D7C9D" w:rsidRDefault="008A22CA" w:rsidP="001F5D1C">
      <w:pPr>
        <w:pStyle w:val="NormalWeb"/>
        <w:spacing w:before="0" w:beforeAutospacing="0" w:after="240" w:afterAutospacing="0" w:line="360" w:lineRule="auto"/>
        <w:rPr>
          <w:lang w:val="en-GB"/>
        </w:rPr>
      </w:pPr>
    </w:p>
    <w:p w14:paraId="0CBE66E6" w14:textId="59FEBD38" w:rsidR="00A42FAE" w:rsidRDefault="00A61EBB" w:rsidP="00A42FAE">
      <w:pPr>
        <w:pStyle w:val="NormalWeb"/>
        <w:spacing w:before="0" w:beforeAutospacing="0" w:after="0" w:afterAutospacing="0"/>
      </w:pPr>
      <w:r w:rsidRPr="00A61EBB">
        <w:t>Balfour v Balfour [1919] 2 KB 571</w:t>
      </w:r>
    </w:p>
    <w:p w14:paraId="1CADF8DE" w14:textId="77777777" w:rsidR="00A61EBB" w:rsidRPr="005D7C9D" w:rsidRDefault="00A61EBB" w:rsidP="00A42FAE">
      <w:pPr>
        <w:pStyle w:val="NormalWeb"/>
        <w:spacing w:before="0" w:beforeAutospacing="0" w:after="0" w:afterAutospacing="0"/>
      </w:pPr>
    </w:p>
    <w:p w14:paraId="0E21E6F5" w14:textId="1512708C" w:rsidR="00A42FAE" w:rsidRDefault="00013768" w:rsidP="00A42FAE">
      <w:pPr>
        <w:pStyle w:val="NormalWeb"/>
        <w:spacing w:before="0" w:beforeAutospacing="0" w:after="0" w:afterAutospacing="0"/>
      </w:pPr>
      <w:r w:rsidRPr="00013768">
        <w:t>Merritt v Merritt [1970] 1 WLR 1211</w:t>
      </w:r>
    </w:p>
    <w:p w14:paraId="7F747389" w14:textId="77777777" w:rsidR="00013768" w:rsidRPr="005D7C9D" w:rsidRDefault="00013768" w:rsidP="00A42FAE">
      <w:pPr>
        <w:pStyle w:val="NormalWeb"/>
        <w:spacing w:before="0" w:beforeAutospacing="0" w:after="0" w:afterAutospacing="0"/>
      </w:pPr>
    </w:p>
    <w:p w14:paraId="78146186" w14:textId="44E76AAD" w:rsidR="00A42FAE" w:rsidRDefault="00B047FD" w:rsidP="00B047FD">
      <w:pPr>
        <w:pStyle w:val="NormalWeb"/>
        <w:spacing w:before="0" w:beforeAutospacing="0" w:after="0" w:afterAutospacing="0"/>
      </w:pPr>
      <w:r>
        <w:t>Esso Petroleum v Customs &amp; Excise [1976] 1 WLR 1</w:t>
      </w:r>
    </w:p>
    <w:p w14:paraId="79BBA48C" w14:textId="1F9ECB97" w:rsidR="00A42FAE" w:rsidRDefault="00A42FAE" w:rsidP="00A42FAE">
      <w:pPr>
        <w:pStyle w:val="NormalWeb"/>
        <w:spacing w:before="0" w:beforeAutospacing="0" w:after="0" w:afterAutospacing="0"/>
      </w:pPr>
    </w:p>
    <w:p w14:paraId="29F530C8" w14:textId="48F4ABDA" w:rsidR="00DB7C3E" w:rsidRDefault="00DB7C3E" w:rsidP="00A42FAE">
      <w:pPr>
        <w:pStyle w:val="NormalWeb"/>
        <w:spacing w:before="0" w:beforeAutospacing="0" w:after="0" w:afterAutospacing="0"/>
      </w:pPr>
      <w:r w:rsidRPr="00DB7C3E">
        <w:t>ERDC Group Ltd. v Brunel University [2006] EWHC 687</w:t>
      </w:r>
    </w:p>
    <w:p w14:paraId="4C11849B" w14:textId="30509609" w:rsidR="00A42FAE" w:rsidRDefault="00A42FAE" w:rsidP="00A42FAE">
      <w:pPr>
        <w:pStyle w:val="NormalWeb"/>
        <w:spacing w:before="0" w:beforeAutospacing="0" w:after="0" w:afterAutospacing="0"/>
      </w:pPr>
    </w:p>
    <w:p w14:paraId="15724B0D" w14:textId="77777777" w:rsidR="009F21E8" w:rsidRDefault="009F21E8" w:rsidP="00A42FAE">
      <w:pPr>
        <w:pStyle w:val="NormalWeb"/>
        <w:spacing w:before="0" w:beforeAutospacing="0" w:after="0" w:afterAutospacing="0"/>
      </w:pPr>
      <w:proofErr w:type="spellStart"/>
      <w:r w:rsidRPr="009F21E8">
        <w:t>Triefus</w:t>
      </w:r>
      <w:proofErr w:type="spellEnd"/>
      <w:r w:rsidRPr="009F21E8">
        <w:t xml:space="preserve"> &amp;Co. Ltd. v. Post Office [1957] 2 Q.B. 352</w:t>
      </w:r>
    </w:p>
    <w:p w14:paraId="48E76A0B" w14:textId="77777777" w:rsidR="009F21E8" w:rsidRDefault="009F21E8" w:rsidP="00A42FAE">
      <w:pPr>
        <w:pStyle w:val="NormalWeb"/>
        <w:spacing w:before="0" w:beforeAutospacing="0" w:after="0" w:afterAutospacing="0"/>
      </w:pPr>
    </w:p>
    <w:p w14:paraId="4CD5F7F4" w14:textId="5CB5E38C" w:rsidR="007A26F5" w:rsidRPr="005D7C9D" w:rsidRDefault="007A26F5" w:rsidP="00A42FAE">
      <w:pPr>
        <w:pStyle w:val="NormalWeb"/>
        <w:spacing w:before="0" w:beforeAutospacing="0" w:after="0" w:afterAutospacing="0"/>
        <w:rPr>
          <w:lang w:val="en-GB"/>
        </w:rPr>
      </w:pPr>
      <w:r w:rsidRPr="005D7C9D">
        <w:rPr>
          <w:lang w:val="en-GB"/>
        </w:rPr>
        <w:t>Robinson v HM Customs &amp; Excise [2000]</w:t>
      </w:r>
    </w:p>
    <w:p w14:paraId="0E8375FF" w14:textId="77777777" w:rsidR="00A42FAE" w:rsidRPr="005D7C9D" w:rsidRDefault="00A42FAE" w:rsidP="00A42FAE">
      <w:pPr>
        <w:pStyle w:val="NormalWeb"/>
        <w:spacing w:before="0" w:beforeAutospacing="0" w:after="0" w:afterAutospacing="0"/>
      </w:pPr>
    </w:p>
    <w:p w14:paraId="3ACEDE4F" w14:textId="7B1957A2" w:rsidR="00801FAA" w:rsidRPr="005D7C9D" w:rsidRDefault="00801FAA" w:rsidP="00A42FAE">
      <w:pPr>
        <w:pStyle w:val="NormalWeb"/>
        <w:spacing w:before="0" w:beforeAutospacing="0" w:after="0" w:afterAutospacing="0"/>
        <w:rPr>
          <w:lang w:val="en-GB"/>
        </w:rPr>
      </w:pPr>
      <w:r w:rsidRPr="005D7C9D">
        <w:rPr>
          <w:lang w:val="en-GB"/>
        </w:rPr>
        <w:t>Willmore v South Eastern Electricity Board [1957]</w:t>
      </w:r>
    </w:p>
    <w:p w14:paraId="1643D29F" w14:textId="77777777" w:rsidR="00A42FAE" w:rsidRPr="005D7C9D" w:rsidRDefault="00A42FAE" w:rsidP="00A42FAE">
      <w:pPr>
        <w:pStyle w:val="NormalWeb"/>
        <w:spacing w:before="0" w:beforeAutospacing="0" w:after="0" w:afterAutospacing="0"/>
        <w:rPr>
          <w:lang w:val="en-GB"/>
        </w:rPr>
      </w:pPr>
    </w:p>
    <w:p w14:paraId="72CB44BF" w14:textId="72373C81" w:rsidR="00A42FAE" w:rsidRDefault="007D1D39" w:rsidP="00A42FAE">
      <w:pPr>
        <w:pStyle w:val="NormalWeb"/>
        <w:spacing w:before="0" w:beforeAutospacing="0" w:after="0" w:afterAutospacing="0"/>
        <w:rPr>
          <w:lang w:val="en-GB"/>
        </w:rPr>
      </w:pPr>
      <w:r w:rsidRPr="007D1D39">
        <w:rPr>
          <w:lang w:val="en-GB"/>
        </w:rPr>
        <w:t>Edwards v Skyways [1964] 1 WLR 349</w:t>
      </w:r>
    </w:p>
    <w:p w14:paraId="4C190D49" w14:textId="77777777" w:rsidR="007D1D39" w:rsidRPr="005D7C9D" w:rsidRDefault="007D1D39" w:rsidP="00A42FAE">
      <w:pPr>
        <w:pStyle w:val="NormalWeb"/>
        <w:spacing w:before="0" w:beforeAutospacing="0" w:after="0" w:afterAutospacing="0"/>
        <w:rPr>
          <w:lang w:val="en-GB"/>
        </w:rPr>
      </w:pPr>
    </w:p>
    <w:p w14:paraId="556AB868" w14:textId="79AF80EF" w:rsidR="00E61F31" w:rsidRDefault="00801FAA" w:rsidP="00A42FAE">
      <w:pPr>
        <w:pStyle w:val="NormalWeb"/>
        <w:spacing w:before="0" w:beforeAutospacing="0" w:after="0" w:afterAutospacing="0"/>
        <w:rPr>
          <w:lang w:val="en-GB"/>
        </w:rPr>
      </w:pPr>
      <w:r w:rsidRPr="005D7C9D">
        <w:rPr>
          <w:lang w:val="en-GB"/>
        </w:rPr>
        <w:t>Rose &amp; Frank v Crompton Bros [1925]</w:t>
      </w:r>
      <w:r w:rsidR="00F94962">
        <w:rPr>
          <w:lang w:val="en-GB"/>
        </w:rPr>
        <w:t xml:space="preserve"> AC 445</w:t>
      </w:r>
    </w:p>
    <w:p w14:paraId="624648E0" w14:textId="3E8F8091" w:rsidR="00A42FAE" w:rsidRDefault="00A42FAE" w:rsidP="00A42FAE">
      <w:pPr>
        <w:pStyle w:val="NormalWeb"/>
        <w:spacing w:before="0" w:beforeAutospacing="0" w:after="0" w:afterAutospacing="0"/>
        <w:rPr>
          <w:lang w:val="fr-FR"/>
        </w:rPr>
      </w:pPr>
    </w:p>
    <w:p w14:paraId="2244023C" w14:textId="50B7D521" w:rsidR="00007B4A" w:rsidRDefault="00007B4A" w:rsidP="00A42FAE">
      <w:pPr>
        <w:pStyle w:val="NormalWeb"/>
        <w:spacing w:before="0" w:beforeAutospacing="0" w:after="0" w:afterAutospacing="0"/>
        <w:rPr>
          <w:lang w:val="en-GB"/>
        </w:rPr>
      </w:pPr>
      <w:r w:rsidRPr="00007B4A">
        <w:rPr>
          <w:lang w:val="en-GB"/>
        </w:rPr>
        <w:t>Kleinwort Benson Ltd v Malaysian Mining Corporation, [1989] 1 WLR 379</w:t>
      </w:r>
    </w:p>
    <w:p w14:paraId="21BF0108" w14:textId="77777777" w:rsidR="0066522B" w:rsidRPr="00C65C56" w:rsidRDefault="0066522B" w:rsidP="00A42FAE">
      <w:pPr>
        <w:pStyle w:val="NormalWeb"/>
        <w:spacing w:before="0" w:beforeAutospacing="0" w:after="0" w:afterAutospacing="0"/>
        <w:rPr>
          <w:lang w:val="fr-FR"/>
        </w:rPr>
      </w:pPr>
    </w:p>
    <w:p w14:paraId="3CA85CA7" w14:textId="7B2162F8" w:rsidR="00A42FAE" w:rsidRDefault="0066522B" w:rsidP="00A42FAE">
      <w:pPr>
        <w:pStyle w:val="NormalWeb"/>
        <w:spacing w:before="0" w:beforeAutospacing="0" w:after="0" w:afterAutospacing="0"/>
        <w:rPr>
          <w:lang w:val="fr-FR"/>
        </w:rPr>
      </w:pPr>
      <w:r w:rsidRPr="0066522B">
        <w:rPr>
          <w:lang w:val="fr-FR"/>
        </w:rPr>
        <w:t xml:space="preserve">Jones v </w:t>
      </w:r>
      <w:proofErr w:type="spellStart"/>
      <w:r w:rsidRPr="0066522B">
        <w:rPr>
          <w:lang w:val="fr-FR"/>
        </w:rPr>
        <w:t>Padavatton</w:t>
      </w:r>
      <w:proofErr w:type="spellEnd"/>
      <w:r w:rsidRPr="0066522B">
        <w:rPr>
          <w:lang w:val="fr-FR"/>
        </w:rPr>
        <w:t xml:space="preserve"> [1969] 1 WLR 328</w:t>
      </w:r>
    </w:p>
    <w:p w14:paraId="4ADEB54F" w14:textId="77777777" w:rsidR="0066522B" w:rsidRPr="00C65C56" w:rsidRDefault="0066522B" w:rsidP="00A42FAE">
      <w:pPr>
        <w:pStyle w:val="NormalWeb"/>
        <w:spacing w:before="0" w:beforeAutospacing="0" w:after="0" w:afterAutospacing="0"/>
        <w:rPr>
          <w:lang w:val="fr-FR"/>
        </w:rPr>
      </w:pPr>
    </w:p>
    <w:p w14:paraId="4F30B99C" w14:textId="42B686BC" w:rsidR="009E2EB1" w:rsidRPr="009E2EB1" w:rsidRDefault="009E2EB1" w:rsidP="00A42FAE">
      <w:pPr>
        <w:pStyle w:val="NormalWeb"/>
        <w:spacing w:before="0" w:beforeAutospacing="0" w:after="0" w:afterAutospacing="0"/>
        <w:rPr>
          <w:b/>
          <w:bCs/>
          <w:lang w:val="fr-FR"/>
        </w:rPr>
      </w:pPr>
      <w:proofErr w:type="spellStart"/>
      <w:r w:rsidRPr="00622E7C">
        <w:rPr>
          <w:rStyle w:val="Strong"/>
          <w:b w:val="0"/>
          <w:bCs w:val="0"/>
          <w:lang w:val="fr-FR"/>
        </w:rPr>
        <w:t>Simpkins</w:t>
      </w:r>
      <w:proofErr w:type="spellEnd"/>
      <w:r w:rsidRPr="00622E7C">
        <w:rPr>
          <w:rStyle w:val="Strong"/>
          <w:b w:val="0"/>
          <w:bCs w:val="0"/>
          <w:lang w:val="fr-FR"/>
        </w:rPr>
        <w:t xml:space="preserve"> v Pays [1955] 1 WLR 975</w:t>
      </w:r>
    </w:p>
    <w:p w14:paraId="6C26EFC4" w14:textId="77777777" w:rsidR="00A42FAE" w:rsidRPr="00C65C56" w:rsidRDefault="00A42FAE" w:rsidP="00A42FAE">
      <w:pPr>
        <w:pStyle w:val="NormalWeb"/>
        <w:spacing w:before="0" w:beforeAutospacing="0" w:after="0" w:afterAutospacing="0"/>
        <w:rPr>
          <w:lang w:val="fr-FR"/>
        </w:rPr>
      </w:pPr>
    </w:p>
    <w:p w14:paraId="4D418626" w14:textId="26B24CA4" w:rsidR="005C2085" w:rsidRPr="005D7C9D" w:rsidRDefault="005C2085" w:rsidP="00A42FAE">
      <w:pPr>
        <w:pStyle w:val="NormalWeb"/>
        <w:spacing w:before="0" w:beforeAutospacing="0" w:after="0" w:afterAutospacing="0"/>
        <w:rPr>
          <w:rStyle w:val="Strong"/>
          <w:b w:val="0"/>
          <w:bCs w:val="0"/>
        </w:rPr>
      </w:pPr>
      <w:r w:rsidRPr="005D7C9D">
        <w:rPr>
          <w:rStyle w:val="Strong"/>
          <w:b w:val="0"/>
          <w:bCs w:val="0"/>
        </w:rPr>
        <w:t xml:space="preserve">Coward v </w:t>
      </w:r>
      <w:r w:rsidR="00707FDA" w:rsidRPr="005D7C9D">
        <w:rPr>
          <w:rStyle w:val="Strong"/>
          <w:b w:val="0"/>
          <w:bCs w:val="0"/>
        </w:rPr>
        <w:t>MIB</w:t>
      </w:r>
      <w:r w:rsidRPr="005D7C9D">
        <w:rPr>
          <w:rStyle w:val="Strong"/>
          <w:b w:val="0"/>
          <w:bCs w:val="0"/>
        </w:rPr>
        <w:t xml:space="preserve"> [1963] 1 QB 259</w:t>
      </w:r>
    </w:p>
    <w:p w14:paraId="2132FB1C" w14:textId="77777777" w:rsidR="00A42FAE" w:rsidRPr="005D7C9D" w:rsidRDefault="00A42FAE" w:rsidP="00A42FAE">
      <w:pPr>
        <w:pStyle w:val="NormalWeb"/>
        <w:spacing w:before="0" w:beforeAutospacing="0" w:after="0" w:afterAutospacing="0"/>
        <w:rPr>
          <w:b/>
          <w:bCs/>
        </w:rPr>
      </w:pPr>
    </w:p>
    <w:p w14:paraId="5526D22D" w14:textId="132FAAA6" w:rsidR="00A42FAE" w:rsidRPr="005D7C9D" w:rsidRDefault="009856DF" w:rsidP="00A42FAE">
      <w:pPr>
        <w:spacing w:after="0" w:line="240" w:lineRule="auto"/>
        <w:jc w:val="both"/>
        <w:rPr>
          <w:rStyle w:val="apple-converted-space"/>
          <w:rFonts w:ascii="Times New Roman" w:hAnsi="Times New Roman" w:cs="Times New Roman"/>
          <w:sz w:val="24"/>
          <w:szCs w:val="24"/>
        </w:rPr>
      </w:pPr>
      <w:r w:rsidRPr="005D7C9D">
        <w:rPr>
          <w:rStyle w:val="apple-converted-space"/>
          <w:rFonts w:ascii="Times New Roman" w:hAnsi="Times New Roman" w:cs="Times New Roman"/>
          <w:sz w:val="24"/>
          <w:szCs w:val="24"/>
        </w:rPr>
        <w:t xml:space="preserve">Albert v </w:t>
      </w:r>
      <w:r w:rsidR="00707FDA" w:rsidRPr="005D7C9D">
        <w:rPr>
          <w:rStyle w:val="apple-converted-space"/>
          <w:rFonts w:ascii="Times New Roman" w:hAnsi="Times New Roman" w:cs="Times New Roman"/>
          <w:sz w:val="24"/>
          <w:szCs w:val="24"/>
        </w:rPr>
        <w:t>MIB</w:t>
      </w:r>
      <w:r w:rsidRPr="005D7C9D">
        <w:rPr>
          <w:rStyle w:val="apple-converted-space"/>
          <w:rFonts w:ascii="Times New Roman" w:hAnsi="Times New Roman" w:cs="Times New Roman"/>
          <w:sz w:val="24"/>
          <w:szCs w:val="24"/>
        </w:rPr>
        <w:t xml:space="preserve"> [1971] 3 WLR 291</w:t>
      </w:r>
    </w:p>
    <w:p w14:paraId="6E17AE64" w14:textId="77777777" w:rsidR="00A42FAE" w:rsidRPr="005D7C9D" w:rsidRDefault="00A42FAE" w:rsidP="00A42FAE">
      <w:pPr>
        <w:spacing w:after="0" w:line="240" w:lineRule="auto"/>
        <w:jc w:val="both"/>
        <w:rPr>
          <w:rStyle w:val="apple-converted-space"/>
          <w:rFonts w:ascii="Times New Roman" w:hAnsi="Times New Roman" w:cs="Times New Roman"/>
          <w:sz w:val="24"/>
          <w:szCs w:val="24"/>
        </w:rPr>
      </w:pPr>
    </w:p>
    <w:p w14:paraId="2390D5F8" w14:textId="0BABD43B" w:rsidR="00CD1D0F" w:rsidRPr="005D7C9D" w:rsidRDefault="00CD1D0F" w:rsidP="00A42FAE">
      <w:pPr>
        <w:spacing w:after="0" w:line="240" w:lineRule="auto"/>
        <w:jc w:val="both"/>
        <w:rPr>
          <w:rStyle w:val="Strong"/>
          <w:rFonts w:ascii="Times New Roman" w:hAnsi="Times New Roman" w:cs="Times New Roman"/>
          <w:b w:val="0"/>
          <w:bCs w:val="0"/>
          <w:sz w:val="24"/>
          <w:szCs w:val="24"/>
        </w:rPr>
      </w:pPr>
      <w:r w:rsidRPr="005D7C9D">
        <w:rPr>
          <w:rStyle w:val="Strong"/>
          <w:rFonts w:ascii="Times New Roman" w:hAnsi="Times New Roman" w:cs="Times New Roman"/>
          <w:b w:val="0"/>
          <w:bCs w:val="0"/>
          <w:sz w:val="24"/>
          <w:szCs w:val="24"/>
        </w:rPr>
        <w:t xml:space="preserve">McGowan v Radio Buxton </w:t>
      </w:r>
      <w:r w:rsidR="003F35EB" w:rsidRPr="005D7C9D">
        <w:rPr>
          <w:rStyle w:val="Strong"/>
          <w:rFonts w:ascii="Times New Roman" w:hAnsi="Times New Roman" w:cs="Times New Roman"/>
          <w:b w:val="0"/>
          <w:bCs w:val="0"/>
          <w:sz w:val="24"/>
          <w:szCs w:val="24"/>
        </w:rPr>
        <w:t>[</w:t>
      </w:r>
      <w:r w:rsidRPr="005D7C9D">
        <w:rPr>
          <w:rStyle w:val="Strong"/>
          <w:rFonts w:ascii="Times New Roman" w:hAnsi="Times New Roman" w:cs="Times New Roman"/>
          <w:b w:val="0"/>
          <w:bCs w:val="0"/>
          <w:sz w:val="24"/>
          <w:szCs w:val="24"/>
        </w:rPr>
        <w:t>2001</w:t>
      </w:r>
      <w:r w:rsidR="003F35EB" w:rsidRPr="005D7C9D">
        <w:rPr>
          <w:rStyle w:val="Strong"/>
          <w:rFonts w:ascii="Times New Roman" w:hAnsi="Times New Roman" w:cs="Times New Roman"/>
          <w:b w:val="0"/>
          <w:bCs w:val="0"/>
          <w:sz w:val="24"/>
          <w:szCs w:val="24"/>
        </w:rPr>
        <w:t>]</w:t>
      </w:r>
    </w:p>
    <w:p w14:paraId="59F98B16" w14:textId="77777777" w:rsidR="00A42FAE" w:rsidRPr="005D7C9D" w:rsidRDefault="00A42FAE" w:rsidP="00A42FAE">
      <w:pPr>
        <w:spacing w:after="0" w:line="240" w:lineRule="auto"/>
        <w:jc w:val="both"/>
        <w:rPr>
          <w:rStyle w:val="Strong"/>
          <w:rFonts w:ascii="Times New Roman" w:hAnsi="Times New Roman" w:cs="Times New Roman"/>
          <w:b w:val="0"/>
          <w:bCs w:val="0"/>
          <w:sz w:val="24"/>
          <w:szCs w:val="24"/>
        </w:rPr>
      </w:pPr>
    </w:p>
    <w:p w14:paraId="6F3D3701" w14:textId="60C9D41C" w:rsidR="009856DF" w:rsidRPr="007F0707" w:rsidRDefault="00EB1FBE" w:rsidP="007F0707">
      <w:pPr>
        <w:spacing w:after="0" w:line="240" w:lineRule="auto"/>
        <w:jc w:val="both"/>
        <w:rPr>
          <w:rFonts w:ascii="Times New Roman" w:hAnsi="Times New Roman" w:cs="Times New Roman"/>
          <w:b/>
          <w:bCs/>
          <w:sz w:val="24"/>
          <w:szCs w:val="24"/>
        </w:rPr>
      </w:pPr>
      <w:r w:rsidRPr="005D7C9D">
        <w:rPr>
          <w:rStyle w:val="Strong"/>
          <w:rFonts w:ascii="Times New Roman" w:hAnsi="Times New Roman" w:cs="Times New Roman"/>
          <w:b w:val="0"/>
          <w:bCs w:val="0"/>
          <w:sz w:val="24"/>
          <w:szCs w:val="24"/>
        </w:rPr>
        <w:t xml:space="preserve">Jones v </w:t>
      </w:r>
      <w:proofErr w:type="spellStart"/>
      <w:r w:rsidRPr="005D7C9D">
        <w:rPr>
          <w:rStyle w:val="Strong"/>
          <w:rFonts w:ascii="Times New Roman" w:hAnsi="Times New Roman" w:cs="Times New Roman"/>
          <w:b w:val="0"/>
          <w:bCs w:val="0"/>
          <w:sz w:val="24"/>
          <w:szCs w:val="24"/>
        </w:rPr>
        <w:t>Vernons</w:t>
      </w:r>
      <w:proofErr w:type="spellEnd"/>
      <w:r w:rsidRPr="005D7C9D">
        <w:rPr>
          <w:rStyle w:val="Strong"/>
          <w:rFonts w:ascii="Times New Roman" w:hAnsi="Times New Roman" w:cs="Times New Roman"/>
          <w:b w:val="0"/>
          <w:bCs w:val="0"/>
          <w:sz w:val="24"/>
          <w:szCs w:val="24"/>
        </w:rPr>
        <w:t>’ Pools Ltd, (1938) 2 All ER 626</w:t>
      </w:r>
    </w:p>
    <w:sectPr w:rsidR="009856DF" w:rsidRPr="007F070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41910" w14:textId="77777777" w:rsidR="0009312F" w:rsidRDefault="0009312F" w:rsidP="007E73EB">
      <w:pPr>
        <w:spacing w:after="0" w:line="240" w:lineRule="auto"/>
      </w:pPr>
      <w:r>
        <w:separator/>
      </w:r>
    </w:p>
  </w:endnote>
  <w:endnote w:type="continuationSeparator" w:id="0">
    <w:p w14:paraId="7ECAED68" w14:textId="77777777" w:rsidR="0009312F" w:rsidRDefault="0009312F" w:rsidP="007E7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5D150" w14:textId="77777777" w:rsidR="007E73EB" w:rsidRDefault="007E7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E7F0D" w14:textId="77777777" w:rsidR="0009312F" w:rsidRDefault="0009312F" w:rsidP="007E73EB">
      <w:pPr>
        <w:spacing w:after="0" w:line="240" w:lineRule="auto"/>
      </w:pPr>
      <w:r>
        <w:separator/>
      </w:r>
    </w:p>
  </w:footnote>
  <w:footnote w:type="continuationSeparator" w:id="0">
    <w:p w14:paraId="72B3AAD8" w14:textId="77777777" w:rsidR="0009312F" w:rsidRDefault="0009312F" w:rsidP="007E73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A3B4E"/>
    <w:rsid w:val="000011AC"/>
    <w:rsid w:val="00007B4A"/>
    <w:rsid w:val="00013768"/>
    <w:rsid w:val="00014E3B"/>
    <w:rsid w:val="0002303F"/>
    <w:rsid w:val="00031B35"/>
    <w:rsid w:val="00033213"/>
    <w:rsid w:val="00035B04"/>
    <w:rsid w:val="000409E9"/>
    <w:rsid w:val="00041516"/>
    <w:rsid w:val="000458FF"/>
    <w:rsid w:val="00061B32"/>
    <w:rsid w:val="00065996"/>
    <w:rsid w:val="00066DEC"/>
    <w:rsid w:val="0007161E"/>
    <w:rsid w:val="000740E2"/>
    <w:rsid w:val="00074583"/>
    <w:rsid w:val="0007516A"/>
    <w:rsid w:val="0007542B"/>
    <w:rsid w:val="00077255"/>
    <w:rsid w:val="00082046"/>
    <w:rsid w:val="00082BD5"/>
    <w:rsid w:val="00083CF0"/>
    <w:rsid w:val="00087AE5"/>
    <w:rsid w:val="00091F10"/>
    <w:rsid w:val="0009312F"/>
    <w:rsid w:val="00094D12"/>
    <w:rsid w:val="000A1CC1"/>
    <w:rsid w:val="000A1D75"/>
    <w:rsid w:val="000A22BD"/>
    <w:rsid w:val="000A5C67"/>
    <w:rsid w:val="000B44BD"/>
    <w:rsid w:val="000D5916"/>
    <w:rsid w:val="000E7AA7"/>
    <w:rsid w:val="000F3D6B"/>
    <w:rsid w:val="000F4030"/>
    <w:rsid w:val="00104B1A"/>
    <w:rsid w:val="001105B8"/>
    <w:rsid w:val="001237A9"/>
    <w:rsid w:val="0013483D"/>
    <w:rsid w:val="00134C43"/>
    <w:rsid w:val="001368BE"/>
    <w:rsid w:val="00136BAE"/>
    <w:rsid w:val="001434E8"/>
    <w:rsid w:val="0015058E"/>
    <w:rsid w:val="00156848"/>
    <w:rsid w:val="00164D39"/>
    <w:rsid w:val="00165ABE"/>
    <w:rsid w:val="00167766"/>
    <w:rsid w:val="00177EFD"/>
    <w:rsid w:val="00185BE9"/>
    <w:rsid w:val="00187C15"/>
    <w:rsid w:val="0019303E"/>
    <w:rsid w:val="00194598"/>
    <w:rsid w:val="001C3D9B"/>
    <w:rsid w:val="001D142A"/>
    <w:rsid w:val="001D2591"/>
    <w:rsid w:val="001D3AA5"/>
    <w:rsid w:val="001D5E06"/>
    <w:rsid w:val="001E0039"/>
    <w:rsid w:val="001E3D4B"/>
    <w:rsid w:val="001F5D1C"/>
    <w:rsid w:val="00200804"/>
    <w:rsid w:val="00206216"/>
    <w:rsid w:val="002105C6"/>
    <w:rsid w:val="00214AC1"/>
    <w:rsid w:val="00231F09"/>
    <w:rsid w:val="00233C71"/>
    <w:rsid w:val="00240365"/>
    <w:rsid w:val="002407C6"/>
    <w:rsid w:val="00241F5F"/>
    <w:rsid w:val="00250E8B"/>
    <w:rsid w:val="00255D51"/>
    <w:rsid w:val="00263937"/>
    <w:rsid w:val="002708E3"/>
    <w:rsid w:val="0028245C"/>
    <w:rsid w:val="002827BE"/>
    <w:rsid w:val="00284646"/>
    <w:rsid w:val="002850EC"/>
    <w:rsid w:val="00290802"/>
    <w:rsid w:val="00292C39"/>
    <w:rsid w:val="0029346F"/>
    <w:rsid w:val="002955A2"/>
    <w:rsid w:val="00296D0C"/>
    <w:rsid w:val="002B08B2"/>
    <w:rsid w:val="002D45F6"/>
    <w:rsid w:val="002E5D68"/>
    <w:rsid w:val="002F6E8C"/>
    <w:rsid w:val="00304A99"/>
    <w:rsid w:val="00306795"/>
    <w:rsid w:val="00330FEF"/>
    <w:rsid w:val="0034696A"/>
    <w:rsid w:val="003478C4"/>
    <w:rsid w:val="00350BC6"/>
    <w:rsid w:val="00352229"/>
    <w:rsid w:val="00352A13"/>
    <w:rsid w:val="0036653C"/>
    <w:rsid w:val="00381E6C"/>
    <w:rsid w:val="003A16EE"/>
    <w:rsid w:val="003A3145"/>
    <w:rsid w:val="003A6D08"/>
    <w:rsid w:val="003A7A8D"/>
    <w:rsid w:val="003C0F1E"/>
    <w:rsid w:val="003C1631"/>
    <w:rsid w:val="003C5D9C"/>
    <w:rsid w:val="003C7449"/>
    <w:rsid w:val="003D51AB"/>
    <w:rsid w:val="003E19CE"/>
    <w:rsid w:val="003E7842"/>
    <w:rsid w:val="003F0289"/>
    <w:rsid w:val="003F0AEA"/>
    <w:rsid w:val="003F1450"/>
    <w:rsid w:val="003F2E44"/>
    <w:rsid w:val="003F35EB"/>
    <w:rsid w:val="003F3C0E"/>
    <w:rsid w:val="00401DAE"/>
    <w:rsid w:val="00402CD7"/>
    <w:rsid w:val="00403FDA"/>
    <w:rsid w:val="00405BBD"/>
    <w:rsid w:val="004064B9"/>
    <w:rsid w:val="00406A58"/>
    <w:rsid w:val="0042782E"/>
    <w:rsid w:val="00427837"/>
    <w:rsid w:val="00430D66"/>
    <w:rsid w:val="004351B2"/>
    <w:rsid w:val="004368E9"/>
    <w:rsid w:val="00437FD1"/>
    <w:rsid w:val="00441C76"/>
    <w:rsid w:val="004504BC"/>
    <w:rsid w:val="00452F21"/>
    <w:rsid w:val="00461CE7"/>
    <w:rsid w:val="004647CB"/>
    <w:rsid w:val="00465CB6"/>
    <w:rsid w:val="00465F9E"/>
    <w:rsid w:val="00472405"/>
    <w:rsid w:val="00485B5C"/>
    <w:rsid w:val="00487B05"/>
    <w:rsid w:val="00490D94"/>
    <w:rsid w:val="004974BB"/>
    <w:rsid w:val="004A048E"/>
    <w:rsid w:val="004A57D5"/>
    <w:rsid w:val="004B042A"/>
    <w:rsid w:val="004B19B8"/>
    <w:rsid w:val="004B7666"/>
    <w:rsid w:val="004D0B05"/>
    <w:rsid w:val="004D7F73"/>
    <w:rsid w:val="004E039A"/>
    <w:rsid w:val="004E074A"/>
    <w:rsid w:val="004F2282"/>
    <w:rsid w:val="004F3C69"/>
    <w:rsid w:val="004F459B"/>
    <w:rsid w:val="004F47F6"/>
    <w:rsid w:val="00503879"/>
    <w:rsid w:val="0051049F"/>
    <w:rsid w:val="00515111"/>
    <w:rsid w:val="00532FDF"/>
    <w:rsid w:val="00534706"/>
    <w:rsid w:val="00535C8E"/>
    <w:rsid w:val="00541177"/>
    <w:rsid w:val="005420D8"/>
    <w:rsid w:val="0054282E"/>
    <w:rsid w:val="00555877"/>
    <w:rsid w:val="00560803"/>
    <w:rsid w:val="00561688"/>
    <w:rsid w:val="00564B44"/>
    <w:rsid w:val="00577785"/>
    <w:rsid w:val="0058249D"/>
    <w:rsid w:val="00585198"/>
    <w:rsid w:val="00590209"/>
    <w:rsid w:val="005A5B31"/>
    <w:rsid w:val="005B1431"/>
    <w:rsid w:val="005B3092"/>
    <w:rsid w:val="005B7808"/>
    <w:rsid w:val="005B7A3F"/>
    <w:rsid w:val="005C1E5D"/>
    <w:rsid w:val="005C2085"/>
    <w:rsid w:val="005D06B8"/>
    <w:rsid w:val="005D7C9D"/>
    <w:rsid w:val="005E279E"/>
    <w:rsid w:val="005E7855"/>
    <w:rsid w:val="005E7D8A"/>
    <w:rsid w:val="005F181A"/>
    <w:rsid w:val="005F2989"/>
    <w:rsid w:val="006023EF"/>
    <w:rsid w:val="006227D5"/>
    <w:rsid w:val="00622E7C"/>
    <w:rsid w:val="00631019"/>
    <w:rsid w:val="00632820"/>
    <w:rsid w:val="006352AA"/>
    <w:rsid w:val="00640476"/>
    <w:rsid w:val="0065007A"/>
    <w:rsid w:val="0066132C"/>
    <w:rsid w:val="00662046"/>
    <w:rsid w:val="00662DA3"/>
    <w:rsid w:val="0066522B"/>
    <w:rsid w:val="0067320F"/>
    <w:rsid w:val="006754EF"/>
    <w:rsid w:val="00680040"/>
    <w:rsid w:val="006922D9"/>
    <w:rsid w:val="00692D24"/>
    <w:rsid w:val="00694A24"/>
    <w:rsid w:val="00697067"/>
    <w:rsid w:val="00697CB0"/>
    <w:rsid w:val="006A21C6"/>
    <w:rsid w:val="006A3B4E"/>
    <w:rsid w:val="006A52EC"/>
    <w:rsid w:val="006A742E"/>
    <w:rsid w:val="006A7B4A"/>
    <w:rsid w:val="006B7408"/>
    <w:rsid w:val="006C245B"/>
    <w:rsid w:val="006D657D"/>
    <w:rsid w:val="006E6B9A"/>
    <w:rsid w:val="006E7234"/>
    <w:rsid w:val="006F1E6F"/>
    <w:rsid w:val="00701ACA"/>
    <w:rsid w:val="00705C8B"/>
    <w:rsid w:val="00707FDA"/>
    <w:rsid w:val="007230D6"/>
    <w:rsid w:val="00724138"/>
    <w:rsid w:val="007343FA"/>
    <w:rsid w:val="0075244B"/>
    <w:rsid w:val="00754DF1"/>
    <w:rsid w:val="00765FE4"/>
    <w:rsid w:val="007753B8"/>
    <w:rsid w:val="00776C6E"/>
    <w:rsid w:val="007A26F5"/>
    <w:rsid w:val="007A4374"/>
    <w:rsid w:val="007C0549"/>
    <w:rsid w:val="007C239F"/>
    <w:rsid w:val="007C26AA"/>
    <w:rsid w:val="007C4727"/>
    <w:rsid w:val="007C588F"/>
    <w:rsid w:val="007D1D39"/>
    <w:rsid w:val="007D3AAA"/>
    <w:rsid w:val="007E73EB"/>
    <w:rsid w:val="007F0707"/>
    <w:rsid w:val="007F3C17"/>
    <w:rsid w:val="00801632"/>
    <w:rsid w:val="00801F88"/>
    <w:rsid w:val="00801FAA"/>
    <w:rsid w:val="00802007"/>
    <w:rsid w:val="008023E6"/>
    <w:rsid w:val="008049A9"/>
    <w:rsid w:val="0081205A"/>
    <w:rsid w:val="0081264D"/>
    <w:rsid w:val="008224F0"/>
    <w:rsid w:val="00830AAD"/>
    <w:rsid w:val="0083668E"/>
    <w:rsid w:val="00846DC6"/>
    <w:rsid w:val="00862E98"/>
    <w:rsid w:val="00872E3D"/>
    <w:rsid w:val="00883177"/>
    <w:rsid w:val="00885436"/>
    <w:rsid w:val="00886B10"/>
    <w:rsid w:val="00891F0D"/>
    <w:rsid w:val="00893132"/>
    <w:rsid w:val="00896489"/>
    <w:rsid w:val="00896E0D"/>
    <w:rsid w:val="00897272"/>
    <w:rsid w:val="008A22CA"/>
    <w:rsid w:val="008A65A3"/>
    <w:rsid w:val="008B05CC"/>
    <w:rsid w:val="008B442D"/>
    <w:rsid w:val="008C153E"/>
    <w:rsid w:val="008C5B36"/>
    <w:rsid w:val="008D2B1D"/>
    <w:rsid w:val="008E1FF8"/>
    <w:rsid w:val="008E3CA2"/>
    <w:rsid w:val="008F2472"/>
    <w:rsid w:val="008F5103"/>
    <w:rsid w:val="008F7A17"/>
    <w:rsid w:val="00904FB7"/>
    <w:rsid w:val="00907E6D"/>
    <w:rsid w:val="00910CBC"/>
    <w:rsid w:val="009135BE"/>
    <w:rsid w:val="00914BC6"/>
    <w:rsid w:val="00932DFE"/>
    <w:rsid w:val="00936213"/>
    <w:rsid w:val="00941380"/>
    <w:rsid w:val="00946EDB"/>
    <w:rsid w:val="009608F4"/>
    <w:rsid w:val="00966575"/>
    <w:rsid w:val="00977F40"/>
    <w:rsid w:val="009835FE"/>
    <w:rsid w:val="0098474F"/>
    <w:rsid w:val="009856DF"/>
    <w:rsid w:val="00991FF0"/>
    <w:rsid w:val="00992007"/>
    <w:rsid w:val="0099343B"/>
    <w:rsid w:val="009A4A93"/>
    <w:rsid w:val="009B3C4A"/>
    <w:rsid w:val="009B5A2E"/>
    <w:rsid w:val="009B6393"/>
    <w:rsid w:val="009C3180"/>
    <w:rsid w:val="009C4EA2"/>
    <w:rsid w:val="009D065F"/>
    <w:rsid w:val="009D721A"/>
    <w:rsid w:val="009E1609"/>
    <w:rsid w:val="009E1848"/>
    <w:rsid w:val="009E2EB1"/>
    <w:rsid w:val="009E55C9"/>
    <w:rsid w:val="009F0442"/>
    <w:rsid w:val="009F21E8"/>
    <w:rsid w:val="00A079B4"/>
    <w:rsid w:val="00A07F81"/>
    <w:rsid w:val="00A1028D"/>
    <w:rsid w:val="00A11101"/>
    <w:rsid w:val="00A1433D"/>
    <w:rsid w:val="00A1564A"/>
    <w:rsid w:val="00A362EE"/>
    <w:rsid w:val="00A426C5"/>
    <w:rsid w:val="00A42B11"/>
    <w:rsid w:val="00A42FAE"/>
    <w:rsid w:val="00A61EBB"/>
    <w:rsid w:val="00A64837"/>
    <w:rsid w:val="00A759E5"/>
    <w:rsid w:val="00A8051D"/>
    <w:rsid w:val="00A82C1B"/>
    <w:rsid w:val="00A90563"/>
    <w:rsid w:val="00AA1AC5"/>
    <w:rsid w:val="00AA24BE"/>
    <w:rsid w:val="00AB1087"/>
    <w:rsid w:val="00AB39F8"/>
    <w:rsid w:val="00AB3B5B"/>
    <w:rsid w:val="00AC1B1C"/>
    <w:rsid w:val="00AD144D"/>
    <w:rsid w:val="00AD1593"/>
    <w:rsid w:val="00AE4404"/>
    <w:rsid w:val="00AE5C5B"/>
    <w:rsid w:val="00AF0B93"/>
    <w:rsid w:val="00AF126D"/>
    <w:rsid w:val="00AF6242"/>
    <w:rsid w:val="00AF77BF"/>
    <w:rsid w:val="00B01CB6"/>
    <w:rsid w:val="00B047FD"/>
    <w:rsid w:val="00B055A2"/>
    <w:rsid w:val="00B17246"/>
    <w:rsid w:val="00B2134F"/>
    <w:rsid w:val="00B2543D"/>
    <w:rsid w:val="00B33E0C"/>
    <w:rsid w:val="00B40617"/>
    <w:rsid w:val="00B40F1A"/>
    <w:rsid w:val="00B47F5C"/>
    <w:rsid w:val="00B517CE"/>
    <w:rsid w:val="00B56A20"/>
    <w:rsid w:val="00B63C24"/>
    <w:rsid w:val="00B65262"/>
    <w:rsid w:val="00B824A2"/>
    <w:rsid w:val="00B93F73"/>
    <w:rsid w:val="00B93FA3"/>
    <w:rsid w:val="00BA03CC"/>
    <w:rsid w:val="00BB0922"/>
    <w:rsid w:val="00BB20F5"/>
    <w:rsid w:val="00BB2324"/>
    <w:rsid w:val="00BB6B0A"/>
    <w:rsid w:val="00BC551D"/>
    <w:rsid w:val="00BC58CF"/>
    <w:rsid w:val="00BD2258"/>
    <w:rsid w:val="00BE0D1F"/>
    <w:rsid w:val="00BE6398"/>
    <w:rsid w:val="00BF76FE"/>
    <w:rsid w:val="00C01468"/>
    <w:rsid w:val="00C05A68"/>
    <w:rsid w:val="00C102D0"/>
    <w:rsid w:val="00C1610E"/>
    <w:rsid w:val="00C23358"/>
    <w:rsid w:val="00C30D11"/>
    <w:rsid w:val="00C35628"/>
    <w:rsid w:val="00C37F31"/>
    <w:rsid w:val="00C456C3"/>
    <w:rsid w:val="00C529D9"/>
    <w:rsid w:val="00C55D93"/>
    <w:rsid w:val="00C57F0B"/>
    <w:rsid w:val="00C64AA9"/>
    <w:rsid w:val="00C65C56"/>
    <w:rsid w:val="00C717D4"/>
    <w:rsid w:val="00C74913"/>
    <w:rsid w:val="00C97D10"/>
    <w:rsid w:val="00CA338A"/>
    <w:rsid w:val="00CA4EBF"/>
    <w:rsid w:val="00CB3127"/>
    <w:rsid w:val="00CB5ED3"/>
    <w:rsid w:val="00CD1620"/>
    <w:rsid w:val="00CD1D0F"/>
    <w:rsid w:val="00CE5E0E"/>
    <w:rsid w:val="00D00038"/>
    <w:rsid w:val="00D27E40"/>
    <w:rsid w:val="00D449C6"/>
    <w:rsid w:val="00D531E4"/>
    <w:rsid w:val="00D57DE2"/>
    <w:rsid w:val="00D60D72"/>
    <w:rsid w:val="00D62219"/>
    <w:rsid w:val="00D66022"/>
    <w:rsid w:val="00D67858"/>
    <w:rsid w:val="00D703D1"/>
    <w:rsid w:val="00D735AE"/>
    <w:rsid w:val="00D80874"/>
    <w:rsid w:val="00D83E95"/>
    <w:rsid w:val="00D85D5E"/>
    <w:rsid w:val="00D87C46"/>
    <w:rsid w:val="00D92860"/>
    <w:rsid w:val="00D959B1"/>
    <w:rsid w:val="00DA7E18"/>
    <w:rsid w:val="00DB42B8"/>
    <w:rsid w:val="00DB5D68"/>
    <w:rsid w:val="00DB7C3E"/>
    <w:rsid w:val="00DC13FA"/>
    <w:rsid w:val="00DC637C"/>
    <w:rsid w:val="00DD02E4"/>
    <w:rsid w:val="00DD13C1"/>
    <w:rsid w:val="00DD181C"/>
    <w:rsid w:val="00DD48A2"/>
    <w:rsid w:val="00DD743D"/>
    <w:rsid w:val="00DE20D0"/>
    <w:rsid w:val="00DE2147"/>
    <w:rsid w:val="00DF2F88"/>
    <w:rsid w:val="00E00286"/>
    <w:rsid w:val="00E0202C"/>
    <w:rsid w:val="00E138EC"/>
    <w:rsid w:val="00E1520E"/>
    <w:rsid w:val="00E16A24"/>
    <w:rsid w:val="00E41A97"/>
    <w:rsid w:val="00E468BC"/>
    <w:rsid w:val="00E475D5"/>
    <w:rsid w:val="00E47BF0"/>
    <w:rsid w:val="00E503BE"/>
    <w:rsid w:val="00E517EE"/>
    <w:rsid w:val="00E52AFE"/>
    <w:rsid w:val="00E54D5A"/>
    <w:rsid w:val="00E61F31"/>
    <w:rsid w:val="00E62050"/>
    <w:rsid w:val="00E74E10"/>
    <w:rsid w:val="00E8454C"/>
    <w:rsid w:val="00E853E6"/>
    <w:rsid w:val="00E8570C"/>
    <w:rsid w:val="00E87DE1"/>
    <w:rsid w:val="00EA33ED"/>
    <w:rsid w:val="00EB0CAF"/>
    <w:rsid w:val="00EB1FBE"/>
    <w:rsid w:val="00EC5A70"/>
    <w:rsid w:val="00ED193C"/>
    <w:rsid w:val="00ED5AAF"/>
    <w:rsid w:val="00ED6882"/>
    <w:rsid w:val="00ED7171"/>
    <w:rsid w:val="00EE1A57"/>
    <w:rsid w:val="00EF3A61"/>
    <w:rsid w:val="00F021B1"/>
    <w:rsid w:val="00F03068"/>
    <w:rsid w:val="00F12E3B"/>
    <w:rsid w:val="00F14BD6"/>
    <w:rsid w:val="00F17597"/>
    <w:rsid w:val="00F233BC"/>
    <w:rsid w:val="00F233DF"/>
    <w:rsid w:val="00F235B0"/>
    <w:rsid w:val="00F2613E"/>
    <w:rsid w:val="00F27743"/>
    <w:rsid w:val="00F36A13"/>
    <w:rsid w:val="00F42CF4"/>
    <w:rsid w:val="00F44DAA"/>
    <w:rsid w:val="00F57E4C"/>
    <w:rsid w:val="00F64FEE"/>
    <w:rsid w:val="00F708E5"/>
    <w:rsid w:val="00F72FBA"/>
    <w:rsid w:val="00F911D3"/>
    <w:rsid w:val="00F94085"/>
    <w:rsid w:val="00F94962"/>
    <w:rsid w:val="00F94D2E"/>
    <w:rsid w:val="00FC6DAC"/>
    <w:rsid w:val="00FE24F0"/>
    <w:rsid w:val="00FE78D1"/>
    <w:rsid w:val="00FF49E5"/>
    <w:rsid w:val="00FF76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9B706"/>
  <w15:chartTrackingRefBased/>
  <w15:docId w15:val="{5038D7EA-EE0E-4DB1-AE5D-FEE7F4578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8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73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73EB"/>
  </w:style>
  <w:style w:type="paragraph" w:styleId="Footer">
    <w:name w:val="footer"/>
    <w:basedOn w:val="Normal"/>
    <w:link w:val="FooterChar"/>
    <w:uiPriority w:val="99"/>
    <w:unhideWhenUsed/>
    <w:rsid w:val="007E73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73EB"/>
  </w:style>
  <w:style w:type="paragraph" w:styleId="NormalWeb">
    <w:name w:val="Normal (Web)"/>
    <w:basedOn w:val="Normal"/>
    <w:uiPriority w:val="99"/>
    <w:unhideWhenUsed/>
    <w:rsid w:val="00E8570C"/>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Heading1Char">
    <w:name w:val="Heading 1 Char"/>
    <w:basedOn w:val="DefaultParagraphFont"/>
    <w:link w:val="Heading1"/>
    <w:uiPriority w:val="9"/>
    <w:rsid w:val="00E138E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01FAA"/>
    <w:rPr>
      <w:color w:val="0563C1" w:themeColor="hyperlink"/>
      <w:u w:val="single"/>
    </w:rPr>
  </w:style>
  <w:style w:type="character" w:styleId="UnresolvedMention">
    <w:name w:val="Unresolved Mention"/>
    <w:basedOn w:val="DefaultParagraphFont"/>
    <w:uiPriority w:val="99"/>
    <w:semiHidden/>
    <w:unhideWhenUsed/>
    <w:rsid w:val="00801FAA"/>
    <w:rPr>
      <w:color w:val="605E5C"/>
      <w:shd w:val="clear" w:color="auto" w:fill="E1DFDD"/>
    </w:rPr>
  </w:style>
  <w:style w:type="character" w:styleId="Strong">
    <w:name w:val="Strong"/>
    <w:basedOn w:val="DefaultParagraphFont"/>
    <w:uiPriority w:val="22"/>
    <w:qFormat/>
    <w:rsid w:val="00065996"/>
    <w:rPr>
      <w:b/>
      <w:bCs/>
    </w:rPr>
  </w:style>
  <w:style w:type="character" w:styleId="Emphasis">
    <w:name w:val="Emphasis"/>
    <w:basedOn w:val="DefaultParagraphFont"/>
    <w:uiPriority w:val="20"/>
    <w:qFormat/>
    <w:rsid w:val="00065996"/>
    <w:rPr>
      <w:i/>
      <w:iCs/>
    </w:rPr>
  </w:style>
  <w:style w:type="character" w:customStyle="1" w:styleId="apple-converted-space">
    <w:name w:val="apple-converted-space"/>
    <w:basedOn w:val="DefaultParagraphFont"/>
    <w:rsid w:val="00065996"/>
  </w:style>
  <w:style w:type="character" w:customStyle="1" w:styleId="issue-underline">
    <w:name w:val="issue-underline"/>
    <w:basedOn w:val="DefaultParagraphFont"/>
    <w:rsid w:val="006404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75562">
      <w:bodyDiv w:val="1"/>
      <w:marLeft w:val="0"/>
      <w:marRight w:val="0"/>
      <w:marTop w:val="0"/>
      <w:marBottom w:val="0"/>
      <w:divBdr>
        <w:top w:val="none" w:sz="0" w:space="0" w:color="auto"/>
        <w:left w:val="none" w:sz="0" w:space="0" w:color="auto"/>
        <w:bottom w:val="none" w:sz="0" w:space="0" w:color="auto"/>
        <w:right w:val="none" w:sz="0" w:space="0" w:color="auto"/>
      </w:divBdr>
    </w:div>
    <w:div w:id="602686030">
      <w:bodyDiv w:val="1"/>
      <w:marLeft w:val="0"/>
      <w:marRight w:val="0"/>
      <w:marTop w:val="0"/>
      <w:marBottom w:val="0"/>
      <w:divBdr>
        <w:top w:val="none" w:sz="0" w:space="0" w:color="auto"/>
        <w:left w:val="none" w:sz="0" w:space="0" w:color="auto"/>
        <w:bottom w:val="none" w:sz="0" w:space="0" w:color="auto"/>
        <w:right w:val="none" w:sz="0" w:space="0" w:color="auto"/>
      </w:divBdr>
    </w:div>
    <w:div w:id="747581189">
      <w:bodyDiv w:val="1"/>
      <w:marLeft w:val="0"/>
      <w:marRight w:val="0"/>
      <w:marTop w:val="0"/>
      <w:marBottom w:val="0"/>
      <w:divBdr>
        <w:top w:val="none" w:sz="0" w:space="0" w:color="auto"/>
        <w:left w:val="none" w:sz="0" w:space="0" w:color="auto"/>
        <w:bottom w:val="none" w:sz="0" w:space="0" w:color="auto"/>
        <w:right w:val="none" w:sz="0" w:space="0" w:color="auto"/>
      </w:divBdr>
      <w:divsChild>
        <w:div w:id="1970821724">
          <w:marLeft w:val="0"/>
          <w:marRight w:val="0"/>
          <w:marTop w:val="0"/>
          <w:marBottom w:val="0"/>
          <w:divBdr>
            <w:top w:val="none" w:sz="0" w:space="0" w:color="auto"/>
            <w:left w:val="none" w:sz="0" w:space="0" w:color="auto"/>
            <w:bottom w:val="none" w:sz="0" w:space="0" w:color="auto"/>
            <w:right w:val="none" w:sz="0" w:space="0" w:color="auto"/>
          </w:divBdr>
        </w:div>
      </w:divsChild>
    </w:div>
    <w:div w:id="872577937">
      <w:bodyDiv w:val="1"/>
      <w:marLeft w:val="0"/>
      <w:marRight w:val="0"/>
      <w:marTop w:val="0"/>
      <w:marBottom w:val="0"/>
      <w:divBdr>
        <w:top w:val="none" w:sz="0" w:space="0" w:color="auto"/>
        <w:left w:val="none" w:sz="0" w:space="0" w:color="auto"/>
        <w:bottom w:val="none" w:sz="0" w:space="0" w:color="auto"/>
        <w:right w:val="none" w:sz="0" w:space="0" w:color="auto"/>
      </w:divBdr>
    </w:div>
    <w:div w:id="892077906">
      <w:bodyDiv w:val="1"/>
      <w:marLeft w:val="0"/>
      <w:marRight w:val="0"/>
      <w:marTop w:val="0"/>
      <w:marBottom w:val="0"/>
      <w:divBdr>
        <w:top w:val="none" w:sz="0" w:space="0" w:color="auto"/>
        <w:left w:val="none" w:sz="0" w:space="0" w:color="auto"/>
        <w:bottom w:val="none" w:sz="0" w:space="0" w:color="auto"/>
        <w:right w:val="none" w:sz="0" w:space="0" w:color="auto"/>
      </w:divBdr>
      <w:divsChild>
        <w:div w:id="1541236733">
          <w:marLeft w:val="0"/>
          <w:marRight w:val="0"/>
          <w:marTop w:val="0"/>
          <w:marBottom w:val="0"/>
          <w:divBdr>
            <w:top w:val="none" w:sz="0" w:space="0" w:color="auto"/>
            <w:left w:val="none" w:sz="0" w:space="0" w:color="auto"/>
            <w:bottom w:val="none" w:sz="0" w:space="0" w:color="auto"/>
            <w:right w:val="none" w:sz="0" w:space="0" w:color="auto"/>
          </w:divBdr>
        </w:div>
        <w:div w:id="82578344">
          <w:marLeft w:val="0"/>
          <w:marRight w:val="0"/>
          <w:marTop w:val="0"/>
          <w:marBottom w:val="0"/>
          <w:divBdr>
            <w:top w:val="none" w:sz="0" w:space="0" w:color="auto"/>
            <w:left w:val="none" w:sz="0" w:space="0" w:color="auto"/>
            <w:bottom w:val="none" w:sz="0" w:space="0" w:color="auto"/>
            <w:right w:val="none" w:sz="0" w:space="0" w:color="auto"/>
          </w:divBdr>
        </w:div>
      </w:divsChild>
    </w:div>
    <w:div w:id="901209142">
      <w:bodyDiv w:val="1"/>
      <w:marLeft w:val="0"/>
      <w:marRight w:val="0"/>
      <w:marTop w:val="0"/>
      <w:marBottom w:val="0"/>
      <w:divBdr>
        <w:top w:val="none" w:sz="0" w:space="0" w:color="auto"/>
        <w:left w:val="none" w:sz="0" w:space="0" w:color="auto"/>
        <w:bottom w:val="none" w:sz="0" w:space="0" w:color="auto"/>
        <w:right w:val="none" w:sz="0" w:space="0" w:color="auto"/>
      </w:divBdr>
      <w:divsChild>
        <w:div w:id="249777401">
          <w:marLeft w:val="0"/>
          <w:marRight w:val="0"/>
          <w:marTop w:val="0"/>
          <w:marBottom w:val="0"/>
          <w:divBdr>
            <w:top w:val="none" w:sz="0" w:space="0" w:color="auto"/>
            <w:left w:val="none" w:sz="0" w:space="0" w:color="auto"/>
            <w:bottom w:val="none" w:sz="0" w:space="0" w:color="auto"/>
            <w:right w:val="none" w:sz="0" w:space="0" w:color="auto"/>
          </w:divBdr>
        </w:div>
        <w:div w:id="193275961">
          <w:marLeft w:val="0"/>
          <w:marRight w:val="0"/>
          <w:marTop w:val="0"/>
          <w:marBottom w:val="0"/>
          <w:divBdr>
            <w:top w:val="none" w:sz="0" w:space="0" w:color="auto"/>
            <w:left w:val="none" w:sz="0" w:space="0" w:color="auto"/>
            <w:bottom w:val="none" w:sz="0" w:space="0" w:color="auto"/>
            <w:right w:val="none" w:sz="0" w:space="0" w:color="auto"/>
          </w:divBdr>
        </w:div>
      </w:divsChild>
    </w:div>
    <w:div w:id="994838911">
      <w:bodyDiv w:val="1"/>
      <w:marLeft w:val="0"/>
      <w:marRight w:val="0"/>
      <w:marTop w:val="0"/>
      <w:marBottom w:val="0"/>
      <w:divBdr>
        <w:top w:val="none" w:sz="0" w:space="0" w:color="auto"/>
        <w:left w:val="none" w:sz="0" w:space="0" w:color="auto"/>
        <w:bottom w:val="none" w:sz="0" w:space="0" w:color="auto"/>
        <w:right w:val="none" w:sz="0" w:space="0" w:color="auto"/>
      </w:divBdr>
    </w:div>
    <w:div w:id="1003900372">
      <w:bodyDiv w:val="1"/>
      <w:marLeft w:val="0"/>
      <w:marRight w:val="0"/>
      <w:marTop w:val="0"/>
      <w:marBottom w:val="0"/>
      <w:divBdr>
        <w:top w:val="none" w:sz="0" w:space="0" w:color="auto"/>
        <w:left w:val="none" w:sz="0" w:space="0" w:color="auto"/>
        <w:bottom w:val="none" w:sz="0" w:space="0" w:color="auto"/>
        <w:right w:val="none" w:sz="0" w:space="0" w:color="auto"/>
      </w:divBdr>
      <w:divsChild>
        <w:div w:id="151718270">
          <w:marLeft w:val="0"/>
          <w:marRight w:val="0"/>
          <w:marTop w:val="0"/>
          <w:marBottom w:val="0"/>
          <w:divBdr>
            <w:top w:val="none" w:sz="0" w:space="0" w:color="auto"/>
            <w:left w:val="none" w:sz="0" w:space="0" w:color="auto"/>
            <w:bottom w:val="none" w:sz="0" w:space="0" w:color="auto"/>
            <w:right w:val="none" w:sz="0" w:space="0" w:color="auto"/>
          </w:divBdr>
        </w:div>
      </w:divsChild>
    </w:div>
    <w:div w:id="1255284239">
      <w:bodyDiv w:val="1"/>
      <w:marLeft w:val="0"/>
      <w:marRight w:val="0"/>
      <w:marTop w:val="0"/>
      <w:marBottom w:val="0"/>
      <w:divBdr>
        <w:top w:val="none" w:sz="0" w:space="0" w:color="auto"/>
        <w:left w:val="none" w:sz="0" w:space="0" w:color="auto"/>
        <w:bottom w:val="none" w:sz="0" w:space="0" w:color="auto"/>
        <w:right w:val="none" w:sz="0" w:space="0" w:color="auto"/>
      </w:divBdr>
      <w:divsChild>
        <w:div w:id="389161258">
          <w:marLeft w:val="0"/>
          <w:marRight w:val="0"/>
          <w:marTop w:val="0"/>
          <w:marBottom w:val="0"/>
          <w:divBdr>
            <w:top w:val="none" w:sz="0" w:space="0" w:color="auto"/>
            <w:left w:val="none" w:sz="0" w:space="0" w:color="auto"/>
            <w:bottom w:val="none" w:sz="0" w:space="0" w:color="auto"/>
            <w:right w:val="none" w:sz="0" w:space="0" w:color="auto"/>
          </w:divBdr>
        </w:div>
      </w:divsChild>
    </w:div>
    <w:div w:id="1285424008">
      <w:bodyDiv w:val="1"/>
      <w:marLeft w:val="0"/>
      <w:marRight w:val="0"/>
      <w:marTop w:val="0"/>
      <w:marBottom w:val="0"/>
      <w:divBdr>
        <w:top w:val="none" w:sz="0" w:space="0" w:color="auto"/>
        <w:left w:val="none" w:sz="0" w:space="0" w:color="auto"/>
        <w:bottom w:val="none" w:sz="0" w:space="0" w:color="auto"/>
        <w:right w:val="none" w:sz="0" w:space="0" w:color="auto"/>
      </w:divBdr>
      <w:divsChild>
        <w:div w:id="997733161">
          <w:marLeft w:val="0"/>
          <w:marRight w:val="0"/>
          <w:marTop w:val="0"/>
          <w:marBottom w:val="0"/>
          <w:divBdr>
            <w:top w:val="none" w:sz="0" w:space="0" w:color="auto"/>
            <w:left w:val="none" w:sz="0" w:space="0" w:color="auto"/>
            <w:bottom w:val="none" w:sz="0" w:space="0" w:color="auto"/>
            <w:right w:val="none" w:sz="0" w:space="0" w:color="auto"/>
          </w:divBdr>
        </w:div>
      </w:divsChild>
    </w:div>
    <w:div w:id="1334575995">
      <w:bodyDiv w:val="1"/>
      <w:marLeft w:val="0"/>
      <w:marRight w:val="0"/>
      <w:marTop w:val="0"/>
      <w:marBottom w:val="0"/>
      <w:divBdr>
        <w:top w:val="none" w:sz="0" w:space="0" w:color="auto"/>
        <w:left w:val="none" w:sz="0" w:space="0" w:color="auto"/>
        <w:bottom w:val="none" w:sz="0" w:space="0" w:color="auto"/>
        <w:right w:val="none" w:sz="0" w:space="0" w:color="auto"/>
      </w:divBdr>
    </w:div>
    <w:div w:id="1343821256">
      <w:bodyDiv w:val="1"/>
      <w:marLeft w:val="0"/>
      <w:marRight w:val="0"/>
      <w:marTop w:val="0"/>
      <w:marBottom w:val="0"/>
      <w:divBdr>
        <w:top w:val="none" w:sz="0" w:space="0" w:color="auto"/>
        <w:left w:val="none" w:sz="0" w:space="0" w:color="auto"/>
        <w:bottom w:val="none" w:sz="0" w:space="0" w:color="auto"/>
        <w:right w:val="none" w:sz="0" w:space="0" w:color="auto"/>
      </w:divBdr>
    </w:div>
    <w:div w:id="1827477363">
      <w:bodyDiv w:val="1"/>
      <w:marLeft w:val="0"/>
      <w:marRight w:val="0"/>
      <w:marTop w:val="0"/>
      <w:marBottom w:val="0"/>
      <w:divBdr>
        <w:top w:val="none" w:sz="0" w:space="0" w:color="auto"/>
        <w:left w:val="none" w:sz="0" w:space="0" w:color="auto"/>
        <w:bottom w:val="none" w:sz="0" w:space="0" w:color="auto"/>
        <w:right w:val="none" w:sz="0" w:space="0" w:color="auto"/>
      </w:divBdr>
    </w:div>
    <w:div w:id="1911113465">
      <w:bodyDiv w:val="1"/>
      <w:marLeft w:val="0"/>
      <w:marRight w:val="0"/>
      <w:marTop w:val="0"/>
      <w:marBottom w:val="0"/>
      <w:divBdr>
        <w:top w:val="none" w:sz="0" w:space="0" w:color="auto"/>
        <w:left w:val="none" w:sz="0" w:space="0" w:color="auto"/>
        <w:bottom w:val="none" w:sz="0" w:space="0" w:color="auto"/>
        <w:right w:val="none" w:sz="0" w:space="0" w:color="auto"/>
      </w:divBdr>
    </w:div>
    <w:div w:id="1970160386">
      <w:bodyDiv w:val="1"/>
      <w:marLeft w:val="0"/>
      <w:marRight w:val="0"/>
      <w:marTop w:val="0"/>
      <w:marBottom w:val="0"/>
      <w:divBdr>
        <w:top w:val="none" w:sz="0" w:space="0" w:color="auto"/>
        <w:left w:val="none" w:sz="0" w:space="0" w:color="auto"/>
        <w:bottom w:val="none" w:sz="0" w:space="0" w:color="auto"/>
        <w:right w:val="none" w:sz="0" w:space="0" w:color="auto"/>
      </w:divBdr>
    </w:div>
    <w:div w:id="206984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cambridge-law-journal/article/abs/intention-to-create-legal-relations/98C286B38022E9D691AD2815A8CE872B" TargetMode="External"/><Relationship Id="rId13" Type="http://schemas.openxmlformats.org/officeDocument/2006/relationships/hyperlink" Target="https://www.legislation.gov.uk/ukpga/Eliz2/8-9/16/section/204/enacte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einonline-org.abc" TargetMode="External"/><Relationship Id="rId12" Type="http://schemas.openxmlformats.org/officeDocument/2006/relationships/hyperlink" Target="https://www.legislation.gov.uk/ukpga/1992/52/content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legislation.gov.uk/ukpga/1977/5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1982/29" TargetMode="External"/><Relationship Id="rId5" Type="http://schemas.openxmlformats.org/officeDocument/2006/relationships/footnotes" Target="footnotes.xml"/><Relationship Id="rId15" Type="http://schemas.openxmlformats.org/officeDocument/2006/relationships/hyperlink" Target="https://www.legislation.gov.uk/ukpga/2000/36/contents" TargetMode="External"/><Relationship Id="rId10" Type="http://schemas.openxmlformats.org/officeDocument/2006/relationships/hyperlink" Target="https://www.legislation.gov.uk/uksi/2015/102/contents/mad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ukpga/1999/31/contents" TargetMode="External"/><Relationship Id="rId14" Type="http://schemas.openxmlformats.org/officeDocument/2006/relationships/hyperlink" Target="https://www.legislation.gov.uk/ukpga/1992/5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E94DD0-4F8D-4E65-A949-2DCC39BDA47A}">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0</TotalTime>
  <Pages>7</Pages>
  <Words>2797</Words>
  <Characters>15946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92</cp:revision>
  <dcterms:created xsi:type="dcterms:W3CDTF">2023-03-05T20:36:00Z</dcterms:created>
  <dcterms:modified xsi:type="dcterms:W3CDTF">2023-03-08T23:14:00Z</dcterms:modified>
</cp:coreProperties>
</file>