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bookmarkStart w:id="18" w:name="_GoBack"/>
      <w:bookmarkEnd w:id="18"/>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pStyle w:val="2"/>
        <w:widowControl/>
        <w:spacing w:line="480" w:lineRule="auto"/>
        <w:rPr>
          <w:rFonts w:hint="default" w:ascii="Arial" w:hAnsi="Arial" w:cs="Arial"/>
          <w:b/>
          <w:bCs/>
          <w:color w:val="000000"/>
          <w:sz w:val="28"/>
          <w:szCs w:val="28"/>
          <w:lang w:val="en-US"/>
        </w:rPr>
      </w:pPr>
      <w:bookmarkStart w:id="0" w:name="_Toc122732739"/>
      <w:bookmarkStart w:id="1" w:name="_Toc125045622"/>
      <w:r>
        <w:rPr>
          <w:rFonts w:hint="default" w:ascii="Arial" w:hAnsi="Arial" w:cs="Arial"/>
          <w:b/>
          <w:bCs/>
          <w:color w:val="000000"/>
          <w:sz w:val="28"/>
          <w:szCs w:val="28"/>
          <w:lang w:val="en-US"/>
        </w:rPr>
        <w:t>1.0 – Introduction</w:t>
      </w:r>
      <w:bookmarkEnd w:id="0"/>
      <w:bookmarkEnd w:id="1"/>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In recent years, with the accelerated pace of reform and opening up, cooperation between China and Japan has become increasingly frequent in many fields such as politics, economy, and culture, and the exchange and integration of different cultures between China and Japan have become an unstoppable trend.</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Intercultural communication is direct, real-time oral communication between people of different cultural backgrounds using the same language. In other words, when you are dealing with foreigners with different languages and cultures, you should always consider what you need to pay attention to and how to communicate appropriately, in addition to organizing the correct language expressions, due to the influence of cultural customs, ways of thinking, religious interests and other non-verbal communication factors: language and culture are interdependent and influence each other. It can be said that language is a special kind of culture, an important carrier of culture and that culture is deeply permeated by language and writing. So language understanding involves cultural understanding, and at the same time language understanding requires cultural understanding; the higher the level of language understanding, the higher the cultural understanding, and the higher the cultural understanding required. Intercultural communication skills are an important part of language communication skills.</w:t>
      </w:r>
      <w:bookmarkStart w:id="2" w:name="_Toc122732740"/>
      <w:bookmarkStart w:id="3" w:name="_Toc125045623"/>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pStyle w:val="2"/>
        <w:widowControl/>
        <w:spacing w:line="480" w:lineRule="auto"/>
        <w:rPr>
          <w:rFonts w:hint="default" w:ascii="Arial" w:hAnsi="Arial" w:cs="Arial"/>
          <w:b/>
          <w:bCs/>
          <w:color w:val="000000"/>
          <w:sz w:val="28"/>
          <w:szCs w:val="28"/>
          <w:lang w:val="en-US"/>
        </w:rPr>
      </w:pPr>
      <w:r>
        <w:rPr>
          <w:rFonts w:hint="default" w:ascii="Arial" w:hAnsi="Arial" w:cs="Arial"/>
          <w:b/>
          <w:bCs/>
          <w:color w:val="000000"/>
          <w:sz w:val="28"/>
          <w:szCs w:val="28"/>
          <w:lang w:val="en-US"/>
        </w:rPr>
        <w:t>2.0</w:t>
      </w:r>
      <w:bookmarkStart w:id="4" w:name="_Hlk125038675"/>
      <w:r>
        <w:rPr>
          <w:rFonts w:hint="default" w:ascii="Arial" w:hAnsi="Arial" w:cs="Arial"/>
          <w:b/>
          <w:bCs/>
          <w:color w:val="000000"/>
          <w:sz w:val="28"/>
          <w:szCs w:val="28"/>
          <w:lang w:val="en-US"/>
        </w:rPr>
        <w:t xml:space="preserve"> –</w:t>
      </w:r>
      <w:bookmarkEnd w:id="4"/>
      <w:r>
        <w:rPr>
          <w:rFonts w:hint="default" w:ascii="Arial" w:hAnsi="Arial" w:cs="Arial"/>
          <w:b/>
          <w:bCs/>
          <w:color w:val="000000"/>
          <w:sz w:val="28"/>
          <w:szCs w:val="28"/>
          <w:lang w:val="en-US"/>
        </w:rPr>
        <w:t xml:space="preserve"> </w:t>
      </w:r>
      <w:bookmarkEnd w:id="2"/>
      <w:r>
        <w:rPr>
          <w:rFonts w:hint="default" w:ascii="Arial" w:hAnsi="Arial" w:cs="Arial"/>
          <w:b/>
          <w:bCs/>
          <w:color w:val="000000"/>
          <w:sz w:val="28"/>
          <w:szCs w:val="28"/>
          <w:lang w:val="en-US"/>
        </w:rPr>
        <w:t>Communication problem</w:t>
      </w:r>
      <w:bookmarkEnd w:id="3"/>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With the collective at its heart, the Japanese believe that it is a virtue to suppress one's individuality and that people should act according to the will of the people. Megamoto's culture teaches people to integrate and subordinate their wishes to the collective will. The values and spiritual orientation of the Japanese people, shaped by Japanese culture, are collectivist and this is an important way in which they seek harmony in relationships between people. The Japanese have to discuss decisions with other parts and members of the company before making proposals, a very tedious process. If a Japanese decision involves the shop floor where the product is made, then the decision is conceived from the shop floor and fed back up the hierarchy until it is repeatedly discussed and negotiated at the decision-making level of the company, and if the negotiation process negotiates something different from their original goal, then it is likely that the process will be repeated. In a British company, there is a clear division of responsibilities at all levels. As a result, information gathering and decision-making in negotiations are quick and efficient. Generally speaking, British businessmen have little room for bargaining in negotiations, because the terms and conditions they propose are mostly drafted by the company's legal advisers and studied by the board of directors, and the specific executors generally do not have the right to amend the terms and conditions of the contract, and the decision does not involve layers of reporting and discussion. In business negotiations, therefore, the British often complain about the delays and lack of efficiency of their counterparts in other countries, and the people in these countries complain about the lack of patience in the UK. The different cultures here create contrasting styles of decision-making.</w:t>
      </w:r>
    </w:p>
    <w:p>
      <w:pPr>
        <w:pStyle w:val="3"/>
        <w:widowControl/>
        <w:spacing w:line="480" w:lineRule="auto"/>
        <w:rPr>
          <w:rFonts w:hint="default" w:ascii="Arial" w:hAnsi="Arial" w:cs="Arial"/>
          <w:sz w:val="24"/>
          <w:szCs w:val="24"/>
          <w:lang w:val="en-US"/>
        </w:rPr>
      </w:pPr>
      <w:bookmarkStart w:id="5" w:name="_Toc122732741"/>
      <w:bookmarkStart w:id="6" w:name="_Toc125045624"/>
      <w:r>
        <w:rPr>
          <w:rFonts w:hint="default" w:ascii="Arial" w:hAnsi="Arial" w:cs="Arial"/>
          <w:sz w:val="24"/>
          <w:szCs w:val="24"/>
          <w:lang w:val="en-US"/>
        </w:rPr>
        <w:t>2.1 –</w:t>
      </w:r>
      <w:bookmarkEnd w:id="5"/>
      <w:bookmarkEnd w:id="6"/>
      <w:r>
        <w:rPr>
          <w:rFonts w:hint="default" w:ascii="Arial" w:hAnsi="Arial" w:cs="Arial"/>
          <w:sz w:val="24"/>
          <w:szCs w:val="24"/>
          <w:lang w:val="en-US"/>
        </w:rPr>
        <w:t>Culture</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When some barriers arise in language communication, it is often traditionally believed that the communication barriers that arise in the early stages of learning a foreign language are due to misunderstandings arising from poor expressions in the foreign language and that when both parties have good language skills, there should be no more barriers. This is a misconception on our part; having certain knowledge of vocabulary and grammar is not the same as being able to communicate ideas. There are some words in Japanese that do not have the same meaning on the surface as they do in real-life situations, and failure to understand the cultural context of these words can often lead to errors in usage and unnecessary misunderstandings.</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In our actual interactions with Japanese people, we have found that they are more tolerant of foreigners' mistakes in intonation and vocabulary, and grammar, sometimes giving kind corrections or even simply ignoring these linguistic errors. However, it is difficult to accept linguistic errors that are contrary to Japanese cultural values, and once misunderstandings have been created it is difficult to return to a state of unhindered communication.</w:t>
      </w:r>
    </w:p>
    <w:p>
      <w:pPr>
        <w:pStyle w:val="3"/>
        <w:widowControl/>
        <w:spacing w:line="480" w:lineRule="auto"/>
        <w:rPr>
          <w:rFonts w:hint="default" w:ascii="Arial" w:hAnsi="Arial" w:cs="Arial"/>
          <w:sz w:val="24"/>
          <w:szCs w:val="24"/>
          <w:lang w:val="en-US"/>
        </w:rPr>
      </w:pPr>
      <w:bookmarkStart w:id="7" w:name="_Toc125045625"/>
      <w:r>
        <w:rPr>
          <w:rFonts w:hint="default" w:ascii="Arial" w:hAnsi="Arial" w:cs="Arial"/>
          <w:sz w:val="24"/>
          <w:szCs w:val="24"/>
          <w:lang w:val="en-US"/>
        </w:rPr>
        <w:t>2.2</w:t>
      </w:r>
      <w:bookmarkEnd w:id="7"/>
      <w:r>
        <w:rPr>
          <w:rFonts w:hint="default" w:ascii="Arial" w:hAnsi="Arial" w:cs="Arial"/>
          <w:sz w:val="24"/>
          <w:szCs w:val="24"/>
          <w:lang w:val="en-US"/>
        </w:rPr>
        <w:t xml:space="preserve"> COVID-19</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The sudden epidemic has led to a global economic depression and hindered business cooperation. The epidemic has hit the global service and manufacturing industries hard and the disruption and disruption to the global supply chain caused by the epidemic continue to be a thorny issue for foreign traders. It is a necessity to be resourceful in responding to new customer inquiries and the eager greetings of existing customers. Under the epidemic, global supply chain disruptions and disruptions remain a thorny issue for foreign trade people at the moment. It is imperative to be resourceful in responding to new customer inquiries and eager greetings from existing customers at this time. At special times, customers will also be very sensitive when delays in shipments are caused by second-tier suppliers, and if effective communication is not achieved with customers, it is likely to prompt buyers to request direct management of second-tier suppliers. The value of international cooperation is underscored by large-scale infectious diseases, especially those caused by new viruses. Countries at the forefront of outbreaks fight and even sacrifice, often buying a 'golden window of opportunity' for the rest of the world to prevent and control them. Of course, in an era of globalization, viral outbreaks can also exacerbate the spread of "information viruses" of all kinds, and to stop "stigmatization" and irrational panic in times of epidemics, important international organizations, including the World Health Organisation, often play the role of To stop the "stigmatization" and irrational fears of the epidemic, important international organizations, including the World Health Organisation, often play a role in "setting the record straight".</w:t>
      </w:r>
    </w:p>
    <w:p>
      <w:pPr>
        <w:pStyle w:val="2"/>
        <w:widowControl/>
        <w:spacing w:line="480" w:lineRule="auto"/>
        <w:rPr>
          <w:rFonts w:hint="default" w:ascii="Arial" w:hAnsi="Arial" w:cs="Arial"/>
          <w:b/>
          <w:bCs/>
          <w:color w:val="auto"/>
          <w:sz w:val="28"/>
          <w:szCs w:val="28"/>
          <w:lang w:val="en-US"/>
        </w:rPr>
      </w:pPr>
      <w:bookmarkStart w:id="8" w:name="_Toc125045627"/>
      <w:r>
        <w:rPr>
          <w:rFonts w:hint="default" w:ascii="Arial" w:hAnsi="Arial" w:cs="Arial"/>
          <w:b/>
          <w:bCs/>
          <w:color w:val="auto"/>
          <w:sz w:val="28"/>
          <w:szCs w:val="28"/>
          <w:lang w:val="en-US"/>
        </w:rPr>
        <w:t>3.0</w:t>
      </w:r>
      <w:r>
        <w:rPr>
          <w:rFonts w:hint="default" w:ascii="Arial" w:hAnsi="Arial" w:cs="Arial"/>
          <w:b/>
          <w:bCs/>
          <w:color w:val="000000"/>
          <w:sz w:val="28"/>
          <w:szCs w:val="28"/>
          <w:lang w:val="en-US"/>
        </w:rPr>
        <w:t xml:space="preserve"> –</w:t>
      </w:r>
      <w:r>
        <w:rPr>
          <w:rFonts w:hint="default" w:ascii="Arial" w:hAnsi="Arial" w:cs="Arial"/>
          <w:b/>
          <w:bCs/>
          <w:color w:val="auto"/>
          <w:sz w:val="28"/>
          <w:szCs w:val="28"/>
          <w:lang w:val="en-US"/>
        </w:rPr>
        <w:t>Solution</w:t>
      </w:r>
      <w:bookmarkEnd w:id="8"/>
      <w:r>
        <w:rPr>
          <w:rFonts w:hint="default" w:ascii="Arial" w:hAnsi="Arial" w:cs="Arial"/>
          <w:b/>
          <w:bCs/>
          <w:color w:val="auto"/>
          <w:sz w:val="28"/>
          <w:szCs w:val="28"/>
          <w:lang w:val="en-US"/>
        </w:rPr>
        <w:t xml:space="preserve"> </w:t>
      </w:r>
    </w:p>
    <w:p>
      <w:pPr>
        <w:pStyle w:val="3"/>
        <w:widowControl/>
        <w:spacing w:line="480" w:lineRule="auto"/>
        <w:rPr>
          <w:rFonts w:hint="default" w:ascii="Arial" w:hAnsi="Arial" w:cs="Arial"/>
          <w:sz w:val="24"/>
          <w:szCs w:val="24"/>
          <w:lang w:val="en-US"/>
        </w:rPr>
      </w:pPr>
      <w:bookmarkStart w:id="9" w:name="_Toc122732748"/>
      <w:bookmarkStart w:id="10" w:name="_Toc125045628"/>
      <w:r>
        <w:rPr>
          <w:rFonts w:hint="default" w:ascii="Arial" w:hAnsi="Arial" w:cs="Arial"/>
          <w:sz w:val="24"/>
          <w:szCs w:val="24"/>
          <w:lang w:val="en-US"/>
        </w:rPr>
        <w:t>3.1</w:t>
      </w:r>
      <w:bookmarkEnd w:id="9"/>
      <w:r>
        <w:rPr>
          <w:rFonts w:hint="default" w:ascii="Arial" w:hAnsi="Arial" w:cs="Arial"/>
          <w:sz w:val="24"/>
          <w:szCs w:val="24"/>
          <w:lang w:val="en-US"/>
        </w:rPr>
        <w:t xml:space="preserve"> Employee training</w:t>
      </w:r>
      <w:bookmarkEnd w:id="10"/>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To compensate for the busy schedule of the company, leaders can organize thematic lectures on Japanese culture in their free time, as well as lectures on current hot topics to supplement their background knowledge of cross-cultural communication and to promote business communication skills. Through thematic lectures, employees can gain a more concrete understanding of Japanese culture and deepen their understanding of the Japanese language based on Japanese culture. Leaders can also offer interest classes and use the second classroom to develop cross-cultural teaching. To supplement the limited teaching and develop cross-cultural communication awareness, different levels of Japanese culture enthusiasts are trained at different levels, and knowledge of Japanese culture is transmitted to the same employees through the second classroom. These classes make use of modern and advanced internet information technology to quickly stimulate the interest and enthusiasm of the staff. The vivid and realistic pictures and videos provide direct and effective persuasive power to the staff, not only cultivating their awareness of intercultural communication but also stimulating their initiative in intercultural communication, providing a realistic introduction to the scene and sufficient cultural background knowledge for intercultural communication.</w:t>
      </w:r>
    </w:p>
    <w:p>
      <w:pPr>
        <w:pStyle w:val="3"/>
        <w:widowControl/>
        <w:spacing w:line="480" w:lineRule="auto"/>
        <w:rPr>
          <w:rFonts w:hint="default" w:ascii="Arial" w:hAnsi="Arial" w:cs="Arial"/>
          <w:sz w:val="24"/>
          <w:szCs w:val="24"/>
          <w:lang w:val="en-US"/>
        </w:rPr>
      </w:pPr>
      <w:bookmarkStart w:id="11" w:name="_Toc125045629"/>
      <w:r>
        <w:rPr>
          <w:rFonts w:hint="default" w:ascii="Arial" w:hAnsi="Arial" w:cs="Arial"/>
          <w:sz w:val="24"/>
          <w:szCs w:val="24"/>
          <w:lang w:val="en-US"/>
        </w:rPr>
        <w:t>3.2 Information technology</w:t>
      </w:r>
      <w:bookmarkEnd w:id="11"/>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Companies can promote business communication development by adding more information technology to enable online face-to-face communication, and information, Kyodo News reported on December 28, citing people familiar with the matter, the Japanese and British governments will cooperate to popularize open wireless access networks (Open RAN) that do not rely on specific corporate equipment to promote multi-sourcing of equipment procurement and reduce the risk of supply chain disruptions. The two sides intend to allow Japanese and British companies working on research and development to share technical information starting in 2023. The Japan Information and Communications Research Agency (NICT) will announce the companies and research institutes that will be contracted to conduct Open RAN-related research and development in 2023, several sources said. The meeting, called the "Japan-UK Digital Group", was agreed to by the two countries in May. Japan also has the Ministry of Economy, Trade, and Industry (METI) and the Digital Agency involved. The Ministry of Internal Affairs and Communications revealed that the first meeting was held online and also confirmed cooperation in cyber security. In addition, the two countries explained their respective semiconductor strategies, and the UK reportedly signaled that it would like to continue the dialogue in the future as well. The importance of information and communication technologies in security and safety is increasing. Japan is promoting international cooperation in the digital field, such as with the Australian government, which has also decided to set up director-level meetings. The Japan-Australia Award is expected to exchange views on issues such as the construction of a fifth-generation mobile communications system. These information technologies can solve many problems in business communication, for example, time issues and epidemic policy issues.</w:t>
      </w:r>
    </w:p>
    <w:p>
      <w:pPr>
        <w:pStyle w:val="3"/>
        <w:widowControl/>
        <w:spacing w:line="480" w:lineRule="auto"/>
        <w:rPr>
          <w:rFonts w:hint="default" w:ascii="Arial" w:hAnsi="Arial" w:cs="Arial"/>
          <w:sz w:val="24"/>
          <w:szCs w:val="24"/>
          <w:lang w:val="en-US"/>
        </w:rPr>
      </w:pPr>
      <w:bookmarkStart w:id="12" w:name="_Toc125045630"/>
      <w:r>
        <w:rPr>
          <w:rFonts w:hint="default" w:ascii="Arial" w:hAnsi="Arial" w:cs="Arial"/>
          <w:sz w:val="24"/>
          <w:szCs w:val="24"/>
          <w:lang w:val="en-US"/>
        </w:rPr>
        <w:t>3.3 Enterprise philosophy</w:t>
      </w:r>
      <w:bookmarkEnd w:id="12"/>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We have been able to improve our corporate philosophy through cultural training for our staff and the inclusion of communication technology to customer service the problems that exist in business communication. Due to the epidemic, global business trade has become progressively more difficult and many countries have their anti-epidemic policies, making it impossible for outsiders to enter and exit freely, but still need to maintain the trade of various multinational companies, so can this case adds more communication technology as a way to to be able to "work together without seeing each other".</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In short, intercultural management of business communication is the basis for the globalization, commercialization, and diversification of an enterprise's business, and is also an important means of avoiding cultural conflicts. Through conscious training to enhance the multicultural awareness of employees, to truly understand and learn from different cultures, and to actively strengthen their cultural adaptability, we can effectively prevent the various risks brought about by cultural differences, so that all forces in business communication can maximize their interests and promote their healthy development and the realization of global strategies.</w:t>
      </w: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cs="Arial"/>
          <w:lang w:val="en-US"/>
        </w:rPr>
      </w:pPr>
    </w:p>
    <w:p>
      <w:pPr>
        <w:pStyle w:val="2"/>
        <w:widowControl/>
        <w:spacing w:line="480" w:lineRule="auto"/>
        <w:rPr>
          <w:rFonts w:hint="default" w:ascii="Arial" w:hAnsi="Arial" w:cs="Arial"/>
          <w:b/>
          <w:bCs/>
          <w:color w:val="000000"/>
          <w:sz w:val="28"/>
          <w:szCs w:val="28"/>
          <w:lang w:val="en-US"/>
        </w:rPr>
      </w:pPr>
      <w:bookmarkStart w:id="13" w:name="_Toc125045631"/>
      <w:r>
        <w:rPr>
          <w:rFonts w:hint="default" w:ascii="Arial" w:hAnsi="Arial" w:cs="Arial"/>
          <w:b/>
          <w:bCs/>
          <w:color w:val="000000"/>
          <w:sz w:val="28"/>
          <w:szCs w:val="28"/>
          <w:lang w:val="en-US"/>
        </w:rPr>
        <w:t>4.0 –Conclusion</w:t>
      </w:r>
      <w:bookmarkEnd w:id="13"/>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By intercultural management, we mean that managers effectively system the influence of different cultures on organizational behavior in different cultures and effectively communicate well with people from different countries and cultural backgrounds. Resolving intercultural conflicts is the central task of intercultural management.</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Cultural differences are two-fold and can lead to cultural conflicts that can reduce business performance, but when handled well, they can bring the full potential of multiculturalism into play and lead to more forward-looking globalization strategies. Intercultural management is an important means of avoiding cultural conflicts, taking advantage of cultural differences, and creating cultural synergies.</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Today is an era of accelerated global economic integration. Economic ties between countries are increasing and business activities are becoming more frequent. Economic interdependence has greatly facilitated cooperation between companies from different countries. Successful business cooperation will undoubtedly contribute to the economic development of large companies and enterprises and provide them with more business opportunities. The success of the cooperation depends to a large extent on reaching a successful agreement, for which both parties must negotiate and negotiate.</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The rapid development of the modern economy, science, and technology has opened up unlimited business opportunities and vast scope for companies around the world. Language is a cultural phenomenon, reflecting the needs of the culture. In intercultural communication, people's verbal expressions are closely linked to their respective cultural backgrounds. We should not only study verbal communication strategies but also place them in the context of international business negotiations for cross-cultural comparison and explore their cultural causes.</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pStyle w:val="2"/>
        <w:widowControl/>
        <w:spacing w:line="480" w:lineRule="auto"/>
        <w:rPr>
          <w:rFonts w:hint="default" w:ascii="Arial" w:hAnsi="Arial" w:cs="Arial"/>
          <w:b/>
          <w:bCs/>
          <w:color w:val="000000"/>
          <w:sz w:val="28"/>
          <w:szCs w:val="28"/>
          <w:lang w:val="en-US"/>
        </w:rPr>
      </w:pPr>
      <w:bookmarkStart w:id="14" w:name="_Toc122732752"/>
      <w:bookmarkStart w:id="15" w:name="_Toc125045632"/>
      <w:r>
        <w:rPr>
          <w:rFonts w:hint="default" w:ascii="Arial" w:hAnsi="Arial" w:cs="Arial"/>
          <w:b/>
          <w:bCs/>
          <w:color w:val="000000"/>
          <w:sz w:val="28"/>
          <w:szCs w:val="28"/>
          <w:lang w:val="en-US"/>
        </w:rPr>
        <w:t>5.0 – Recommendations</w:t>
      </w:r>
      <w:bookmarkEnd w:id="14"/>
      <w:bookmarkEnd w:id="15"/>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Identify cultural differences and develop an awareness of cross-cultural understanding and respect. Culture includes basic values and norms of behavior, and differences in people's habits and customs are relatively easy to identify and change. Deeper differences in values, on the other hand, are difficult to identify and need to be consciously summarised and experienced. This is why intercultural training becomes necessary, to increase everyone's sensitivity to cultural differences, to enable employees to build up a sense of understanding and respect for different cultures based on identifying cultural differences, to guide employees from different cultural backgrounds in establishing working and living relationships, and</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Promote faster adaptation to different cultures. For example, Fujitsu Japan set up a training center in Honolulu, USA, in 1975 to develop international markets to offer cross-cultural communication courses, and Henkel also set up an operational training center in Shanghai.</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Accelerating cultural adaptation through global localization strategies. Global localization is an important tool for cross-cultural management, which means that multinational companies, when investing abroad, integrate with local societies and cultures based on the principle of "think global and act local", using a mutually acceptable culture for management. A global localization strategy requires the employment of a significant number of local staff, who are familiar with local customs, market dynamics, and government regulations, to rapidly expand and establish a foothold in the local market. This strategy reduces the high costs of sending staff overseas and operating across borders while reducing the risk of foreign capital in the local community and reducing friction in the process of cultural integration with the local community.</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Gradually establish a common business philosophy and a unique corporate culture within the enterprise, to achieve cultural integration corporate culture is a more durable concept, is the development of the environment and the company's strategy to establish a business view and a strong company culture, the core of which is the cultural values of the enterprise. Corporate culture can enable employees to collaborate and communicate with each other in the work environment with a commonly recognized value, improving the cohesion of employees’ centripetal force, with common values, this communication platform can weaken, the negative impact of cultural differences, multinational enterprises in the process of creating corporate culture, must create a relaxed cultural atmosphere, so that employee culture, managerial culture and corporate institutional culture, which In the process of creating a corporate culture, multinational companies must create a relaxed cultural environment in which the culture of employees, the culture of managers and the institutional culture of the company, all three levels, are organically integrated to create an alloy corporate culture that recognizes the existence of differences, respects each other and takes the initiative to collaborate.</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r>
        <w:rPr>
          <w:rFonts w:hint="default" w:ascii="Arial" w:hAnsi="Arial" w:eastAsia="等线" w:cs="Arial"/>
          <w:kern w:val="0"/>
          <w:sz w:val="24"/>
          <w:szCs w:val="24"/>
          <w:lang w:val="en-US" w:eastAsia="zh-CN" w:bidi="ar"/>
        </w:rPr>
        <w:t>\</w:t>
      </w: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keepNext w:val="0"/>
        <w:keepLines w:val="0"/>
        <w:widowControl/>
        <w:suppressLineNumbers w:val="0"/>
        <w:spacing w:before="0" w:beforeAutospacing="0" w:after="160" w:afterAutospacing="0" w:line="480" w:lineRule="auto"/>
        <w:ind w:left="0" w:right="0"/>
        <w:jc w:val="both"/>
        <w:rPr>
          <w:rFonts w:hint="default" w:ascii="Arial" w:hAnsi="Arial" w:cs="Arial"/>
          <w:sz w:val="24"/>
          <w:szCs w:val="24"/>
          <w:lang w:val="en-US"/>
        </w:rPr>
      </w:pPr>
    </w:p>
    <w:p>
      <w:pPr>
        <w:pStyle w:val="2"/>
        <w:widowControl/>
        <w:spacing w:line="480" w:lineRule="auto"/>
        <w:rPr>
          <w:rFonts w:hint="default" w:ascii="Arial" w:hAnsi="Arial" w:cs="Arial"/>
          <w:b/>
          <w:bCs/>
          <w:color w:val="000000"/>
          <w:sz w:val="28"/>
          <w:szCs w:val="28"/>
          <w:lang w:val="en-US"/>
        </w:rPr>
      </w:pPr>
      <w:bookmarkStart w:id="16" w:name="_Toc122732753"/>
      <w:bookmarkStart w:id="17" w:name="_Toc125045633"/>
      <w:r>
        <w:rPr>
          <w:rFonts w:hint="default" w:ascii="Arial" w:hAnsi="Arial" w:cs="Arial"/>
          <w:b/>
          <w:bCs/>
          <w:color w:val="000000"/>
          <w:sz w:val="28"/>
          <w:szCs w:val="28"/>
          <w:lang w:val="en-US"/>
        </w:rPr>
        <w:t>References</w:t>
      </w:r>
      <w:bookmarkEnd w:id="16"/>
      <w:bookmarkEnd w:id="17"/>
    </w:p>
    <w:p/>
    <w:sectPr>
      <w:pgSz w:w="12240" w:h="15840"/>
      <w:pgMar w:top="1440" w:right="1800" w:bottom="1440" w:left="1800" w:header="720" w:footer="720" w:gutter="0"/>
      <w:paperSrc/>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variable"/>
    <w:sig w:usb0="A00002BF" w:usb1="38CF7CFA" w:usb2="00000016" w:usb3="00000000" w:csb0="0004000F" w:csb1="00000000"/>
  </w:font>
  <w:font w:name="Cambria Math">
    <w:panose1 w:val="02040503050406030204"/>
    <w:charset w:val="00"/>
    <w:family w:val="auto"/>
    <w:pitch w:val="variable"/>
    <w:sig w:usb0="E00006FF" w:usb1="420024FF" w:usb2="02000000" w:usb3="00000000" w:csb0="2000019F" w:csb1="00000000"/>
  </w:font>
  <w:font w:name="@宋体">
    <w:panose1 w:val="02010600030101010101"/>
    <w:charset w:val="86"/>
    <w:family w:val="auto"/>
    <w:pitch w:val="variable"/>
    <w:sig w:usb0="00000003" w:usb1="288F0000" w:usb2="00000006" w:usb3="00000000" w:csb0="00040001" w:csb1="00000000"/>
  </w:font>
  <w:font w:name="等线 Light">
    <w:panose1 w:val="02010600030101010101"/>
    <w:charset w:val="86"/>
    <w:family w:val="auto"/>
    <w:pitch w:val="variable"/>
    <w:sig w:usb0="A00002BF" w:usb1="38CF7CFA" w:usb2="00000016" w:usb3="00000000" w:csb0="0004000F" w:csb1="00000000"/>
  </w:font>
  <w:font w:name="@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7"/>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Q5ZWFlN2Q3N2IxZmE4NTFiM2U5MWUyYWIxMjg1NzgifQ=="/>
  </w:docVars>
  <w:rsids>
    <w:rsidRoot w:val="7CED4D14"/>
    <w:rsid w:val="0E1924B1"/>
    <w:rsid w:val="7CED4D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1"/>
    <w:qFormat/>
    <w:uiPriority w:val="0"/>
    <w:pPr>
      <w:keepNext/>
      <w:keepLines/>
      <w:widowControl/>
      <w:suppressLineNumbers w:val="0"/>
      <w:spacing w:before="240" w:beforeAutospacing="0" w:after="0" w:afterAutospacing="0" w:line="256" w:lineRule="auto"/>
      <w:ind w:left="0" w:right="0"/>
      <w:jc w:val="left"/>
      <w:outlineLvl w:val="0"/>
    </w:pPr>
    <w:rPr>
      <w:rFonts w:ascii="Calibri Light" w:hAnsi="Calibri Light" w:eastAsia="等线 Light" w:cs="Times New Roman"/>
      <w:color w:val="2F5496"/>
      <w:kern w:val="0"/>
      <w:sz w:val="32"/>
      <w:szCs w:val="32"/>
      <w:lang w:val="en-US" w:eastAsia="zh-CN" w:bidi="ar"/>
    </w:rPr>
  </w:style>
  <w:style w:type="paragraph" w:styleId="3">
    <w:name w:val="heading 2"/>
    <w:basedOn w:val="1"/>
    <w:next w:val="1"/>
    <w:link w:val="12"/>
    <w:semiHidden/>
    <w:unhideWhenUsed/>
    <w:qFormat/>
    <w:uiPriority w:val="0"/>
    <w:pPr>
      <w:keepNext/>
      <w:keepLines/>
      <w:widowControl/>
      <w:suppressLineNumbers w:val="0"/>
      <w:spacing w:before="260" w:beforeAutospacing="0" w:after="260" w:afterAutospacing="0" w:line="415" w:lineRule="auto"/>
      <w:ind w:left="0" w:right="0"/>
      <w:jc w:val="left"/>
      <w:outlineLvl w:val="1"/>
    </w:pPr>
    <w:rPr>
      <w:rFonts w:hint="default" w:ascii="Calibri Light" w:hAnsi="Calibri Light" w:eastAsia="等线 Light" w:cs="Times New Roman"/>
      <w:b/>
      <w:bCs/>
      <w:kern w:val="0"/>
      <w:sz w:val="32"/>
      <w:szCs w:val="32"/>
      <w:lang w:val="en-US" w:eastAsia="zh-CN" w:bidi="ar"/>
    </w:rPr>
  </w:style>
  <w:style w:type="character" w:default="1" w:styleId="7">
    <w:name w:val="Default Paragraph Font"/>
    <w:semiHidden/>
    <w:uiPriority w:val="0"/>
  </w:style>
  <w:style w:type="table" w:default="1" w:styleId="6">
    <w:name w:val="Normal Table"/>
    <w:semiHidden/>
    <w:qFormat/>
    <w:uiPriority w:val="0"/>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rPr>
    <w:tblPr>
      <w:tblCellMar>
        <w:top w:w="0" w:type="dxa"/>
        <w:left w:w="108" w:type="dxa"/>
        <w:bottom w:w="0" w:type="dxa"/>
        <w:right w:w="108" w:type="dxa"/>
      </w:tblCellMar>
    </w:tblPr>
  </w:style>
  <w:style w:type="paragraph" w:styleId="4">
    <w:name w:val="toc 1"/>
    <w:basedOn w:val="1"/>
    <w:next w:val="1"/>
    <w:uiPriority w:val="0"/>
    <w:pPr>
      <w:keepNext w:val="0"/>
      <w:keepLines w:val="0"/>
      <w:widowControl/>
      <w:suppressLineNumbers w:val="0"/>
      <w:spacing w:before="0" w:beforeAutospacing="0" w:after="160" w:afterAutospacing="0" w:line="256" w:lineRule="auto"/>
      <w:ind w:left="0" w:right="0"/>
      <w:jc w:val="left"/>
    </w:pPr>
    <w:rPr>
      <w:rFonts w:hint="default" w:ascii="Calibri" w:hAnsi="Calibri" w:eastAsia="等线" w:cs="Times New Roman"/>
      <w:kern w:val="0"/>
      <w:sz w:val="22"/>
      <w:szCs w:val="22"/>
      <w:lang w:val="en-US" w:eastAsia="zh-CN" w:bidi="ar"/>
    </w:rPr>
  </w:style>
  <w:style w:type="paragraph" w:styleId="5">
    <w:name w:val="toc 2"/>
    <w:basedOn w:val="1"/>
    <w:next w:val="1"/>
    <w:uiPriority w:val="0"/>
    <w:pPr>
      <w:keepNext w:val="0"/>
      <w:keepLines w:val="0"/>
      <w:widowControl/>
      <w:suppressLineNumbers w:val="0"/>
      <w:spacing w:before="0" w:beforeAutospacing="0" w:after="160" w:afterAutospacing="0" w:line="256" w:lineRule="auto"/>
      <w:ind w:left="420" w:leftChars="200" w:right="0"/>
      <w:jc w:val="left"/>
    </w:pPr>
    <w:rPr>
      <w:rFonts w:hint="default" w:ascii="Calibri" w:hAnsi="Calibri" w:eastAsia="等线" w:cs="Times New Roman"/>
      <w:kern w:val="0"/>
      <w:sz w:val="22"/>
      <w:szCs w:val="22"/>
      <w:lang w:val="en-US" w:eastAsia="zh-CN" w:bidi="ar"/>
    </w:rPr>
  </w:style>
  <w:style w:type="character" w:styleId="8">
    <w:name w:val="FollowedHyperlink"/>
    <w:basedOn w:val="7"/>
    <w:uiPriority w:val="0"/>
    <w:rPr>
      <w:color w:val="954F72"/>
      <w:u w:val="single"/>
    </w:rPr>
  </w:style>
  <w:style w:type="character" w:styleId="9">
    <w:name w:val="Hyperlink"/>
    <w:basedOn w:val="7"/>
    <w:uiPriority w:val="0"/>
    <w:rPr>
      <w:color w:val="0563C1"/>
      <w:u w:val="single"/>
    </w:rPr>
  </w:style>
  <w:style w:type="paragraph" w:customStyle="1" w:styleId="10">
    <w:name w:val="msotocheading"/>
    <w:basedOn w:val="2"/>
    <w:next w:val="1"/>
    <w:uiPriority w:val="0"/>
    <w:pPr>
      <w:keepNext/>
      <w:keepLines/>
      <w:widowControl/>
      <w:suppressLineNumbers w:val="0"/>
      <w:spacing w:before="240" w:beforeAutospacing="0" w:after="0" w:afterAutospacing="0" w:line="256" w:lineRule="auto"/>
      <w:ind w:left="0" w:right="0"/>
      <w:jc w:val="left"/>
    </w:pPr>
    <w:rPr>
      <w:rFonts w:hint="default" w:ascii="Calibri Light" w:hAnsi="Calibri Light" w:eastAsia="等线 Light" w:cs="Times New Roman"/>
      <w:color w:val="2F5496"/>
      <w:kern w:val="0"/>
      <w:sz w:val="32"/>
      <w:szCs w:val="32"/>
      <w:lang w:val="en-US" w:eastAsia="zh-CN" w:bidi="ar"/>
    </w:rPr>
  </w:style>
  <w:style w:type="character" w:customStyle="1" w:styleId="11">
    <w:name w:val="标题 1 字符"/>
    <w:basedOn w:val="7"/>
    <w:link w:val="2"/>
    <w:uiPriority w:val="0"/>
    <w:rPr>
      <w:rFonts w:hint="default" w:ascii="Calibri Light" w:hAnsi="Calibri Light" w:eastAsia="等线 Light" w:cs="Times New Roman"/>
      <w:color w:val="2F5496"/>
      <w:sz w:val="32"/>
      <w:szCs w:val="32"/>
      <w:lang w:val="en-US"/>
    </w:rPr>
  </w:style>
  <w:style w:type="character" w:customStyle="1" w:styleId="12">
    <w:name w:val="标题 2 字符"/>
    <w:basedOn w:val="7"/>
    <w:link w:val="3"/>
    <w:uiPriority w:val="0"/>
    <w:rPr>
      <w:rFonts w:hint="default" w:ascii="Calibri Light" w:hAnsi="Calibri Light" w:eastAsia="等线 Light" w:cs="Times New Roman"/>
      <w:b/>
      <w:bCs/>
      <w:sz w:val="32"/>
      <w:szCs w:val="32"/>
      <w:lang w:val="en-US"/>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2365</Words>
  <Characters>13878</Characters>
  <Lines>0</Lines>
  <Paragraphs>0</Paragraphs>
  <TotalTime>0</TotalTime>
  <ScaleCrop>false</ScaleCrop>
  <LinksUpToDate>false</LinksUpToDate>
  <CharactersWithSpaces>16200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2023-01-20T06:57:00Z</dcterms:created>
  <dc:creator>可口可乐</dc:creator>
  <cp:lastModifiedBy>可口可乐</cp:lastModifiedBy>
  <dcterms:modified xsi:type="dcterms:W3CDTF">2023-01-20T06:58:26Z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DE9A5C94082547F080DD99F461A152AF</vt:lpwstr>
  </property>
</Properties>
</file>