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sz w:val="32"/>
          <w:szCs w:val="36"/>
        </w:rPr>
      </w:pPr>
    </w:p>
    <w:p>
      <w:pPr>
        <w:jc w:val="center"/>
        <w:rPr>
          <w:sz w:val="32"/>
          <w:szCs w:val="36"/>
        </w:rPr>
      </w:pPr>
    </w:p>
    <w:p>
      <w:pPr>
        <w:jc w:val="center"/>
        <w:rPr>
          <w:sz w:val="32"/>
          <w:szCs w:val="36"/>
        </w:rPr>
      </w:pPr>
      <w:r>
        <w:rPr>
          <w:lang w:eastAsia="en-GB"/>
        </w:rPr>
        <w:drawing>
          <wp:inline distT="0" distB="0" distL="0" distR="0">
            <wp:extent cx="4148455" cy="1590040"/>
            <wp:effectExtent l="0" t="0" r="4445" b="0"/>
            <wp:docPr id="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3"/>
                    <pic:cNvPicPr>
                      <a:picLocks noChangeAspect="1"/>
                    </pic:cNvPicPr>
                  </pic:nvPicPr>
                  <pic:blipFill>
                    <a:blip r:embed="rId4"/>
                    <a:stretch>
                      <a:fillRect/>
                    </a:stretch>
                  </pic:blipFill>
                  <pic:spPr>
                    <a:xfrm>
                      <a:off x="0" y="0"/>
                      <a:ext cx="4181472" cy="1602897"/>
                    </a:xfrm>
                    <a:prstGeom prst="rect">
                      <a:avLst/>
                    </a:prstGeom>
                  </pic:spPr>
                </pic:pic>
              </a:graphicData>
            </a:graphic>
          </wp:inline>
        </w:drawing>
      </w:r>
    </w:p>
    <w:p>
      <w:pPr>
        <w:rPr>
          <w:sz w:val="32"/>
          <w:szCs w:val="36"/>
        </w:rPr>
      </w:pPr>
    </w:p>
    <w:p>
      <w:pPr>
        <w:jc w:val="center"/>
        <w:rPr>
          <w:rFonts w:ascii="Times New Roman" w:hAnsi="Times New Roman" w:cs="Times New Roman"/>
          <w:b/>
          <w:bCs/>
          <w:sz w:val="40"/>
          <w:szCs w:val="44"/>
        </w:rPr>
      </w:pPr>
      <w:r>
        <w:rPr>
          <w:rFonts w:ascii="Times New Roman" w:hAnsi="Times New Roman" w:cs="Times New Roman"/>
          <w:b/>
          <w:bCs/>
          <w:sz w:val="40"/>
          <w:szCs w:val="44"/>
        </w:rPr>
        <w:t>L7: Data Security, Governance and Compliance</w:t>
      </w:r>
    </w:p>
    <w:p>
      <w:pPr>
        <w:jc w:val="center"/>
        <w:rPr>
          <w:rFonts w:ascii="Times New Roman" w:hAnsi="Times New Roman" w:cs="Times New Roman"/>
          <w:b/>
          <w:bCs/>
          <w:sz w:val="40"/>
          <w:szCs w:val="44"/>
        </w:rPr>
      </w:pPr>
      <w:r>
        <w:rPr>
          <w:rFonts w:hint="eastAsia" w:ascii="Times New Roman" w:hAnsi="Times New Roman" w:cs="Times New Roman"/>
          <w:b/>
          <w:bCs/>
          <w:sz w:val="40"/>
          <w:szCs w:val="44"/>
        </w:rPr>
        <w:t>(</w:t>
      </w:r>
      <w:r>
        <w:rPr>
          <w:rFonts w:ascii="Times New Roman" w:hAnsi="Times New Roman" w:cs="Times New Roman"/>
          <w:b/>
          <w:bCs/>
          <w:sz w:val="40"/>
          <w:szCs w:val="44"/>
        </w:rPr>
        <w:t>ACCA7028)</w:t>
      </w:r>
    </w:p>
    <w:p>
      <w:pPr>
        <w:jc w:val="center"/>
        <w:rPr>
          <w:rFonts w:ascii="Times New Roman" w:hAnsi="Times New Roman" w:cs="Times New Roman"/>
          <w:b/>
          <w:bCs/>
          <w:sz w:val="40"/>
          <w:szCs w:val="44"/>
        </w:rPr>
      </w:pPr>
    </w:p>
    <w:p>
      <w:pPr>
        <w:jc w:val="center"/>
        <w:rPr>
          <w:rFonts w:ascii="Times New Roman" w:hAnsi="Times New Roman" w:cs="Times New Roman"/>
          <w:b/>
          <w:bCs/>
          <w:sz w:val="40"/>
          <w:szCs w:val="44"/>
        </w:rPr>
      </w:pPr>
      <w:r>
        <w:rPr>
          <w:rFonts w:hint="eastAsia" w:ascii="Times New Roman" w:hAnsi="Times New Roman" w:cs="Times New Roman"/>
          <w:b/>
          <w:bCs/>
          <w:sz w:val="40"/>
          <w:szCs w:val="44"/>
        </w:rPr>
        <w:t>A</w:t>
      </w:r>
      <w:r>
        <w:rPr>
          <w:rFonts w:ascii="Times New Roman" w:hAnsi="Times New Roman" w:cs="Times New Roman"/>
          <w:b/>
          <w:bCs/>
          <w:sz w:val="40"/>
          <w:szCs w:val="44"/>
        </w:rPr>
        <w:t>pply the Principles of Data Security, Governance and Compliance to a Given Scenario</w:t>
      </w:r>
    </w:p>
    <w:p>
      <w:pPr>
        <w:jc w:val="center"/>
        <w:rPr>
          <w:rFonts w:ascii="Times New Roman" w:hAnsi="Times New Roman" w:cs="Times New Roman"/>
          <w:b/>
          <w:bCs/>
          <w:sz w:val="40"/>
          <w:szCs w:val="44"/>
        </w:rPr>
      </w:pPr>
    </w:p>
    <w:p>
      <w:pPr>
        <w:jc w:val="center"/>
        <w:rPr>
          <w:rFonts w:ascii="Times New Roman" w:hAnsi="Times New Roman" w:cs="Times New Roman"/>
          <w:b/>
          <w:bCs/>
          <w:sz w:val="40"/>
          <w:szCs w:val="44"/>
        </w:rPr>
      </w:pPr>
    </w:p>
    <w:p>
      <w:pPr>
        <w:jc w:val="center"/>
        <w:rPr>
          <w:rFonts w:ascii="Times New Roman" w:hAnsi="Times New Roman" w:cs="Times New Roman"/>
          <w:sz w:val="36"/>
          <w:szCs w:val="40"/>
        </w:rPr>
      </w:pPr>
      <w:r>
        <w:rPr>
          <w:rFonts w:hint="eastAsia" w:ascii="Times New Roman" w:hAnsi="Times New Roman" w:cs="Times New Roman"/>
          <w:sz w:val="36"/>
          <w:szCs w:val="40"/>
        </w:rPr>
        <w:t>M</w:t>
      </w:r>
      <w:r>
        <w:rPr>
          <w:rFonts w:ascii="Times New Roman" w:hAnsi="Times New Roman" w:cs="Times New Roman"/>
          <w:sz w:val="36"/>
          <w:szCs w:val="40"/>
        </w:rPr>
        <w:t>Sc Data and Artificial Intelligence</w:t>
      </w:r>
    </w:p>
    <w:p>
      <w:pPr>
        <w:jc w:val="center"/>
        <w:rPr>
          <w:rFonts w:ascii="Times New Roman" w:hAnsi="Times New Roman" w:cs="Times New Roman"/>
          <w:sz w:val="36"/>
          <w:szCs w:val="40"/>
        </w:rPr>
      </w:pPr>
    </w:p>
    <w:p>
      <w:pPr>
        <w:jc w:val="center"/>
        <w:rPr>
          <w:rFonts w:ascii="Times New Roman" w:hAnsi="Times New Roman" w:cs="Times New Roman"/>
          <w:sz w:val="36"/>
          <w:szCs w:val="40"/>
        </w:rPr>
      </w:pPr>
      <w:r>
        <w:rPr>
          <w:rFonts w:hint="eastAsia" w:ascii="Times New Roman" w:hAnsi="Times New Roman" w:cs="Times New Roman"/>
          <w:sz w:val="36"/>
          <w:szCs w:val="40"/>
        </w:rPr>
        <w:t>W</w:t>
      </w:r>
      <w:r>
        <w:rPr>
          <w:rFonts w:ascii="Times New Roman" w:hAnsi="Times New Roman" w:cs="Times New Roman"/>
          <w:sz w:val="36"/>
          <w:szCs w:val="40"/>
        </w:rPr>
        <w:t>ales Institute for Science and Art (WISA)</w:t>
      </w:r>
    </w:p>
    <w:p>
      <w:pPr>
        <w:jc w:val="center"/>
        <w:rPr>
          <w:rFonts w:ascii="Times New Roman" w:hAnsi="Times New Roman" w:cs="Times New Roman"/>
          <w:sz w:val="36"/>
          <w:szCs w:val="40"/>
        </w:rPr>
      </w:pPr>
      <w:r>
        <w:rPr>
          <w:rFonts w:ascii="Times New Roman" w:hAnsi="Times New Roman" w:cs="Times New Roman"/>
          <w:sz w:val="36"/>
          <w:szCs w:val="40"/>
        </w:rPr>
        <w:t>University of Wales Trinity Saint David</w:t>
      </w:r>
    </w:p>
    <w:p>
      <w:pPr>
        <w:jc w:val="center"/>
        <w:rPr>
          <w:rFonts w:ascii="Times New Roman" w:hAnsi="Times New Roman" w:cs="Times New Roman"/>
          <w:sz w:val="32"/>
          <w:szCs w:val="36"/>
        </w:rPr>
      </w:pPr>
    </w:p>
    <w:p>
      <w:pPr>
        <w:jc w:val="center"/>
        <w:rPr>
          <w:rFonts w:ascii="Times New Roman" w:hAnsi="Times New Roman" w:cs="Times New Roman"/>
          <w:sz w:val="32"/>
          <w:szCs w:val="36"/>
        </w:rPr>
      </w:pPr>
      <w:r>
        <w:rPr>
          <w:rFonts w:ascii="Times New Roman" w:hAnsi="Times New Roman" w:cs="Times New Roman"/>
          <w:sz w:val="32"/>
          <w:szCs w:val="36"/>
        </w:rPr>
        <w:t>Lecturer: Dr Carlene Campbell</w:t>
      </w:r>
    </w:p>
    <w:p>
      <w:pPr>
        <w:jc w:val="center"/>
        <w:rPr>
          <w:rFonts w:ascii="Times New Roman" w:hAnsi="Times New Roman" w:cs="Times New Roman"/>
          <w:sz w:val="32"/>
          <w:szCs w:val="36"/>
        </w:rPr>
      </w:pPr>
      <w:r>
        <w:rPr>
          <w:rFonts w:hint="eastAsia" w:ascii="Times New Roman" w:hAnsi="Times New Roman" w:cs="Times New Roman"/>
          <w:sz w:val="32"/>
          <w:szCs w:val="36"/>
        </w:rPr>
        <w:t>J</w:t>
      </w:r>
      <w:r>
        <w:rPr>
          <w:rFonts w:ascii="Times New Roman" w:hAnsi="Times New Roman" w:cs="Times New Roman"/>
          <w:sz w:val="32"/>
          <w:szCs w:val="36"/>
        </w:rPr>
        <w:t>anuary 4</w:t>
      </w:r>
      <w:r>
        <w:rPr>
          <w:rFonts w:ascii="Times New Roman" w:hAnsi="Times New Roman" w:cs="Times New Roman"/>
          <w:sz w:val="32"/>
          <w:szCs w:val="36"/>
          <w:vertAlign w:val="superscript"/>
        </w:rPr>
        <w:t>th</w:t>
      </w:r>
      <w:r>
        <w:rPr>
          <w:rFonts w:ascii="Times New Roman" w:hAnsi="Times New Roman" w:cs="Times New Roman"/>
          <w:sz w:val="32"/>
          <w:szCs w:val="36"/>
        </w:rPr>
        <w:t>, 2022</w:t>
      </w:r>
    </w:p>
    <w:p>
      <w:pPr>
        <w:jc w:val="center"/>
        <w:rPr>
          <w:rFonts w:ascii="Times New Roman" w:hAnsi="Times New Roman" w:cs="Times New Roman"/>
          <w:b/>
          <w:bCs/>
          <w:sz w:val="36"/>
          <w:szCs w:val="40"/>
        </w:rPr>
      </w:pPr>
    </w:p>
    <w:p>
      <w:pPr>
        <w:jc w:val="center"/>
        <w:rPr>
          <w:rFonts w:ascii="Times New Roman" w:hAnsi="Times New Roman" w:cs="Times New Roman"/>
          <w:b/>
          <w:bCs/>
          <w:sz w:val="36"/>
          <w:szCs w:val="40"/>
        </w:rPr>
      </w:pPr>
      <w:r>
        <w:rPr>
          <w:rFonts w:hint="eastAsia" w:ascii="Times New Roman" w:hAnsi="Times New Roman" w:cs="Times New Roman"/>
          <w:b/>
          <w:bCs/>
          <w:sz w:val="36"/>
          <w:szCs w:val="40"/>
        </w:rPr>
        <w:t>Abstract</w:t>
      </w:r>
    </w:p>
    <w:p>
      <w:pPr>
        <w:rPr>
          <w:rFonts w:ascii="Times New Roman" w:hAnsi="Times New Roman" w:cs="Times New Roman"/>
          <w:sz w:val="28"/>
          <w:szCs w:val="28"/>
        </w:rPr>
      </w:pPr>
    </w:p>
    <w:p>
      <w:pPr>
        <w:ind w:firstLine="420" w:firstLineChars="150"/>
        <w:rPr>
          <w:rFonts w:ascii="Times New Roman" w:hAnsi="Times New Roman" w:cs="Times New Roman"/>
          <w:b/>
          <w:bCs/>
          <w:sz w:val="28"/>
          <w:szCs w:val="28"/>
        </w:rPr>
      </w:pPr>
      <w:r>
        <w:rPr>
          <w:rFonts w:ascii="Times New Roman" w:hAnsi="Times New Roman" w:cs="Times New Roman"/>
          <w:sz w:val="28"/>
          <w:szCs w:val="28"/>
        </w:rPr>
        <w:t xml:space="preserve">With the development of economic globalization, information security in global trade and management has been widely concerned. The purpose of this paper is to solve the information security problem in the global business of CoffeeBlue. Firstly, three information security frameworks including the National Institute of Standards and Technology Cyber Security Framework </w:t>
      </w:r>
      <w:r>
        <w:rPr>
          <w:rFonts w:hint="eastAsia" w:ascii="Times New Roman" w:hAnsi="Times New Roman" w:cs="Times New Roman"/>
          <w:sz w:val="28"/>
          <w:szCs w:val="28"/>
        </w:rPr>
        <w:t>(</w:t>
      </w:r>
      <w:r>
        <w:rPr>
          <w:rFonts w:ascii="Times New Roman" w:hAnsi="Times New Roman" w:cs="Times New Roman"/>
          <w:sz w:val="28"/>
          <w:szCs w:val="28"/>
        </w:rPr>
        <w:t xml:space="preserve">NIST CSF), </w:t>
      </w:r>
      <w:r>
        <w:rPr>
          <w:rFonts w:ascii="TimesNewRomanPSMT" w:hAnsi="TimesNewRomanPSMT" w:eastAsia="宋体" w:cs="宋体"/>
          <w:color w:val="000000"/>
          <w:kern w:val="0"/>
          <w:sz w:val="28"/>
          <w:szCs w:val="28"/>
        </w:rPr>
        <w:t>International Organization for Standardization (ISO)</w:t>
      </w:r>
      <w:r>
        <w:rPr>
          <w:rFonts w:ascii="Times New Roman" w:hAnsi="Times New Roman" w:cs="Times New Roman"/>
          <w:sz w:val="28"/>
          <w:szCs w:val="28"/>
        </w:rPr>
        <w:t xml:space="preserve"> 27000 Series and </w:t>
      </w:r>
      <w:r>
        <w:rPr>
          <w:rFonts w:hint="eastAsia" w:ascii="Times New Roman" w:hAnsi="Times New Roman" w:cs="Times New Roman"/>
          <w:sz w:val="28"/>
          <w:szCs w:val="28"/>
        </w:rPr>
        <w:t>I</w:t>
      </w:r>
      <w:r>
        <w:rPr>
          <w:rFonts w:ascii="Times New Roman" w:hAnsi="Times New Roman" w:cs="Times New Roman"/>
          <w:sz w:val="28"/>
          <w:szCs w:val="28"/>
        </w:rPr>
        <w:t>nformation Technology Infrastructure Library</w:t>
      </w:r>
      <w:r>
        <w:rPr>
          <w:rFonts w:hint="eastAsia" w:ascii="Times New Roman" w:hAnsi="Times New Roman" w:cs="Times New Roman"/>
          <w:b/>
          <w:bCs/>
          <w:sz w:val="28"/>
          <w:szCs w:val="28"/>
        </w:rPr>
        <w:t xml:space="preserve"> </w:t>
      </w:r>
      <w:r>
        <w:rPr>
          <w:rFonts w:ascii="Times New Roman" w:hAnsi="Times New Roman" w:cs="Times New Roman"/>
          <w:b/>
          <w:bCs/>
          <w:sz w:val="28"/>
          <w:szCs w:val="28"/>
        </w:rPr>
        <w:t>(</w:t>
      </w:r>
      <w:r>
        <w:rPr>
          <w:rFonts w:ascii="Times New Roman" w:hAnsi="Times New Roman" w:cs="Times New Roman"/>
          <w:sz w:val="28"/>
          <w:szCs w:val="28"/>
        </w:rPr>
        <w:t>ITIL) were compared and analyzed. Then the reasons why regulations or standards should be continuously updated are also discussed. Finally, based on the analysis of the background of CoffeeBlue company, a novel information security framework is proposed, including the knowledge of policy, management, compliance, and other aspects. In the following work, specific information security standards could be added as a reference to make the whole framework more completed and convincing.</w:t>
      </w:r>
    </w:p>
    <w:p>
      <w:pPr>
        <w:jc w:val="center"/>
        <w:rPr>
          <w:sz w:val="40"/>
          <w:szCs w:val="44"/>
        </w:rPr>
      </w:pPr>
    </w:p>
    <w:p>
      <w:pPr>
        <w:jc w:val="center"/>
        <w:rPr>
          <w:sz w:val="40"/>
          <w:szCs w:val="44"/>
        </w:rPr>
      </w:pPr>
    </w:p>
    <w:p>
      <w:pPr>
        <w:jc w:val="center"/>
        <w:rPr>
          <w:sz w:val="40"/>
          <w:szCs w:val="44"/>
        </w:rPr>
      </w:pPr>
    </w:p>
    <w:p>
      <w:pPr>
        <w:jc w:val="center"/>
        <w:rPr>
          <w:sz w:val="40"/>
          <w:szCs w:val="44"/>
        </w:rPr>
      </w:pPr>
    </w:p>
    <w:p>
      <w:pPr>
        <w:rPr>
          <w:sz w:val="40"/>
          <w:szCs w:val="44"/>
        </w:rPr>
      </w:pPr>
    </w:p>
    <w:p>
      <w:pPr>
        <w:jc w:val="center"/>
        <w:rPr>
          <w:rFonts w:ascii="Times New Roman" w:hAnsi="Times New Roman" w:cs="Times New Roman"/>
          <w:sz w:val="36"/>
          <w:szCs w:val="40"/>
        </w:rPr>
      </w:pPr>
    </w:p>
    <w:p>
      <w:pPr>
        <w:jc w:val="center"/>
        <w:rPr>
          <w:rFonts w:ascii="Times New Roman" w:hAnsi="Times New Roman" w:cs="Times New Roman"/>
          <w:b/>
          <w:bCs/>
          <w:sz w:val="28"/>
          <w:szCs w:val="32"/>
        </w:rPr>
      </w:pPr>
      <w:r>
        <w:rPr>
          <w:rFonts w:ascii="Times New Roman" w:hAnsi="Times New Roman" w:cs="Times New Roman"/>
          <w:b/>
          <w:bCs/>
          <w:sz w:val="36"/>
          <w:szCs w:val="40"/>
        </w:rPr>
        <w:t>Table of Contents</w:t>
      </w:r>
    </w:p>
    <w:sdt>
      <w:sdtPr>
        <w:rPr>
          <w:rFonts w:asciiTheme="minorHAnsi" w:hAnsiTheme="minorHAnsi" w:eastAsiaTheme="minorEastAsia" w:cstheme="minorBidi"/>
          <w:color w:val="auto"/>
          <w:kern w:val="2"/>
          <w:sz w:val="21"/>
          <w:szCs w:val="22"/>
          <w:lang w:val="zh-CN"/>
        </w:rPr>
        <w:id w:val="229197012"/>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29"/>
          </w:pPr>
        </w:p>
        <w:p>
          <w:pPr>
            <w:pStyle w:val="7"/>
          </w:pPr>
          <w:r>
            <w:fldChar w:fldCharType="begin"/>
          </w:r>
          <w:r>
            <w:instrText xml:space="preserve"> TOC \o "1-3" \h \z \u </w:instrText>
          </w:r>
          <w:r>
            <w:fldChar w:fldCharType="separate"/>
          </w:r>
          <w:r>
            <w:fldChar w:fldCharType="begin"/>
          </w:r>
          <w:r>
            <w:instrText xml:space="preserve"> HYPERLINK \l "_Toc91584977" </w:instrText>
          </w:r>
          <w:r>
            <w:fldChar w:fldCharType="separate"/>
          </w:r>
          <w:r>
            <w:rPr>
              <w:rStyle w:val="16"/>
            </w:rPr>
            <w:t>1.Introduction</w:t>
          </w:r>
          <w:r>
            <w:tab/>
          </w:r>
          <w:r>
            <w:fldChar w:fldCharType="begin"/>
          </w:r>
          <w:r>
            <w:instrText xml:space="preserve"> PAGEREF _Toc91584977 \h </w:instrText>
          </w:r>
          <w:r>
            <w:fldChar w:fldCharType="separate"/>
          </w:r>
          <w:r>
            <w:t>4</w:t>
          </w:r>
          <w:r>
            <w:fldChar w:fldCharType="end"/>
          </w:r>
          <w:r>
            <w:fldChar w:fldCharType="end"/>
          </w:r>
        </w:p>
        <w:p>
          <w:pPr>
            <w:pStyle w:val="7"/>
          </w:pPr>
          <w:r>
            <w:fldChar w:fldCharType="begin"/>
          </w:r>
          <w:r>
            <w:instrText xml:space="preserve"> HYPERLINK \l "_Toc91584978" </w:instrText>
          </w:r>
          <w:r>
            <w:fldChar w:fldCharType="separate"/>
          </w:r>
          <w:r>
            <w:rPr>
              <w:rStyle w:val="16"/>
            </w:rPr>
            <w:t>2. Literature review of security frameworks and models</w:t>
          </w:r>
          <w:r>
            <w:tab/>
          </w:r>
          <w:r>
            <w:fldChar w:fldCharType="begin"/>
          </w:r>
          <w:r>
            <w:instrText xml:space="preserve"> PAGEREF _Toc91584978 \h </w:instrText>
          </w:r>
          <w:r>
            <w:fldChar w:fldCharType="separate"/>
          </w:r>
          <w:r>
            <w:t>5</w:t>
          </w:r>
          <w:r>
            <w:fldChar w:fldCharType="end"/>
          </w:r>
          <w: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"_Toc91584979" </w:instrText>
          </w:r>
          <w:r>
            <w:fldChar w:fldCharType="separate"/>
          </w:r>
          <w:r>
            <w:rPr>
              <w:rStyle w:val="16"/>
              <w:rFonts w:ascii="Times New Roman" w:hAnsi="Times New Roman" w:cs="Times New Roman"/>
              <w:sz w:val="28"/>
              <w:szCs w:val="32"/>
            </w:rPr>
            <w:t>2.1 NIST Cyber Security Framework</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_Toc91584979 \h </w:instrText>
          </w:r>
          <w:r>
            <w:rPr>
              <w:rFonts w:ascii="Times New Roman" w:hAnsi="Times New Roman" w:cs="Times New Roman"/>
              <w:sz w:val="28"/>
              <w:szCs w:val="32"/>
            </w:rPr>
            <w:fldChar w:fldCharType="separate"/>
          </w:r>
          <w:r>
            <w:rPr>
              <w:rFonts w:ascii="Times New Roman" w:hAnsi="Times New Roman" w:cs="Times New Roman"/>
              <w:sz w:val="28"/>
              <w:szCs w:val="32"/>
            </w:rPr>
            <w:t>5</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"_Toc91584980" </w:instrText>
          </w:r>
          <w:r>
            <w:fldChar w:fldCharType="separate"/>
          </w:r>
          <w:r>
            <w:rPr>
              <w:rStyle w:val="16"/>
              <w:rFonts w:ascii="Times New Roman" w:hAnsi="Times New Roman" w:cs="Times New Roman"/>
              <w:sz w:val="28"/>
              <w:szCs w:val="32"/>
            </w:rPr>
            <w:t>2.2 ISO/IEC 27000 Series</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_Toc91584980 \h </w:instrText>
          </w:r>
          <w:r>
            <w:rPr>
              <w:rFonts w:ascii="Times New Roman" w:hAnsi="Times New Roman" w:cs="Times New Roman"/>
              <w:sz w:val="28"/>
              <w:szCs w:val="32"/>
            </w:rPr>
            <w:fldChar w:fldCharType="separate"/>
          </w:r>
          <w:r>
            <w:rPr>
              <w:rFonts w:ascii="Times New Roman" w:hAnsi="Times New Roman" w:cs="Times New Roman"/>
              <w:sz w:val="28"/>
              <w:szCs w:val="32"/>
            </w:rPr>
            <w:t>6</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"_Toc91584981" </w:instrText>
          </w:r>
          <w:r>
            <w:fldChar w:fldCharType="separate"/>
          </w:r>
          <w:r>
            <w:rPr>
              <w:rStyle w:val="16"/>
              <w:rFonts w:ascii="Times New Roman" w:hAnsi="Times New Roman" w:cs="Times New Roman"/>
              <w:sz w:val="28"/>
              <w:szCs w:val="32"/>
            </w:rPr>
            <w:t>2.3 Information Technology Infrastructure Library</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_Toc91584981 \h </w:instrText>
          </w:r>
          <w:r>
            <w:rPr>
              <w:rFonts w:ascii="Times New Roman" w:hAnsi="Times New Roman" w:cs="Times New Roman"/>
              <w:sz w:val="28"/>
              <w:szCs w:val="32"/>
            </w:rPr>
            <w:fldChar w:fldCharType="separate"/>
          </w:r>
          <w:r>
            <w:rPr>
              <w:rFonts w:ascii="Times New Roman" w:hAnsi="Times New Roman" w:cs="Times New Roman"/>
              <w:sz w:val="28"/>
              <w:szCs w:val="32"/>
            </w:rPr>
            <w:t>7</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"_Toc91584982" </w:instrText>
          </w:r>
          <w:r>
            <w:fldChar w:fldCharType="separate"/>
          </w:r>
          <w:r>
            <w:rPr>
              <w:rStyle w:val="16"/>
              <w:rFonts w:ascii="Times New Roman" w:hAnsi="Times New Roman" w:cs="Times New Roman"/>
              <w:sz w:val="28"/>
              <w:szCs w:val="32"/>
            </w:rPr>
            <w:t>2.4 Updating Standards and Regulations for Good Practice</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_Toc91584982 \h </w:instrText>
          </w:r>
          <w:r>
            <w:rPr>
              <w:rFonts w:ascii="Times New Roman" w:hAnsi="Times New Roman" w:cs="Times New Roman"/>
              <w:sz w:val="28"/>
              <w:szCs w:val="32"/>
            </w:rPr>
            <w:fldChar w:fldCharType="separate"/>
          </w:r>
          <w:r>
            <w:rPr>
              <w:rFonts w:ascii="Times New Roman" w:hAnsi="Times New Roman" w:cs="Times New Roman"/>
              <w:sz w:val="28"/>
              <w:szCs w:val="32"/>
            </w:rPr>
            <w:t>8</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"_Toc91584983" </w:instrText>
          </w:r>
          <w:r>
            <w:fldChar w:fldCharType="separate"/>
          </w:r>
          <w:r>
            <w:rPr>
              <w:rStyle w:val="16"/>
              <w:rFonts w:ascii="Times New Roman" w:hAnsi="Times New Roman" w:cs="Times New Roman"/>
              <w:sz w:val="28"/>
              <w:szCs w:val="32"/>
            </w:rPr>
            <w:t>2.5 Comparison and Discussion</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_Toc91584983 \h </w:instrText>
          </w:r>
          <w:r>
            <w:rPr>
              <w:rFonts w:ascii="Times New Roman" w:hAnsi="Times New Roman" w:cs="Times New Roman"/>
              <w:sz w:val="28"/>
              <w:szCs w:val="32"/>
            </w:rPr>
            <w:fldChar w:fldCharType="separate"/>
          </w:r>
          <w:r>
            <w:rPr>
              <w:rFonts w:ascii="Times New Roman" w:hAnsi="Times New Roman" w:cs="Times New Roman"/>
              <w:sz w:val="28"/>
              <w:szCs w:val="32"/>
            </w:rPr>
            <w:t>9</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7"/>
          </w:pPr>
          <w:r>
            <w:fldChar w:fldCharType="begin"/>
          </w:r>
          <w:r>
            <w:instrText xml:space="preserve"> HYPERLINK \l "_Toc91584984" </w:instrText>
          </w:r>
          <w:r>
            <w:fldChar w:fldCharType="separate"/>
          </w:r>
          <w:r>
            <w:rPr>
              <w:rStyle w:val="16"/>
            </w:rPr>
            <w:t>3. Security framework design</w:t>
          </w:r>
          <w:r>
            <w:tab/>
          </w:r>
          <w:r>
            <w:fldChar w:fldCharType="begin"/>
          </w:r>
          <w:r>
            <w:instrText xml:space="preserve"> PAGEREF _Toc91584984 \h </w:instrText>
          </w:r>
          <w:r>
            <w:fldChar w:fldCharType="separate"/>
          </w:r>
          <w:r>
            <w:t>10</w:t>
          </w:r>
          <w:r>
            <w:fldChar w:fldCharType="end"/>
          </w:r>
          <w: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"_Toc91584985" </w:instrText>
          </w:r>
          <w:r>
            <w:fldChar w:fldCharType="separate"/>
          </w:r>
          <w:r>
            <w:rPr>
              <w:rStyle w:val="16"/>
              <w:rFonts w:ascii="Times New Roman" w:hAnsi="Times New Roman" w:cs="Times New Roman"/>
              <w:sz w:val="28"/>
              <w:szCs w:val="32"/>
            </w:rPr>
            <w:t>3.1 Background analysis</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_Toc91584985 \h </w:instrText>
          </w:r>
          <w:r>
            <w:rPr>
              <w:rFonts w:ascii="Times New Roman" w:hAnsi="Times New Roman" w:cs="Times New Roman"/>
              <w:sz w:val="28"/>
              <w:szCs w:val="32"/>
            </w:rPr>
            <w:fldChar w:fldCharType="separate"/>
          </w:r>
          <w:r>
            <w:rPr>
              <w:rFonts w:ascii="Times New Roman" w:hAnsi="Times New Roman" w:cs="Times New Roman"/>
              <w:sz w:val="28"/>
              <w:szCs w:val="32"/>
            </w:rPr>
            <w:t>10</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"_Toc91584986" </w:instrText>
          </w:r>
          <w:r>
            <w:fldChar w:fldCharType="separate"/>
          </w:r>
          <w:r>
            <w:rPr>
              <w:rStyle w:val="16"/>
              <w:rFonts w:ascii="Times New Roman" w:hAnsi="Times New Roman" w:cs="Times New Roman"/>
              <w:sz w:val="28"/>
              <w:szCs w:val="32"/>
            </w:rPr>
            <w:t>3.2 Basic framework</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_Toc91584986 \h </w:instrText>
          </w:r>
          <w:r>
            <w:rPr>
              <w:rFonts w:ascii="Times New Roman" w:hAnsi="Times New Roman" w:cs="Times New Roman"/>
              <w:sz w:val="28"/>
              <w:szCs w:val="32"/>
            </w:rPr>
            <w:fldChar w:fldCharType="separate"/>
          </w:r>
          <w:r>
            <w:rPr>
              <w:rFonts w:ascii="Times New Roman" w:hAnsi="Times New Roman" w:cs="Times New Roman"/>
              <w:sz w:val="28"/>
              <w:szCs w:val="32"/>
            </w:rPr>
            <w:t>10</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8"/>
            <w:tabs>
              <w:tab w:val="right" w:leader="dot" w:pos="8296"/>
            </w:tabs>
            <w:rPr>
              <w:rFonts w:ascii="Times New Roman" w:hAnsi="Times New Roman" w:cs="Times New Roman"/>
              <w:sz w:val="28"/>
              <w:szCs w:val="32"/>
            </w:rPr>
          </w:pPr>
          <w:r>
            <w:fldChar w:fldCharType="begin"/>
          </w:r>
          <w:r>
            <w:instrText xml:space="preserve"> HYPERLINK \l "_Toc91584987" </w:instrText>
          </w:r>
          <w:r>
            <w:fldChar w:fldCharType="separate"/>
          </w:r>
          <w:r>
            <w:rPr>
              <w:rStyle w:val="16"/>
              <w:rFonts w:ascii="Times New Roman" w:hAnsi="Times New Roman" w:cs="Times New Roman"/>
              <w:sz w:val="28"/>
              <w:szCs w:val="32"/>
            </w:rPr>
            <w:t>3.3 Additional framework</w:t>
          </w:r>
          <w:r>
            <w:rPr>
              <w:rFonts w:ascii="Times New Roman" w:hAnsi="Times New Roman" w:cs="Times New Roman"/>
              <w:sz w:val="28"/>
              <w:szCs w:val="32"/>
            </w:rPr>
            <w:tab/>
          </w:r>
          <w:r>
            <w:rPr>
              <w:rFonts w:ascii="Times New Roman" w:hAnsi="Times New Roman" w:cs="Times New Roman"/>
              <w:sz w:val="28"/>
              <w:szCs w:val="32"/>
            </w:rPr>
            <w:fldChar w:fldCharType="begin"/>
          </w:r>
          <w:r>
            <w:rPr>
              <w:rFonts w:ascii="Times New Roman" w:hAnsi="Times New Roman" w:cs="Times New Roman"/>
              <w:sz w:val="28"/>
              <w:szCs w:val="32"/>
            </w:rPr>
            <w:instrText xml:space="preserve"> PAGEREF _Toc91584987 \h </w:instrText>
          </w:r>
          <w:r>
            <w:rPr>
              <w:rFonts w:ascii="Times New Roman" w:hAnsi="Times New Roman" w:cs="Times New Roman"/>
              <w:sz w:val="28"/>
              <w:szCs w:val="32"/>
            </w:rPr>
            <w:fldChar w:fldCharType="separate"/>
          </w:r>
          <w:r>
            <w:rPr>
              <w:rFonts w:ascii="Times New Roman" w:hAnsi="Times New Roman" w:cs="Times New Roman"/>
              <w:sz w:val="28"/>
              <w:szCs w:val="32"/>
            </w:rPr>
            <w:t>12</w:t>
          </w:r>
          <w:r>
            <w:rPr>
              <w:rFonts w:ascii="Times New Roman" w:hAnsi="Times New Roman" w:cs="Times New Roman"/>
              <w:sz w:val="28"/>
              <w:szCs w:val="32"/>
            </w:rPr>
            <w:fldChar w:fldCharType="end"/>
          </w:r>
          <w:r>
            <w:rPr>
              <w:rFonts w:ascii="Times New Roman" w:hAnsi="Times New Roman" w:cs="Times New Roman"/>
              <w:sz w:val="28"/>
              <w:szCs w:val="32"/>
            </w:rPr>
            <w:fldChar w:fldCharType="end"/>
          </w:r>
        </w:p>
        <w:p>
          <w:pPr>
            <w:pStyle w:val="7"/>
          </w:pPr>
          <w:r>
            <w:fldChar w:fldCharType="begin"/>
          </w:r>
          <w:r>
            <w:instrText xml:space="preserve"> HYPERLINK \l "_Toc91584988" </w:instrText>
          </w:r>
          <w:r>
            <w:fldChar w:fldCharType="separate"/>
          </w:r>
          <w:r>
            <w:rPr>
              <w:rStyle w:val="16"/>
            </w:rPr>
            <w:t>4. Conclusion and future work</w:t>
          </w:r>
          <w:r>
            <w:tab/>
          </w:r>
          <w:r>
            <w:fldChar w:fldCharType="begin"/>
          </w:r>
          <w:r>
            <w:instrText xml:space="preserve"> PAGEREF _Toc91584988 \h </w:instrText>
          </w:r>
          <w:r>
            <w:fldChar w:fldCharType="separate"/>
          </w:r>
          <w:r>
            <w:t>12</w:t>
          </w:r>
          <w:r>
            <w:fldChar w:fldCharType="end"/>
          </w:r>
          <w:r>
            <w:fldChar w:fldCharType="end"/>
          </w:r>
        </w:p>
        <w:p>
          <w:pPr>
            <w:pStyle w:val="7"/>
            <w:rPr>
              <w:b/>
              <w:bCs/>
              <w:sz w:val="24"/>
              <w:szCs w:val="28"/>
            </w:rPr>
          </w:pPr>
          <w:r>
            <w:rPr>
              <w:b/>
              <w:bCs/>
              <w:lang w:val="zh-CN"/>
            </w:rPr>
            <w:fldChar w:fldCharType="end"/>
          </w:r>
          <w:r>
            <w:t>Reference list</w:t>
          </w:r>
          <w:r>
            <w:tab/>
          </w:r>
          <w:r>
            <w:t>13</w:t>
          </w:r>
        </w:p>
        <w:p/>
      </w:sdtContent>
    </w:sdt>
    <w:p>
      <w:pPr>
        <w:rPr>
          <w:rFonts w:ascii="Times New Roman" w:hAnsi="Times New Roman" w:cs="Times New Roman"/>
          <w:sz w:val="28"/>
          <w:szCs w:val="32"/>
        </w:rPr>
      </w:pPr>
    </w:p>
    <w:p>
      <w:pPr>
        <w:rPr>
          <w:sz w:val="32"/>
          <w:szCs w:val="36"/>
        </w:rPr>
      </w:pPr>
    </w:p>
    <w:p>
      <w:pPr>
        <w:rPr>
          <w:sz w:val="32"/>
          <w:szCs w:val="36"/>
        </w:rPr>
      </w:pPr>
    </w:p>
    <w:p>
      <w:pPr>
        <w:rPr>
          <w:sz w:val="32"/>
          <w:szCs w:val="36"/>
        </w:rPr>
      </w:pPr>
    </w:p>
    <w:p>
      <w:pPr>
        <w:pStyle w:val="2"/>
      </w:pPr>
      <w:bookmarkStart w:id="0" w:name="_Toc91584977"/>
      <w:r>
        <w:t>1.Introduction</w:t>
      </w:r>
      <w:bookmarkEnd w:id="0"/>
    </w:p>
    <w:p>
      <w:pPr>
        <w:spacing w:line="312" w:lineRule="exact"/>
        <w:ind w:firstLine="420" w:firstLineChars="150"/>
        <w:rPr>
          <w:rFonts w:ascii="Times New Roman" w:hAnsi="Times New Roman" w:cs="Times New Roman"/>
          <w:sz w:val="28"/>
          <w:szCs w:val="28"/>
        </w:rPr>
      </w:pPr>
      <w:r>
        <w:rPr>
          <w:rFonts w:ascii="Times New Roman" w:hAnsi="Times New Roman" w:cs="Times New Roman"/>
          <w:sz w:val="28"/>
          <w:szCs w:val="28"/>
        </w:rPr>
        <w:t>With the globalization of economic development, network information system is widely applied in business scenarios. Businesses around the world use the Internet to transact and retain information with their customers and employees located in different places. However, commercial companies may be attacked by hackers, resulting in the disclosure of corporate secrets, loss of customer information and many other problems, which have seriously damaged the company income and trust, and even threatened the survival of the company [1]. Therefore, information security has obtained a lot of attention in the new era.</w:t>
      </w:r>
    </w:p>
    <w:p>
      <w:pPr>
        <w:spacing w:line="312" w:lineRule="exact"/>
        <w:ind w:firstLine="420" w:firstLineChars="150"/>
        <w:rPr>
          <w:rFonts w:ascii="Times New Roman" w:hAnsi="Times New Roman" w:cs="Times New Roman"/>
          <w:sz w:val="28"/>
          <w:szCs w:val="28"/>
        </w:rPr>
      </w:pPr>
      <w:r>
        <w:rPr>
          <w:rFonts w:ascii="Times New Roman" w:hAnsi="Times New Roman" w:cs="Times New Roman"/>
          <w:sz w:val="28"/>
          <w:szCs w:val="28"/>
        </w:rPr>
        <w:t xml:space="preserve">Information security management system (ISMS) represents the information security policies and objectives in the overall or specific scope, as well as the methods used to achieve these objectives [2]. And the ISMS can realize the balanced protection of data confidentiality, integrity, and availability which are the primary focus of information security while keeping focus on effective policy implementation, all without compromising organizational productivity [3]. To build up this system, certain information security frameworks or models, such as National Institute of Standards and Technology (NIST) cyber security framework and the </w:t>
      </w:r>
      <w:r>
        <w:rPr>
          <w:rFonts w:ascii="TimesNewRomanPSMT" w:hAnsi="TimesNewRomanPSMT" w:eastAsia="宋体" w:cs="宋体"/>
          <w:color w:val="000000"/>
          <w:kern w:val="0"/>
          <w:sz w:val="28"/>
          <w:szCs w:val="28"/>
        </w:rPr>
        <w:t>International Organization for Standardization</w:t>
      </w:r>
      <w:r>
        <w:rPr>
          <w:rFonts w:ascii="Times New Roman" w:hAnsi="Times New Roman" w:cs="Times New Roman"/>
          <w:sz w:val="28"/>
          <w:szCs w:val="28"/>
        </w:rPr>
        <w:t xml:space="preserve"> (ISO) 27001 Information Security Standard, could be combined to overcome the disadvantage of poor applicability [4].</w:t>
      </w:r>
    </w:p>
    <w:p>
      <w:pPr>
        <w:spacing w:line="312" w:lineRule="exact"/>
        <w:ind w:firstLine="420" w:firstLineChars="150"/>
        <w:rPr>
          <w:rFonts w:hint="eastAsia" w:ascii="TimesNewRomanPSMT" w:hAnsi="TimesNewRomanPSMT" w:eastAsia="宋体" w:cs="宋体"/>
          <w:color w:val="000000"/>
          <w:kern w:val="0"/>
          <w:sz w:val="28"/>
          <w:szCs w:val="28"/>
        </w:rPr>
      </w:pPr>
      <w:r>
        <w:rPr>
          <w:rFonts w:ascii="Times New Roman" w:hAnsi="Times New Roman" w:cs="Times New Roman"/>
          <w:sz w:val="28"/>
          <w:szCs w:val="28"/>
        </w:rPr>
        <w:t xml:space="preserve">In this paper, various information security models including NIST cyber security framework, ISO 27000 Series, and Information Technology Infrastructure Library (ITIL) are studied and analyzed. And the reasons and importance of keeping updated are also explained. On this basis, an information security management system for CoffeeBlue company is established as a case study.  A variety of models are adopted and combined to solve the problems of cloud service, data privacy and intellectual property protection, which </w:t>
      </w:r>
      <w:r>
        <w:rPr>
          <w:rFonts w:ascii="TimesNewRomanPSMT" w:hAnsi="TimesNewRomanPSMT" w:eastAsia="宋体" w:cs="宋体"/>
          <w:color w:val="000000"/>
          <w:kern w:val="0"/>
          <w:sz w:val="28"/>
          <w:szCs w:val="28"/>
        </w:rPr>
        <w:t>utilize the knowledge of policy, management, compliance, governance and strategic planning, security management models and practices.</w:t>
      </w: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ind w:firstLine="420" w:firstLineChars="150"/>
        <w:rPr>
          <w:rFonts w:hint="eastAsia" w:ascii="TimesNewRomanPSMT" w:hAnsi="TimesNewRomanPSMT" w:eastAsia="宋体" w:cs="宋体"/>
          <w:color w:val="000000"/>
          <w:kern w:val="0"/>
          <w:sz w:val="28"/>
          <w:szCs w:val="28"/>
        </w:rPr>
      </w:pPr>
    </w:p>
    <w:p>
      <w:pPr>
        <w:spacing w:line="312" w:lineRule="exact"/>
        <w:rPr>
          <w:rFonts w:hint="eastAsia" w:ascii="TimesNewRomanPSMT" w:hAnsi="TimesNewRomanPSMT" w:eastAsia="宋体" w:cs="宋体"/>
          <w:color w:val="000000"/>
          <w:kern w:val="0"/>
          <w:sz w:val="28"/>
          <w:szCs w:val="28"/>
        </w:rPr>
      </w:pPr>
    </w:p>
    <w:p>
      <w:pPr>
        <w:pStyle w:val="2"/>
        <w:rPr>
          <w:szCs w:val="36"/>
        </w:rPr>
      </w:pPr>
      <w:bookmarkStart w:id="1" w:name="_Toc91584978"/>
      <w:r>
        <w:t>2. Literature review of security frameworks and models</w:t>
      </w:r>
      <w:bookmarkEnd w:id="1"/>
    </w:p>
    <w:p>
      <w:pPr>
        <w:pStyle w:val="3"/>
      </w:pPr>
      <w:bookmarkStart w:id="2" w:name="_Toc91584979"/>
      <w:r>
        <w:t xml:space="preserve">2.1 NIST </w:t>
      </w:r>
      <w:bookmarkStart w:id="3" w:name="OLE_LINK1"/>
      <w:r>
        <w:t>Cyber Security Framework</w:t>
      </w:r>
      <w:bookmarkEnd w:id="2"/>
      <w:bookmarkEnd w:id="3"/>
    </w:p>
    <w:p>
      <w:pPr>
        <w:spacing w:line="312" w:lineRule="exact"/>
        <w:ind w:firstLine="420" w:firstLineChars="150"/>
        <w:rPr>
          <w:rFonts w:ascii="Times New Roman" w:hAnsi="Times New Roman" w:cs="Times New Roman"/>
          <w:sz w:val="28"/>
          <w:szCs w:val="28"/>
        </w:rPr>
      </w:pPr>
      <w:bookmarkStart w:id="4" w:name="OLE_LINK2"/>
      <w:r>
        <w:rPr>
          <w:rFonts w:ascii="Times New Roman" w:hAnsi="Times New Roman" w:cs="Times New Roman"/>
          <w:sz w:val="28"/>
          <w:szCs w:val="28"/>
        </w:rPr>
        <w:t xml:space="preserve">The </w:t>
      </w:r>
      <w:bookmarkEnd w:id="4"/>
      <w:r>
        <w:rPr>
          <w:rFonts w:ascii="Times New Roman" w:hAnsi="Times New Roman" w:cs="Times New Roman"/>
          <w:sz w:val="28"/>
          <w:szCs w:val="28"/>
        </w:rPr>
        <w:t xml:space="preserve">National Institute of Standards and Technology Cyber Security Framework </w:t>
      </w:r>
      <w:r>
        <w:rPr>
          <w:rFonts w:hint="eastAsia" w:ascii="Times New Roman" w:hAnsi="Times New Roman" w:cs="Times New Roman"/>
          <w:sz w:val="28"/>
          <w:szCs w:val="28"/>
        </w:rPr>
        <w:t>(</w:t>
      </w:r>
      <w:r>
        <w:rPr>
          <w:rFonts w:ascii="Times New Roman" w:hAnsi="Times New Roman" w:cs="Times New Roman"/>
          <w:sz w:val="28"/>
          <w:szCs w:val="28"/>
        </w:rPr>
        <w:t>NIST CSF) is a set of guiding principle</w:t>
      </w:r>
      <w:r>
        <w:rPr>
          <w:rFonts w:hint="eastAsia" w:ascii="Times New Roman" w:hAnsi="Times New Roman" w:cs="Times New Roman"/>
          <w:sz w:val="28"/>
          <w:szCs w:val="28"/>
        </w:rPr>
        <w:t>s</w:t>
      </w:r>
      <w:r>
        <w:rPr>
          <w:rFonts w:ascii="Times New Roman" w:hAnsi="Times New Roman" w:cs="Times New Roman"/>
          <w:sz w:val="28"/>
          <w:szCs w:val="28"/>
        </w:rPr>
        <w:t xml:space="preserve"> to reduce the network security risks of organizations according to existing standards, guidelines, and practices [5]. Now it has two versions, one is Version 1.0 which aims at key infrastructure operators, the other is Version 1.1 which mainly expands the content of self-assessment, cyber supply chain risk and coordinated vulnerability disclosure.</w:t>
      </w:r>
    </w:p>
    <w:p>
      <w:pPr>
        <w:widowControl/>
        <w:spacing w:after="156" w:afterLines="50" w:line="312" w:lineRule="exact"/>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drawing>
          <wp:anchor distT="0" distB="0" distL="114300" distR="114300" simplePos="0" relativeHeight="251658240" behindDoc="0" locked="0" layoutInCell="1" allowOverlap="1">
            <wp:simplePos x="0" y="0"/>
            <wp:positionH relativeFrom="margin">
              <wp:align>left</wp:align>
            </wp:positionH>
            <wp:positionV relativeFrom="paragraph">
              <wp:posOffset>1951990</wp:posOffset>
            </wp:positionV>
            <wp:extent cx="5271770" cy="2880995"/>
            <wp:effectExtent l="0" t="0" r="5080" b="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271770" cy="2880995"/>
                    </a:xfrm>
                    <a:prstGeom prst="rect">
                      <a:avLst/>
                    </a:prstGeom>
                  </pic:spPr>
                </pic:pic>
              </a:graphicData>
            </a:graphic>
          </wp:anchor>
        </w:drawing>
      </w:r>
      <w:r>
        <w:rPr>
          <w:rFonts w:ascii="TimesNewRomanPSMT" w:hAnsi="TimesNewRomanPSMT" w:eastAsia="宋体" w:cs="宋体"/>
          <w:color w:val="000000"/>
          <w:kern w:val="0"/>
          <w:sz w:val="28"/>
          <w:szCs w:val="28"/>
        </w:rPr>
        <w:t xml:space="preserve">   This framework consists of three parts: Framework Core, </w:t>
      </w:r>
      <w:bookmarkStart w:id="5" w:name="_Hlk91166054"/>
      <w:r>
        <w:rPr>
          <w:rFonts w:ascii="TimesNewRomanPSMT" w:hAnsi="TimesNewRomanPSMT" w:eastAsia="宋体" w:cs="宋体"/>
          <w:color w:val="000000"/>
          <w:kern w:val="0"/>
          <w:sz w:val="28"/>
          <w:szCs w:val="28"/>
        </w:rPr>
        <w:t>Framework Implementation Tiers</w:t>
      </w:r>
      <w:bookmarkEnd w:id="5"/>
      <w:r>
        <w:rPr>
          <w:rFonts w:ascii="TimesNewRomanPSMT" w:hAnsi="TimesNewRomanPSMT" w:eastAsia="宋体" w:cs="宋体"/>
          <w:color w:val="000000"/>
          <w:kern w:val="0"/>
          <w:sz w:val="28"/>
          <w:szCs w:val="28"/>
        </w:rPr>
        <w:t xml:space="preserve"> and Framework Profiles</w:t>
      </w:r>
      <w:r>
        <w:rPr>
          <w:rFonts w:ascii="Times New Roman" w:hAnsi="Times New Roman" w:cs="Times New Roman"/>
          <w:sz w:val="28"/>
          <w:szCs w:val="28"/>
        </w:rPr>
        <w:t xml:space="preserve"> [6]. </w:t>
      </w:r>
      <w:r>
        <w:rPr>
          <w:rFonts w:ascii="TimesNewRomanPSMT" w:hAnsi="TimesNewRomanPSMT" w:eastAsia="宋体" w:cs="宋体"/>
          <w:color w:val="000000"/>
          <w:kern w:val="0"/>
          <w:sz w:val="28"/>
          <w:szCs w:val="28"/>
        </w:rPr>
        <w:t>In terms of Framework Core, it is a group of cybersecurity activities, expected outcomes, and widely used references about critical infrastructure origination</w:t>
      </w:r>
      <w:r>
        <w:rPr>
          <w:rFonts w:hint="eastAsia" w:ascii="TimesNewRomanPSMT" w:hAnsi="TimesNewRomanPSMT" w:eastAsia="宋体" w:cs="宋体"/>
          <w:color w:val="000000"/>
          <w:kern w:val="0"/>
          <w:sz w:val="28"/>
          <w:szCs w:val="28"/>
        </w:rPr>
        <w:t>s</w:t>
      </w:r>
      <w:r>
        <w:rPr>
          <w:rFonts w:ascii="TimesNewRomanPSMT" w:hAnsi="TimesNewRomanPSMT" w:eastAsia="宋体" w:cs="宋体"/>
          <w:color w:val="000000"/>
          <w:kern w:val="0"/>
          <w:sz w:val="28"/>
          <w:szCs w:val="28"/>
        </w:rPr>
        <w:t>. The Framework Implementation Tiers provide the context for how an organization views network security risk and the appropriate processes to manage that risk. As for the Framework Profiles, they represent business need-based results selected by the organization from framework categories and subcategories.</w:t>
      </w:r>
    </w:p>
    <w:p>
      <w:pPr>
        <w:widowControl/>
        <w:spacing w:line="312" w:lineRule="exact"/>
        <w:jc w:val="center"/>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4"/>
          <w:szCs w:val="24"/>
        </w:rPr>
        <w:t>Figure 1 Framework Core Structure [6]</w:t>
      </w:r>
    </w:p>
    <w:p>
      <w:pPr>
        <w:widowControl/>
        <w:spacing w:before="156" w:beforeLines="50" w:line="312" w:lineRule="exact"/>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 xml:space="preserve">  Among the three components, Framework Core is the most important one for users to understand. The Framework Core consists of five functions: </w:t>
      </w:r>
      <w:r>
        <w:rPr>
          <w:rFonts w:hint="eastAsia" w:ascii="TimesNewRomanPSMT" w:hAnsi="TimesNewRomanPSMT" w:eastAsia="宋体" w:cs="宋体"/>
          <w:color w:val="000000"/>
          <w:kern w:val="0"/>
          <w:sz w:val="28"/>
          <w:szCs w:val="28"/>
        </w:rPr>
        <w:t>Identify</w:t>
      </w:r>
      <w:r>
        <w:rPr>
          <w:rFonts w:ascii="TimesNewRomanPSMT" w:hAnsi="TimesNewRomanPSMT" w:eastAsia="宋体" w:cs="宋体"/>
          <w:color w:val="000000"/>
          <w:kern w:val="0"/>
          <w:sz w:val="28"/>
          <w:szCs w:val="28"/>
        </w:rPr>
        <w:t xml:space="preserve">, </w:t>
      </w:r>
      <w:bookmarkStart w:id="6" w:name="OLE_LINK3"/>
      <w:r>
        <w:rPr>
          <w:rFonts w:hint="eastAsia" w:ascii="TimesNewRomanPSMT" w:hAnsi="TimesNewRomanPSMT" w:eastAsia="宋体" w:cs="宋体"/>
          <w:color w:val="000000"/>
          <w:kern w:val="0"/>
          <w:sz w:val="28"/>
          <w:szCs w:val="28"/>
        </w:rPr>
        <w:t>Protect</w:t>
      </w:r>
      <w:bookmarkEnd w:id="6"/>
      <w:r>
        <w:rPr>
          <w:rFonts w:ascii="TimesNewRomanPSMT" w:hAnsi="TimesNewRomanPSMT" w:eastAsia="宋体" w:cs="宋体"/>
          <w:color w:val="000000"/>
          <w:kern w:val="0"/>
          <w:sz w:val="28"/>
          <w:szCs w:val="28"/>
        </w:rPr>
        <w:t xml:space="preserve">, </w:t>
      </w:r>
      <w:r>
        <w:rPr>
          <w:rFonts w:hint="eastAsia" w:ascii="TimesNewRomanPSMT" w:hAnsi="TimesNewRomanPSMT" w:eastAsia="宋体" w:cs="宋体"/>
          <w:color w:val="000000"/>
          <w:kern w:val="0"/>
          <w:sz w:val="28"/>
          <w:szCs w:val="28"/>
        </w:rPr>
        <w:t>Detect</w:t>
      </w:r>
      <w:r>
        <w:rPr>
          <w:rFonts w:ascii="TimesNewRomanPSMT" w:hAnsi="TimesNewRomanPSMT" w:eastAsia="宋体" w:cs="宋体"/>
          <w:color w:val="000000"/>
          <w:kern w:val="0"/>
          <w:sz w:val="28"/>
          <w:szCs w:val="28"/>
        </w:rPr>
        <w:t xml:space="preserve">, </w:t>
      </w:r>
      <w:r>
        <w:rPr>
          <w:rFonts w:hint="eastAsia" w:ascii="TimesNewRomanPSMT" w:hAnsi="TimesNewRomanPSMT" w:eastAsia="宋体" w:cs="宋体"/>
          <w:color w:val="000000"/>
          <w:kern w:val="0"/>
          <w:sz w:val="28"/>
          <w:szCs w:val="28"/>
        </w:rPr>
        <w:t>Respond</w:t>
      </w:r>
      <w:r>
        <w:rPr>
          <w:rFonts w:ascii="TimesNewRomanPSMT" w:hAnsi="TimesNewRomanPSMT" w:eastAsia="宋体" w:cs="宋体"/>
          <w:color w:val="000000"/>
          <w:kern w:val="0"/>
          <w:sz w:val="28"/>
          <w:szCs w:val="28"/>
        </w:rPr>
        <w:t xml:space="preserve">, and </w:t>
      </w:r>
      <w:r>
        <w:rPr>
          <w:rFonts w:hint="eastAsia" w:ascii="TimesNewRomanPSMT" w:hAnsi="TimesNewRomanPSMT" w:eastAsia="宋体" w:cs="宋体"/>
          <w:color w:val="000000"/>
          <w:kern w:val="0"/>
          <w:sz w:val="28"/>
          <w:szCs w:val="28"/>
        </w:rPr>
        <w:t>Recover</w:t>
      </w:r>
      <w:r>
        <w:rPr>
          <w:rFonts w:ascii="TimesNewRomanPSMT" w:hAnsi="TimesNewRomanPSMT" w:eastAsia="宋体" w:cs="宋体"/>
          <w:color w:val="000000"/>
          <w:kern w:val="0"/>
          <w:sz w:val="28"/>
          <w:szCs w:val="28"/>
        </w:rPr>
        <w:t xml:space="preserve"> [7]. And its structure is shown as Figure 1. “Identify” means making the organization understand the related business environment, resources and cybersecurity risks and prioritize efforts based on its policies and requirements. “</w:t>
      </w:r>
      <w:r>
        <w:rPr>
          <w:rFonts w:hint="eastAsia" w:ascii="TimesNewRomanPSMT" w:hAnsi="TimesNewRomanPSMT" w:eastAsia="宋体" w:cs="宋体"/>
          <w:color w:val="000000"/>
          <w:kern w:val="0"/>
          <w:sz w:val="28"/>
          <w:szCs w:val="28"/>
        </w:rPr>
        <w:t>Protect</w:t>
      </w:r>
      <w:r>
        <w:rPr>
          <w:rFonts w:ascii="TimesNewRomanPSMT" w:hAnsi="TimesNewRomanPSMT" w:eastAsia="宋体" w:cs="宋体"/>
          <w:color w:val="000000"/>
          <w:kern w:val="0"/>
          <w:sz w:val="28"/>
          <w:szCs w:val="28"/>
        </w:rPr>
        <w:t xml:space="preserve">” means developing the appropriate protecting methods to ensure the implementation of critical services. “Detect” means proposing the suitable activities to identify the generation of network security issues. </w:t>
      </w:r>
      <w:bookmarkStart w:id="7" w:name="OLE_LINK4"/>
      <w:r>
        <w:rPr>
          <w:rFonts w:ascii="TimesNewRomanPSMT" w:hAnsi="TimesNewRomanPSMT" w:eastAsia="宋体" w:cs="宋体"/>
          <w:color w:val="000000"/>
          <w:kern w:val="0"/>
          <w:sz w:val="28"/>
          <w:szCs w:val="28"/>
        </w:rPr>
        <w:t>“Respond”</w:t>
      </w:r>
      <w:bookmarkEnd w:id="7"/>
      <w:r>
        <w:rPr>
          <w:rFonts w:ascii="TimesNewRomanPSMT" w:hAnsi="TimesNewRomanPSMT" w:eastAsia="宋体" w:cs="宋体"/>
          <w:color w:val="000000"/>
          <w:kern w:val="0"/>
          <w:sz w:val="28"/>
          <w:szCs w:val="28"/>
        </w:rPr>
        <w:t xml:space="preserve"> means presenting the corresponding ways to take actions when the cybersecurity events are detected. “Recover” means making certain plans to recover any capabilities or services when the network is damaged.</w:t>
      </w:r>
    </w:p>
    <w:p>
      <w:pPr>
        <w:pStyle w:val="3"/>
      </w:pPr>
      <w:bookmarkStart w:id="8" w:name="_Toc91584980"/>
      <w:r>
        <w:t>2.2 ISO/IEC 27000 Series</w:t>
      </w:r>
      <w:bookmarkEnd w:id="8"/>
    </w:p>
    <w:p>
      <w:pPr>
        <w:spacing w:after="156" w:afterLines="50" w:line="312" w:lineRule="exact"/>
        <w:ind w:firstLine="36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4"/>
          <w:szCs w:val="24"/>
        </w:rPr>
        <w:drawing>
          <wp:anchor distT="0" distB="0" distL="114300" distR="114300" simplePos="0" relativeHeight="251659264" behindDoc="0" locked="0" layoutInCell="1" allowOverlap="1">
            <wp:simplePos x="0" y="0"/>
            <wp:positionH relativeFrom="margin">
              <wp:align>left</wp:align>
            </wp:positionH>
            <wp:positionV relativeFrom="paragraph">
              <wp:posOffset>1355725</wp:posOffset>
            </wp:positionV>
            <wp:extent cx="5274310" cy="2972435"/>
            <wp:effectExtent l="0" t="0" r="2540"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274310" cy="2972435"/>
                    </a:xfrm>
                    <a:prstGeom prst="rect">
                      <a:avLst/>
                    </a:prstGeom>
                  </pic:spPr>
                </pic:pic>
              </a:graphicData>
            </a:graphic>
          </wp:anchor>
        </w:drawing>
      </w:r>
      <w:r>
        <w:rPr>
          <w:rFonts w:ascii="TimesNewRomanPSMT" w:hAnsi="TimesNewRomanPSMT" w:eastAsia="宋体" w:cs="宋体"/>
          <w:color w:val="000000"/>
          <w:kern w:val="0"/>
          <w:sz w:val="28"/>
          <w:szCs w:val="28"/>
        </w:rPr>
        <w:t>ISO/IEC 27000 series is an information security standard jointly issued by the International Organization for Standardization (ISO) and the International Electrotechnical Commission (IEC) which recommends information security control to manage information risks [8]. And it has a huge family, which consists of nearly twenty standards, and close relationship as shown in Figure 2.</w:t>
      </w:r>
    </w:p>
    <w:p>
      <w:pPr>
        <w:spacing w:after="156" w:afterLines="50" w:line="312" w:lineRule="exact"/>
        <w:jc w:val="center"/>
        <w:rPr>
          <w:rFonts w:hint="eastAsia" w:ascii="TimesNewRomanPSMT" w:hAnsi="TimesNewRomanPSMT" w:eastAsia="宋体" w:cs="宋体"/>
          <w:color w:val="000000"/>
          <w:kern w:val="0"/>
          <w:sz w:val="24"/>
          <w:szCs w:val="24"/>
        </w:rPr>
      </w:pPr>
      <w:r>
        <w:rPr>
          <w:rFonts w:ascii="TimesNewRomanPSMT" w:hAnsi="TimesNewRomanPSMT" w:eastAsia="宋体" w:cs="宋体"/>
          <w:color w:val="000000"/>
          <w:kern w:val="0"/>
          <w:sz w:val="24"/>
          <w:szCs w:val="24"/>
        </w:rPr>
        <w:t>Figure 2 ISMS family of standards relationships [8]</w:t>
      </w:r>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Among these series, ISO/IEC 27001 is the key standard provides information on how to set up an information security management system (ISMS). It mainly contains Plan-Do-Check-Act (PDCA) cycle and controls which could be combined to figure out insider threats as shown in Figure 3. For PDCA cycle, it is based on the requirements of planning, implement and ongoing monitoring of the implemented ISMS to improve continuously by feedback actions [9]. For control objectives, they contain many aspects such as security policy, asset management,</w:t>
      </w:r>
      <w:r>
        <w:rPr>
          <w:rFonts w:ascii="Times New Roman" w:hAnsi="Times New Roman" w:eastAsia="宋体" w:cs="Times New Roman"/>
          <w:color w:val="000000"/>
          <w:kern w:val="0"/>
          <w:sz w:val="16"/>
          <w:szCs w:val="16"/>
        </w:rPr>
        <w:t xml:space="preserve"> </w:t>
      </w:r>
      <w:r>
        <w:rPr>
          <w:rFonts w:ascii="TimesNewRomanPSMT" w:hAnsi="TimesNewRomanPSMT" w:eastAsia="宋体" w:cs="宋体"/>
          <w:color w:val="000000"/>
          <w:kern w:val="0"/>
          <w:sz w:val="28"/>
          <w:szCs w:val="28"/>
        </w:rPr>
        <w:t>physical and environmental security,</w:t>
      </w:r>
      <w:r>
        <w:rPr>
          <w:rFonts w:ascii="Times New Roman" w:hAnsi="Times New Roman" w:cs="Times New Roman"/>
          <w:color w:val="000000"/>
          <w:sz w:val="16"/>
          <w:szCs w:val="16"/>
        </w:rPr>
        <w:t xml:space="preserve"> </w:t>
      </w:r>
      <w:r>
        <w:rPr>
          <w:rFonts w:ascii="TimesNewRomanPSMT" w:hAnsi="TimesNewRomanPSMT" w:eastAsia="宋体" w:cs="宋体"/>
          <w:color w:val="000000"/>
          <w:kern w:val="0"/>
          <w:sz w:val="28"/>
          <w:szCs w:val="28"/>
        </w:rPr>
        <w:t>access control,</w:t>
      </w:r>
      <w:r>
        <w:rPr>
          <w:rFonts w:ascii="Times New Roman" w:hAnsi="Times New Roman" w:eastAsia="宋体" w:cs="Times New Roman"/>
          <w:color w:val="000000"/>
          <w:kern w:val="0"/>
          <w:sz w:val="16"/>
          <w:szCs w:val="16"/>
        </w:rPr>
        <w:t xml:space="preserve"> </w:t>
      </w:r>
      <w:r>
        <w:rPr>
          <w:rFonts w:ascii="TimesNewRomanPSMT" w:hAnsi="TimesNewRomanPSMT" w:eastAsia="宋体" w:cs="宋体"/>
          <w:color w:val="000000"/>
          <w:kern w:val="0"/>
          <w:sz w:val="28"/>
          <w:szCs w:val="28"/>
        </w:rPr>
        <w:t xml:space="preserve">business continuity </w:t>
      </w:r>
      <w:r>
        <w:rPr>
          <w:rFonts w:hint="eastAsia" w:ascii="TimesNewRomanPSMT" w:hAnsi="TimesNewRomanPSMT" w:eastAsia="宋体" w:cs="宋体"/>
          <w:color w:val="000000"/>
          <w:kern w:val="0"/>
          <w:sz w:val="28"/>
          <w:szCs w:val="28"/>
        </w:rPr>
        <w:t>m</w:t>
      </w:r>
      <w:r>
        <w:rPr>
          <w:rFonts w:ascii="TimesNewRomanPSMT" w:hAnsi="TimesNewRomanPSMT" w:eastAsia="宋体" w:cs="宋体"/>
          <w:color w:val="000000"/>
          <w:kern w:val="0"/>
          <w:sz w:val="28"/>
          <w:szCs w:val="28"/>
        </w:rPr>
        <w:t xml:space="preserve">anagement, information security incident management and compliance, which are helpful to construct own cybersecurity system. </w:t>
      </w:r>
      <w:r>
        <w:rPr>
          <w:rFonts w:hint="eastAsia" w:ascii="TimesNewRomanPSMT" w:hAnsi="TimesNewRomanPSMT" w:eastAsia="宋体" w:cs="宋体"/>
          <w:color w:val="000000"/>
          <w:kern w:val="0"/>
          <w:sz w:val="28"/>
          <w:szCs w:val="28"/>
        </w:rPr>
        <w:t>B</w:t>
      </w:r>
      <w:r>
        <w:rPr>
          <w:rFonts w:ascii="TimesNewRomanPSMT" w:hAnsi="TimesNewRomanPSMT" w:eastAsia="宋体" w:cs="宋体"/>
          <w:color w:val="000000"/>
          <w:kern w:val="0"/>
          <w:sz w:val="28"/>
          <w:szCs w:val="28"/>
        </w:rPr>
        <w:t>esides, ISO/IEC 27002 is focused on a broad overview of the various areas of security, providing information on 127 controls over 10 areas for application [10].</w:t>
      </w:r>
    </w:p>
    <w:p>
      <w:pPr>
        <w:spacing w:line="312" w:lineRule="exact"/>
        <w:rPr>
          <w:rFonts w:hint="eastAsia" w:ascii="TimesNewRomanPSMT" w:hAnsi="TimesNewRomanPSMT" w:eastAsia="宋体" w:cs="宋体"/>
          <w:color w:val="000000"/>
          <w:kern w:val="0"/>
          <w:sz w:val="28"/>
          <w:szCs w:val="28"/>
        </w:rPr>
      </w:pPr>
    </w:p>
    <w:p>
      <w:pPr>
        <w:spacing w:after="156" w:afterLines="50" w:line="312" w:lineRule="exact"/>
        <w:jc w:val="center"/>
        <w:rPr>
          <w:rFonts w:hint="eastAsia" w:ascii="TimesNewRomanPSMT" w:hAnsi="TimesNewRomanPSMT" w:eastAsia="宋体" w:cs="宋体"/>
          <w:color w:val="000000"/>
          <w:kern w:val="0"/>
          <w:sz w:val="24"/>
          <w:szCs w:val="24"/>
        </w:rPr>
      </w:pPr>
      <w:r>
        <w:rPr>
          <w:rFonts w:ascii="TimesNewRomanPSMT" w:hAnsi="TimesNewRomanPSMT" w:eastAsia="宋体" w:cs="宋体"/>
          <w:color w:val="000000"/>
          <w:kern w:val="0"/>
          <w:sz w:val="28"/>
          <w:szCs w:val="28"/>
        </w:rPr>
        <w:drawing>
          <wp:anchor distT="0" distB="0" distL="114300" distR="114300" simplePos="0" relativeHeight="251660288" behindDoc="0" locked="0" layoutInCell="1" allowOverlap="1">
            <wp:simplePos x="0" y="0"/>
            <wp:positionH relativeFrom="margin">
              <wp:align>center</wp:align>
            </wp:positionH>
            <wp:positionV relativeFrom="paragraph">
              <wp:posOffset>60960</wp:posOffset>
            </wp:positionV>
            <wp:extent cx="4599305" cy="3094990"/>
            <wp:effectExtent l="0" t="0" r="0" b="0"/>
            <wp:wrapTopAndBottom/>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599305" cy="3094990"/>
                    </a:xfrm>
                    <a:prstGeom prst="rect">
                      <a:avLst/>
                    </a:prstGeom>
                  </pic:spPr>
                </pic:pic>
              </a:graphicData>
            </a:graphic>
          </wp:anchor>
        </w:drawing>
      </w:r>
      <w:r>
        <w:rPr>
          <w:rFonts w:hint="eastAsia" w:ascii="TimesNewRomanPSMT" w:hAnsi="TimesNewRomanPSMT" w:eastAsia="宋体" w:cs="宋体"/>
          <w:color w:val="000000"/>
          <w:kern w:val="0"/>
          <w:sz w:val="24"/>
          <w:szCs w:val="24"/>
        </w:rPr>
        <w:t>F</w:t>
      </w:r>
      <w:r>
        <w:rPr>
          <w:rFonts w:ascii="TimesNewRomanPSMT" w:hAnsi="TimesNewRomanPSMT" w:eastAsia="宋体" w:cs="宋体"/>
          <w:color w:val="000000"/>
          <w:kern w:val="0"/>
          <w:sz w:val="24"/>
          <w:szCs w:val="24"/>
        </w:rPr>
        <w:t>igure 3</w:t>
      </w:r>
      <w:r>
        <w:rPr>
          <w:rFonts w:ascii="Bold" w:hAnsi="Bold"/>
          <w:color w:val="000000"/>
          <w:sz w:val="18"/>
          <w:szCs w:val="18"/>
        </w:rPr>
        <w:t xml:space="preserve"> </w:t>
      </w:r>
      <w:r>
        <w:rPr>
          <w:rFonts w:ascii="TimesNewRomanPSMT" w:hAnsi="TimesNewRomanPSMT" w:eastAsia="宋体" w:cs="宋体"/>
          <w:color w:val="000000"/>
          <w:kern w:val="0"/>
          <w:sz w:val="24"/>
          <w:szCs w:val="24"/>
        </w:rPr>
        <w:t>PDCA cycle in ISO 27000 [9]</w:t>
      </w:r>
    </w:p>
    <w:p>
      <w:pPr>
        <w:pStyle w:val="3"/>
      </w:pPr>
      <w:bookmarkStart w:id="9" w:name="_Toc91584981"/>
      <w:r>
        <w:t xml:space="preserve">2.3 </w:t>
      </w:r>
      <w:r>
        <w:rPr>
          <w:rFonts w:hint="eastAsia"/>
        </w:rPr>
        <w:t>I</w:t>
      </w:r>
      <w:r>
        <w:t>nformation Technology Infrastructure Library</w:t>
      </w:r>
      <w:bookmarkEnd w:id="9"/>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ITIL is the Information Technology Infrastructure Library. The term was first used by the UK Government's Central Computer and Telecommunications Agency (CCTA) in the 1980s, but today ITIL is a stand-alone term [11]. ITIL is a library of best practice methods for managing information technology (IT) services and improving IT support and service levels. One of the main goals of ITIL is to ensure that IT services are aligned with different business objectives. Since its introduction in the late 20th century, ITIL has been well developed and its certification has evolved to four levels, the most talked about today being ITIL 4 whose management model is shown as Figure 4.</w:t>
      </w:r>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I</w:t>
      </w:r>
      <w:r>
        <w:rPr>
          <w:rFonts w:hint="eastAsia" w:ascii="TimesNewRomanPSMT" w:hAnsi="TimesNewRomanPSMT" w:eastAsia="宋体" w:cs="宋体"/>
          <w:color w:val="000000"/>
          <w:kern w:val="0"/>
          <w:sz w:val="28"/>
          <w:szCs w:val="28"/>
        </w:rPr>
        <w:t xml:space="preserve">TIL consists of five key phases that cover 26 processes including: </w:t>
      </w:r>
      <w:bookmarkStart w:id="10" w:name="OLE_LINK6"/>
      <w:r>
        <w:rPr>
          <w:rFonts w:hint="eastAsia" w:ascii="TimesNewRomanPSMT" w:hAnsi="TimesNewRomanPSMT" w:eastAsia="宋体" w:cs="宋体"/>
          <w:color w:val="000000"/>
          <w:kern w:val="0"/>
          <w:sz w:val="28"/>
          <w:szCs w:val="28"/>
        </w:rPr>
        <w:t>service strategy, service design, service transfer, service operations, and continuous service improvement</w:t>
      </w:r>
      <w:bookmarkEnd w:id="10"/>
      <w:r>
        <w:rPr>
          <w:rFonts w:hint="eastAsia" w:ascii="TimesNewRomanPSMT" w:hAnsi="TimesNewRomanPSMT" w:eastAsia="宋体" w:cs="宋体"/>
          <w:color w:val="000000"/>
          <w:kern w:val="0"/>
          <w:sz w:val="28"/>
          <w:szCs w:val="28"/>
        </w:rPr>
        <w:t xml:space="preserve">. The </w:t>
      </w:r>
      <w:r>
        <w:rPr>
          <w:rFonts w:ascii="TimesNewRomanPSMT" w:hAnsi="TimesNewRomanPSMT" w:eastAsia="宋体" w:cs="宋体"/>
          <w:color w:val="000000"/>
          <w:kern w:val="0"/>
          <w:sz w:val="28"/>
          <w:szCs w:val="28"/>
        </w:rPr>
        <w:t>s</w:t>
      </w:r>
      <w:r>
        <w:rPr>
          <w:rFonts w:hint="eastAsia" w:ascii="TimesNewRomanPSMT" w:hAnsi="TimesNewRomanPSMT" w:eastAsia="宋体" w:cs="宋体"/>
          <w:color w:val="000000"/>
          <w:kern w:val="0"/>
          <w:sz w:val="28"/>
          <w:szCs w:val="28"/>
        </w:rPr>
        <w:t xml:space="preserve">ervice </w:t>
      </w:r>
      <w:r>
        <w:rPr>
          <w:rFonts w:ascii="TimesNewRomanPSMT" w:hAnsi="TimesNewRomanPSMT" w:eastAsia="宋体" w:cs="宋体"/>
          <w:color w:val="000000"/>
          <w:kern w:val="0"/>
          <w:sz w:val="28"/>
          <w:szCs w:val="28"/>
        </w:rPr>
        <w:t>s</w:t>
      </w:r>
      <w:r>
        <w:rPr>
          <w:rFonts w:hint="eastAsia" w:ascii="TimesNewRomanPSMT" w:hAnsi="TimesNewRomanPSMT" w:eastAsia="宋体" w:cs="宋体"/>
          <w:color w:val="000000"/>
          <w:kern w:val="0"/>
          <w:sz w:val="28"/>
          <w:szCs w:val="28"/>
        </w:rPr>
        <w:t>trategy focuses on the ITIL service lifecycle and describes how to design,</w:t>
      </w:r>
      <w:r>
        <w:rPr>
          <w:rFonts w:ascii="TimesNewRomanPSMT" w:hAnsi="TimesNewRomanPSMT" w:eastAsia="宋体" w:cs="宋体"/>
          <w:color w:val="000000"/>
          <w:kern w:val="0"/>
          <w:sz w:val="28"/>
          <w:szCs w:val="28"/>
        </w:rPr>
        <w:t xml:space="preserve"> develop</w:t>
      </w:r>
      <w:r>
        <w:rPr>
          <w:rFonts w:hint="eastAsia" w:ascii="TimesNewRomanPSMT" w:hAnsi="TimesNewRomanPSMT" w:eastAsia="宋体" w:cs="宋体"/>
          <w:color w:val="000000"/>
          <w:kern w:val="0"/>
          <w:sz w:val="28"/>
          <w:szCs w:val="28"/>
        </w:rPr>
        <w:t xml:space="preserve">, and implement IT service management. Service design describes how to design services and processes. Service </w:t>
      </w:r>
      <w:r>
        <w:rPr>
          <w:rFonts w:ascii="TimesNewRomanPSMT" w:hAnsi="TimesNewRomanPSMT" w:eastAsia="宋体" w:cs="宋体"/>
          <w:color w:val="000000"/>
          <w:kern w:val="0"/>
          <w:sz w:val="28"/>
          <w:szCs w:val="28"/>
        </w:rPr>
        <w:t>m</w:t>
      </w:r>
      <w:r>
        <w:rPr>
          <w:rFonts w:hint="eastAsia" w:ascii="TimesNewRomanPSMT" w:hAnsi="TimesNewRomanPSMT" w:eastAsia="宋体" w:cs="宋体"/>
          <w:color w:val="000000"/>
          <w:kern w:val="0"/>
          <w:sz w:val="28"/>
          <w:szCs w:val="28"/>
        </w:rPr>
        <w:t xml:space="preserve">igration describes how to manage the transfer of new or changed services, with a focus on ensuring that all service management processes remain balanced. Service </w:t>
      </w:r>
      <w:r>
        <w:rPr>
          <w:rFonts w:ascii="TimesNewRomanPSMT" w:hAnsi="TimesNewRomanPSMT" w:eastAsia="宋体" w:cs="宋体"/>
          <w:color w:val="000000"/>
          <w:kern w:val="0"/>
          <w:sz w:val="28"/>
          <w:szCs w:val="28"/>
        </w:rPr>
        <w:t>o</w:t>
      </w:r>
      <w:r>
        <w:rPr>
          <w:rFonts w:hint="eastAsia" w:ascii="TimesNewRomanPSMT" w:hAnsi="TimesNewRomanPSMT" w:eastAsia="宋体" w:cs="宋体"/>
          <w:color w:val="000000"/>
          <w:kern w:val="0"/>
          <w:sz w:val="28"/>
          <w:szCs w:val="28"/>
        </w:rPr>
        <w:t>perations guides users on how to ensure delivered services and keep them running smoothly and reliably. Continuous Service Improvement describes how to synchronize IT services when business requirements change.</w:t>
      </w:r>
    </w:p>
    <w:p>
      <w:pPr>
        <w:spacing w:after="156" w:afterLines="50"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 xml:space="preserve">There are many benefits of using ITTL, such as ITIL improves tightness during system changes, clarifies roles and responsibilities, reduces system and service outages, improves coordination between functional teams, seamless end-to-end services, increases productivity, reduces costs, and increases customer satisfaction </w:t>
      </w:r>
      <w:r>
        <w:rPr>
          <w:rFonts w:ascii="TimesNewRomanPSMT" w:hAnsi="TimesNewRomanPSMT" w:eastAsia="宋体" w:cs="宋体"/>
          <w:color w:val="000000"/>
          <w:kern w:val="0"/>
          <w:sz w:val="28"/>
        </w:rPr>
        <w:t>[13]</w:t>
      </w:r>
      <w:r>
        <w:rPr>
          <w:rFonts w:ascii="TimesNewRomanPSMT" w:hAnsi="TimesNewRomanPSMT" w:eastAsia="宋体" w:cs="宋体"/>
          <w:color w:val="000000"/>
          <w:kern w:val="0"/>
          <w:sz w:val="28"/>
          <w:szCs w:val="28"/>
        </w:rPr>
        <w:t>.</w:t>
      </w:r>
    </w:p>
    <w:p>
      <w:pPr>
        <w:spacing w:after="156" w:afterLines="50" w:line="312" w:lineRule="exact"/>
        <w:jc w:val="center"/>
        <w:rPr>
          <w:rFonts w:hint="eastAsia" w:ascii="TimesNewRomanPSMT" w:hAnsi="TimesNewRomanPSMT" w:eastAsia="宋体" w:cs="宋体"/>
          <w:color w:val="000000"/>
          <w:kern w:val="0"/>
          <w:sz w:val="24"/>
          <w:szCs w:val="24"/>
        </w:rPr>
      </w:pPr>
      <w:r>
        <w:rPr>
          <w:rFonts w:ascii="TimesNewRomanPSMT" w:hAnsi="TimesNewRomanPSMT" w:eastAsia="宋体" w:cs="宋体"/>
          <w:color w:val="000000"/>
          <w:kern w:val="0"/>
          <w:sz w:val="28"/>
          <w:szCs w:val="28"/>
        </w:rPr>
        <w:drawing>
          <wp:anchor distT="0" distB="0" distL="114300" distR="114300" simplePos="0" relativeHeight="251661312" behindDoc="0" locked="0" layoutInCell="1" allowOverlap="1">
            <wp:simplePos x="0" y="0"/>
            <wp:positionH relativeFrom="margin">
              <wp:posOffset>-1270</wp:posOffset>
            </wp:positionH>
            <wp:positionV relativeFrom="paragraph">
              <wp:posOffset>0</wp:posOffset>
            </wp:positionV>
            <wp:extent cx="5274310" cy="2924175"/>
            <wp:effectExtent l="0" t="0" r="2540" b="9525"/>
            <wp:wrapTopAndBottom/>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274310" cy="2924175"/>
                    </a:xfrm>
                    <a:prstGeom prst="rect">
                      <a:avLst/>
                    </a:prstGeom>
                  </pic:spPr>
                </pic:pic>
              </a:graphicData>
            </a:graphic>
          </wp:anchor>
        </w:drawing>
      </w:r>
      <w:r>
        <w:rPr>
          <w:rFonts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4"/>
          <w:szCs w:val="24"/>
        </w:rPr>
        <w:t>Figure 4 ITIL 4 Service Management 4 Dimensions Model [12]</w:t>
      </w:r>
    </w:p>
    <w:p>
      <w:pPr>
        <w:pStyle w:val="3"/>
      </w:pPr>
      <w:bookmarkStart w:id="11" w:name="_Toc91584982"/>
      <w:r>
        <w:t>2.4 Updating Standards and Regulations for Good Practice</w:t>
      </w:r>
      <w:bookmarkEnd w:id="11"/>
    </w:p>
    <w:p>
      <w:pPr>
        <w:spacing w:line="312" w:lineRule="exact"/>
        <w:ind w:firstLine="560" w:firstLineChars="20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 xml:space="preserve">Constantly updating or creating new standards or regulations can make them timelier, </w:t>
      </w:r>
      <w:r>
        <w:rPr>
          <w:rFonts w:hint="eastAsia" w:ascii="TimesNewRomanPSMT" w:hAnsi="TimesNewRomanPSMT" w:eastAsia="宋体" w:cs="宋体"/>
          <w:color w:val="000000"/>
          <w:kern w:val="0"/>
          <w:sz w:val="28"/>
          <w:szCs w:val="28"/>
        </w:rPr>
        <w:t>more</w:t>
      </w:r>
      <w:r>
        <w:rPr>
          <w:rFonts w:ascii="TimesNewRomanPSMT" w:hAnsi="TimesNewRomanPSMT" w:eastAsia="宋体" w:cs="宋体"/>
          <w:color w:val="000000"/>
          <w:kern w:val="0"/>
          <w:sz w:val="28"/>
          <w:szCs w:val="28"/>
        </w:rPr>
        <w:t xml:space="preserve"> correct and completed. 1. Timeliness: In today's era of rapid development of computer technology, new technologies like blockchain and Bitcoin appear every day. People may use any new Internet technology to trade and communicate which could produce plenty of information. However, this new information is often unprotected and requires constant updating of standards and regulations to create corresponding new information technologies to maintain timeliness and effectiveness. 2. Correctness: When standards, regulations or their drafts are carried out in new fields, certain information management systems may produce errors. We can start from the wrong results to correct the error through the PDCA cycle in this system and summarize to update the corresponding standards to maintain the correctness. 3. Completeness: Standard provisions published by regular international organizations tend to be less prone to major errors. At this point, performance evaluation can be used to determine which aspects are not nearly perfect. Then continuous improvement is made to meet future needs and to make regulations or standards more completed.</w:t>
      </w:r>
    </w:p>
    <w:p>
      <w:pPr>
        <w:pStyle w:val="3"/>
      </w:pPr>
      <w:bookmarkStart w:id="12" w:name="_Toc91584983"/>
      <w:r>
        <w:t xml:space="preserve">2.5 Comparison and </w:t>
      </w:r>
      <w:r>
        <w:rPr>
          <w:rFonts w:hint="eastAsia"/>
        </w:rPr>
        <w:t>D</w:t>
      </w:r>
      <w:r>
        <w:t>iscussion</w:t>
      </w:r>
      <w:bookmarkEnd w:id="12"/>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The basic definition, content</w:t>
      </w:r>
      <w:r>
        <w:rPr>
          <w:rFonts w:hint="eastAsia" w:ascii="TimesNewRomanPSMT" w:hAnsi="TimesNewRomanPSMT" w:eastAsia="宋体" w:cs="宋体"/>
          <w:color w:val="000000"/>
          <w:kern w:val="0"/>
          <w:sz w:val="28"/>
          <w:szCs w:val="28"/>
        </w:rPr>
        <w:t>,</w:t>
      </w:r>
      <w:r>
        <w:rPr>
          <w:rFonts w:ascii="TimesNewRomanPSMT" w:hAnsi="TimesNewRomanPSMT" w:eastAsia="宋体" w:cs="宋体"/>
          <w:color w:val="000000"/>
          <w:kern w:val="0"/>
          <w:sz w:val="28"/>
          <w:szCs w:val="28"/>
        </w:rPr>
        <w:t xml:space="preserve"> and core ideas of three management frameworks of information security system are introduced in the above review. Among them, NIST CSF has the characteristics of voluntary</w:t>
      </w:r>
      <w:r>
        <w:rPr>
          <w:rFonts w:ascii="Tahoma" w:hAnsi="Tahoma" w:cs="Tahoma"/>
          <w:color w:val="999999"/>
          <w:szCs w:val="21"/>
          <w:shd w:val="clear" w:color="auto" w:fill="FFFFFF"/>
        </w:rPr>
        <w:t xml:space="preserve"> </w:t>
      </w:r>
      <w:r>
        <w:rPr>
          <w:rFonts w:ascii="TimesNewRomanPSMT" w:hAnsi="TimesNewRomanPSMT" w:eastAsia="宋体" w:cs="宋体"/>
          <w:color w:val="000000"/>
          <w:kern w:val="0"/>
          <w:sz w:val="28"/>
          <w:szCs w:val="28"/>
        </w:rPr>
        <w:t>and universal and the successful practice of various standard organizations for reference. However, its content is relatively broad, usually only as the guiding ideology of information security management system, not as a specific method for long-term implementation; Compared with NIST CSF, ISO/IEC 27000 Series has more strict, mandatory documentation to regulate critical parts of system security, which not only compensates for the lack of specificity of NIST CSF, but also gain greater trust from investors. And it also provides the relevant economic evaluation part to quantify the economic benefits of information security in commercial companies [14]. But it has shortcoming of complexity, which is not conducive to make adjustment at the management level. So other methods need to be integrated with it for improvement; As for ITIL, it is customer-oriented and can be combined with other frameworks to solve problems related to IT services. In addition, there are some detailed similarities and differences between the three frameworks, which are illustrated in Table 1 (modified from [14]).</w:t>
      </w:r>
    </w:p>
    <w:p>
      <w:pPr>
        <w:spacing w:before="62" w:beforeLines="20" w:after="62" w:afterLines="20" w:line="312" w:lineRule="exact"/>
        <w:jc w:val="center"/>
        <w:rPr>
          <w:rFonts w:ascii="Times New Roman" w:hAnsi="Times New Roman" w:cs="Times New Roman"/>
          <w:b/>
          <w:bCs/>
          <w:sz w:val="28"/>
          <w:szCs w:val="28"/>
        </w:rPr>
      </w:pPr>
      <w:r>
        <w:rPr>
          <w:rFonts w:ascii="TimesNewRomanPSMT" w:hAnsi="TimesNewRomanPSMT" w:eastAsia="宋体" w:cs="宋体"/>
          <w:color w:val="000000"/>
          <w:kern w:val="0"/>
          <w:sz w:val="24"/>
          <w:szCs w:val="24"/>
        </w:rPr>
        <w:t>Table 1 Comparison of three frameworks</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74"/>
        <w:gridCol w:w="2074"/>
        <w:gridCol w:w="2136"/>
        <w:gridCol w:w="207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70" w:hRule="atLeast"/>
        </w:trPr>
        <w:tc>
          <w:tcPr>
            <w:tcW w:w="2074" w:type="dxa"/>
          </w:tcPr>
          <w:p>
            <w:pPr>
              <w:spacing w:line="312" w:lineRule="exact"/>
              <w:jc w:val="center"/>
              <w:rPr>
                <w:rFonts w:ascii="Times New Roman" w:hAnsi="Times New Roman" w:cs="Times New Roman"/>
                <w:b/>
                <w:bCs/>
                <w:sz w:val="28"/>
                <w:szCs w:val="28"/>
              </w:rPr>
            </w:pPr>
          </w:p>
        </w:tc>
        <w:tc>
          <w:tcPr>
            <w:tcW w:w="2074" w:type="dxa"/>
          </w:tcPr>
          <w:p>
            <w:pPr>
              <w:spacing w:line="312" w:lineRule="exact"/>
              <w:jc w:val="center"/>
              <w:rPr>
                <w:rFonts w:ascii="Times New Roman" w:hAnsi="Times New Roman" w:cs="Times New Roman"/>
                <w:sz w:val="28"/>
                <w:szCs w:val="28"/>
              </w:rPr>
            </w:pPr>
          </w:p>
          <w:p>
            <w:pPr>
              <w:spacing w:line="312" w:lineRule="exact"/>
              <w:jc w:val="center"/>
              <w:rPr>
                <w:rFonts w:ascii="Times New Roman" w:hAnsi="Times New Roman" w:cs="Times New Roman"/>
                <w:sz w:val="28"/>
                <w:szCs w:val="28"/>
              </w:rPr>
            </w:pPr>
            <w:r>
              <w:rPr>
                <w:rFonts w:hint="eastAsia" w:ascii="Times New Roman" w:hAnsi="Times New Roman" w:cs="Times New Roman"/>
                <w:sz w:val="28"/>
                <w:szCs w:val="28"/>
              </w:rPr>
              <w:t>N</w:t>
            </w:r>
            <w:r>
              <w:rPr>
                <w:rFonts w:ascii="Times New Roman" w:hAnsi="Times New Roman" w:cs="Times New Roman"/>
                <w:sz w:val="28"/>
                <w:szCs w:val="28"/>
              </w:rPr>
              <w:t>IST CSF</w:t>
            </w:r>
          </w:p>
        </w:tc>
        <w:tc>
          <w:tcPr>
            <w:tcW w:w="2074" w:type="dxa"/>
          </w:tcPr>
          <w:p>
            <w:pPr>
              <w:spacing w:line="312" w:lineRule="exact"/>
              <w:jc w:val="center"/>
              <w:rPr>
                <w:rFonts w:ascii="Times New Roman" w:hAnsi="Times New Roman" w:cs="Times New Roman"/>
                <w:sz w:val="28"/>
                <w:szCs w:val="28"/>
              </w:rPr>
            </w:pPr>
          </w:p>
          <w:p>
            <w:pPr>
              <w:spacing w:line="312" w:lineRule="exact"/>
              <w:jc w:val="center"/>
              <w:rPr>
                <w:rFonts w:ascii="Times New Roman" w:hAnsi="Times New Roman" w:cs="Times New Roman"/>
                <w:sz w:val="28"/>
                <w:szCs w:val="28"/>
              </w:rPr>
            </w:pPr>
            <w:r>
              <w:rPr>
                <w:rFonts w:hint="eastAsia" w:ascii="Times New Roman" w:hAnsi="Times New Roman" w:cs="Times New Roman"/>
                <w:sz w:val="28"/>
                <w:szCs w:val="28"/>
              </w:rPr>
              <w:t>I</w:t>
            </w:r>
            <w:r>
              <w:rPr>
                <w:rFonts w:ascii="Times New Roman" w:hAnsi="Times New Roman" w:cs="Times New Roman"/>
                <w:sz w:val="28"/>
                <w:szCs w:val="28"/>
              </w:rPr>
              <w:t>SO 27000 Series</w:t>
            </w:r>
          </w:p>
        </w:tc>
        <w:tc>
          <w:tcPr>
            <w:tcW w:w="2074" w:type="dxa"/>
          </w:tcPr>
          <w:p>
            <w:pPr>
              <w:spacing w:line="312" w:lineRule="exact"/>
              <w:jc w:val="center"/>
              <w:rPr>
                <w:rFonts w:ascii="Times New Roman" w:hAnsi="Times New Roman" w:cs="Times New Roman"/>
                <w:sz w:val="28"/>
                <w:szCs w:val="28"/>
              </w:rPr>
            </w:pPr>
          </w:p>
          <w:p>
            <w:pPr>
              <w:spacing w:line="312" w:lineRule="exact"/>
              <w:jc w:val="center"/>
              <w:rPr>
                <w:rFonts w:ascii="Times New Roman" w:hAnsi="Times New Roman" w:cs="Times New Roman"/>
                <w:sz w:val="28"/>
                <w:szCs w:val="28"/>
              </w:rPr>
            </w:pPr>
            <w:r>
              <w:rPr>
                <w:rFonts w:hint="eastAsia" w:ascii="Times New Roman" w:hAnsi="Times New Roman" w:cs="Times New Roman"/>
                <w:sz w:val="28"/>
                <w:szCs w:val="28"/>
              </w:rPr>
              <w:t>I</w:t>
            </w:r>
            <w:r>
              <w:rPr>
                <w:rFonts w:ascii="Times New Roman" w:hAnsi="Times New Roman" w:cs="Times New Roman"/>
                <w:sz w:val="28"/>
                <w:szCs w:val="28"/>
              </w:rPr>
              <w:t>TIL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74" w:type="dxa"/>
          </w:tcPr>
          <w:p>
            <w:pPr>
              <w:spacing w:line="312" w:lineRule="exact"/>
              <w:jc w:val="center"/>
              <w:rPr>
                <w:rFonts w:ascii="Times New Roman" w:hAnsi="Times New Roman" w:cs="Times New Roman"/>
                <w:sz w:val="28"/>
                <w:szCs w:val="28"/>
              </w:rPr>
            </w:pPr>
          </w:p>
          <w:p>
            <w:pPr>
              <w:spacing w:line="312" w:lineRule="exact"/>
              <w:jc w:val="center"/>
              <w:rPr>
                <w:rFonts w:ascii="Times New Roman" w:hAnsi="Times New Roman" w:cs="Times New Roman"/>
                <w:sz w:val="28"/>
                <w:szCs w:val="28"/>
              </w:rPr>
            </w:pPr>
          </w:p>
          <w:p>
            <w:pPr>
              <w:spacing w:line="312" w:lineRule="exact"/>
              <w:jc w:val="center"/>
              <w:rPr>
                <w:rFonts w:ascii="Times New Roman" w:hAnsi="Times New Roman" w:cs="Times New Roman"/>
                <w:sz w:val="28"/>
                <w:szCs w:val="28"/>
              </w:rPr>
            </w:pPr>
            <w:r>
              <w:rPr>
                <w:rFonts w:ascii="Times New Roman" w:hAnsi="Times New Roman" w:cs="Times New Roman"/>
                <w:sz w:val="28"/>
                <w:szCs w:val="28"/>
              </w:rPr>
              <w:t>Core content</w:t>
            </w:r>
          </w:p>
        </w:tc>
        <w:tc>
          <w:tcPr>
            <w:tcW w:w="2074" w:type="dxa"/>
          </w:tcPr>
          <w:p>
            <w:pPr>
              <w:spacing w:line="312" w:lineRule="exact"/>
              <w:jc w:val="center"/>
              <w:rPr>
                <w:rFonts w:ascii="Times New Roman" w:hAnsi="Times New Roman" w:cs="Times New Roman"/>
                <w:sz w:val="24"/>
                <w:szCs w:val="24"/>
              </w:rPr>
            </w:pPr>
          </w:p>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Identify</w:t>
            </w:r>
            <w:r>
              <w:rPr>
                <w:rFonts w:ascii="Times New Roman" w:hAnsi="Times New Roman" w:cs="Times New Roman"/>
                <w:sz w:val="24"/>
                <w:szCs w:val="24"/>
              </w:rPr>
              <w:t xml:space="preserve">, </w:t>
            </w:r>
            <w:r>
              <w:rPr>
                <w:rFonts w:hint="eastAsia" w:ascii="Times New Roman" w:hAnsi="Times New Roman" w:cs="Times New Roman"/>
                <w:sz w:val="24"/>
                <w:szCs w:val="24"/>
              </w:rPr>
              <w:t>Protect</w:t>
            </w:r>
            <w:r>
              <w:rPr>
                <w:rFonts w:ascii="Times New Roman" w:hAnsi="Times New Roman" w:cs="Times New Roman"/>
                <w:sz w:val="24"/>
                <w:szCs w:val="24"/>
              </w:rPr>
              <w:t xml:space="preserve">, </w:t>
            </w:r>
            <w:r>
              <w:rPr>
                <w:rFonts w:hint="eastAsia" w:ascii="Times New Roman" w:hAnsi="Times New Roman" w:cs="Times New Roman"/>
                <w:sz w:val="24"/>
                <w:szCs w:val="24"/>
              </w:rPr>
              <w:t>Detect</w:t>
            </w:r>
            <w:r>
              <w:rPr>
                <w:rFonts w:ascii="Times New Roman" w:hAnsi="Times New Roman" w:cs="Times New Roman"/>
                <w:sz w:val="24"/>
                <w:szCs w:val="24"/>
              </w:rPr>
              <w:t xml:space="preserve">, </w:t>
            </w:r>
            <w:r>
              <w:rPr>
                <w:rFonts w:hint="eastAsia" w:ascii="Times New Roman" w:hAnsi="Times New Roman" w:cs="Times New Roman"/>
                <w:sz w:val="24"/>
                <w:szCs w:val="24"/>
              </w:rPr>
              <w:t>Respond</w:t>
            </w:r>
            <w:r>
              <w:rPr>
                <w:rFonts w:ascii="Times New Roman" w:hAnsi="Times New Roman" w:cs="Times New Roman"/>
                <w:sz w:val="24"/>
                <w:szCs w:val="24"/>
              </w:rPr>
              <w:t xml:space="preserve">, and </w:t>
            </w:r>
            <w:r>
              <w:rPr>
                <w:rFonts w:hint="eastAsia" w:ascii="Times New Roman" w:hAnsi="Times New Roman" w:cs="Times New Roman"/>
                <w:sz w:val="24"/>
                <w:szCs w:val="24"/>
              </w:rPr>
              <w:t>Recover</w:t>
            </w:r>
          </w:p>
        </w:tc>
        <w:tc>
          <w:tcPr>
            <w:tcW w:w="2074" w:type="dxa"/>
          </w:tcPr>
          <w:p>
            <w:pPr>
              <w:spacing w:line="312" w:lineRule="exact"/>
              <w:jc w:val="center"/>
              <w:rPr>
                <w:rFonts w:ascii="Times New Roman" w:hAnsi="Times New Roman" w:cs="Times New Roman"/>
                <w:sz w:val="24"/>
                <w:szCs w:val="24"/>
              </w:rPr>
            </w:pPr>
          </w:p>
          <w:p>
            <w:pPr>
              <w:spacing w:line="312" w:lineRule="exact"/>
              <w:jc w:val="center"/>
              <w:rPr>
                <w:rFonts w:ascii="Times New Roman" w:hAnsi="Times New Roman" w:cs="Times New Roman"/>
                <w:sz w:val="24"/>
                <w:szCs w:val="24"/>
              </w:rPr>
            </w:pPr>
            <w:r>
              <w:rPr>
                <w:rFonts w:ascii="Times New Roman" w:hAnsi="Times New Roman" w:cs="Times New Roman"/>
                <w:sz w:val="24"/>
                <w:szCs w:val="24"/>
              </w:rPr>
              <w:t>Plan-Do-Check-Act cycle and controls</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S</w:t>
            </w:r>
            <w:r>
              <w:rPr>
                <w:rFonts w:hint="eastAsia" w:ascii="Times New Roman" w:hAnsi="Times New Roman" w:cs="Times New Roman"/>
                <w:sz w:val="24"/>
                <w:szCs w:val="24"/>
              </w:rPr>
              <w:t>ervice strategy,</w:t>
            </w:r>
            <w:r>
              <w:rPr>
                <w:rFonts w:ascii="Times New Roman" w:hAnsi="Times New Roman" w:cs="Times New Roman"/>
                <w:sz w:val="24"/>
                <w:szCs w:val="24"/>
              </w:rPr>
              <w:t xml:space="preserve"> </w:t>
            </w:r>
            <w:r>
              <w:rPr>
                <w:rFonts w:hint="eastAsia" w:ascii="Times New Roman" w:hAnsi="Times New Roman" w:cs="Times New Roman"/>
                <w:sz w:val="24"/>
                <w:szCs w:val="24"/>
              </w:rPr>
              <w:t xml:space="preserve">design, transfer, </w:t>
            </w:r>
            <w:r>
              <w:rPr>
                <w:rFonts w:ascii="Times New Roman" w:hAnsi="Times New Roman" w:cs="Times New Roman"/>
                <w:sz w:val="24"/>
                <w:szCs w:val="24"/>
              </w:rPr>
              <w:t xml:space="preserve">operations, </w:t>
            </w:r>
            <w:r>
              <w:rPr>
                <w:rFonts w:hint="eastAsia" w:ascii="Times New Roman" w:hAnsi="Times New Roman" w:cs="Times New Roman"/>
                <w:sz w:val="24"/>
                <w:szCs w:val="24"/>
              </w:rPr>
              <w:t>and continuous</w:t>
            </w:r>
            <w:r>
              <w:rPr>
                <w:rFonts w:ascii="Times New Roman" w:hAnsi="Times New Roman" w:cs="Times New Roman"/>
                <w:sz w:val="24"/>
                <w:szCs w:val="24"/>
              </w:rPr>
              <w:t xml:space="preserve"> </w:t>
            </w:r>
            <w:r>
              <w:rPr>
                <w:rFonts w:hint="eastAsia" w:ascii="Times New Roman" w:hAnsi="Times New Roman" w:cs="Times New Roman"/>
                <w:sz w:val="24"/>
                <w:szCs w:val="24"/>
              </w:rPr>
              <w:t>improvement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74" w:type="dxa"/>
          </w:tcPr>
          <w:p>
            <w:pPr>
              <w:spacing w:line="312" w:lineRule="exact"/>
              <w:jc w:val="center"/>
              <w:rPr>
                <w:rFonts w:ascii="Times New Roman" w:hAnsi="Times New Roman" w:cs="Times New Roman"/>
                <w:sz w:val="28"/>
                <w:szCs w:val="28"/>
              </w:rPr>
            </w:pPr>
          </w:p>
          <w:p>
            <w:pPr>
              <w:spacing w:line="312" w:lineRule="exact"/>
              <w:jc w:val="center"/>
              <w:rPr>
                <w:rFonts w:ascii="Times New Roman" w:hAnsi="Times New Roman" w:cs="Times New Roman"/>
                <w:sz w:val="28"/>
                <w:szCs w:val="28"/>
              </w:rPr>
            </w:pPr>
            <w:r>
              <w:rPr>
                <w:rFonts w:ascii="Times New Roman" w:hAnsi="Times New Roman" w:cs="Times New Roman"/>
                <w:sz w:val="28"/>
                <w:szCs w:val="28"/>
              </w:rPr>
              <w:t>Mechanism</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Optional,</w:t>
            </w:r>
          </w:p>
          <w:p>
            <w:pPr>
              <w:spacing w:line="312" w:lineRule="exact"/>
              <w:jc w:val="center"/>
              <w:rPr>
                <w:rFonts w:ascii="Times New Roman" w:hAnsi="Times New Roman" w:cs="Times New Roman"/>
                <w:sz w:val="24"/>
                <w:szCs w:val="24"/>
              </w:rPr>
            </w:pPr>
            <w:r>
              <w:rPr>
                <w:rFonts w:ascii="Times New Roman" w:hAnsi="Times New Roman" w:cs="Times New Roman"/>
                <w:sz w:val="24"/>
                <w:szCs w:val="24"/>
              </w:rPr>
              <w:t>self-certification</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Non-voluntary,</w:t>
            </w:r>
          </w:p>
          <w:p>
            <w:pPr>
              <w:spacing w:line="312" w:lineRule="exact"/>
              <w:jc w:val="center"/>
              <w:rPr>
                <w:rFonts w:ascii="Times New Roman" w:hAnsi="Times New Roman" w:cs="Times New Roman"/>
                <w:sz w:val="24"/>
                <w:szCs w:val="24"/>
              </w:rPr>
            </w:pPr>
            <w:r>
              <w:rPr>
                <w:rFonts w:ascii="Times New Roman" w:hAnsi="Times New Roman" w:cs="Times New Roman"/>
                <w:sz w:val="24"/>
                <w:szCs w:val="24"/>
              </w:rPr>
              <w:t>independent audit based</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Personal qualification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74" w:type="dxa"/>
          </w:tcPr>
          <w:p>
            <w:pPr>
              <w:spacing w:line="312" w:lineRule="exact"/>
              <w:jc w:val="center"/>
              <w:rPr>
                <w:rFonts w:ascii="Times New Roman" w:hAnsi="Times New Roman" w:cs="Times New Roman"/>
                <w:sz w:val="28"/>
                <w:szCs w:val="28"/>
              </w:rPr>
            </w:pPr>
            <w:r>
              <w:rPr>
                <w:rFonts w:hint="eastAsia" w:ascii="Times New Roman" w:hAnsi="Times New Roman" w:cs="Times New Roman"/>
                <w:sz w:val="28"/>
                <w:szCs w:val="28"/>
              </w:rPr>
              <w:t>B</w:t>
            </w:r>
            <w:r>
              <w:rPr>
                <w:rFonts w:ascii="Times New Roman" w:hAnsi="Times New Roman" w:cs="Times New Roman"/>
                <w:sz w:val="28"/>
                <w:szCs w:val="28"/>
              </w:rPr>
              <w:t>asis</w:t>
            </w:r>
          </w:p>
        </w:tc>
        <w:tc>
          <w:tcPr>
            <w:tcW w:w="2074" w:type="dxa"/>
          </w:tcPr>
          <w:p>
            <w:pPr>
              <w:widowControl/>
              <w:jc w:val="center"/>
              <w:rPr>
                <w:rFonts w:ascii="Times New Roman" w:hAnsi="Times New Roman" w:cs="Times New Roman"/>
                <w:sz w:val="24"/>
                <w:szCs w:val="24"/>
              </w:rPr>
            </w:pPr>
            <w:r>
              <w:rPr>
                <w:rFonts w:ascii="Times New Roman" w:hAnsi="Times New Roman" w:cs="Times New Roman"/>
                <w:sz w:val="24"/>
                <w:szCs w:val="24"/>
              </w:rPr>
              <w:t>Risk Management</w:t>
            </w:r>
          </w:p>
          <w:p>
            <w:pPr>
              <w:spacing w:line="312" w:lineRule="exact"/>
              <w:jc w:val="center"/>
              <w:rPr>
                <w:rFonts w:ascii="Times New Roman" w:hAnsi="Times New Roman" w:cs="Times New Roman"/>
                <w:sz w:val="24"/>
                <w:szCs w:val="24"/>
              </w:rPr>
            </w:pPr>
            <w:r>
              <w:rPr>
                <w:rFonts w:ascii="Times New Roman" w:hAnsi="Times New Roman" w:cs="Times New Roman"/>
                <w:sz w:val="24"/>
                <w:szCs w:val="24"/>
              </w:rPr>
              <w:t>based</w:t>
            </w:r>
          </w:p>
        </w:tc>
        <w:tc>
          <w:tcPr>
            <w:tcW w:w="2074" w:type="dxa"/>
          </w:tcPr>
          <w:p>
            <w:pPr>
              <w:widowControl/>
              <w:jc w:val="center"/>
              <w:rPr>
                <w:rFonts w:ascii="Times New Roman" w:hAnsi="Times New Roman" w:cs="Times New Roman"/>
                <w:sz w:val="24"/>
                <w:szCs w:val="24"/>
              </w:rPr>
            </w:pPr>
            <w:r>
              <w:rPr>
                <w:rFonts w:ascii="Times New Roman" w:hAnsi="Times New Roman" w:cs="Times New Roman"/>
                <w:sz w:val="24"/>
                <w:szCs w:val="24"/>
              </w:rPr>
              <w:t>Risk Management</w:t>
            </w:r>
          </w:p>
          <w:p>
            <w:pPr>
              <w:spacing w:line="312" w:lineRule="exact"/>
              <w:jc w:val="center"/>
              <w:rPr>
                <w:rFonts w:ascii="Times New Roman" w:hAnsi="Times New Roman" w:cs="Times New Roman"/>
                <w:sz w:val="24"/>
                <w:szCs w:val="24"/>
              </w:rPr>
            </w:pPr>
            <w:r>
              <w:rPr>
                <w:rFonts w:ascii="Times New Roman" w:hAnsi="Times New Roman" w:cs="Times New Roman"/>
                <w:sz w:val="24"/>
                <w:szCs w:val="24"/>
              </w:rPr>
              <w:t>based</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Customer-oriented based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74" w:type="dxa"/>
          </w:tcPr>
          <w:p>
            <w:pPr>
              <w:spacing w:line="312" w:lineRule="exact"/>
              <w:jc w:val="center"/>
              <w:rPr>
                <w:rFonts w:ascii="Times New Roman" w:hAnsi="Times New Roman" w:cs="Times New Roman"/>
                <w:sz w:val="28"/>
                <w:szCs w:val="28"/>
              </w:rPr>
            </w:pPr>
            <w:r>
              <w:rPr>
                <w:rFonts w:ascii="Times New Roman" w:hAnsi="Times New Roman" w:cs="Times New Roman"/>
                <w:sz w:val="28"/>
                <w:szCs w:val="28"/>
              </w:rPr>
              <w:t>Application</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Management level</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Management and technical level</w:t>
            </w:r>
          </w:p>
        </w:tc>
        <w:tc>
          <w:tcPr>
            <w:tcW w:w="2074" w:type="dxa"/>
          </w:tcPr>
          <w:p>
            <w:pPr>
              <w:spacing w:line="312" w:lineRule="exact"/>
              <w:jc w:val="center"/>
              <w:rPr>
                <w:rFonts w:ascii="Times New Roman" w:hAnsi="Times New Roman" w:cs="Times New Roman"/>
                <w:sz w:val="24"/>
                <w:szCs w:val="24"/>
              </w:rPr>
            </w:pPr>
            <w:r>
              <w:rPr>
                <w:rFonts w:ascii="Times New Roman" w:hAnsi="Times New Roman" w:cs="Times New Roman"/>
                <w:sz w:val="24"/>
                <w:szCs w:val="24"/>
              </w:rPr>
              <w:t>Management level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12" w:hRule="atLeast"/>
        </w:trPr>
        <w:tc>
          <w:tcPr>
            <w:tcW w:w="2074" w:type="dxa"/>
          </w:tcPr>
          <w:p>
            <w:pPr>
              <w:spacing w:line="312" w:lineRule="exact"/>
              <w:jc w:val="center"/>
              <w:rPr>
                <w:rFonts w:ascii="Times New Roman" w:hAnsi="Times New Roman" w:cs="Times New Roman"/>
                <w:sz w:val="28"/>
                <w:szCs w:val="28"/>
              </w:rPr>
            </w:pPr>
            <w:r>
              <w:rPr>
                <w:rFonts w:ascii="Times New Roman" w:hAnsi="Times New Roman" w:cs="Times New Roman"/>
                <w:sz w:val="28"/>
                <w:szCs w:val="28"/>
              </w:rPr>
              <w:t>Certifiable</w:t>
            </w:r>
          </w:p>
        </w:tc>
        <w:tc>
          <w:tcPr>
            <w:tcW w:w="2074" w:type="dxa"/>
          </w:tcPr>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N</w:t>
            </w:r>
            <w:r>
              <w:rPr>
                <w:rFonts w:ascii="Times New Roman" w:hAnsi="Times New Roman" w:cs="Times New Roman"/>
                <w:sz w:val="24"/>
                <w:szCs w:val="24"/>
              </w:rPr>
              <w:t>o</w:t>
            </w:r>
          </w:p>
        </w:tc>
        <w:tc>
          <w:tcPr>
            <w:tcW w:w="2074" w:type="dxa"/>
          </w:tcPr>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Y</w:t>
            </w:r>
            <w:r>
              <w:rPr>
                <w:rFonts w:ascii="Times New Roman" w:hAnsi="Times New Roman" w:cs="Times New Roman"/>
                <w:sz w:val="24"/>
                <w:szCs w:val="24"/>
              </w:rPr>
              <w:t>es</w:t>
            </w:r>
          </w:p>
        </w:tc>
        <w:tc>
          <w:tcPr>
            <w:tcW w:w="2074" w:type="dxa"/>
          </w:tcPr>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Y</w:t>
            </w:r>
            <w:r>
              <w:rPr>
                <w:rFonts w:ascii="Times New Roman" w:hAnsi="Times New Roman" w:cs="Times New Roman"/>
                <w:sz w:val="24"/>
                <w:szCs w:val="24"/>
              </w:rPr>
              <w:t>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74" w:type="dxa"/>
          </w:tcPr>
          <w:p>
            <w:pPr>
              <w:spacing w:line="312" w:lineRule="exact"/>
              <w:jc w:val="center"/>
              <w:rPr>
                <w:rFonts w:ascii="Times New Roman" w:hAnsi="Times New Roman" w:cs="Times New Roman"/>
                <w:sz w:val="28"/>
                <w:szCs w:val="28"/>
              </w:rPr>
            </w:pPr>
            <w:r>
              <w:rPr>
                <w:rFonts w:ascii="Times New Roman" w:hAnsi="Times New Roman" w:cs="Times New Roman"/>
                <w:sz w:val="28"/>
                <w:szCs w:val="28"/>
              </w:rPr>
              <w:t>Technology Neutrality</w:t>
            </w:r>
          </w:p>
        </w:tc>
        <w:tc>
          <w:tcPr>
            <w:tcW w:w="2074" w:type="dxa"/>
          </w:tcPr>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Y</w:t>
            </w:r>
            <w:r>
              <w:rPr>
                <w:rFonts w:ascii="Times New Roman" w:hAnsi="Times New Roman" w:cs="Times New Roman"/>
                <w:sz w:val="24"/>
                <w:szCs w:val="24"/>
              </w:rPr>
              <w:t>es</w:t>
            </w:r>
          </w:p>
        </w:tc>
        <w:tc>
          <w:tcPr>
            <w:tcW w:w="2074" w:type="dxa"/>
          </w:tcPr>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Y</w:t>
            </w:r>
            <w:r>
              <w:rPr>
                <w:rFonts w:ascii="Times New Roman" w:hAnsi="Times New Roman" w:cs="Times New Roman"/>
                <w:sz w:val="24"/>
                <w:szCs w:val="24"/>
              </w:rPr>
              <w:t>es</w:t>
            </w:r>
          </w:p>
        </w:tc>
        <w:tc>
          <w:tcPr>
            <w:tcW w:w="2074" w:type="dxa"/>
          </w:tcPr>
          <w:p>
            <w:pPr>
              <w:spacing w:line="312" w:lineRule="exact"/>
              <w:jc w:val="center"/>
              <w:rPr>
                <w:rFonts w:ascii="Times New Roman" w:hAnsi="Times New Roman" w:cs="Times New Roman"/>
                <w:sz w:val="24"/>
                <w:szCs w:val="24"/>
              </w:rPr>
            </w:pPr>
            <w:r>
              <w:rPr>
                <w:rFonts w:hint="eastAsia" w:ascii="Times New Roman" w:hAnsi="Times New Roman" w:cs="Times New Roman"/>
                <w:sz w:val="24"/>
                <w:szCs w:val="24"/>
              </w:rPr>
              <w:t>Y</w:t>
            </w:r>
            <w:r>
              <w:rPr>
                <w:rFonts w:ascii="Times New Roman" w:hAnsi="Times New Roman" w:cs="Times New Roman"/>
                <w:sz w:val="24"/>
                <w:szCs w:val="24"/>
              </w:rPr>
              <w:t>es</w:t>
            </w:r>
          </w:p>
        </w:tc>
      </w:tr>
    </w:tbl>
    <w:p>
      <w:pPr>
        <w:pStyle w:val="2"/>
        <w:rPr>
          <w:szCs w:val="36"/>
        </w:rPr>
      </w:pPr>
      <w:bookmarkStart w:id="13" w:name="_Toc91584984"/>
      <w:r>
        <w:t>3. Security framework design</w:t>
      </w:r>
      <w:bookmarkEnd w:id="13"/>
    </w:p>
    <w:p>
      <w:pPr>
        <w:pStyle w:val="3"/>
      </w:pPr>
      <w:bookmarkStart w:id="14" w:name="_Toc91584985"/>
      <w:r>
        <w:t>3.1 Background analysis</w:t>
      </w:r>
      <w:bookmarkEnd w:id="14"/>
      <w:r>
        <w:t> </w:t>
      </w:r>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CoffeeBlue is a company that sells Jamaican Blue Mountain coffee with operations around the world. It makes use of cloud services to deliver IT services to employees and customers. Therefore, information security is the focus of this company to be solved, which mainly includes three aspects: 1. Access control. The company has a large international clients and employees base, which makes it stressful for everyone to access the company's network or resources from private devices. 2. Risk management. The company has valuable intellectual property and information of employees and clients, which requires systematic and comprehensive risk management. 3. Continuous improvement of IT services. The company has a significant presence on IT services like Internet, social media and cloud services, which need continuous improvements to make the company stay competitive.</w:t>
      </w:r>
    </w:p>
    <w:p>
      <w:pPr>
        <w:pStyle w:val="3"/>
      </w:pPr>
      <w:bookmarkStart w:id="15" w:name="_Toc91584986"/>
      <w:r>
        <w:t xml:space="preserve">3.2 </w:t>
      </w:r>
      <w:r>
        <w:rPr>
          <w:rFonts w:hint="eastAsia"/>
        </w:rPr>
        <w:t>B</w:t>
      </w:r>
      <w:r>
        <w:t>asic framework</w:t>
      </w:r>
      <w:bookmarkEnd w:id="15"/>
    </w:p>
    <w:p>
      <w:pPr>
        <w:spacing w:line="312" w:lineRule="exact"/>
        <w:ind w:firstLine="330" w:firstLineChars="150"/>
        <w:rPr>
          <w:rFonts w:hint="eastAsia" w:ascii="TimesNewRomanPSMT" w:hAnsi="TimesNewRomanPSMT" w:eastAsia="宋体" w:cs="宋体"/>
          <w:color w:val="000000"/>
          <w:kern w:val="0"/>
          <w:sz w:val="28"/>
          <w:szCs w:val="28"/>
        </w:rPr>
      </w:pPr>
      <w:r>
        <w:rPr>
          <w:rFonts w:ascii="SymbolMT" w:hAnsi="SymbolMT" w:eastAsia="宋体" w:cs="宋体"/>
          <w:color w:val="000000"/>
          <w:kern w:val="0"/>
          <w:sz w:val="22"/>
        </w:rPr>
        <w:drawing>
          <wp:anchor distT="0" distB="0" distL="114300" distR="114300" simplePos="0" relativeHeight="251663360" behindDoc="0" locked="0" layoutInCell="1" allowOverlap="1">
            <wp:simplePos x="0" y="0"/>
            <wp:positionH relativeFrom="margin">
              <wp:align>center</wp:align>
            </wp:positionH>
            <wp:positionV relativeFrom="paragraph">
              <wp:posOffset>461645</wp:posOffset>
            </wp:positionV>
            <wp:extent cx="4337685" cy="3288665"/>
            <wp:effectExtent l="0" t="0" r="5715" b="6985"/>
            <wp:wrapTopAndBottom/>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37685" cy="3288665"/>
                    </a:xfrm>
                    <a:prstGeom prst="rect">
                      <a:avLst/>
                    </a:prstGeom>
                  </pic:spPr>
                </pic:pic>
              </a:graphicData>
            </a:graphic>
          </wp:anchor>
        </w:drawing>
      </w:r>
      <w:r>
        <w:rPr>
          <w:rFonts w:ascii="TimesNewRomanPSMT" w:hAnsi="TimesNewRomanPSMT" w:eastAsia="宋体" w:cs="宋体"/>
          <w:color w:val="000000"/>
          <w:kern w:val="0"/>
          <w:sz w:val="28"/>
          <w:szCs w:val="28"/>
        </w:rPr>
        <w:t>To solve the main questions, an original framework (Figure 5) is proposed based on the previous review.</w:t>
      </w:r>
      <w:r>
        <w:rPr>
          <w:rFonts w:ascii="SymbolMT" w:hAnsi="SymbolMT" w:eastAsia="宋体" w:cs="宋体"/>
          <w:color w:val="000000"/>
          <w:kern w:val="0"/>
          <w:sz w:val="22"/>
        </w:rPr>
        <w:t xml:space="preserve"> </w:t>
      </w:r>
    </w:p>
    <w:p>
      <w:pPr>
        <w:spacing w:after="62" w:afterLines="20" w:line="312" w:lineRule="exact"/>
        <w:jc w:val="center"/>
        <w:rPr>
          <w:rFonts w:hint="eastAsia" w:ascii="TimesNewRomanPSMT" w:hAnsi="TimesNewRomanPSMT" w:eastAsia="宋体" w:cs="宋体"/>
          <w:color w:val="000000"/>
          <w:kern w:val="0"/>
          <w:sz w:val="24"/>
          <w:szCs w:val="24"/>
        </w:rPr>
      </w:pPr>
      <w:r>
        <w:rPr>
          <w:rFonts w:ascii="TimesNewRomanPSMT" w:hAnsi="TimesNewRomanPSMT" w:eastAsia="宋体" w:cs="宋体"/>
          <w:color w:val="000000"/>
          <w:kern w:val="0"/>
          <w:sz w:val="24"/>
          <w:szCs w:val="24"/>
        </w:rPr>
        <w:t>Figure 5 An original framework for the case scenari</w:t>
      </w:r>
      <w:r>
        <w:rPr>
          <w:rFonts w:hint="eastAsia" w:ascii="TimesNewRomanPSMT" w:hAnsi="TimesNewRomanPSMT" w:eastAsia="宋体" w:cs="宋体"/>
          <w:color w:val="000000"/>
          <w:kern w:val="0"/>
          <w:sz w:val="24"/>
          <w:szCs w:val="24"/>
        </w:rPr>
        <w:t>o</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1) Policy：</w:t>
      </w:r>
      <w:r>
        <w:rPr>
          <w:rFonts w:ascii="TimesNewRomanPSMT" w:hAnsi="TimesNewRomanPSMT" w:eastAsia="宋体" w:cs="宋体"/>
          <w:color w:val="000000"/>
          <w:kern w:val="0"/>
          <w:sz w:val="28"/>
          <w:szCs w:val="28"/>
        </w:rPr>
        <w:t>Policies are documents issued by top manage</w:t>
      </w:r>
      <w:r>
        <w:rPr>
          <w:rFonts w:hint="eastAsia" w:ascii="TimesNewRomanPSMT" w:hAnsi="TimesNewRomanPSMT" w:eastAsia="宋体" w:cs="宋体"/>
          <w:color w:val="000000"/>
          <w:kern w:val="0"/>
          <w:sz w:val="28"/>
          <w:szCs w:val="28"/>
        </w:rPr>
        <w:t>rs</w:t>
      </w:r>
      <w:r>
        <w:rPr>
          <w:rFonts w:ascii="TimesNewRomanPSMT" w:hAnsi="TimesNewRomanPSMT" w:eastAsia="宋体" w:cs="宋体"/>
          <w:color w:val="000000"/>
          <w:kern w:val="0"/>
          <w:sz w:val="28"/>
          <w:szCs w:val="28"/>
        </w:rPr>
        <w:t xml:space="preserve"> for specific target groups, including any employees and stakeholders. It must be properly written, distributed, read, understood, agreed, and uniformly applied to the people it is aimed at. There are policies about access control of protection mechanism that need to be strictly implemented to ensure the security of information, that is, the company resources are classified into confidential levels, and different groups (customers, employees, managers) can access them through private devices according to different permissions.</w:t>
      </w:r>
    </w:p>
    <w:p>
      <w:pPr>
        <w:spacing w:line="312" w:lineRule="exact"/>
        <w:ind w:firstLine="420" w:firstLineChars="150"/>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2</w:t>
      </w:r>
      <w:r>
        <w:rPr>
          <w:rFonts w:ascii="TimesNewRomanPSMT" w:hAnsi="TimesNewRomanPSMT" w:eastAsia="宋体" w:cs="宋体"/>
          <w:color w:val="000000"/>
          <w:kern w:val="0"/>
          <w:sz w:val="28"/>
          <w:szCs w:val="28"/>
        </w:rPr>
        <w:t>) Management: With policy guidance and support, information security management can play its maximum role. This management layer consists of six important functions (Identify-Establish-Operate-Respond-Review-Maintain), including the knowledge of risk management, safety management model, emergency response planning, self-improvement and continuous update, and their relationship is shown in Figure 6.</w:t>
      </w:r>
    </w:p>
    <w:p>
      <w:pPr>
        <w:spacing w:line="312" w:lineRule="exact"/>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drawing>
          <wp:anchor distT="0" distB="0" distL="114300" distR="114300" simplePos="0" relativeHeight="251662336" behindDoc="0" locked="0" layoutInCell="1" allowOverlap="1">
            <wp:simplePos x="0" y="0"/>
            <wp:positionH relativeFrom="margin">
              <wp:posOffset>-34925</wp:posOffset>
            </wp:positionH>
            <wp:positionV relativeFrom="paragraph">
              <wp:posOffset>3218180</wp:posOffset>
            </wp:positionV>
            <wp:extent cx="5274310" cy="1353185"/>
            <wp:effectExtent l="0" t="0" r="2540" b="0"/>
            <wp:wrapTopAndBottom/>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74310" cy="1353185"/>
                    </a:xfrm>
                    <a:prstGeom prst="rect">
                      <a:avLst/>
                    </a:prstGeom>
                  </pic:spPr>
                </pic:pic>
              </a:graphicData>
            </a:graphic>
          </wp:anchor>
        </w:drawing>
      </w: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 xml:space="preserve">  “Identify” means identify and assess the requirements and associated risks of information asset, which is an important part of risk management. In this case study, the specific content is to identify all employee and customer information of CoffeeBlue Company, the company's intellectual property rights and their existing risks, and make risk assessment and grade them.</w:t>
      </w: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“Establish” means establish network security model and corresponding response measures of various risk level events.</w:t>
      </w: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w:t>
      </w:r>
      <w:r>
        <w:rPr>
          <w:rFonts w:hint="eastAsia" w:ascii="TimesNewRomanPSMT" w:hAnsi="TimesNewRomanPSMT" w:eastAsia="宋体" w:cs="宋体"/>
          <w:color w:val="000000"/>
          <w:kern w:val="0"/>
          <w:sz w:val="28"/>
          <w:szCs w:val="28"/>
        </w:rPr>
        <w:t>Operate</w:t>
      </w:r>
      <w:r>
        <w:rPr>
          <w:rFonts w:ascii="TimesNewRomanPSMT" w:hAnsi="TimesNewRomanPSMT" w:eastAsia="宋体" w:cs="宋体"/>
          <w:color w:val="000000"/>
          <w:kern w:val="0"/>
          <w:sz w:val="28"/>
          <w:szCs w:val="28"/>
        </w:rPr>
        <w:t>”</w:t>
      </w:r>
      <w:r>
        <w:rPr>
          <w:rFonts w:ascii="Tahoma" w:hAnsi="Tahoma" w:cs="Tahoma"/>
          <w:color w:val="333333"/>
          <w:szCs w:val="21"/>
          <w:shd w:val="clear" w:color="auto" w:fill="F7F8FA"/>
        </w:rPr>
        <w:t xml:space="preserve"> </w:t>
      </w:r>
      <w:r>
        <w:rPr>
          <w:rFonts w:ascii="TimesNewRomanPSMT" w:hAnsi="TimesNewRomanPSMT" w:eastAsia="宋体" w:cs="宋体"/>
          <w:color w:val="000000"/>
          <w:kern w:val="0"/>
          <w:sz w:val="28"/>
          <w:szCs w:val="28"/>
        </w:rPr>
        <w:t>means run the model and implement real-time control.</w:t>
      </w: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w:t>
      </w:r>
      <w:r>
        <w:rPr>
          <w:rFonts w:hint="eastAsia" w:ascii="TimesNewRomanPSMT" w:hAnsi="TimesNewRomanPSMT" w:eastAsia="宋体" w:cs="宋体"/>
          <w:color w:val="000000"/>
          <w:kern w:val="0"/>
          <w:sz w:val="28"/>
          <w:szCs w:val="28"/>
        </w:rPr>
        <w:t>Respond</w:t>
      </w:r>
      <w:r>
        <w:rPr>
          <w:rFonts w:ascii="TimesNewRomanPSMT" w:hAnsi="TimesNewRomanPSMT" w:eastAsia="宋体" w:cs="宋体"/>
          <w:color w:val="000000"/>
          <w:kern w:val="0"/>
          <w:sz w:val="28"/>
          <w:szCs w:val="28"/>
        </w:rPr>
        <w:t>”</w:t>
      </w: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means response of emergency protective measures in the event of a risk event.</w:t>
      </w: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w:t>
      </w:r>
      <w:r>
        <w:rPr>
          <w:rFonts w:hint="eastAsia" w:ascii="TimesNewRomanPSMT" w:hAnsi="TimesNewRomanPSMT" w:eastAsia="宋体" w:cs="宋体"/>
          <w:color w:val="000000"/>
          <w:kern w:val="0"/>
          <w:sz w:val="28"/>
          <w:szCs w:val="28"/>
        </w:rPr>
        <w:t>Review</w:t>
      </w:r>
      <w:r>
        <w:rPr>
          <w:rFonts w:ascii="TimesNewRomanPSMT" w:hAnsi="TimesNewRomanPSMT" w:eastAsia="宋体" w:cs="宋体"/>
          <w:color w:val="000000"/>
          <w:kern w:val="0"/>
          <w:sz w:val="28"/>
          <w:szCs w:val="28"/>
        </w:rPr>
        <w:t>”</w:t>
      </w:r>
      <w:r>
        <w:rPr>
          <w:rFonts w:ascii="Tahoma" w:hAnsi="Tahoma" w:cs="Tahoma"/>
          <w:color w:val="333333"/>
          <w:szCs w:val="21"/>
          <w:shd w:val="clear" w:color="auto" w:fill="F7F8FA"/>
        </w:rPr>
        <w:t xml:space="preserve"> </w:t>
      </w:r>
      <w:r>
        <w:rPr>
          <w:rFonts w:ascii="TimesNewRomanPSMT" w:hAnsi="TimesNewRomanPSMT" w:eastAsia="宋体" w:cs="宋体"/>
          <w:color w:val="000000"/>
          <w:kern w:val="0"/>
          <w:sz w:val="28"/>
          <w:szCs w:val="28"/>
        </w:rPr>
        <w:t>means monitor and evaluate the response speed and performance, and summarize and feedback this data into the establishment of model to make it more applicable. “</w:t>
      </w:r>
      <w:r>
        <w:rPr>
          <w:rFonts w:hint="eastAsia" w:ascii="TimesNewRomanPSMT" w:hAnsi="TimesNewRomanPSMT" w:eastAsia="宋体" w:cs="宋体"/>
          <w:color w:val="000000"/>
          <w:kern w:val="0"/>
          <w:sz w:val="28"/>
          <w:szCs w:val="28"/>
        </w:rPr>
        <w:t>Maintain</w:t>
      </w:r>
      <w:r>
        <w:rPr>
          <w:rFonts w:ascii="TimesNewRomanPSMT" w:hAnsi="TimesNewRomanPSMT" w:eastAsia="宋体" w:cs="宋体"/>
          <w:color w:val="000000"/>
          <w:kern w:val="0"/>
          <w:sz w:val="28"/>
          <w:szCs w:val="28"/>
        </w:rPr>
        <w:t xml:space="preserve">” </w:t>
      </w:r>
      <w:r>
        <w:rPr>
          <w:rFonts w:hint="eastAsia" w:ascii="TimesNewRomanPSMT" w:hAnsi="TimesNewRomanPSMT" w:eastAsia="宋体" w:cs="宋体"/>
          <w:color w:val="000000"/>
          <w:kern w:val="0"/>
          <w:sz w:val="28"/>
          <w:szCs w:val="28"/>
        </w:rPr>
        <w:t>p</w:t>
      </w:r>
      <w:r>
        <w:rPr>
          <w:rFonts w:ascii="TimesNewRomanPSMT" w:hAnsi="TimesNewRomanPSMT" w:eastAsia="宋体" w:cs="宋体"/>
          <w:color w:val="000000"/>
          <w:kern w:val="0"/>
          <w:sz w:val="28"/>
          <w:szCs w:val="28"/>
        </w:rPr>
        <w:t>rovides internal and external inspections to prevent and record new vulnerabilities. At the same time, new laws and regulations are under focus, in order to achieve the purpose of continuous improvement of information security.</w:t>
      </w:r>
    </w:p>
    <w:p>
      <w:pPr>
        <w:spacing w:after="62" w:afterLines="20" w:line="312" w:lineRule="exact"/>
        <w:jc w:val="center"/>
        <w:rPr>
          <w:rFonts w:hint="eastAsia" w:ascii="TimesNewRomanPSMT" w:hAnsi="TimesNewRomanPSMT" w:eastAsia="宋体" w:cs="宋体"/>
          <w:color w:val="000000"/>
          <w:kern w:val="0"/>
          <w:sz w:val="24"/>
          <w:szCs w:val="24"/>
        </w:rPr>
      </w:pPr>
      <w:r>
        <w:rPr>
          <w:rFonts w:ascii="TimesNewRomanPSMT" w:hAnsi="TimesNewRomanPSMT" w:eastAsia="宋体" w:cs="宋体"/>
          <w:color w:val="000000"/>
          <w:kern w:val="0"/>
          <w:sz w:val="24"/>
          <w:szCs w:val="24"/>
        </w:rPr>
        <w:t>Figure 6 The core of framework for the case scenari</w:t>
      </w:r>
      <w:r>
        <w:rPr>
          <w:rFonts w:hint="eastAsia" w:ascii="TimesNewRomanPSMT" w:hAnsi="TimesNewRomanPSMT" w:eastAsia="宋体" w:cs="宋体"/>
          <w:color w:val="000000"/>
          <w:kern w:val="0"/>
          <w:sz w:val="24"/>
          <w:szCs w:val="24"/>
        </w:rPr>
        <w:t>o</w:t>
      </w:r>
    </w:p>
    <w:p>
      <w:pPr>
        <w:spacing w:after="62" w:afterLines="20" w:line="312" w:lineRule="exact"/>
        <w:rPr>
          <w:rFonts w:hint="eastAsia" w:ascii="TimesNewRomanPSMT" w:hAnsi="TimesNewRomanPSMT" w:eastAsia="宋体" w:cs="宋体"/>
          <w:color w:val="000000"/>
          <w:kern w:val="0"/>
          <w:sz w:val="28"/>
          <w:szCs w:val="28"/>
        </w:rPr>
      </w:pPr>
      <w:r>
        <w:rPr>
          <w:rFonts w:hint="eastAsia" w:ascii="TimesNewRomanPSMT" w:hAnsi="TimesNewRomanPSMT" w:eastAsia="宋体" w:cs="宋体"/>
          <w:color w:val="000000"/>
          <w:kern w:val="0"/>
          <w:sz w:val="28"/>
          <w:szCs w:val="28"/>
        </w:rPr>
        <w:t xml:space="preserve"> </w:t>
      </w:r>
      <w:r>
        <w:rPr>
          <w:rFonts w:ascii="TimesNewRomanPSMT" w:hAnsi="TimesNewRomanPSMT" w:eastAsia="宋体" w:cs="宋体"/>
          <w:color w:val="000000"/>
          <w:kern w:val="0"/>
          <w:sz w:val="28"/>
          <w:szCs w:val="28"/>
        </w:rPr>
        <w:t xml:space="preserve">  3) Compliance:</w:t>
      </w:r>
      <w:r>
        <w:rPr>
          <w:rFonts w:ascii="Tahoma" w:hAnsi="Tahoma" w:cs="Tahoma"/>
          <w:color w:val="333333"/>
          <w:szCs w:val="21"/>
          <w:shd w:val="clear" w:color="auto" w:fill="F7F8FA"/>
        </w:rPr>
        <w:t xml:space="preserve"> </w:t>
      </w:r>
      <w:r>
        <w:rPr>
          <w:rFonts w:ascii="TimesNewRomanPSMT" w:hAnsi="TimesNewRomanPSMT" w:eastAsia="宋体" w:cs="宋体"/>
          <w:color w:val="000000"/>
          <w:kern w:val="0"/>
          <w:sz w:val="28"/>
          <w:szCs w:val="28"/>
        </w:rPr>
        <w:t>The law forms the foundation of the whole framework, and all policies and management must be based on not violating the law. This requires the addition of members with legal background to join in the management to ensure that the global business activities of the entire company comply with local legal requirements. In addition, morality is another key factor in the continuous improvement of the whole framework. Books, regular study sessions and exams about ethics such as "The Ten Recommendations of Computer Ethics" should be adopted as part of the performance review to encourage the employees who have good ethics.</w:t>
      </w:r>
    </w:p>
    <w:p>
      <w:pPr>
        <w:pStyle w:val="3"/>
      </w:pPr>
      <w:bookmarkStart w:id="16" w:name="_Toc91584987"/>
      <w:r>
        <w:t>3.3 Additional framework</w:t>
      </w:r>
      <w:bookmarkEnd w:id="16"/>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Governance and strategic planning for security:</w:t>
      </w:r>
      <w:r>
        <w:rPr>
          <w:rFonts w:ascii="Tahoma" w:hAnsi="Tahoma" w:cs="Tahoma"/>
          <w:color w:val="333333"/>
          <w:szCs w:val="21"/>
          <w:shd w:val="clear" w:color="auto" w:fill="F7F8FA"/>
        </w:rPr>
        <w:t xml:space="preserve"> </w:t>
      </w:r>
      <w:r>
        <w:rPr>
          <w:rFonts w:ascii="TimesNewRomanPSMT" w:hAnsi="TimesNewRomanPSMT" w:eastAsia="宋体" w:cs="宋体"/>
          <w:color w:val="000000"/>
          <w:kern w:val="0"/>
          <w:sz w:val="28"/>
          <w:szCs w:val="28"/>
        </w:rPr>
        <w:t>Set up a special team to carry out the management of the company's information security and clarify its long-term strategic position. During this process, ISO27000 series on the economic quantification of information security could be referred to.</w:t>
      </w:r>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Security management models: In addition to the above model based on risk management, ITIL can also be used to improve the quality of IT services, Access Control Model can be used to realize the more comprehensive and effective control of logical, physical, network environment access.</w:t>
      </w:r>
    </w:p>
    <w:p>
      <w:pPr>
        <w:spacing w:line="312" w:lineRule="exact"/>
        <w:ind w:firstLine="420" w:firstLineChars="150"/>
        <w:rPr>
          <w:rFonts w:hint="eastAsia" w:ascii="ArialMT" w:hAnsi="ArialMT" w:eastAsia="宋体" w:cs="宋体"/>
          <w:color w:val="000000"/>
          <w:kern w:val="0"/>
          <w:sz w:val="22"/>
        </w:rPr>
      </w:pPr>
      <w:r>
        <w:rPr>
          <w:rFonts w:ascii="TimesNewRomanPSMT" w:hAnsi="TimesNewRomanPSMT" w:eastAsia="宋体" w:cs="宋体"/>
          <w:color w:val="000000"/>
          <w:kern w:val="0"/>
          <w:sz w:val="28"/>
          <w:szCs w:val="28"/>
        </w:rPr>
        <w:t>Security management practices: This requires a background check to see if the employee has relevant information security qualifications, knowledge of the policy and criminal record. When evaluating employees, they should also work independently and evaluate each other to observe their corresponding awareness of information security. When an employee leaves, disable his/her access permission in a timely manner.</w:t>
      </w:r>
    </w:p>
    <w:p>
      <w:pPr>
        <w:pStyle w:val="2"/>
        <w:rPr>
          <w:szCs w:val="36"/>
        </w:rPr>
      </w:pPr>
      <w:bookmarkStart w:id="17" w:name="_Toc91584988"/>
      <w:r>
        <w:t>4. C</w:t>
      </w:r>
      <w:r>
        <w:rPr>
          <w:rFonts w:hint="eastAsia"/>
        </w:rPr>
        <w:t>onclusion</w:t>
      </w:r>
      <w:r>
        <w:t xml:space="preserve"> </w:t>
      </w:r>
      <w:r>
        <w:rPr>
          <w:rFonts w:hint="eastAsia"/>
        </w:rPr>
        <w:t>and</w:t>
      </w:r>
      <w:r>
        <w:t xml:space="preserve"> </w:t>
      </w:r>
      <w:r>
        <w:rPr>
          <w:rFonts w:hint="eastAsia"/>
        </w:rPr>
        <w:t>future</w:t>
      </w:r>
      <w:r>
        <w:t xml:space="preserve"> </w:t>
      </w:r>
      <w:r>
        <w:rPr>
          <w:rFonts w:hint="eastAsia"/>
        </w:rPr>
        <w:t>work</w:t>
      </w:r>
      <w:bookmarkEnd w:id="17"/>
    </w:p>
    <w:p>
      <w:pPr>
        <w:spacing w:line="312" w:lineRule="exact"/>
        <w:ind w:firstLine="420" w:firstLineChars="150"/>
        <w:rPr>
          <w:rFonts w:hint="eastAsia" w:ascii="TimesNewRomanPSMT" w:hAnsi="TimesNewRomanPSMT" w:eastAsia="宋体" w:cs="宋体"/>
          <w:color w:val="000000"/>
          <w:kern w:val="0"/>
          <w:sz w:val="28"/>
          <w:szCs w:val="28"/>
        </w:rPr>
      </w:pPr>
      <w:r>
        <w:rPr>
          <w:rFonts w:ascii="TimesNewRomanPSMT" w:hAnsi="TimesNewRomanPSMT" w:eastAsia="宋体" w:cs="宋体"/>
          <w:color w:val="000000"/>
          <w:kern w:val="0"/>
          <w:sz w:val="28"/>
          <w:szCs w:val="28"/>
        </w:rPr>
        <w:t>This paper compares and analyzes the similarities and differences of three common information security frameworks. It can be concluded that NIST CSF is the guideline worthy of application in management level, ISO 27000 Series is the strict standard worthy of application in management and technology level, and ITIL is a good system worthy of use in improving IT service quality. After the discussion, the reasons to keep the regulations or standards up to date are also made, namely to maintain timeliness, accuracy and completeness of them. In the case study, an original framework based on a previous review is presented to address information security issues at CoffeeBlue, including the knowledge of policy, management, compliance, governance and strategic planning, security management models and practices.</w:t>
      </w:r>
    </w:p>
    <w:p>
      <w:pPr>
        <w:spacing w:line="312" w:lineRule="exact"/>
        <w:ind w:firstLine="560" w:firstLineChars="200"/>
        <w:rPr>
          <w:sz w:val="32"/>
          <w:szCs w:val="36"/>
        </w:rPr>
      </w:pPr>
      <w:r>
        <w:rPr>
          <w:rFonts w:ascii="TimesNewRomanPSMT" w:hAnsi="TimesNewRomanPSMT" w:eastAsia="宋体" w:cs="宋体"/>
          <w:color w:val="000000"/>
          <w:kern w:val="0"/>
          <w:sz w:val="28"/>
          <w:szCs w:val="28"/>
        </w:rPr>
        <w:t xml:space="preserve">In the future work, specific information security documents can be added to this framework as a reference for the implementation of each measure. Moreover, more network security models can be used to consider more factors to improve the whole framework. </w:t>
      </w:r>
      <w:bookmarkStart w:id="18" w:name="_GoBack"/>
      <w:bookmarkEnd w:id="18"/>
    </w:p>
    <w:p>
      <w:pPr>
        <w:pStyle w:val="2"/>
      </w:pPr>
      <w:r>
        <w:t>Reference list</w:t>
      </w:r>
    </w:p>
    <w:p>
      <w:pPr>
        <w:ind w:left="720" w:hanging="720"/>
        <w:jc w:val="left"/>
        <w:rPr>
          <w:rFonts w:ascii="Times New Roman" w:hAnsi="Times New Roman" w:eastAsia="等线" w:cs="Times New Roman"/>
          <w:sz w:val="24"/>
          <w:szCs w:val="24"/>
        </w:rPr>
      </w:pPr>
      <w:r>
        <w:rPr>
          <w:rFonts w:hint="eastAsia" w:ascii="Times New Roman" w:hAnsi="Times New Roman" w:eastAsia="等线" w:cs="Times New Roman"/>
          <w:sz w:val="24"/>
          <w:szCs w:val="24"/>
        </w:rPr>
        <w:t>[</w:t>
      </w:r>
      <w:r>
        <w:rPr>
          <w:rFonts w:ascii="Times New Roman" w:hAnsi="Times New Roman" w:eastAsia="等线" w:cs="Times New Roman"/>
          <w:sz w:val="24"/>
          <w:szCs w:val="24"/>
        </w:rPr>
        <w:t xml:space="preserve">1] </w:t>
      </w:r>
      <w:r>
        <w:rPr>
          <w:rFonts w:ascii="Times New Roman" w:hAnsi="Times New Roman" w:eastAsia="等线" w:cs="Times New Roman"/>
          <w:sz w:val="24"/>
          <w:szCs w:val="24"/>
        </w:rPr>
        <w:tab/>
      </w:r>
      <w:r>
        <w:rPr>
          <w:rFonts w:ascii="Times New Roman" w:hAnsi="Times New Roman" w:eastAsia="等线" w:cs="Times New Roman"/>
          <w:sz w:val="24"/>
          <w:szCs w:val="24"/>
        </w:rPr>
        <w:t>"News," in Computer, vol. 48, no. 2, pp. 14-20, Feb. 2015, doi: 10.1109/MC.2015.53.</w:t>
      </w:r>
    </w:p>
    <w:p>
      <w:pPr>
        <w:pStyle w:val="33"/>
        <w:ind w:left="720" w:hanging="720"/>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color w:val="333333"/>
          <w:spacing w:val="4"/>
          <w:sz w:val="24"/>
          <w:szCs w:val="24"/>
          <w:shd w:val="clear" w:color="auto" w:fill="FCFCFC"/>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ADDIN EN.REFLIST </w:instrText>
      </w:r>
      <w:r>
        <w:rPr>
          <w:rFonts w:ascii="Times New Roman" w:hAnsi="Times New Roman" w:cs="Times New Roman"/>
          <w:sz w:val="24"/>
          <w:szCs w:val="24"/>
        </w:rPr>
        <w:fldChar w:fldCharType="separate"/>
      </w:r>
      <w:r>
        <w:rPr>
          <w:rFonts w:ascii="Times New Roman" w:hAnsi="Times New Roman" w:cs="Times New Roman"/>
          <w:sz w:val="24"/>
          <w:szCs w:val="24"/>
        </w:rPr>
        <w:tab/>
      </w:r>
      <w:r>
        <w:rPr>
          <w:rFonts w:ascii="Times New Roman" w:hAnsi="Times New Roman" w:cs="Times New Roman"/>
          <w:sz w:val="24"/>
          <w:szCs w:val="24"/>
        </w:rPr>
        <w:t xml:space="preserve">A. Plate, "ISMS: A Management Framework for Information Security," in </w:t>
      </w:r>
      <w:r>
        <w:rPr>
          <w:rFonts w:ascii="Times New Roman" w:hAnsi="Times New Roman" w:cs="Times New Roman"/>
          <w:i/>
          <w:sz w:val="24"/>
          <w:szCs w:val="24"/>
        </w:rPr>
        <w:t>Encyclopedia of Cryptography and Security</w:t>
      </w:r>
      <w:r>
        <w:rPr>
          <w:rFonts w:ascii="Times New Roman" w:hAnsi="Times New Roman" w:cs="Times New Roman"/>
          <w:sz w:val="24"/>
          <w:szCs w:val="24"/>
        </w:rPr>
        <w:t>, H. C. A. van Tilborg and S. Jajodia Eds. Boston, MA: Springer US, 2011, pp. 647-648.</w:t>
      </w:r>
    </w:p>
    <w:p>
      <w:pPr>
        <w:ind w:left="720" w:hanging="720"/>
        <w:jc w:val="left"/>
        <w:rPr>
          <w:rFonts w:ascii="Times New Roman" w:hAnsi="Times New Roman" w:cs="Times New Roman"/>
          <w:sz w:val="24"/>
          <w:szCs w:val="24"/>
        </w:rPr>
      </w:pPr>
      <w:r>
        <w:rPr>
          <w:rFonts w:ascii="Times New Roman" w:hAnsi="Times New Roman" w:cs="Times New Roman"/>
          <w:sz w:val="24"/>
          <w:szCs w:val="24"/>
        </w:rPr>
        <w:fldChar w:fldCharType="end"/>
      </w:r>
      <w:r>
        <w:rPr>
          <w:rFonts w:ascii="Times New Roman" w:hAnsi="Times New Roman" w:cs="Times New Roman"/>
          <w:sz w:val="24"/>
          <w:szCs w:val="24"/>
        </w:rPr>
        <w:t xml:space="preserve">[3]   </w:t>
      </w:r>
      <w:r>
        <w:rPr>
          <w:rFonts w:ascii="Times New Roman" w:hAnsi="Times New Roman" w:cs="Times New Roman"/>
          <w:sz w:val="24"/>
          <w:szCs w:val="24"/>
        </w:rPr>
        <w:tab/>
      </w:r>
      <w:r>
        <w:rPr>
          <w:rFonts w:ascii="Times New Roman" w:hAnsi="Times New Roman" w:cs="Times New Roman"/>
          <w:sz w:val="24"/>
          <w:szCs w:val="24"/>
        </w:rPr>
        <w:t>T. Keyser, </w:t>
      </w:r>
      <w:r>
        <w:fldChar w:fldCharType="begin"/>
      </w:r>
      <w:r>
        <w:instrText xml:space="preserve"> HYPERLINK "https://dx.doi.org/10.1201/9781315385488-13" </w:instrText>
      </w:r>
      <w:r>
        <w:fldChar w:fldCharType="separate"/>
      </w:r>
      <w:r>
        <w:rPr>
          <w:rFonts w:ascii="Times New Roman" w:hAnsi="Times New Roman" w:cs="Times New Roman"/>
          <w:sz w:val="24"/>
          <w:szCs w:val="24"/>
        </w:rPr>
        <w:t>"Security policy"</w:t>
      </w:r>
      <w:r>
        <w:rPr>
          <w:rFonts w:ascii="Times New Roman" w:hAnsi="Times New Roman" w:cs="Times New Roman"/>
          <w:sz w:val="24"/>
          <w:szCs w:val="24"/>
        </w:rPr>
        <w:fldChar w:fldCharType="end"/>
      </w:r>
      <w:r>
        <w:rPr>
          <w:rFonts w:ascii="Times New Roman" w:hAnsi="Times New Roman" w:cs="Times New Roman"/>
          <w:sz w:val="24"/>
          <w:szCs w:val="24"/>
        </w:rPr>
        <w:t>, </w:t>
      </w:r>
      <w:r>
        <w:rPr>
          <w:rFonts w:ascii="Times New Roman" w:hAnsi="Times New Roman" w:cs="Times New Roman"/>
          <w:i/>
          <w:iCs/>
          <w:sz w:val="24"/>
          <w:szCs w:val="24"/>
        </w:rPr>
        <w:t>The Information Governance Toolkit</w:t>
      </w:r>
      <w:r>
        <w:rPr>
          <w:rFonts w:ascii="Times New Roman" w:hAnsi="Times New Roman" w:cs="Times New Roman"/>
          <w:sz w:val="24"/>
          <w:szCs w:val="24"/>
        </w:rPr>
        <w:t>, CRC Press, pp. 57–62, </w:t>
      </w:r>
      <w:r>
        <w:fldChar w:fldCharType="begin"/>
      </w:r>
      <w:r>
        <w:instrText xml:space="preserve"> HYPERLINK "https://en.jinzhao.wiki/wiki/Doi_(identifier)" \o "Doi (identifier)" </w:instrText>
      </w:r>
      <w:r>
        <w:fldChar w:fldCharType="separate"/>
      </w:r>
      <w:r>
        <w:rPr>
          <w:rFonts w:ascii="Times New Roman" w:hAnsi="Times New Roman" w:cs="Times New Roman"/>
          <w:sz w:val="24"/>
          <w:szCs w:val="24"/>
        </w:rPr>
        <w:t>doi</w:t>
      </w:r>
      <w:r>
        <w:rPr>
          <w:rFonts w:ascii="Times New Roman" w:hAnsi="Times New Roman" w:cs="Times New Roman"/>
          <w:sz w:val="24"/>
          <w:szCs w:val="24"/>
        </w:rPr>
        <w:fldChar w:fldCharType="end"/>
      </w:r>
      <w:r>
        <w:rPr>
          <w:rFonts w:ascii="Times New Roman" w:hAnsi="Times New Roman" w:cs="Times New Roman"/>
          <w:sz w:val="24"/>
          <w:szCs w:val="24"/>
        </w:rPr>
        <w:t>:</w:t>
      </w:r>
      <w:r>
        <w:fldChar w:fldCharType="begin"/>
      </w:r>
      <w:r>
        <w:instrText xml:space="preserve"> HYPERLINK "https://doi.org/10.1201%2F9781315385488-13" </w:instrText>
      </w:r>
      <w:r>
        <w:fldChar w:fldCharType="separate"/>
      </w:r>
      <w:r>
        <w:rPr>
          <w:rFonts w:ascii="Times New Roman" w:hAnsi="Times New Roman" w:cs="Times New Roman"/>
          <w:sz w:val="24"/>
          <w:szCs w:val="24"/>
        </w:rPr>
        <w:t>10.1201/9781315385488-13</w:t>
      </w:r>
      <w:r>
        <w:rPr>
          <w:rFonts w:ascii="Times New Roman" w:hAnsi="Times New Roman" w:cs="Times New Roman"/>
          <w:sz w:val="24"/>
          <w:szCs w:val="24"/>
        </w:rPr>
        <w:fldChar w:fldCharType="end"/>
      </w:r>
    </w:p>
    <w:p>
      <w:pPr>
        <w:ind w:left="720" w:hanging="720"/>
        <w:jc w:val="left"/>
        <w:rPr>
          <w:rFonts w:ascii="Times New Roman" w:hAnsi="Times New Roman" w:cs="Times New Roman"/>
          <w:sz w:val="24"/>
          <w:szCs w:val="24"/>
        </w:rPr>
      </w:pPr>
      <w:r>
        <w:rPr>
          <w:rFonts w:hint="eastAsia" w:ascii="Times New Roman" w:hAnsi="Times New Roman" w:cs="Times New Roman"/>
          <w:sz w:val="24"/>
          <w:szCs w:val="24"/>
        </w:rPr>
        <w:t>[</w:t>
      </w:r>
      <w:r>
        <w:rPr>
          <w:rFonts w:ascii="Times New Roman" w:hAnsi="Times New Roman" w:cs="Times New Roman"/>
          <w:sz w:val="24"/>
          <w:szCs w:val="24"/>
        </w:rPr>
        <w:t xml:space="preserve">4] </w:t>
      </w:r>
      <w:r>
        <w:rPr>
          <w:rFonts w:ascii="Times New Roman" w:hAnsi="Times New Roman" w:cs="Times New Roman"/>
          <w:sz w:val="24"/>
          <w:szCs w:val="24"/>
        </w:rPr>
        <w:tab/>
      </w:r>
      <w:r>
        <w:rPr>
          <w:rFonts w:ascii="Times New Roman" w:hAnsi="Times New Roman" w:cs="Times New Roman"/>
          <w:sz w:val="24"/>
          <w:szCs w:val="24"/>
        </w:rPr>
        <w:t xml:space="preserve">M. S. El-Sayed M. Towfek El-kenawy, Reham Arnous, "An Integrated Framework to Ensure Information Security Over the Internet," </w:t>
      </w:r>
      <w:r>
        <w:rPr>
          <w:rFonts w:ascii="Times New Roman" w:hAnsi="Times New Roman" w:cs="Times New Roman"/>
          <w:i/>
          <w:iCs/>
          <w:sz w:val="24"/>
          <w:szCs w:val="24"/>
        </w:rPr>
        <w:t>International Journal of Computer Applications</w:t>
      </w:r>
      <w:r>
        <w:rPr>
          <w:rFonts w:ascii="Times New Roman" w:hAnsi="Times New Roman" w:cs="Times New Roman"/>
          <w:sz w:val="24"/>
          <w:szCs w:val="24"/>
        </w:rPr>
        <w:t xml:space="preserve">, vol. 178 - Number 29, Foundation of Computer Science (FCS), NY, USA, pp. 13-15, 2019. </w:t>
      </w:r>
    </w:p>
    <w:p>
      <w:pPr>
        <w:pStyle w:val="33"/>
        <w:ind w:left="720" w:hanging="720"/>
        <w:rPr>
          <w:rFonts w:ascii="Times New Roman" w:hAnsi="Times New Roman" w:cs="Times New Roman" w:eastAsiaTheme="minorEastAsia"/>
          <w:sz w:val="24"/>
          <w:szCs w:val="24"/>
        </w:rPr>
      </w:pPr>
      <w:r>
        <w:rPr>
          <w:rFonts w:hint="eastAsia" w:ascii="Times New Roman" w:hAnsi="Times New Roman" w:cs="Times New Roman" w:eastAsiaTheme="minorEastAsia"/>
          <w:sz w:val="24"/>
          <w:szCs w:val="24"/>
        </w:rPr>
        <w:t>[</w:t>
      </w:r>
      <w:r>
        <w:rPr>
          <w:rFonts w:ascii="Times New Roman" w:hAnsi="Times New Roman" w:cs="Times New Roman" w:eastAsiaTheme="minorEastAsia"/>
          <w:sz w:val="24"/>
          <w:szCs w:val="24"/>
        </w:rPr>
        <w:t xml:space="preserve">5] </w:t>
      </w:r>
      <w:r>
        <w:rPr>
          <w:rFonts w:ascii="Times New Roman" w:hAnsi="Times New Roman" w:cs="Times New Roman" w:eastAsiaTheme="minorEastAsia"/>
          <w:sz w:val="24"/>
          <w:szCs w:val="24"/>
        </w:rPr>
        <w:fldChar w:fldCharType="begin"/>
      </w:r>
      <w:r>
        <w:rPr>
          <w:rFonts w:ascii="Times New Roman" w:hAnsi="Times New Roman" w:cs="Times New Roman" w:eastAsiaTheme="minorEastAsia"/>
          <w:sz w:val="24"/>
          <w:szCs w:val="24"/>
        </w:rPr>
        <w:instrText xml:space="preserve"> ADDIN EN.REFLIST </w:instrText>
      </w:r>
      <w:r>
        <w:rPr>
          <w:rFonts w:ascii="Times New Roman" w:hAnsi="Times New Roman" w:cs="Times New Roman" w:eastAsiaTheme="minorEastAsia"/>
          <w:sz w:val="24"/>
          <w:szCs w:val="24"/>
        </w:rPr>
        <w:fldChar w:fldCharType="separate"/>
      </w:r>
      <w:r>
        <w:rPr>
          <w:rFonts w:ascii="Times New Roman" w:hAnsi="Times New Roman" w:cs="Times New Roman" w:eastAsiaTheme="minorEastAsia"/>
          <w:sz w:val="24"/>
          <w:szCs w:val="24"/>
        </w:rPr>
        <w:tab/>
      </w:r>
      <w:r>
        <w:rPr>
          <w:rFonts w:ascii="Times New Roman" w:hAnsi="Times New Roman" w:cs="Times New Roman" w:eastAsiaTheme="minorEastAsia"/>
          <w:sz w:val="24"/>
          <w:szCs w:val="24"/>
        </w:rPr>
        <w:t xml:space="preserve">L. Zhou, M. P. Loeb, and L. A. Gordon, "Integrating cost–benefit analysis into the NIST Cybersecurity Framework via the Gordon–Loeb Model," </w:t>
      </w:r>
      <w:r>
        <w:rPr>
          <w:rFonts w:ascii="Times New Roman" w:hAnsi="Times New Roman" w:cs="Times New Roman" w:eastAsiaTheme="minorEastAsia"/>
          <w:i/>
          <w:iCs/>
          <w:sz w:val="24"/>
          <w:szCs w:val="24"/>
        </w:rPr>
        <w:t>Journal of Cybersecurity</w:t>
      </w:r>
      <w:r>
        <w:rPr>
          <w:rFonts w:ascii="Times New Roman" w:hAnsi="Times New Roman" w:cs="Times New Roman" w:eastAsiaTheme="minorEastAsia"/>
          <w:sz w:val="24"/>
          <w:szCs w:val="24"/>
        </w:rPr>
        <w:t>, vol. 6, no. 1, 2020, doi: 10.1093/cybsec/tyaa005.</w:t>
      </w:r>
    </w:p>
    <w:p>
      <w:pPr>
        <w:ind w:left="720" w:hanging="720"/>
        <w:jc w:val="left"/>
        <w:rPr>
          <w:rFonts w:ascii="Times New Roman" w:hAnsi="Times New Roman" w:cs="Times New Roman"/>
          <w:sz w:val="24"/>
          <w:szCs w:val="24"/>
        </w:rPr>
      </w:pPr>
      <w:r>
        <w:rPr>
          <w:rFonts w:ascii="Times New Roman" w:hAnsi="Times New Roman" w:cs="Times New Roman"/>
          <w:sz w:val="24"/>
          <w:szCs w:val="24"/>
        </w:rPr>
        <w:fldChar w:fldCharType="end"/>
      </w:r>
      <w:r>
        <w:rPr>
          <w:rFonts w:hint="eastAsia" w:ascii="Times New Roman" w:hAnsi="Times New Roman" w:cs="Times New Roman"/>
          <w:sz w:val="24"/>
          <w:szCs w:val="24"/>
        </w:rPr>
        <w:t>[</w:t>
      </w:r>
      <w:r>
        <w:rPr>
          <w:rFonts w:ascii="Times New Roman" w:hAnsi="Times New Roman" w:cs="Times New Roman"/>
          <w:sz w:val="24"/>
          <w:szCs w:val="24"/>
        </w:rPr>
        <w:t xml:space="preserve">6]    M. P. Barrett, "Framework for Improving Critical Infrastructure Cybersecurity Version 1.1," </w:t>
      </w:r>
      <w:r>
        <w:rPr>
          <w:rFonts w:ascii="Times New Roman" w:hAnsi="Times New Roman" w:cs="Times New Roman"/>
          <w:i/>
          <w:iCs/>
          <w:sz w:val="24"/>
          <w:szCs w:val="24"/>
        </w:rPr>
        <w:t>NIST Cybersecurity Framework</w:t>
      </w:r>
      <w:r>
        <w:rPr>
          <w:rFonts w:ascii="Times New Roman" w:hAnsi="Times New Roman" w:cs="Times New Roman"/>
          <w:sz w:val="24"/>
          <w:szCs w:val="24"/>
        </w:rPr>
        <w:t>, Online, 2018, doi: 10.6028/nist.Cswp.04162018.</w:t>
      </w:r>
    </w:p>
    <w:p>
      <w:pPr>
        <w:widowControl/>
        <w:ind w:left="720" w:hanging="720"/>
        <w:jc w:val="left"/>
        <w:rPr>
          <w:rFonts w:ascii="Times New Roman" w:hAnsi="Times New Roman" w:cs="Times New Roman"/>
          <w:sz w:val="24"/>
          <w:szCs w:val="24"/>
        </w:rPr>
      </w:pPr>
      <w:r>
        <w:rPr>
          <w:rFonts w:ascii="Times New Roman" w:hAnsi="Times New Roman" w:cs="Times New Roman"/>
          <w:sz w:val="24"/>
          <w:szCs w:val="24"/>
        </w:rPr>
        <w:t xml:space="preserve">[7] </w:t>
      </w:r>
      <w:r>
        <w:rPr>
          <w:rFonts w:ascii="Times New Roman" w:hAnsi="Times New Roman" w:cs="Times New Roman"/>
          <w:sz w:val="24"/>
          <w:szCs w:val="24"/>
        </w:rPr>
        <w:tab/>
      </w:r>
      <w:r>
        <w:rPr>
          <w:rFonts w:ascii="Times New Roman" w:hAnsi="Times New Roman" w:cs="Times New Roman"/>
          <w:sz w:val="24"/>
          <w:szCs w:val="24"/>
        </w:rPr>
        <w:t xml:space="preserve">A. Ibrahim, C. Valli, I. McAteer, and J. Chaudhry, "A security review of local government using NIST CSF: a case study," </w:t>
      </w:r>
      <w:r>
        <w:rPr>
          <w:rFonts w:ascii="Times New Roman" w:hAnsi="Times New Roman" w:cs="Times New Roman"/>
          <w:i/>
          <w:iCs/>
          <w:sz w:val="24"/>
          <w:szCs w:val="24"/>
        </w:rPr>
        <w:t>The Journal of Supercomputing</w:t>
      </w:r>
      <w:r>
        <w:rPr>
          <w:rFonts w:ascii="Times New Roman" w:hAnsi="Times New Roman" w:cs="Times New Roman"/>
          <w:sz w:val="24"/>
          <w:szCs w:val="24"/>
        </w:rPr>
        <w:t>, vol. 74, no. 10, pp. 5171-5186, 2018, doi: 10.1007/s11227-018-2479-2.</w:t>
      </w:r>
    </w:p>
    <w:p>
      <w:pPr>
        <w:ind w:left="720" w:hanging="720"/>
        <w:jc w:val="left"/>
        <w:rPr>
          <w:rFonts w:ascii="Times New Roman" w:hAnsi="Times New Roman" w:cs="Times New Roman"/>
          <w:sz w:val="24"/>
          <w:szCs w:val="24"/>
        </w:rPr>
      </w:pPr>
      <w:r>
        <w:rPr>
          <w:rFonts w:hint="eastAsia" w:ascii="Times New Roman" w:hAnsi="Times New Roman" w:cs="Times New Roman"/>
          <w:sz w:val="24"/>
          <w:szCs w:val="24"/>
        </w:rPr>
        <w:t>[</w:t>
      </w:r>
      <w:r>
        <w:rPr>
          <w:rFonts w:ascii="Times New Roman" w:hAnsi="Times New Roman" w:cs="Times New Roman"/>
          <w:sz w:val="24"/>
          <w:szCs w:val="24"/>
        </w:rPr>
        <w:t xml:space="preserve">8] </w:t>
      </w:r>
      <w:r>
        <w:rPr>
          <w:rFonts w:ascii="Times New Roman" w:hAnsi="Times New Roman" w:cs="Times New Roman"/>
          <w:sz w:val="24"/>
          <w:szCs w:val="24"/>
        </w:rPr>
        <w:tab/>
      </w:r>
      <w:r>
        <w:fldChar w:fldCharType="begin"/>
      </w:r>
      <w:r>
        <w:instrText xml:space="preserve"> HYPERLINK "http://standards.iso.org/ittf/PubliclyAvailableStandards/" </w:instrText>
      </w:r>
      <w:r>
        <w:fldChar w:fldCharType="separate"/>
      </w:r>
      <w:r>
        <w:rPr>
          <w:rFonts w:ascii="Times New Roman" w:hAnsi="Times New Roman" w:cs="Times New Roman"/>
          <w:sz w:val="24"/>
          <w:szCs w:val="24"/>
        </w:rPr>
        <w:t>ISO Freely Available Standards - see ISO/IEC 27000:2014</w:t>
      </w:r>
      <w:r>
        <w:rPr>
          <w:rFonts w:ascii="Times New Roman" w:hAnsi="Times New Roman" w:cs="Times New Roman"/>
          <w:sz w:val="24"/>
          <w:szCs w:val="24"/>
        </w:rPr>
        <w:fldChar w:fldCharType="end"/>
      </w:r>
      <w:r>
        <w:rPr>
          <w:rFonts w:hint="eastAsia" w:ascii="Times New Roman" w:hAnsi="Times New Roman" w:cs="Times New Roman"/>
          <w:sz w:val="24"/>
          <w:szCs w:val="24"/>
        </w:rPr>
        <w:t>,</w:t>
      </w:r>
      <w:r>
        <w:rPr>
          <w:rFonts w:ascii="Times New Roman" w:hAnsi="Times New Roman" w:cs="Times New Roman"/>
          <w:sz w:val="24"/>
          <w:szCs w:val="24"/>
        </w:rPr>
        <w:t xml:space="preserve"> </w:t>
      </w:r>
      <w:r>
        <w:fldChar w:fldCharType="begin"/>
      </w:r>
      <w:r>
        <w:instrText xml:space="preserve"> HYPERLINK "https://standards.iso.org/ittf/PubliclyAvailableStandards/" </w:instrText>
      </w:r>
      <w:r>
        <w:fldChar w:fldCharType="separate"/>
      </w:r>
      <w:r>
        <w:rPr>
          <w:rFonts w:ascii="Times New Roman" w:hAnsi="Times New Roman" w:cs="Times New Roman"/>
          <w:sz w:val="24"/>
          <w:szCs w:val="24"/>
        </w:rPr>
        <w:t>https://standards.iso.org/ittf/PubliclyAvailableStandards/</w:t>
      </w:r>
      <w:r>
        <w:rPr>
          <w:rFonts w:ascii="Times New Roman" w:hAnsi="Times New Roman" w:cs="Times New Roman"/>
          <w:sz w:val="24"/>
          <w:szCs w:val="24"/>
        </w:rPr>
        <w:fldChar w:fldCharType="end"/>
      </w:r>
    </w:p>
    <w:p>
      <w:pPr>
        <w:widowControl/>
        <w:ind w:left="720" w:hanging="720"/>
        <w:jc w:val="left"/>
        <w:rPr>
          <w:rFonts w:ascii="Times New Roman" w:hAnsi="Times New Roman" w:eastAsia="宋体" w:cs="Times New Roman"/>
          <w:b/>
          <w:bCs/>
          <w:color w:val="000000"/>
          <w:kern w:val="0"/>
          <w:sz w:val="24"/>
          <w:szCs w:val="24"/>
        </w:rPr>
      </w:pPr>
      <w:r>
        <w:rPr>
          <w:rFonts w:ascii="Times New Roman" w:hAnsi="Times New Roman" w:cs="Times New Roman"/>
          <w:sz w:val="24"/>
          <w:szCs w:val="24"/>
        </w:rPr>
        <w:t xml:space="preserve">[9] </w:t>
      </w:r>
      <w:r>
        <w:rPr>
          <w:rFonts w:ascii="Times New Roman" w:hAnsi="Times New Roman" w:cs="Times New Roman"/>
          <w:sz w:val="24"/>
          <w:szCs w:val="24"/>
        </w:rPr>
        <w:tab/>
      </w:r>
      <w:r>
        <w:rPr>
          <w:rFonts w:ascii="Times New Roman" w:hAnsi="Times New Roman" w:cs="Times New Roman"/>
          <w:i/>
          <w:sz w:val="24"/>
          <w:szCs w:val="24"/>
        </w:rPr>
        <w:t>Information technology -- Security techniques -- Information security management systems -- Overview and vocabulary</w:t>
      </w:r>
      <w:r>
        <w:rPr>
          <w:rFonts w:ascii="Times New Roman" w:hAnsi="Times New Roman" w:cs="Times New Roman"/>
          <w:sz w:val="24"/>
          <w:szCs w:val="24"/>
        </w:rPr>
        <w:t xml:space="preserve">, 2019. [Online]. Available: </w:t>
      </w:r>
      <w:r>
        <w:fldChar w:fldCharType="begin"/>
      </w:r>
      <w:r>
        <w:instrText xml:space="preserve"> HYPERLINK "https://d.wanfangdata.com.cn/standard/JIS" </w:instrText>
      </w:r>
      <w:r>
        <w:fldChar w:fldCharType="separate"/>
      </w:r>
      <w:r>
        <w:rPr>
          <w:rStyle w:val="16"/>
          <w:rFonts w:ascii="Times New Roman" w:hAnsi="Times New Roman" w:cs="Times New Roman"/>
          <w:sz w:val="24"/>
          <w:szCs w:val="24"/>
        </w:rPr>
        <w:t>https://d.wanfangdata.com.cn/standard/JIS</w:t>
      </w:r>
      <w:r>
        <w:rPr>
          <w:rStyle w:val="16"/>
          <w:rFonts w:ascii="Times New Roman" w:hAnsi="Times New Roman" w:cs="Times New Roman"/>
          <w:sz w:val="24"/>
          <w:szCs w:val="24"/>
        </w:rPr>
        <w:fldChar w:fldCharType="end"/>
      </w:r>
      <w:r>
        <w:rPr>
          <w:rFonts w:ascii="Times New Roman" w:hAnsi="Times New Roman" w:cs="Times New Roman"/>
          <w:sz w:val="24"/>
          <w:szCs w:val="24"/>
        </w:rPr>
        <w:t xml:space="preserve"> Q27000-2019</w:t>
      </w:r>
    </w:p>
    <w:p>
      <w:pPr>
        <w:ind w:left="720" w:hanging="720"/>
        <w:jc w:val="left"/>
        <w:rPr>
          <w:rFonts w:ascii="Times New Roman" w:hAnsi="Times New Roman" w:cs="Times New Roman"/>
          <w:sz w:val="24"/>
          <w:szCs w:val="24"/>
        </w:rPr>
      </w:pPr>
      <w:r>
        <w:rPr>
          <w:rFonts w:ascii="Times New Roman" w:hAnsi="Times New Roman" w:eastAsia="宋体" w:cs="Times New Roman"/>
          <w:color w:val="000000"/>
          <w:kern w:val="0"/>
          <w:sz w:val="24"/>
          <w:szCs w:val="24"/>
        </w:rPr>
        <w:t>[10]</w:t>
      </w:r>
      <w:r>
        <w:rPr>
          <w:rFonts w:ascii="Times New Roman" w:hAnsi="Times New Roman" w:eastAsia="宋体" w:cs="Times New Roman"/>
          <w:b/>
          <w:bCs/>
          <w:color w:val="000000"/>
          <w:kern w:val="0"/>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 xml:space="preserve">G. Disterer, "ISO/IEC 27000, 27001 and 27002 for Information Security Management," </w:t>
      </w:r>
      <w:r>
        <w:rPr>
          <w:rFonts w:ascii="Times New Roman" w:hAnsi="Times New Roman" w:cs="Times New Roman"/>
          <w:i/>
          <w:sz w:val="24"/>
          <w:szCs w:val="24"/>
        </w:rPr>
        <w:t xml:space="preserve">Journal of Information Security, </w:t>
      </w:r>
      <w:r>
        <w:rPr>
          <w:rFonts w:ascii="Times New Roman" w:hAnsi="Times New Roman" w:cs="Times New Roman"/>
          <w:sz w:val="24"/>
          <w:szCs w:val="24"/>
        </w:rPr>
        <w:t>vol. 04, no. 02, pp. 92-100, 2013, doi: 10.4236/jis.2013.42011.</w:t>
      </w:r>
    </w:p>
    <w:p>
      <w:pPr>
        <w:ind w:left="720" w:hanging="720"/>
        <w:jc w:val="left"/>
        <w:rPr>
          <w:rFonts w:ascii="Times New Roman" w:hAnsi="Times New Roman" w:cs="Times New Roman"/>
          <w:sz w:val="24"/>
          <w:szCs w:val="24"/>
        </w:rPr>
      </w:pPr>
      <w:r>
        <w:rPr>
          <w:rFonts w:ascii="Times New Roman" w:hAnsi="Times New Roman" w:cs="Times New Roman"/>
          <w:sz w:val="24"/>
          <w:szCs w:val="24"/>
        </w:rPr>
        <w:t xml:space="preserve">[11] </w:t>
      </w:r>
      <w:r>
        <w:rPr>
          <w:rFonts w:ascii="Times New Roman" w:hAnsi="Times New Roman" w:cs="Times New Roman"/>
          <w:sz w:val="24"/>
          <w:szCs w:val="24"/>
        </w:rPr>
        <w:tab/>
      </w:r>
      <w:r>
        <w:fldChar w:fldCharType="begin"/>
      </w:r>
      <w:r>
        <w:instrText xml:space="preserve"> HYPERLINK "https://www.ibm.com/cloud/learn/it-infrastructure-library" </w:instrText>
      </w:r>
      <w:r>
        <w:fldChar w:fldCharType="separate"/>
      </w:r>
      <w:r>
        <w:rPr>
          <w:rStyle w:val="16"/>
          <w:rFonts w:ascii="Times New Roman" w:hAnsi="Times New Roman" w:cs="Times New Roman"/>
          <w:i/>
          <w:sz w:val="24"/>
          <w:szCs w:val="24"/>
        </w:rPr>
        <w:t>https://www.ibm.com/cloud/learn/it-infrastructure-library</w:t>
      </w:r>
      <w:r>
        <w:rPr>
          <w:rStyle w:val="16"/>
          <w:rFonts w:ascii="Times New Roman" w:hAnsi="Times New Roman" w:cs="Times New Roman"/>
          <w:i/>
          <w:sz w:val="24"/>
          <w:szCs w:val="24"/>
        </w:rPr>
        <w:fldChar w:fldCharType="end"/>
      </w:r>
    </w:p>
    <w:p>
      <w:pPr>
        <w:pStyle w:val="4"/>
        <w:ind w:left="720" w:hanging="720"/>
        <w:rPr>
          <w:rFonts w:ascii="Times New Roman" w:hAnsi="Times New Roman" w:cs="Times New Roman"/>
          <w:sz w:val="24"/>
          <w:szCs w:val="24"/>
        </w:rPr>
      </w:pPr>
      <w:r>
        <w:rPr>
          <w:rFonts w:ascii="Times New Roman" w:hAnsi="Times New Roman" w:cs="Times New Roman"/>
          <w:sz w:val="24"/>
          <w:szCs w:val="24"/>
        </w:rPr>
        <w:t>[12]</w:t>
      </w:r>
      <w:r>
        <w:rPr>
          <w:rFonts w:ascii="Times New Roman" w:hAnsi="Times New Roman" w:cs="Times New Roman"/>
          <w:sz w:val="24"/>
          <w:szCs w:val="24"/>
        </w:rPr>
        <w:tab/>
      </w:r>
      <w:r>
        <w:rPr>
          <w:rFonts w:ascii="Times New Roman" w:hAnsi="Times New Roman" w:cs="Times New Roman"/>
          <w:sz w:val="24"/>
          <w:szCs w:val="24"/>
        </w:rPr>
        <w:t>李宇峰, "基于ITIL框架的L公司IT服务管理优化研究," 硕士, 广东工业大学, 2020.</w:t>
      </w:r>
    </w:p>
    <w:p>
      <w:pPr>
        <w:pStyle w:val="4"/>
        <w:ind w:left="720" w:hanging="720"/>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rPr>
        <w:tab/>
      </w:r>
      <w:r>
        <w:rPr>
          <w:rFonts w:ascii="Times New Roman" w:hAnsi="Times New Roman" w:cs="Times New Roman"/>
          <w:sz w:val="24"/>
          <w:szCs w:val="24"/>
        </w:rPr>
        <w:t>C. Pollard and A. Cater-Steel, "Justifications, Strategies, and Critical Success Factors in Successful ITIL Implementations in U.S. and Australian Companies: An Exploratory Study,"</w:t>
      </w:r>
      <w:r>
        <w:rPr>
          <w:rFonts w:ascii="Times New Roman" w:hAnsi="Times New Roman" w:cs="Times New Roman"/>
          <w:i/>
          <w:iCs/>
          <w:sz w:val="24"/>
          <w:szCs w:val="24"/>
        </w:rPr>
        <w:t xml:space="preserve"> Information Systems Management</w:t>
      </w:r>
      <w:r>
        <w:rPr>
          <w:rFonts w:ascii="Times New Roman" w:hAnsi="Times New Roman" w:cs="Times New Roman"/>
          <w:sz w:val="24"/>
          <w:szCs w:val="24"/>
        </w:rPr>
        <w:t>, vol. 26, no. 2, pp. 164-175, 2009, doi: 10.1080/10580530902797540.</w:t>
      </w:r>
      <w:r>
        <w:rPr>
          <w:rFonts w:hint="eastAsia" w:ascii="Times New Roman" w:hAnsi="Times New Roman" w:cs="Times New Roman"/>
          <w:sz w:val="24"/>
          <w:szCs w:val="24"/>
        </w:rPr>
        <w:t xml:space="preserve"> </w:t>
      </w:r>
    </w:p>
    <w:p>
      <w:pPr>
        <w:pStyle w:val="4"/>
        <w:ind w:left="720" w:hanging="720"/>
        <w:rPr>
          <w:rFonts w:ascii="Times New Roman" w:hAnsi="Times New Roman" w:cs="Times New Roman"/>
          <w:sz w:val="24"/>
          <w:szCs w:val="24"/>
        </w:rPr>
      </w:pPr>
      <w:r>
        <w:rPr>
          <w:rFonts w:ascii="Times New Roman" w:hAnsi="Times New Roman" w:cs="Times New Roman"/>
          <w:sz w:val="24"/>
          <w:szCs w:val="24"/>
        </w:rPr>
        <w:t>[14</w:t>
      </w:r>
      <w:r>
        <w:rPr>
          <w:rFonts w:hint="eastAsia"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color w:val="333333"/>
          <w:sz w:val="24"/>
          <w:szCs w:val="24"/>
          <w:shd w:val="clear" w:color="auto" w:fill="FFFFFF"/>
        </w:rPr>
        <w:t>P. P. Roy, "A High-Level Comparison between the NIST Cyber Security Framework and the ISO 27001 Information Security Standard," </w:t>
      </w:r>
      <w:r>
        <w:rPr>
          <w:rStyle w:val="15"/>
          <w:rFonts w:ascii="Times New Roman" w:hAnsi="Times New Roman" w:cs="Times New Roman"/>
          <w:color w:val="333333"/>
          <w:sz w:val="24"/>
          <w:szCs w:val="24"/>
          <w:shd w:val="clear" w:color="auto" w:fill="FFFFFF"/>
        </w:rPr>
        <w:t>2020 National Conference on Emerging Trends on Sustainable Technology and Engineering Applications (NCETSTEA)</w:t>
      </w:r>
      <w:r>
        <w:rPr>
          <w:rFonts w:ascii="Times New Roman" w:hAnsi="Times New Roman" w:cs="Times New Roman"/>
          <w:color w:val="333333"/>
          <w:sz w:val="24"/>
          <w:szCs w:val="24"/>
          <w:shd w:val="clear" w:color="auto" w:fill="FFFFFF"/>
        </w:rPr>
        <w:t>, 2020, pp. 1-3, doi: 10.1109/NCETSTEA48365.2020.9119914.</w:t>
      </w:r>
    </w:p>
    <w:p>
      <w:pPr>
        <w:pStyle w:val="4"/>
      </w:pPr>
    </w:p>
    <w:p>
      <w:pPr>
        <w:pStyle w:val="4"/>
      </w:pPr>
    </w:p>
    <w:p>
      <w:pPr>
        <w:pStyle w:val="4"/>
      </w:pPr>
      <w:r>
        <w:fldChar w:fldCharType="begin"/>
      </w:r>
      <w:r>
        <w:instrText xml:space="preserve"> ADDIN EN.REFLIST </w:instrText>
      </w:r>
      <w:r>
        <w:fldChar w:fldCharType="separate"/>
      </w:r>
      <w: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imesNewRomanPSMT">
    <w:altName w:val="Times New Roman"/>
    <w:panose1 w:val="00000000000000000000"/>
    <w:charset w:val="00"/>
    <w:family w:val="roman"/>
    <w:pitch w:val="default"/>
    <w:sig w:usb0="00000000" w:usb1="00000000" w:usb2="00000000" w:usb3="00000000" w:csb0="00000000" w:csb1="00000000"/>
  </w:font>
  <w:font w:name="Bold">
    <w:altName w:val="Cambria"/>
    <w:panose1 w:val="00000000000000000000"/>
    <w:charset w:val="00"/>
    <w:family w:val="roman"/>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SymbolMT">
    <w:altName w:val="Cambria"/>
    <w:panose1 w:val="00000000000000000000"/>
    <w:charset w:val="00"/>
    <w:family w:val="roman"/>
    <w:pitch w:val="default"/>
    <w:sig w:usb0="00000000" w:usb1="00000000" w:usb2="00000000" w:usb3="00000000" w:csb0="00000000" w:csb1="00000000"/>
  </w:font>
  <w:font w:name="ArialMT">
    <w:altName w:val="Arial"/>
    <w:panose1 w:val="00000000000000000000"/>
    <w:charset w:val="00"/>
    <w:family w:val="roman"/>
    <w:pitch w:val="default"/>
    <w:sig w:usb0="00000000" w:usb1="00000000" w:usb2="00000000" w:usb3="00000000" w:csb0="00000000" w:csb1="00000000"/>
  </w:font>
  <w:font w:name="Cambria">
    <w:panose1 w:val="02040503050406030204"/>
    <w:charset w:val="00"/>
    <w:family w:val="auto"/>
    <w:pitch w:val="default"/>
    <w:sig w:usb0="E00006FF" w:usb1="420024FF" w:usb2="02000000" w:usb3="00000000" w:csb0="2000019F" w:csb1="00000000"/>
  </w:font>
  <w:font w:name="Arial">
    <w:panose1 w:val="020B0604020202020204"/>
    <w:charset w:val="00"/>
    <w:family w:val="roman"/>
    <w:pitch w:val="default"/>
    <w:sig w:usb0="E0002EFF" w:usb1="C000785B" w:usb2="00000009" w:usb3="00000000" w:csb0="400001FF" w:csb1="FFFF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等线&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ds2x002k5de0dep9wg5f2vnzsdffzpt2e9r&quot;&gt;My EndNote Library&lt;record-ids&gt;&lt;item&gt;3&lt;/item&gt;&lt;/record-ids&gt;&lt;/item&gt;&lt;/Libraries&gt;"/>
  </w:docVars>
  <w:rsids>
    <w:rsidRoot w:val="003372EA"/>
    <w:rsid w:val="00001534"/>
    <w:rsid w:val="000069C9"/>
    <w:rsid w:val="00016C24"/>
    <w:rsid w:val="00021D5A"/>
    <w:rsid w:val="00023816"/>
    <w:rsid w:val="000244D6"/>
    <w:rsid w:val="00031BC5"/>
    <w:rsid w:val="00037EF4"/>
    <w:rsid w:val="0004367D"/>
    <w:rsid w:val="00055204"/>
    <w:rsid w:val="00055FA2"/>
    <w:rsid w:val="00076307"/>
    <w:rsid w:val="00082B0D"/>
    <w:rsid w:val="000A4CC7"/>
    <w:rsid w:val="000B12CB"/>
    <w:rsid w:val="000B78BB"/>
    <w:rsid w:val="000B7D07"/>
    <w:rsid w:val="000B7E8C"/>
    <w:rsid w:val="000D616A"/>
    <w:rsid w:val="000E5F91"/>
    <w:rsid w:val="00100B04"/>
    <w:rsid w:val="001024E9"/>
    <w:rsid w:val="00102842"/>
    <w:rsid w:val="0011262E"/>
    <w:rsid w:val="00127D1A"/>
    <w:rsid w:val="001302BB"/>
    <w:rsid w:val="0013337F"/>
    <w:rsid w:val="0014713C"/>
    <w:rsid w:val="00150661"/>
    <w:rsid w:val="00153DF5"/>
    <w:rsid w:val="00165A7B"/>
    <w:rsid w:val="00175003"/>
    <w:rsid w:val="001902FD"/>
    <w:rsid w:val="001A70A3"/>
    <w:rsid w:val="001A7BE2"/>
    <w:rsid w:val="001B6243"/>
    <w:rsid w:val="001C0AB5"/>
    <w:rsid w:val="001C3340"/>
    <w:rsid w:val="001D11C7"/>
    <w:rsid w:val="001D127C"/>
    <w:rsid w:val="001D4217"/>
    <w:rsid w:val="001E69FF"/>
    <w:rsid w:val="001F40B6"/>
    <w:rsid w:val="001F47C9"/>
    <w:rsid w:val="00204759"/>
    <w:rsid w:val="00205DB5"/>
    <w:rsid w:val="00205F9E"/>
    <w:rsid w:val="00213753"/>
    <w:rsid w:val="00217939"/>
    <w:rsid w:val="002235A8"/>
    <w:rsid w:val="00223E00"/>
    <w:rsid w:val="00227679"/>
    <w:rsid w:val="002311BD"/>
    <w:rsid w:val="00233ED5"/>
    <w:rsid w:val="00235C93"/>
    <w:rsid w:val="0024767A"/>
    <w:rsid w:val="002509AD"/>
    <w:rsid w:val="00277994"/>
    <w:rsid w:val="00277FD8"/>
    <w:rsid w:val="0028286A"/>
    <w:rsid w:val="0028574B"/>
    <w:rsid w:val="00286DC0"/>
    <w:rsid w:val="00287EFF"/>
    <w:rsid w:val="00297C8B"/>
    <w:rsid w:val="002A4DBC"/>
    <w:rsid w:val="002A767E"/>
    <w:rsid w:val="002C533B"/>
    <w:rsid w:val="002E0356"/>
    <w:rsid w:val="002E7CE0"/>
    <w:rsid w:val="002F7D4E"/>
    <w:rsid w:val="003018C0"/>
    <w:rsid w:val="003303D3"/>
    <w:rsid w:val="003372EA"/>
    <w:rsid w:val="00363527"/>
    <w:rsid w:val="00366F05"/>
    <w:rsid w:val="00372BF0"/>
    <w:rsid w:val="00372F98"/>
    <w:rsid w:val="0038009D"/>
    <w:rsid w:val="003A3670"/>
    <w:rsid w:val="003A6D6C"/>
    <w:rsid w:val="003C4C95"/>
    <w:rsid w:val="003C4D62"/>
    <w:rsid w:val="003D3E85"/>
    <w:rsid w:val="003D6B98"/>
    <w:rsid w:val="003D6E43"/>
    <w:rsid w:val="003E2025"/>
    <w:rsid w:val="00415479"/>
    <w:rsid w:val="00433286"/>
    <w:rsid w:val="00443D44"/>
    <w:rsid w:val="00453E45"/>
    <w:rsid w:val="004557D2"/>
    <w:rsid w:val="00456CE8"/>
    <w:rsid w:val="004571F9"/>
    <w:rsid w:val="004576F4"/>
    <w:rsid w:val="00475DEE"/>
    <w:rsid w:val="00481EE6"/>
    <w:rsid w:val="004821A1"/>
    <w:rsid w:val="004838DB"/>
    <w:rsid w:val="004950F8"/>
    <w:rsid w:val="004A79B1"/>
    <w:rsid w:val="004B5A77"/>
    <w:rsid w:val="004F3D1C"/>
    <w:rsid w:val="00505C86"/>
    <w:rsid w:val="005175FA"/>
    <w:rsid w:val="00532784"/>
    <w:rsid w:val="00534590"/>
    <w:rsid w:val="00535AB6"/>
    <w:rsid w:val="005373F3"/>
    <w:rsid w:val="005423AB"/>
    <w:rsid w:val="005521CE"/>
    <w:rsid w:val="00553280"/>
    <w:rsid w:val="005704F3"/>
    <w:rsid w:val="005867CA"/>
    <w:rsid w:val="00594678"/>
    <w:rsid w:val="00596602"/>
    <w:rsid w:val="005A6128"/>
    <w:rsid w:val="005A6537"/>
    <w:rsid w:val="005B3D25"/>
    <w:rsid w:val="005B7BAF"/>
    <w:rsid w:val="005C0F80"/>
    <w:rsid w:val="005C1C5A"/>
    <w:rsid w:val="005C44E5"/>
    <w:rsid w:val="005C5A0B"/>
    <w:rsid w:val="005D6FF1"/>
    <w:rsid w:val="005E3DF5"/>
    <w:rsid w:val="00600A82"/>
    <w:rsid w:val="00607931"/>
    <w:rsid w:val="006217CE"/>
    <w:rsid w:val="006252CE"/>
    <w:rsid w:val="00630139"/>
    <w:rsid w:val="00650B6D"/>
    <w:rsid w:val="00666310"/>
    <w:rsid w:val="0067231C"/>
    <w:rsid w:val="00694E3D"/>
    <w:rsid w:val="006A2DD6"/>
    <w:rsid w:val="006B547B"/>
    <w:rsid w:val="006B6847"/>
    <w:rsid w:val="006C319C"/>
    <w:rsid w:val="006C5207"/>
    <w:rsid w:val="006C7465"/>
    <w:rsid w:val="006D1E2E"/>
    <w:rsid w:val="006D361C"/>
    <w:rsid w:val="006E2AEA"/>
    <w:rsid w:val="006F5884"/>
    <w:rsid w:val="006F5B26"/>
    <w:rsid w:val="00714656"/>
    <w:rsid w:val="00714C7E"/>
    <w:rsid w:val="00716C26"/>
    <w:rsid w:val="00734056"/>
    <w:rsid w:val="0073579D"/>
    <w:rsid w:val="00741882"/>
    <w:rsid w:val="007436F8"/>
    <w:rsid w:val="00766B9C"/>
    <w:rsid w:val="0077354B"/>
    <w:rsid w:val="007748AF"/>
    <w:rsid w:val="007750FB"/>
    <w:rsid w:val="0078076F"/>
    <w:rsid w:val="00781D3B"/>
    <w:rsid w:val="007832AA"/>
    <w:rsid w:val="00784D5D"/>
    <w:rsid w:val="00790647"/>
    <w:rsid w:val="0079478F"/>
    <w:rsid w:val="00795FC0"/>
    <w:rsid w:val="00797CAF"/>
    <w:rsid w:val="007A02B5"/>
    <w:rsid w:val="007A38CA"/>
    <w:rsid w:val="007A5FDA"/>
    <w:rsid w:val="007B1F2F"/>
    <w:rsid w:val="007C2964"/>
    <w:rsid w:val="007D6E20"/>
    <w:rsid w:val="007E086D"/>
    <w:rsid w:val="007E7689"/>
    <w:rsid w:val="007F6D4F"/>
    <w:rsid w:val="00803AB5"/>
    <w:rsid w:val="008155C6"/>
    <w:rsid w:val="00820DF4"/>
    <w:rsid w:val="00824B84"/>
    <w:rsid w:val="00832482"/>
    <w:rsid w:val="0084234B"/>
    <w:rsid w:val="00845880"/>
    <w:rsid w:val="00846E75"/>
    <w:rsid w:val="008613F4"/>
    <w:rsid w:val="00876F77"/>
    <w:rsid w:val="00885D0B"/>
    <w:rsid w:val="00886582"/>
    <w:rsid w:val="008C3A6A"/>
    <w:rsid w:val="008C6252"/>
    <w:rsid w:val="008C7590"/>
    <w:rsid w:val="008D3707"/>
    <w:rsid w:val="008D6D45"/>
    <w:rsid w:val="008F265B"/>
    <w:rsid w:val="008F787D"/>
    <w:rsid w:val="00907893"/>
    <w:rsid w:val="009121F3"/>
    <w:rsid w:val="0091360D"/>
    <w:rsid w:val="00922028"/>
    <w:rsid w:val="00946334"/>
    <w:rsid w:val="009464F5"/>
    <w:rsid w:val="00946FDA"/>
    <w:rsid w:val="009500B6"/>
    <w:rsid w:val="00966C88"/>
    <w:rsid w:val="00982DC4"/>
    <w:rsid w:val="00984120"/>
    <w:rsid w:val="00996C08"/>
    <w:rsid w:val="009B69C7"/>
    <w:rsid w:val="009C6B13"/>
    <w:rsid w:val="009D2628"/>
    <w:rsid w:val="009D34C0"/>
    <w:rsid w:val="009F17C1"/>
    <w:rsid w:val="009F23A2"/>
    <w:rsid w:val="009F4332"/>
    <w:rsid w:val="009F6022"/>
    <w:rsid w:val="009F6E44"/>
    <w:rsid w:val="00A00B0E"/>
    <w:rsid w:val="00A07AA5"/>
    <w:rsid w:val="00A141F8"/>
    <w:rsid w:val="00A21CDA"/>
    <w:rsid w:val="00A33A11"/>
    <w:rsid w:val="00A33AF5"/>
    <w:rsid w:val="00A34E93"/>
    <w:rsid w:val="00A36A41"/>
    <w:rsid w:val="00A40CD3"/>
    <w:rsid w:val="00A4199F"/>
    <w:rsid w:val="00A451C3"/>
    <w:rsid w:val="00A50219"/>
    <w:rsid w:val="00A511F8"/>
    <w:rsid w:val="00A547E9"/>
    <w:rsid w:val="00A5568B"/>
    <w:rsid w:val="00A73797"/>
    <w:rsid w:val="00A74B9B"/>
    <w:rsid w:val="00A76109"/>
    <w:rsid w:val="00A83139"/>
    <w:rsid w:val="00A93ED8"/>
    <w:rsid w:val="00AA2252"/>
    <w:rsid w:val="00AA4A53"/>
    <w:rsid w:val="00AA795A"/>
    <w:rsid w:val="00AA7C5A"/>
    <w:rsid w:val="00AB7CDF"/>
    <w:rsid w:val="00AC0C2E"/>
    <w:rsid w:val="00AC59C1"/>
    <w:rsid w:val="00AE17F3"/>
    <w:rsid w:val="00AE6346"/>
    <w:rsid w:val="00AE68F8"/>
    <w:rsid w:val="00AF18DD"/>
    <w:rsid w:val="00B228EE"/>
    <w:rsid w:val="00B23B2D"/>
    <w:rsid w:val="00B25C74"/>
    <w:rsid w:val="00B269AA"/>
    <w:rsid w:val="00B30A45"/>
    <w:rsid w:val="00B34A40"/>
    <w:rsid w:val="00B401A0"/>
    <w:rsid w:val="00B6481F"/>
    <w:rsid w:val="00B75089"/>
    <w:rsid w:val="00B756F8"/>
    <w:rsid w:val="00B92650"/>
    <w:rsid w:val="00B975A1"/>
    <w:rsid w:val="00B97B65"/>
    <w:rsid w:val="00BA73B9"/>
    <w:rsid w:val="00BC126A"/>
    <w:rsid w:val="00BC1BC0"/>
    <w:rsid w:val="00BC736B"/>
    <w:rsid w:val="00BD0BE0"/>
    <w:rsid w:val="00BD189B"/>
    <w:rsid w:val="00BE4446"/>
    <w:rsid w:val="00BE6C63"/>
    <w:rsid w:val="00C00EFC"/>
    <w:rsid w:val="00C02286"/>
    <w:rsid w:val="00C05C94"/>
    <w:rsid w:val="00C11524"/>
    <w:rsid w:val="00C15AAA"/>
    <w:rsid w:val="00C6307B"/>
    <w:rsid w:val="00C658A9"/>
    <w:rsid w:val="00C9494D"/>
    <w:rsid w:val="00CB1D03"/>
    <w:rsid w:val="00CC0A73"/>
    <w:rsid w:val="00CC6481"/>
    <w:rsid w:val="00CD30B8"/>
    <w:rsid w:val="00CE70FE"/>
    <w:rsid w:val="00CE7475"/>
    <w:rsid w:val="00CF0B32"/>
    <w:rsid w:val="00CF7A5B"/>
    <w:rsid w:val="00D00AC1"/>
    <w:rsid w:val="00D039E9"/>
    <w:rsid w:val="00D043DD"/>
    <w:rsid w:val="00D0750D"/>
    <w:rsid w:val="00D21FEA"/>
    <w:rsid w:val="00D35E4D"/>
    <w:rsid w:val="00D425E4"/>
    <w:rsid w:val="00D429DC"/>
    <w:rsid w:val="00D62A01"/>
    <w:rsid w:val="00D71665"/>
    <w:rsid w:val="00D73A4A"/>
    <w:rsid w:val="00D747C3"/>
    <w:rsid w:val="00D755C3"/>
    <w:rsid w:val="00D76B9F"/>
    <w:rsid w:val="00D84FA8"/>
    <w:rsid w:val="00D86857"/>
    <w:rsid w:val="00D93938"/>
    <w:rsid w:val="00DA3CCD"/>
    <w:rsid w:val="00DA5DEF"/>
    <w:rsid w:val="00DA778D"/>
    <w:rsid w:val="00DB7650"/>
    <w:rsid w:val="00DC0EC0"/>
    <w:rsid w:val="00DC2AC2"/>
    <w:rsid w:val="00DC674E"/>
    <w:rsid w:val="00DC7D4D"/>
    <w:rsid w:val="00DD664C"/>
    <w:rsid w:val="00DF2D30"/>
    <w:rsid w:val="00DF3742"/>
    <w:rsid w:val="00E01192"/>
    <w:rsid w:val="00E0661E"/>
    <w:rsid w:val="00E07856"/>
    <w:rsid w:val="00E110EA"/>
    <w:rsid w:val="00E15294"/>
    <w:rsid w:val="00E16D10"/>
    <w:rsid w:val="00E21D6B"/>
    <w:rsid w:val="00E24532"/>
    <w:rsid w:val="00E3185E"/>
    <w:rsid w:val="00E40552"/>
    <w:rsid w:val="00E514DF"/>
    <w:rsid w:val="00E52FA6"/>
    <w:rsid w:val="00E577B3"/>
    <w:rsid w:val="00E62893"/>
    <w:rsid w:val="00E77CF5"/>
    <w:rsid w:val="00E9493B"/>
    <w:rsid w:val="00EA07E4"/>
    <w:rsid w:val="00EB7A46"/>
    <w:rsid w:val="00EC55AD"/>
    <w:rsid w:val="00ED0643"/>
    <w:rsid w:val="00ED11E0"/>
    <w:rsid w:val="00ED4267"/>
    <w:rsid w:val="00EE1891"/>
    <w:rsid w:val="00EE4455"/>
    <w:rsid w:val="00EF43FF"/>
    <w:rsid w:val="00F130D9"/>
    <w:rsid w:val="00F13EB6"/>
    <w:rsid w:val="00F14963"/>
    <w:rsid w:val="00F37035"/>
    <w:rsid w:val="00F45C89"/>
    <w:rsid w:val="00F575DE"/>
    <w:rsid w:val="00F6021D"/>
    <w:rsid w:val="00F6300C"/>
    <w:rsid w:val="00F70BE6"/>
    <w:rsid w:val="00F75F7A"/>
    <w:rsid w:val="00F8220C"/>
    <w:rsid w:val="00F9297F"/>
    <w:rsid w:val="00FB3DD0"/>
    <w:rsid w:val="00FC04DA"/>
    <w:rsid w:val="00FC1487"/>
    <w:rsid w:val="00FC2EBC"/>
    <w:rsid w:val="00FC4FB7"/>
    <w:rsid w:val="44721A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semiHidden="0"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26"/>
    <w:qFormat/>
    <w:uiPriority w:val="9"/>
    <w:pPr>
      <w:widowControl/>
      <w:spacing w:beforeAutospacing="1" w:afterAutospacing="1"/>
      <w:jc w:val="left"/>
      <w:outlineLvl w:val="0"/>
    </w:pPr>
    <w:rPr>
      <w:rFonts w:ascii="Times New Roman" w:hAnsi="Times New Roman" w:eastAsia="Times New Roman" w:cs="宋体"/>
      <w:b/>
      <w:bCs/>
      <w:kern w:val="36"/>
      <w:sz w:val="32"/>
      <w:szCs w:val="32"/>
    </w:rPr>
  </w:style>
  <w:style w:type="paragraph" w:styleId="3">
    <w:name w:val="heading 2"/>
    <w:basedOn w:val="1"/>
    <w:next w:val="1"/>
    <w:link w:val="30"/>
    <w:unhideWhenUsed/>
    <w:qFormat/>
    <w:uiPriority w:val="9"/>
    <w:pPr>
      <w:keepNext/>
      <w:keepLines/>
      <w:spacing w:before="260" w:after="260" w:line="416" w:lineRule="auto"/>
      <w:outlineLvl w:val="1"/>
    </w:pPr>
    <w:rPr>
      <w:rFonts w:ascii="Times New Roman" w:hAnsi="Times New Roman" w:eastAsia="Times New Roman" w:cs="Times New Roman"/>
      <w:b/>
      <w:bCs/>
      <w:sz w:val="28"/>
      <w:szCs w:val="28"/>
    </w:rPr>
  </w:style>
  <w:style w:type="character" w:default="1" w:styleId="12">
    <w:name w:val="Default Paragraph Font"/>
    <w:semiHidden/>
    <w:unhideWhenUsed/>
    <w:qFormat/>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styleId="4">
    <w:name w:val="endnote text"/>
    <w:basedOn w:val="1"/>
    <w:link w:val="24"/>
    <w:unhideWhenUsed/>
    <w:uiPriority w:val="99"/>
    <w:pPr>
      <w:snapToGrid w:val="0"/>
      <w:jc w:val="left"/>
    </w:pPr>
  </w:style>
  <w:style w:type="paragraph" w:styleId="5">
    <w:name w:val="footer"/>
    <w:basedOn w:val="1"/>
    <w:link w:val="18"/>
    <w:unhideWhenUsed/>
    <w:uiPriority w:val="99"/>
    <w:pPr>
      <w:tabs>
        <w:tab w:val="center" w:pos="4153"/>
        <w:tab w:val="right" w:pos="8306"/>
      </w:tabs>
      <w:snapToGrid w:val="0"/>
      <w:jc w:val="left"/>
    </w:pPr>
    <w:rPr>
      <w:sz w:val="18"/>
      <w:szCs w:val="18"/>
    </w:rPr>
  </w:style>
  <w:style w:type="paragraph" w:styleId="6">
    <w:name w:val="header"/>
    <w:basedOn w:val="1"/>
    <w:link w:val="17"/>
    <w:unhideWhenUsed/>
    <w:uiPriority w:val="99"/>
    <w:pPr>
      <w:pBdr>
        <w:bottom w:val="single" w:color="auto" w:sz="6" w:space="1"/>
      </w:pBdr>
      <w:tabs>
        <w:tab w:val="center" w:pos="4153"/>
        <w:tab w:val="right" w:pos="8306"/>
      </w:tabs>
      <w:snapToGrid w:val="0"/>
      <w:jc w:val="center"/>
    </w:pPr>
    <w:rPr>
      <w:sz w:val="18"/>
      <w:szCs w:val="18"/>
    </w:rPr>
  </w:style>
  <w:style w:type="paragraph" w:styleId="7">
    <w:name w:val="toc 1"/>
    <w:basedOn w:val="1"/>
    <w:next w:val="1"/>
    <w:unhideWhenUsed/>
    <w:uiPriority w:val="39"/>
    <w:pPr>
      <w:tabs>
        <w:tab w:val="right" w:leader="dot" w:pos="8296"/>
      </w:tabs>
    </w:pPr>
    <w:rPr>
      <w:rFonts w:ascii="Times New Roman" w:hAnsi="Times New Roman" w:cs="Times New Roman"/>
      <w:sz w:val="28"/>
      <w:szCs w:val="32"/>
    </w:rPr>
  </w:style>
  <w:style w:type="paragraph" w:styleId="8">
    <w:name w:val="toc 2"/>
    <w:basedOn w:val="1"/>
    <w:next w:val="1"/>
    <w:unhideWhenUsed/>
    <w:uiPriority w:val="39"/>
    <w:pPr>
      <w:ind w:left="420" w:leftChars="200"/>
    </w:pPr>
  </w:style>
  <w:style w:type="paragraph" w:styleId="9">
    <w:name w:val="Normal (Web)"/>
    <w:basedOn w:val="1"/>
    <w:semiHidden/>
    <w:unhideWhenUsed/>
    <w:uiPriority w:val="99"/>
    <w:rPr>
      <w:sz w:val="24"/>
    </w:rPr>
  </w:style>
  <w:style w:type="table" w:styleId="11">
    <w:name w:val="Table Grid"/>
    <w:basedOn w:val="10"/>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endnote reference"/>
    <w:basedOn w:val="12"/>
    <w:semiHidden/>
    <w:unhideWhenUsed/>
    <w:uiPriority w:val="99"/>
    <w:rPr>
      <w:vertAlign w:val="superscript"/>
    </w:rPr>
  </w:style>
  <w:style w:type="character" w:styleId="14">
    <w:name w:val="FollowedHyperlink"/>
    <w:basedOn w:val="12"/>
    <w:semiHidden/>
    <w:unhideWhenUsed/>
    <w:uiPriority w:val="99"/>
    <w:rPr>
      <w:color w:val="954F72" w:themeColor="followedHyperlink"/>
      <w:u w:val="single"/>
      <w14:textFill>
        <w14:solidFill>
          <w14:schemeClr w14:val="folHlink"/>
        </w14:solidFill>
      </w14:textFill>
    </w:rPr>
  </w:style>
  <w:style w:type="character" w:styleId="15">
    <w:name w:val="Emphasis"/>
    <w:basedOn w:val="12"/>
    <w:qFormat/>
    <w:uiPriority w:val="20"/>
    <w:rPr>
      <w:i/>
      <w:iCs/>
    </w:rPr>
  </w:style>
  <w:style w:type="character" w:styleId="16">
    <w:name w:val="Hyperlink"/>
    <w:basedOn w:val="12"/>
    <w:unhideWhenUsed/>
    <w:uiPriority w:val="99"/>
    <w:rPr>
      <w:color w:val="0563C1" w:themeColor="hyperlink"/>
      <w:u w:val="single"/>
      <w14:textFill>
        <w14:solidFill>
          <w14:schemeClr w14:val="hlink"/>
        </w14:solidFill>
      </w14:textFill>
    </w:rPr>
  </w:style>
  <w:style w:type="character" w:customStyle="1" w:styleId="17">
    <w:name w:val="页眉 字符"/>
    <w:basedOn w:val="12"/>
    <w:link w:val="6"/>
    <w:uiPriority w:val="99"/>
    <w:rPr>
      <w:sz w:val="18"/>
      <w:szCs w:val="18"/>
    </w:rPr>
  </w:style>
  <w:style w:type="character" w:customStyle="1" w:styleId="18">
    <w:name w:val="页脚 字符"/>
    <w:basedOn w:val="12"/>
    <w:link w:val="5"/>
    <w:uiPriority w:val="99"/>
    <w:rPr>
      <w:sz w:val="18"/>
      <w:szCs w:val="18"/>
    </w:rPr>
  </w:style>
  <w:style w:type="paragraph" w:styleId="19">
    <w:name w:val="List Paragraph"/>
    <w:basedOn w:val="1"/>
    <w:qFormat/>
    <w:uiPriority w:val="34"/>
    <w:pPr>
      <w:ind w:firstLine="420" w:firstLineChars="200"/>
    </w:pPr>
  </w:style>
  <w:style w:type="character" w:customStyle="1" w:styleId="20">
    <w:name w:val="tgt"/>
    <w:basedOn w:val="12"/>
    <w:uiPriority w:val="0"/>
  </w:style>
  <w:style w:type="character" w:customStyle="1" w:styleId="21">
    <w:name w:val="apple-converted-space"/>
    <w:basedOn w:val="12"/>
    <w:uiPriority w:val="0"/>
  </w:style>
  <w:style w:type="character" w:customStyle="1" w:styleId="22">
    <w:name w:val="Unresolved Mention"/>
    <w:basedOn w:val="12"/>
    <w:semiHidden/>
    <w:unhideWhenUsed/>
    <w:uiPriority w:val="99"/>
    <w:rPr>
      <w:color w:val="605E5C"/>
      <w:shd w:val="clear" w:color="auto" w:fill="E1DFDD"/>
    </w:rPr>
  </w:style>
  <w:style w:type="character" w:customStyle="1" w:styleId="23">
    <w:name w:val="reference-text"/>
    <w:basedOn w:val="12"/>
    <w:uiPriority w:val="0"/>
  </w:style>
  <w:style w:type="character" w:customStyle="1" w:styleId="24">
    <w:name w:val="尾注文本 字符"/>
    <w:basedOn w:val="12"/>
    <w:link w:val="4"/>
    <w:uiPriority w:val="99"/>
  </w:style>
  <w:style w:type="character" w:customStyle="1" w:styleId="25">
    <w:name w:val="skip"/>
    <w:basedOn w:val="12"/>
    <w:uiPriority w:val="0"/>
  </w:style>
  <w:style w:type="character" w:customStyle="1" w:styleId="26">
    <w:name w:val="标题 1 字符"/>
    <w:basedOn w:val="12"/>
    <w:link w:val="2"/>
    <w:uiPriority w:val="9"/>
    <w:rPr>
      <w:rFonts w:ascii="Times New Roman" w:hAnsi="Times New Roman" w:eastAsia="Times New Roman" w:cs="宋体"/>
      <w:b/>
      <w:bCs/>
      <w:kern w:val="36"/>
      <w:sz w:val="32"/>
      <w:szCs w:val="32"/>
    </w:rPr>
  </w:style>
  <w:style w:type="character" w:customStyle="1" w:styleId="27">
    <w:name w:val="basic-word"/>
    <w:basedOn w:val="12"/>
    <w:uiPriority w:val="0"/>
  </w:style>
  <w:style w:type="character" w:customStyle="1" w:styleId="28">
    <w:name w:val="src"/>
    <w:basedOn w:val="12"/>
    <w:uiPriority w:val="0"/>
  </w:style>
  <w:style w:type="paragraph" w:customStyle="1" w:styleId="29">
    <w:name w:val="TOC Heading"/>
    <w:basedOn w:val="2"/>
    <w:next w:val="1"/>
    <w:unhideWhenUsed/>
    <w:qFormat/>
    <w:uiPriority w:val="39"/>
    <w:pPr>
      <w:keepNext/>
      <w:keepLines/>
      <w:spacing w:before="240" w:beforeAutospacing="0" w:afterAutospacing="0" w:line="259" w:lineRule="auto"/>
      <w:outlineLvl w:val="9"/>
    </w:pPr>
    <w:rPr>
      <w:rFonts w:asciiTheme="majorHAnsi" w:hAnsiTheme="majorHAnsi" w:eastAsiaTheme="majorEastAsia" w:cstheme="majorBidi"/>
      <w:b w:val="0"/>
      <w:bCs w:val="0"/>
      <w:color w:val="2F5597" w:themeColor="accent1" w:themeShade="BF"/>
      <w:kern w:val="0"/>
    </w:rPr>
  </w:style>
  <w:style w:type="character" w:customStyle="1" w:styleId="30">
    <w:name w:val="标题 2 字符"/>
    <w:basedOn w:val="12"/>
    <w:link w:val="3"/>
    <w:uiPriority w:val="9"/>
    <w:rPr>
      <w:rFonts w:ascii="Times New Roman" w:hAnsi="Times New Roman" w:eastAsia="Times New Roman" w:cs="Times New Roman"/>
      <w:b/>
      <w:bCs/>
      <w:sz w:val="28"/>
      <w:szCs w:val="28"/>
    </w:rPr>
  </w:style>
  <w:style w:type="paragraph" w:customStyle="1" w:styleId="31">
    <w:name w:val="EndNote Bibliography Title"/>
    <w:basedOn w:val="1"/>
    <w:link w:val="32"/>
    <w:uiPriority w:val="0"/>
    <w:pPr>
      <w:jc w:val="center"/>
    </w:pPr>
    <w:rPr>
      <w:rFonts w:ascii="等线" w:hAnsi="等线" w:eastAsia="等线"/>
      <w:sz w:val="20"/>
    </w:rPr>
  </w:style>
  <w:style w:type="character" w:customStyle="1" w:styleId="32">
    <w:name w:val="EndNote Bibliography Title 字符"/>
    <w:basedOn w:val="12"/>
    <w:link w:val="31"/>
    <w:uiPriority w:val="0"/>
    <w:rPr>
      <w:rFonts w:ascii="等线" w:hAnsi="等线" w:eastAsia="等线"/>
      <w:sz w:val="20"/>
    </w:rPr>
  </w:style>
  <w:style w:type="paragraph" w:customStyle="1" w:styleId="33">
    <w:name w:val="EndNote Bibliography"/>
    <w:basedOn w:val="1"/>
    <w:link w:val="34"/>
    <w:uiPriority w:val="0"/>
    <w:pPr>
      <w:jc w:val="left"/>
    </w:pPr>
    <w:rPr>
      <w:rFonts w:ascii="等线" w:hAnsi="等线" w:eastAsia="等线"/>
      <w:sz w:val="20"/>
    </w:rPr>
  </w:style>
  <w:style w:type="character" w:customStyle="1" w:styleId="34">
    <w:name w:val="EndNote Bibliography 字符"/>
    <w:basedOn w:val="12"/>
    <w:link w:val="33"/>
    <w:uiPriority w:val="0"/>
    <w:rPr>
      <w:rFonts w:ascii="等线" w:hAnsi="等线" w:eastAsia="等线"/>
      <w:sz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customXml" Target="../customXml/item1.xml"/><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F0481DA-5ED3-4C41-9138-CF301D9E838F}">
  <ds:schemaRefs/>
</ds:datastoreItem>
</file>

<file path=docProps/app.xml><?xml version="1.0" encoding="utf-8"?>
<Properties xmlns="http://schemas.openxmlformats.org/officeDocument/2006/extended-properties" xmlns:vt="http://schemas.openxmlformats.org/officeDocument/2006/docPropsVTypes">
  <Template>Normal</Template>
  <Pages>13</Pages>
  <Words>3309</Words>
  <Characters>18866</Characters>
  <Lines>157</Lines>
  <Paragraphs>44</Paragraphs>
  <TotalTime>6503</TotalTime>
  <ScaleCrop>false</ScaleCrop>
  <LinksUpToDate>false</LinksUpToDate>
  <CharactersWithSpaces>22131</CharactersWithSpaces>
  <Application>WPS Office_11.1.0.9192_F1E327BC-269C-435d-A152-05C5408002CA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2021-12-06T06:54:00Z</dcterms:created>
  <dc:creator>1103878646@qq.com</dc:creator>
  <cp:lastModifiedBy>皮皮</cp:lastModifiedBy>
  <dcterms:modified xsi:type="dcterms:W3CDTF">2022-01-02T13:50:14Z</dcterms:modified>
  <cp:revision>441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2052-11.1.0.9192</vt:lpwstr>
  </property>
</Properties>
</file>